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872" w:rsidRDefault="00126872">
      <w:pPr>
        <w:jc w:val="center"/>
        <w:rPr>
          <w:rFonts w:ascii="Arial" w:hAnsi="Arial" w:cs="Arial"/>
          <w:b/>
        </w:rPr>
      </w:pPr>
    </w:p>
    <w:p w:rsidR="00FC5A5E" w:rsidRPr="00891DCE" w:rsidRDefault="00FC5A5E">
      <w:pPr>
        <w:jc w:val="center"/>
        <w:rPr>
          <w:rFonts w:ascii="Arial" w:hAnsi="Arial" w:cs="Arial"/>
          <w:b/>
        </w:rPr>
      </w:pPr>
      <w:r w:rsidRPr="00891DCE">
        <w:rPr>
          <w:rFonts w:ascii="Arial" w:hAnsi="Arial" w:cs="Arial"/>
          <w:b/>
        </w:rPr>
        <w:t>DEPARTMENT OF ENVIRONMENTAL QUALITY</w:t>
      </w:r>
    </w:p>
    <w:p w:rsidR="00FC5A5E" w:rsidRPr="00891DCE" w:rsidRDefault="00FC5A5E">
      <w:pPr>
        <w:jc w:val="center"/>
        <w:rPr>
          <w:rFonts w:ascii="Arial" w:hAnsi="Arial" w:cs="Arial"/>
          <w:b/>
        </w:rPr>
      </w:pPr>
      <w:r w:rsidRPr="00891DCE">
        <w:rPr>
          <w:rFonts w:ascii="Arial" w:hAnsi="Arial" w:cs="Arial"/>
          <w:b/>
        </w:rPr>
        <w:t>Chapter 340</w:t>
      </w:r>
    </w:p>
    <w:p w:rsidR="00F31423" w:rsidRPr="00891DCE" w:rsidRDefault="00F31423">
      <w:pPr>
        <w:jc w:val="center"/>
        <w:rPr>
          <w:rFonts w:ascii="Arial" w:hAnsi="Arial" w:cs="Arial"/>
          <w:b/>
        </w:rPr>
      </w:pPr>
      <w:r w:rsidRPr="00891DCE">
        <w:rPr>
          <w:rFonts w:ascii="Arial" w:hAnsi="Arial" w:cs="Arial"/>
          <w:b/>
        </w:rPr>
        <w:t>Proposed Rulemaking</w:t>
      </w:r>
    </w:p>
    <w:p w:rsidR="006A64A3" w:rsidRDefault="006A64A3">
      <w:pPr>
        <w:jc w:val="center"/>
        <w:rPr>
          <w:rFonts w:ascii="Arial" w:hAnsi="Arial" w:cs="Arial"/>
          <w:b/>
        </w:rPr>
      </w:pPr>
      <w:r w:rsidRPr="00891DCE">
        <w:rPr>
          <w:rFonts w:ascii="Arial" w:hAnsi="Arial" w:cs="Arial"/>
          <w:b/>
        </w:rPr>
        <w:t xml:space="preserve">STATEMENT OF NEED AND FISCAL </w:t>
      </w:r>
      <w:r w:rsidR="009611F3" w:rsidRPr="00891DCE">
        <w:rPr>
          <w:rFonts w:ascii="Arial" w:hAnsi="Arial" w:cs="Arial"/>
          <w:b/>
        </w:rPr>
        <w:t xml:space="preserve">AND ECONOMIC </w:t>
      </w:r>
      <w:r w:rsidRPr="00891DCE">
        <w:rPr>
          <w:rFonts w:ascii="Arial" w:hAnsi="Arial" w:cs="Arial"/>
          <w:b/>
        </w:rPr>
        <w:t>IMPACT</w:t>
      </w:r>
    </w:p>
    <w:p w:rsidR="004F75AE" w:rsidRDefault="004F75AE">
      <w:pPr>
        <w:jc w:val="center"/>
        <w:rPr>
          <w:rFonts w:ascii="Arial" w:hAnsi="Arial" w:cs="Arial"/>
          <w:b/>
        </w:rPr>
      </w:pPr>
    </w:p>
    <w:p w:rsidR="004F75AE" w:rsidRPr="00D02604" w:rsidRDefault="00D02604">
      <w:pPr>
        <w:jc w:val="center"/>
        <w:rPr>
          <w:rFonts w:ascii="Arial" w:hAnsi="Arial" w:cs="Arial"/>
          <w:b/>
          <w:sz w:val="24"/>
          <w:szCs w:val="24"/>
          <w:u w:val="single"/>
        </w:rPr>
      </w:pPr>
      <w:r w:rsidRPr="00D02604">
        <w:rPr>
          <w:rFonts w:ascii="Arial" w:hAnsi="Arial" w:cs="Arial"/>
          <w:sz w:val="24"/>
          <w:szCs w:val="24"/>
        </w:rPr>
        <w:t>401 Water Quality Certification Fee Increase for Removal &amp; Fill Projects</w:t>
      </w:r>
    </w:p>
    <w:p w:rsidR="004F75AE" w:rsidRPr="00891DCE" w:rsidRDefault="004F75AE">
      <w:pPr>
        <w:jc w:val="center"/>
        <w:rPr>
          <w:rFonts w:ascii="Arial" w:hAnsi="Arial" w:cs="Arial"/>
          <w:b/>
        </w:rPr>
      </w:pPr>
    </w:p>
    <w:p w:rsidR="006A64A3" w:rsidRPr="00891DCE" w:rsidRDefault="00204C00">
      <w:pPr>
        <w:jc w:val="center"/>
        <w:rPr>
          <w:rFonts w:ascii="Arial" w:hAnsi="Arial" w:cs="Arial"/>
        </w:rPr>
      </w:pPr>
      <w:r w:rsidRPr="00891DCE">
        <w:rPr>
          <w:rFonts w:ascii="Arial" w:hAnsi="Arial" w:cs="Arial"/>
        </w:rPr>
        <w:t>This form accompanies a</w:t>
      </w:r>
      <w:r w:rsidR="006A64A3" w:rsidRPr="00891DCE">
        <w:rPr>
          <w:rFonts w:ascii="Arial" w:hAnsi="Arial" w:cs="Arial"/>
        </w:rPr>
        <w:t xml:space="preserve"> Notice of Proposed Rulemaking</w:t>
      </w:r>
    </w:p>
    <w:p w:rsidR="006A64A3" w:rsidRPr="00891DCE" w:rsidRDefault="006A64A3">
      <w:pPr>
        <w:jc w:val="center"/>
        <w:rPr>
          <w:rFonts w:ascii="Arial" w:hAnsi="Arial" w:cs="Arial"/>
        </w:rPr>
      </w:pPr>
    </w:p>
    <w:p w:rsidR="006A64A3" w:rsidRPr="00891DCE" w:rsidRDefault="006A64A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58"/>
        <w:gridCol w:w="2610"/>
        <w:gridCol w:w="6048"/>
      </w:tblGrid>
      <w:tr w:rsidR="00094D4F" w:rsidRPr="00943AD3" w:rsidTr="00943AD3">
        <w:tc>
          <w:tcPr>
            <w:tcW w:w="2358" w:type="dxa"/>
          </w:tcPr>
          <w:p w:rsidR="00094D4F" w:rsidRPr="00943AD3" w:rsidRDefault="00094D4F" w:rsidP="00943AD3">
            <w:pPr>
              <w:tabs>
                <w:tab w:val="left" w:pos="360"/>
                <w:tab w:val="right" w:pos="2700"/>
              </w:tabs>
              <w:rPr>
                <w:rFonts w:ascii="Arial" w:hAnsi="Arial" w:cs="Arial"/>
                <w:b/>
              </w:rPr>
            </w:pPr>
            <w:bookmarkStart w:id="0" w:name="ABCT"/>
            <w:bookmarkEnd w:id="0"/>
            <w:r w:rsidRPr="00943AD3">
              <w:rPr>
                <w:rFonts w:ascii="Arial" w:hAnsi="Arial" w:cs="Arial"/>
                <w:b/>
              </w:rPr>
              <w:t>Title of Proposed Rulemaking</w:t>
            </w:r>
          </w:p>
          <w:p w:rsidR="004F75AE" w:rsidRPr="00943AD3" w:rsidRDefault="004F75AE" w:rsidP="00943AD3">
            <w:pPr>
              <w:tabs>
                <w:tab w:val="left" w:pos="360"/>
                <w:tab w:val="right" w:pos="2700"/>
              </w:tabs>
              <w:rPr>
                <w:rFonts w:ascii="Arial" w:hAnsi="Arial" w:cs="Arial"/>
                <w:b/>
              </w:rPr>
            </w:pPr>
          </w:p>
        </w:tc>
        <w:tc>
          <w:tcPr>
            <w:tcW w:w="8658" w:type="dxa"/>
            <w:gridSpan w:val="2"/>
          </w:tcPr>
          <w:p w:rsidR="00094D4F" w:rsidRPr="00943AD3" w:rsidRDefault="00D02604" w:rsidP="002F78E8">
            <w:pPr>
              <w:rPr>
                <w:iCs/>
                <w:highlight w:val="yellow"/>
              </w:rPr>
            </w:pPr>
            <w:r w:rsidRPr="00173EBE">
              <w:rPr>
                <w:iCs/>
              </w:rPr>
              <w:t>This rulemaking revises 401 water quality certification fees on removal and fill projects</w:t>
            </w:r>
          </w:p>
        </w:tc>
      </w:tr>
      <w:tr w:rsidR="005D212B" w:rsidRPr="00173EBE" w:rsidTr="00943AD3">
        <w:trPr>
          <w:trHeight w:val="647"/>
        </w:trPr>
        <w:tc>
          <w:tcPr>
            <w:tcW w:w="2358" w:type="dxa"/>
            <w:vMerge w:val="restart"/>
          </w:tcPr>
          <w:p w:rsidR="005D212B" w:rsidRPr="00173EBE" w:rsidRDefault="0068056B" w:rsidP="00943AD3">
            <w:pPr>
              <w:tabs>
                <w:tab w:val="left" w:pos="360"/>
                <w:tab w:val="right" w:pos="2700"/>
              </w:tabs>
              <w:rPr>
                <w:rFonts w:ascii="Arial" w:hAnsi="Arial" w:cs="Arial"/>
                <w:b/>
              </w:rPr>
            </w:pPr>
            <w:r w:rsidRPr="00173EBE">
              <w:rPr>
                <w:rFonts w:ascii="Arial" w:hAnsi="Arial" w:cs="Arial"/>
                <w:b/>
              </w:rPr>
              <w:t>Stat</w:t>
            </w:r>
            <w:r w:rsidR="00D96031" w:rsidRPr="00173EBE">
              <w:rPr>
                <w:rFonts w:ascii="Arial" w:hAnsi="Arial" w:cs="Arial"/>
                <w:b/>
              </w:rPr>
              <w:t xml:space="preserve">utory </w:t>
            </w:r>
            <w:r w:rsidR="005D212B" w:rsidRPr="00173EBE">
              <w:rPr>
                <w:rFonts w:ascii="Arial" w:hAnsi="Arial" w:cs="Arial"/>
                <w:b/>
              </w:rPr>
              <w:t>Authority</w:t>
            </w:r>
            <w:r w:rsidRPr="00173EBE">
              <w:rPr>
                <w:rFonts w:ascii="Arial" w:hAnsi="Arial" w:cs="Arial"/>
                <w:b/>
              </w:rPr>
              <w:t xml:space="preserve"> or other Legal Authority</w:t>
            </w:r>
          </w:p>
          <w:p w:rsidR="005D212B" w:rsidRPr="00173EBE" w:rsidRDefault="005D212B" w:rsidP="00943AD3">
            <w:pPr>
              <w:tabs>
                <w:tab w:val="left" w:pos="360"/>
                <w:tab w:val="right" w:pos="2700"/>
              </w:tabs>
              <w:rPr>
                <w:rFonts w:ascii="Arial" w:hAnsi="Arial" w:cs="Arial"/>
                <w:b/>
              </w:rPr>
            </w:pPr>
          </w:p>
          <w:p w:rsidR="005D212B" w:rsidRPr="00173EBE" w:rsidRDefault="005D212B" w:rsidP="00943AD3">
            <w:pPr>
              <w:tabs>
                <w:tab w:val="left" w:pos="360"/>
                <w:tab w:val="right" w:pos="2700"/>
              </w:tabs>
              <w:rPr>
                <w:rFonts w:ascii="Arial" w:hAnsi="Arial" w:cs="Arial"/>
                <w:b/>
              </w:rPr>
            </w:pPr>
            <w:r w:rsidRPr="00173EBE">
              <w:rPr>
                <w:rFonts w:ascii="Arial" w:hAnsi="Arial" w:cs="Arial"/>
                <w:b/>
              </w:rPr>
              <w:t>Stat</w:t>
            </w:r>
            <w:r w:rsidR="00727B74" w:rsidRPr="00173EBE">
              <w:rPr>
                <w:rFonts w:ascii="Arial" w:hAnsi="Arial" w:cs="Arial"/>
                <w:b/>
              </w:rPr>
              <w:t xml:space="preserve">utes </w:t>
            </w:r>
            <w:r w:rsidRPr="00173EBE">
              <w:rPr>
                <w:rFonts w:ascii="Arial" w:hAnsi="Arial" w:cs="Arial"/>
                <w:b/>
              </w:rPr>
              <w:t>Implemented</w:t>
            </w:r>
          </w:p>
          <w:p w:rsidR="005D212B" w:rsidRPr="00173EBE" w:rsidRDefault="005D212B" w:rsidP="00943AD3">
            <w:pPr>
              <w:tabs>
                <w:tab w:val="left" w:pos="360"/>
                <w:tab w:val="right" w:pos="2700"/>
              </w:tabs>
              <w:rPr>
                <w:rFonts w:ascii="Arial" w:hAnsi="Arial" w:cs="Arial"/>
                <w:b/>
              </w:rPr>
            </w:pPr>
          </w:p>
        </w:tc>
        <w:tc>
          <w:tcPr>
            <w:tcW w:w="8658" w:type="dxa"/>
            <w:gridSpan w:val="2"/>
          </w:tcPr>
          <w:p w:rsidR="005D212B" w:rsidRPr="00173EBE" w:rsidRDefault="00D02604" w:rsidP="00211D5F">
            <w:r w:rsidRPr="00173EBE">
              <w:rPr>
                <w:iCs/>
              </w:rPr>
              <w:t>ORS 420 and 468</w:t>
            </w:r>
          </w:p>
        </w:tc>
      </w:tr>
      <w:tr w:rsidR="005D212B" w:rsidRPr="00173EBE" w:rsidTr="00943AD3">
        <w:trPr>
          <w:trHeight w:val="287"/>
        </w:trPr>
        <w:tc>
          <w:tcPr>
            <w:tcW w:w="2358" w:type="dxa"/>
            <w:vMerge/>
          </w:tcPr>
          <w:p w:rsidR="005D212B" w:rsidRPr="00173EBE" w:rsidRDefault="005D212B" w:rsidP="00943AD3">
            <w:pPr>
              <w:tabs>
                <w:tab w:val="left" w:pos="360"/>
                <w:tab w:val="right" w:pos="2700"/>
              </w:tabs>
              <w:rPr>
                <w:rFonts w:ascii="Arial" w:hAnsi="Arial" w:cs="Arial"/>
                <w:b/>
              </w:rPr>
            </w:pPr>
          </w:p>
        </w:tc>
        <w:tc>
          <w:tcPr>
            <w:tcW w:w="8658" w:type="dxa"/>
            <w:gridSpan w:val="2"/>
          </w:tcPr>
          <w:p w:rsidR="005D212B" w:rsidRPr="00173EBE" w:rsidRDefault="00D02604" w:rsidP="00211D5F">
            <w:r w:rsidRPr="00173EBE">
              <w:rPr>
                <w:iCs/>
              </w:rPr>
              <w:t>ORS 468B.035-ORS 468.047</w:t>
            </w:r>
          </w:p>
        </w:tc>
      </w:tr>
      <w:tr w:rsidR="00211D5F" w:rsidRPr="00173EBE" w:rsidTr="00943AD3">
        <w:tc>
          <w:tcPr>
            <w:tcW w:w="2358" w:type="dxa"/>
          </w:tcPr>
          <w:p w:rsidR="00211D5F" w:rsidRPr="00173EBE" w:rsidRDefault="00211D5F" w:rsidP="00211D5F">
            <w:pPr>
              <w:rPr>
                <w:rFonts w:ascii="Arial" w:hAnsi="Arial" w:cs="Arial"/>
                <w:b/>
              </w:rPr>
            </w:pPr>
            <w:r w:rsidRPr="00173EBE">
              <w:rPr>
                <w:rFonts w:ascii="Arial" w:hAnsi="Arial" w:cs="Arial"/>
                <w:b/>
              </w:rPr>
              <w:t>Need for the Rule(s)</w:t>
            </w:r>
          </w:p>
          <w:p w:rsidR="00EE032E" w:rsidRPr="00173EBE" w:rsidRDefault="00EE032E" w:rsidP="00211D5F">
            <w:pPr>
              <w:rPr>
                <w:rFonts w:ascii="Arial" w:hAnsi="Arial" w:cs="Arial"/>
                <w:b/>
              </w:rPr>
            </w:pPr>
          </w:p>
          <w:p w:rsidR="00EE032E" w:rsidRPr="00173EBE" w:rsidRDefault="00EE032E" w:rsidP="00211D5F">
            <w:pPr>
              <w:rPr>
                <w:rFonts w:ascii="Arial" w:hAnsi="Arial" w:cs="Arial"/>
                <w:b/>
              </w:rPr>
            </w:pPr>
          </w:p>
          <w:p w:rsidR="00EE032E" w:rsidRPr="00173EBE" w:rsidRDefault="00EE032E" w:rsidP="00211D5F">
            <w:pPr>
              <w:rPr>
                <w:rFonts w:ascii="Arial" w:hAnsi="Arial" w:cs="Arial"/>
                <w:b/>
              </w:rPr>
            </w:pPr>
          </w:p>
          <w:p w:rsidR="00211D5F" w:rsidRPr="00173EBE" w:rsidRDefault="00211D5F" w:rsidP="00211D5F">
            <w:pPr>
              <w:rPr>
                <w:rFonts w:ascii="Arial" w:hAnsi="Arial" w:cs="Arial"/>
                <w:b/>
              </w:rPr>
            </w:pPr>
          </w:p>
        </w:tc>
        <w:tc>
          <w:tcPr>
            <w:tcW w:w="8658" w:type="dxa"/>
            <w:gridSpan w:val="2"/>
          </w:tcPr>
          <w:p w:rsidR="009C3127" w:rsidRPr="00987260" w:rsidRDefault="009C3127" w:rsidP="00015DA5">
            <w:r w:rsidRPr="009C3127">
              <w:t xml:space="preserve">State law (Oregon Revised Statutes 468.065) authorizes the Environmental Quality Commission to set fee schedules for the Department of Environmental Quality’s Water Quality Division by rule.  This rulemaking will revise Oregon Administrative </w:t>
            </w:r>
            <w:r w:rsidRPr="00C42570">
              <w:t xml:space="preserve">Rule </w:t>
            </w:r>
            <w:r w:rsidR="00C42570" w:rsidRPr="00C42570">
              <w:t>(OAR 340-048-0055)</w:t>
            </w:r>
            <w:r w:rsidR="00C42570">
              <w:rPr>
                <w:rFonts w:ascii="Arial" w:hAnsi="Arial" w:cs="Arial"/>
                <w:sz w:val="22"/>
                <w:szCs w:val="22"/>
              </w:rPr>
              <w:t xml:space="preserve"> </w:t>
            </w:r>
            <w:r w:rsidRPr="009C3127">
              <w:t xml:space="preserve">by </w:t>
            </w:r>
            <w:r>
              <w:t>updating the fee structure to a tiered approach based on workload associated with the scale and complexity of the projects</w:t>
            </w:r>
            <w:r w:rsidRPr="00987260">
              <w:t xml:space="preserve">. </w:t>
            </w:r>
          </w:p>
          <w:p w:rsidR="009C3127" w:rsidRPr="00987260" w:rsidRDefault="009C3127" w:rsidP="00015DA5"/>
          <w:p w:rsidR="00816682" w:rsidRDefault="00456DD5" w:rsidP="00987260">
            <w:pPr>
              <w:pStyle w:val="BlockText"/>
              <w:rPr>
                <w:iCs/>
                <w:sz w:val="20"/>
              </w:rPr>
            </w:pPr>
            <w:r w:rsidRPr="00987260">
              <w:rPr>
                <w:iCs/>
                <w:sz w:val="20"/>
              </w:rPr>
              <w:t>Through this rulemaking, DEQ seeks commission adoption to</w:t>
            </w:r>
            <w:r w:rsidR="00B372CC" w:rsidRPr="00987260">
              <w:rPr>
                <w:iCs/>
                <w:sz w:val="20"/>
              </w:rPr>
              <w:t xml:space="preserve"> revise 401 certification fees so that revenue is sufficient for program costs</w:t>
            </w:r>
            <w:r w:rsidRPr="00987260">
              <w:rPr>
                <w:iCs/>
                <w:sz w:val="20"/>
              </w:rPr>
              <w:t xml:space="preserve">. </w:t>
            </w:r>
            <w:r w:rsidR="00816682">
              <w:rPr>
                <w:iCs/>
                <w:sz w:val="20"/>
              </w:rPr>
              <w:t>The current fees for 401 c</w:t>
            </w:r>
            <w:r w:rsidR="00211EEB">
              <w:rPr>
                <w:iCs/>
                <w:sz w:val="20"/>
              </w:rPr>
              <w:t>ertifications are</w:t>
            </w:r>
            <w:r w:rsidR="00816682">
              <w:rPr>
                <w:iCs/>
                <w:sz w:val="20"/>
              </w:rPr>
              <w:t xml:space="preserve"> assessed based on proposed fill </w:t>
            </w:r>
            <w:r w:rsidR="00211EEB">
              <w:rPr>
                <w:iCs/>
                <w:sz w:val="20"/>
              </w:rPr>
              <w:t>or removal amounts</w:t>
            </w:r>
            <w:r w:rsidR="00A23EF5">
              <w:rPr>
                <w:iCs/>
                <w:sz w:val="20"/>
              </w:rPr>
              <w:t>.  Approximately 52</w:t>
            </w:r>
            <w:r w:rsidR="00842142">
              <w:rPr>
                <w:iCs/>
                <w:sz w:val="20"/>
              </w:rPr>
              <w:t xml:space="preserve"> percent</w:t>
            </w:r>
            <w:r w:rsidR="00A23EF5">
              <w:rPr>
                <w:iCs/>
                <w:sz w:val="20"/>
              </w:rPr>
              <w:t xml:space="preserve"> of the projects receiving a 401 certification do not pay a fee, due to exemptions within the </w:t>
            </w:r>
            <w:r w:rsidR="007E10CC">
              <w:rPr>
                <w:iCs/>
                <w:sz w:val="20"/>
              </w:rPr>
              <w:t xml:space="preserve">current </w:t>
            </w:r>
            <w:r w:rsidR="00A23EF5">
              <w:rPr>
                <w:iCs/>
                <w:sz w:val="20"/>
              </w:rPr>
              <w:t xml:space="preserve">fee structure.  </w:t>
            </w:r>
          </w:p>
          <w:p w:rsidR="00816682" w:rsidRDefault="00816682" w:rsidP="00987260">
            <w:pPr>
              <w:pStyle w:val="BlockText"/>
              <w:rPr>
                <w:iCs/>
                <w:sz w:val="20"/>
              </w:rPr>
            </w:pPr>
          </w:p>
          <w:p w:rsidR="00987260" w:rsidRPr="00987260" w:rsidRDefault="00987260" w:rsidP="00987260">
            <w:pPr>
              <w:pStyle w:val="BlockText"/>
              <w:rPr>
                <w:iCs/>
                <w:sz w:val="20"/>
              </w:rPr>
            </w:pPr>
            <w:r w:rsidRPr="00987260">
              <w:rPr>
                <w:iCs/>
                <w:sz w:val="20"/>
              </w:rPr>
              <w:t xml:space="preserve">Over the years, actual costs for the 401 certification program have exceeded the revenue generated by 401 fees. This lack of revenue has limited the capacity to provide timely, efficient processing of 401 certification requests </w:t>
            </w:r>
            <w:r w:rsidR="00247A53">
              <w:rPr>
                <w:iCs/>
                <w:sz w:val="20"/>
              </w:rPr>
              <w:t xml:space="preserve">and </w:t>
            </w:r>
            <w:r w:rsidR="00247A53" w:rsidRPr="00987260">
              <w:rPr>
                <w:iCs/>
                <w:sz w:val="20"/>
              </w:rPr>
              <w:t>prevented</w:t>
            </w:r>
            <w:r w:rsidRPr="00987260">
              <w:rPr>
                <w:iCs/>
                <w:sz w:val="20"/>
              </w:rPr>
              <w:t xml:space="preserve"> DEQ from ensuring a high level of compliance.</w:t>
            </w:r>
          </w:p>
          <w:p w:rsidR="00987260" w:rsidRPr="00987260" w:rsidRDefault="00987260" w:rsidP="00987260">
            <w:pPr>
              <w:pStyle w:val="BlockText"/>
              <w:rPr>
                <w:iCs/>
                <w:sz w:val="20"/>
              </w:rPr>
            </w:pPr>
          </w:p>
          <w:p w:rsidR="00987260" w:rsidRPr="00987260" w:rsidRDefault="00987260" w:rsidP="00987260">
            <w:pPr>
              <w:pStyle w:val="BlockText"/>
              <w:rPr>
                <w:sz w:val="20"/>
              </w:rPr>
            </w:pPr>
            <w:r w:rsidRPr="00987260">
              <w:rPr>
                <w:sz w:val="20"/>
              </w:rPr>
              <w:t>DEQ formed an advisory committee that</w:t>
            </w:r>
            <w:r w:rsidR="00E03124">
              <w:rPr>
                <w:sz w:val="20"/>
              </w:rPr>
              <w:t xml:space="preserve"> </w:t>
            </w:r>
            <w:r w:rsidR="00842142">
              <w:rPr>
                <w:sz w:val="20"/>
              </w:rPr>
              <w:t xml:space="preserve">met multiple times in 2007, </w:t>
            </w:r>
            <w:r w:rsidRPr="00987260">
              <w:rPr>
                <w:sz w:val="20"/>
              </w:rPr>
              <w:t>2008, 2010, and 2012.  Representatives from local government, environmental groups, trade associations, and the federal government all participated in this process.</w:t>
            </w:r>
          </w:p>
          <w:p w:rsidR="00987260" w:rsidRPr="00987260" w:rsidRDefault="00987260" w:rsidP="00987260">
            <w:pPr>
              <w:pStyle w:val="BlockText"/>
              <w:rPr>
                <w:iCs/>
                <w:sz w:val="20"/>
              </w:rPr>
            </w:pPr>
          </w:p>
          <w:p w:rsidR="00987260" w:rsidRPr="00987260" w:rsidRDefault="00987260" w:rsidP="006866B7">
            <w:pPr>
              <w:pStyle w:val="BlockText"/>
              <w:rPr>
                <w:iCs/>
                <w:sz w:val="20"/>
              </w:rPr>
            </w:pPr>
            <w:r w:rsidRPr="00987260">
              <w:rPr>
                <w:sz w:val="20"/>
              </w:rPr>
              <w:t xml:space="preserve">The 2009 Legislature passed HB 2185, which removed 401 certification program fee exemptions, requires that DEQ base fees on project size and estimated or actual costs and requires the Environmental Quality Commission to establish procedures for applicants to elevate issues associated with DEQ’s fee assessments. </w:t>
            </w:r>
          </w:p>
          <w:p w:rsidR="00987260" w:rsidRPr="00987260" w:rsidRDefault="00987260" w:rsidP="006866B7">
            <w:pPr>
              <w:pStyle w:val="BlockText"/>
              <w:rPr>
                <w:sz w:val="20"/>
              </w:rPr>
            </w:pPr>
          </w:p>
          <w:p w:rsidR="006866B7" w:rsidRPr="00987260" w:rsidRDefault="00211EEB" w:rsidP="006866B7">
            <w:pPr>
              <w:pStyle w:val="BlockText"/>
              <w:rPr>
                <w:iCs/>
                <w:sz w:val="20"/>
              </w:rPr>
            </w:pPr>
            <w:r>
              <w:rPr>
                <w:sz w:val="20"/>
              </w:rPr>
              <w:t xml:space="preserve">The proposed fee structure is based on a culmination of recommendations from our advisory committee as well as direction from the Legislature. </w:t>
            </w:r>
            <w:r w:rsidR="00816682">
              <w:rPr>
                <w:iCs/>
                <w:sz w:val="20"/>
              </w:rPr>
              <w:t>Fee table revisions</w:t>
            </w:r>
            <w:r w:rsidR="00842142">
              <w:rPr>
                <w:iCs/>
                <w:sz w:val="20"/>
              </w:rPr>
              <w:t xml:space="preserve"> now include “t</w:t>
            </w:r>
            <w:r w:rsidR="007E10CC">
              <w:rPr>
                <w:iCs/>
                <w:sz w:val="20"/>
              </w:rPr>
              <w:t>iers” which</w:t>
            </w:r>
            <w:r w:rsidR="00816682">
              <w:rPr>
                <w:iCs/>
                <w:sz w:val="20"/>
              </w:rPr>
              <w:t xml:space="preserve"> will allow 401 certification projects to be based on workload, distribute costs of the program equitably to all applicants, and </w:t>
            </w:r>
            <w:r w:rsidR="009F0839">
              <w:rPr>
                <w:iCs/>
                <w:sz w:val="20"/>
              </w:rPr>
              <w:t xml:space="preserve">provide FTE to expedite review/approval and to enhance technical assistance/program implementation.  </w:t>
            </w:r>
          </w:p>
          <w:p w:rsidR="00211D5F" w:rsidRPr="00173EBE" w:rsidRDefault="00211D5F" w:rsidP="00015DA5">
            <w:pPr>
              <w:rPr>
                <w:iCs/>
              </w:rPr>
            </w:pPr>
          </w:p>
          <w:p w:rsidR="00B372CC" w:rsidRPr="00173EBE" w:rsidRDefault="00B372CC" w:rsidP="00015DA5">
            <w:pPr>
              <w:rPr>
                <w:iCs/>
              </w:rPr>
            </w:pPr>
          </w:p>
          <w:p w:rsidR="00B372CC" w:rsidRPr="00173EBE" w:rsidRDefault="00B372CC" w:rsidP="00015DA5"/>
        </w:tc>
      </w:tr>
      <w:tr w:rsidR="00211D5F" w:rsidRPr="00173EBE" w:rsidTr="00943AD3">
        <w:tc>
          <w:tcPr>
            <w:tcW w:w="2358" w:type="dxa"/>
          </w:tcPr>
          <w:p w:rsidR="00211D5F" w:rsidRPr="00173EBE" w:rsidRDefault="00211D5F" w:rsidP="00211D5F">
            <w:pPr>
              <w:rPr>
                <w:rFonts w:ascii="Arial" w:hAnsi="Arial" w:cs="Arial"/>
              </w:rPr>
            </w:pPr>
            <w:r w:rsidRPr="00173EBE">
              <w:rPr>
                <w:rFonts w:ascii="Arial" w:hAnsi="Arial" w:cs="Arial"/>
                <w:b/>
              </w:rPr>
              <w:t>Documents Relied Upon for Rulemaking</w:t>
            </w:r>
            <w:r w:rsidRPr="00173EBE">
              <w:rPr>
                <w:rFonts w:ascii="Arial" w:hAnsi="Arial" w:cs="Arial"/>
              </w:rPr>
              <w:t xml:space="preserve"> </w:t>
            </w:r>
          </w:p>
          <w:p w:rsidR="00211D5F" w:rsidRPr="00173EBE" w:rsidRDefault="00211D5F" w:rsidP="00211D5F">
            <w:pPr>
              <w:rPr>
                <w:rFonts w:ascii="Arial" w:hAnsi="Arial" w:cs="Arial"/>
                <w:b/>
              </w:rPr>
            </w:pPr>
            <w:r w:rsidRPr="00173EBE">
              <w:rPr>
                <w:rFonts w:ascii="Arial" w:hAnsi="Arial" w:cs="Arial"/>
              </w:rPr>
              <w:t xml:space="preserve"> </w:t>
            </w:r>
          </w:p>
        </w:tc>
        <w:tc>
          <w:tcPr>
            <w:tcW w:w="8658" w:type="dxa"/>
            <w:gridSpan w:val="2"/>
          </w:tcPr>
          <w:p w:rsidR="00D20113" w:rsidRPr="00173EBE" w:rsidRDefault="004328C4" w:rsidP="00943AD3">
            <w:pPr>
              <w:autoSpaceDE w:val="0"/>
              <w:autoSpaceDN w:val="0"/>
              <w:adjustRightInd w:val="0"/>
              <w:rPr>
                <w:iCs/>
              </w:rPr>
            </w:pPr>
            <w:r w:rsidRPr="00173EBE">
              <w:rPr>
                <w:iCs/>
              </w:rPr>
              <w:t>DEQ relied on a number of key documents and each is described below:</w:t>
            </w:r>
          </w:p>
          <w:p w:rsidR="004328C4" w:rsidRPr="00173EBE" w:rsidRDefault="004328C4" w:rsidP="00943AD3">
            <w:pPr>
              <w:autoSpaceDE w:val="0"/>
              <w:autoSpaceDN w:val="0"/>
              <w:adjustRightInd w:val="0"/>
              <w:rPr>
                <w:iCs/>
              </w:rPr>
            </w:pPr>
          </w:p>
          <w:p w:rsidR="004328C4" w:rsidRPr="00173EBE" w:rsidRDefault="004328C4" w:rsidP="004328C4">
            <w:pPr>
              <w:numPr>
                <w:ilvl w:val="0"/>
                <w:numId w:val="6"/>
              </w:numPr>
              <w:autoSpaceDE w:val="0"/>
              <w:autoSpaceDN w:val="0"/>
              <w:adjustRightInd w:val="0"/>
            </w:pPr>
            <w:r w:rsidRPr="00173EBE">
              <w:t>The June 23, 2008 Executive Summary, which compiled the input and findings from the 401 Certification Fee Revision for Removal-Fill Advisory Committee;</w:t>
            </w:r>
          </w:p>
          <w:p w:rsidR="004328C4" w:rsidRPr="00173EBE" w:rsidRDefault="007A6099" w:rsidP="004328C4">
            <w:pPr>
              <w:numPr>
                <w:ilvl w:val="0"/>
                <w:numId w:val="6"/>
              </w:numPr>
              <w:autoSpaceDE w:val="0"/>
              <w:autoSpaceDN w:val="0"/>
              <w:adjustRightInd w:val="0"/>
            </w:pPr>
            <w:r>
              <w:t>A March 15</w:t>
            </w:r>
            <w:r w:rsidR="009B2C3E">
              <w:t>, 2012</w:t>
            </w:r>
            <w:r w:rsidR="004328C4" w:rsidRPr="00173EBE">
              <w:t xml:space="preserve"> memorandum to the Advisory Committee, which descri</w:t>
            </w:r>
            <w:r w:rsidR="00002C19" w:rsidRPr="00173EBE">
              <w:t>b</w:t>
            </w:r>
            <w:r w:rsidR="004328C4" w:rsidRPr="00173EBE">
              <w:t>es the proposed fee structu</w:t>
            </w:r>
            <w:r w:rsidR="00842142">
              <w:t>re;</w:t>
            </w:r>
          </w:p>
          <w:p w:rsidR="004328C4" w:rsidRPr="00173EBE" w:rsidRDefault="004328C4" w:rsidP="004328C4">
            <w:pPr>
              <w:numPr>
                <w:ilvl w:val="0"/>
                <w:numId w:val="6"/>
              </w:numPr>
              <w:autoSpaceDE w:val="0"/>
              <w:autoSpaceDN w:val="0"/>
              <w:adjustRightInd w:val="0"/>
            </w:pPr>
            <w:r w:rsidRPr="00173EBE">
              <w:t xml:space="preserve">HB 2185 (enrolled version), which was passed by the 2009 Legislature and eliminated exemptions for certain removal/fill projects as well as outlined the appropriate criteria on which to </w:t>
            </w:r>
            <w:r w:rsidR="007A6099">
              <w:t xml:space="preserve">base 401 certification fees; </w:t>
            </w:r>
          </w:p>
          <w:p w:rsidR="00002C19" w:rsidRDefault="0041037A" w:rsidP="004328C4">
            <w:pPr>
              <w:numPr>
                <w:ilvl w:val="0"/>
                <w:numId w:val="6"/>
              </w:numPr>
              <w:autoSpaceDE w:val="0"/>
              <w:autoSpaceDN w:val="0"/>
              <w:adjustRightInd w:val="0"/>
            </w:pPr>
            <w:r>
              <w:t>A March 2012</w:t>
            </w:r>
            <w:r w:rsidR="00002C19" w:rsidRPr="00173EBE">
              <w:t xml:space="preserve"> spreadsheet developed by DEQ staff to identify the program costs for each of the </w:t>
            </w:r>
            <w:r w:rsidR="00002C19" w:rsidRPr="00173EBE">
              <w:lastRenderedPageBreak/>
              <w:t>proposed fee tiers (based on a review of the typical program costs associated with the type and level of review and certification involved for projects of similar complexity</w:t>
            </w:r>
            <w:r w:rsidR="0093737F" w:rsidRPr="00173EBE">
              <w:t>)</w:t>
            </w:r>
            <w:r w:rsidR="007A6099">
              <w:t>; and</w:t>
            </w:r>
          </w:p>
          <w:p w:rsidR="007A6099" w:rsidRPr="00173EBE" w:rsidRDefault="007A6099" w:rsidP="004328C4">
            <w:pPr>
              <w:numPr>
                <w:ilvl w:val="0"/>
                <w:numId w:val="6"/>
              </w:numPr>
              <w:autoSpaceDE w:val="0"/>
              <w:autoSpaceDN w:val="0"/>
              <w:adjustRightInd w:val="0"/>
            </w:pPr>
            <w:r>
              <w:t>The 404/401 Kaizen process improvement project fact sheet and associated information.</w:t>
            </w:r>
          </w:p>
          <w:p w:rsidR="00076640" w:rsidRPr="00173EBE" w:rsidRDefault="00076640" w:rsidP="00592C3B"/>
        </w:tc>
      </w:tr>
      <w:tr w:rsidR="00E86991" w:rsidRPr="00173EBE" w:rsidTr="00943AD3">
        <w:tc>
          <w:tcPr>
            <w:tcW w:w="2358" w:type="dxa"/>
          </w:tcPr>
          <w:p w:rsidR="00E86991" w:rsidRPr="00173EBE" w:rsidRDefault="00D0541D" w:rsidP="00211D5F">
            <w:pPr>
              <w:rPr>
                <w:rFonts w:ascii="Arial" w:hAnsi="Arial" w:cs="Arial"/>
                <w:b/>
              </w:rPr>
            </w:pPr>
            <w:r w:rsidRPr="00173EBE">
              <w:rPr>
                <w:rFonts w:ascii="Arial" w:hAnsi="Arial" w:cs="Arial"/>
                <w:b/>
              </w:rPr>
              <w:lastRenderedPageBreak/>
              <w:t xml:space="preserve">Requests for </w:t>
            </w:r>
            <w:r w:rsidR="00E86991" w:rsidRPr="00173EBE">
              <w:rPr>
                <w:rFonts w:ascii="Arial" w:hAnsi="Arial" w:cs="Arial"/>
                <w:b/>
              </w:rPr>
              <w:t>Other Options</w:t>
            </w:r>
          </w:p>
        </w:tc>
        <w:tc>
          <w:tcPr>
            <w:tcW w:w="8658" w:type="dxa"/>
            <w:gridSpan w:val="2"/>
          </w:tcPr>
          <w:p w:rsidR="00E5261A" w:rsidRPr="00173EBE" w:rsidRDefault="000531BC" w:rsidP="00943AD3">
            <w:pPr>
              <w:autoSpaceDE w:val="0"/>
              <w:autoSpaceDN w:val="0"/>
              <w:adjustRightInd w:val="0"/>
              <w:rPr>
                <w:b/>
              </w:rPr>
            </w:pPr>
            <w:r w:rsidRPr="00173EBE">
              <w:rPr>
                <w:b/>
              </w:rPr>
              <w:t xml:space="preserve">Pursuant to </w:t>
            </w:r>
            <w:r w:rsidR="00E5261A" w:rsidRPr="00173EBE">
              <w:rPr>
                <w:b/>
                <w:bCs/>
                <w:iCs/>
              </w:rPr>
              <w:t>ORS 183.335(2)(b)(G)</w:t>
            </w:r>
            <w:r w:rsidRPr="00173EBE">
              <w:rPr>
                <w:b/>
                <w:bCs/>
                <w:iCs/>
              </w:rPr>
              <w:t>, DEQ</w:t>
            </w:r>
            <w:r w:rsidR="00E5261A" w:rsidRPr="00173EBE">
              <w:rPr>
                <w:b/>
                <w:bCs/>
                <w:iCs/>
              </w:rPr>
              <w:t xml:space="preserve"> requests public comment on whether other options should be considered for achieving the rule’s substantive goals while reducing negative economic impact of the rule on business.</w:t>
            </w:r>
          </w:p>
          <w:p w:rsidR="00E86991" w:rsidRPr="00173EBE" w:rsidRDefault="00E86991" w:rsidP="0006364F">
            <w:pPr>
              <w:rPr>
                <w:b/>
              </w:rPr>
            </w:pPr>
          </w:p>
        </w:tc>
      </w:tr>
      <w:tr w:rsidR="00211D5F" w:rsidRPr="00173EBE" w:rsidTr="00943AD3">
        <w:tc>
          <w:tcPr>
            <w:tcW w:w="2358" w:type="dxa"/>
          </w:tcPr>
          <w:p w:rsidR="00211D5F" w:rsidRPr="00173EBE" w:rsidRDefault="00211D5F" w:rsidP="00211D5F">
            <w:pPr>
              <w:rPr>
                <w:rFonts w:ascii="Arial" w:hAnsi="Arial" w:cs="Arial"/>
                <w:b/>
              </w:rPr>
            </w:pPr>
            <w:r w:rsidRPr="00173EBE">
              <w:rPr>
                <w:rFonts w:ascii="Arial" w:hAnsi="Arial" w:cs="Arial"/>
                <w:b/>
              </w:rPr>
              <w:t>Fiscal and Economic Impact</w:t>
            </w:r>
            <w:r w:rsidR="002365E9" w:rsidRPr="00173EBE">
              <w:rPr>
                <w:rFonts w:ascii="Arial" w:hAnsi="Arial" w:cs="Arial"/>
                <w:b/>
              </w:rPr>
              <w:t>, Statement of Cost Compliance</w:t>
            </w:r>
          </w:p>
          <w:p w:rsidR="00931890" w:rsidRPr="00173EBE" w:rsidRDefault="00931890" w:rsidP="00211D5F">
            <w:pPr>
              <w:rPr>
                <w:rFonts w:ascii="Arial" w:hAnsi="Arial" w:cs="Arial"/>
                <w:b/>
              </w:rPr>
            </w:pPr>
          </w:p>
        </w:tc>
        <w:tc>
          <w:tcPr>
            <w:tcW w:w="8658" w:type="dxa"/>
            <w:gridSpan w:val="2"/>
          </w:tcPr>
          <w:p w:rsidR="00211D5F" w:rsidRPr="00173EBE" w:rsidRDefault="00211D5F" w:rsidP="00211D5F">
            <w:pPr>
              <w:rPr>
                <w:b/>
              </w:rPr>
            </w:pPr>
          </w:p>
        </w:tc>
      </w:tr>
      <w:tr w:rsidR="00211D5F" w:rsidRPr="00173EBE" w:rsidTr="00943AD3">
        <w:trPr>
          <w:trHeight w:val="548"/>
        </w:trPr>
        <w:tc>
          <w:tcPr>
            <w:tcW w:w="2358" w:type="dxa"/>
          </w:tcPr>
          <w:p w:rsidR="00211D5F" w:rsidRPr="00173EBE" w:rsidRDefault="00211D5F" w:rsidP="00943AD3">
            <w:pPr>
              <w:ind w:left="360"/>
              <w:rPr>
                <w:rFonts w:ascii="Arial" w:hAnsi="Arial" w:cs="Arial"/>
                <w:b/>
              </w:rPr>
            </w:pPr>
            <w:bookmarkStart w:id="1" w:name="ABOV"/>
            <w:bookmarkEnd w:id="1"/>
            <w:r w:rsidRPr="00173EBE">
              <w:rPr>
                <w:rFonts w:ascii="Arial" w:hAnsi="Arial" w:cs="Arial"/>
                <w:b/>
              </w:rPr>
              <w:t>Overview</w:t>
            </w:r>
            <w:r w:rsidR="004150AE" w:rsidRPr="00173EBE">
              <w:rPr>
                <w:rFonts w:ascii="Arial" w:hAnsi="Arial" w:cs="Arial"/>
                <w:b/>
              </w:rPr>
              <w:t xml:space="preserve"> </w:t>
            </w:r>
          </w:p>
          <w:p w:rsidR="00EE032E" w:rsidRPr="00173EBE" w:rsidRDefault="00EE032E" w:rsidP="00943AD3">
            <w:pPr>
              <w:ind w:left="360"/>
              <w:rPr>
                <w:rFonts w:ascii="Arial" w:hAnsi="Arial" w:cs="Arial"/>
                <w:b/>
              </w:rPr>
            </w:pPr>
          </w:p>
        </w:tc>
        <w:tc>
          <w:tcPr>
            <w:tcW w:w="8658" w:type="dxa"/>
            <w:gridSpan w:val="2"/>
          </w:tcPr>
          <w:p w:rsidR="001C11D8" w:rsidRPr="001C11D8" w:rsidRDefault="001C11D8" w:rsidP="001C11D8">
            <w:pPr>
              <w:pStyle w:val="DEQSMALLHEADLINES"/>
              <w:outlineLvl w:val="0"/>
              <w:rPr>
                <w:rFonts w:ascii="Times New Roman" w:hAnsi="Times New Roman"/>
                <w:b w:val="0"/>
              </w:rPr>
            </w:pPr>
            <w:r w:rsidRPr="001C11D8">
              <w:rPr>
                <w:rFonts w:ascii="Times New Roman" w:hAnsi="Times New Roman"/>
                <w:b w:val="0"/>
              </w:rPr>
              <w:t>The 401 program receives approximately 200 projects per biennium of all complexity levels.   A</w:t>
            </w:r>
            <w:r>
              <w:rPr>
                <w:rFonts w:ascii="Times New Roman" w:hAnsi="Times New Roman"/>
                <w:b w:val="0"/>
              </w:rPr>
              <w:t>bout 24</w:t>
            </w:r>
            <w:r w:rsidRPr="001C11D8">
              <w:rPr>
                <w:rFonts w:ascii="Times New Roman" w:hAnsi="Times New Roman"/>
                <w:b w:val="0"/>
              </w:rPr>
              <w:t xml:space="preserve"> projects are con</w:t>
            </w:r>
            <w:r w:rsidR="00AA37A9">
              <w:rPr>
                <w:rFonts w:ascii="Times New Roman" w:hAnsi="Times New Roman"/>
                <w:b w:val="0"/>
              </w:rPr>
              <w:t>sidered “small” projects (Tier 1 -$985 -</w:t>
            </w:r>
            <w:r w:rsidRPr="001C11D8">
              <w:rPr>
                <w:rFonts w:ascii="Times New Roman" w:hAnsi="Times New Roman"/>
                <w:b w:val="0"/>
              </w:rPr>
              <w:t xml:space="preserve"> of the proposed fee structure)</w:t>
            </w:r>
            <w:r>
              <w:rPr>
                <w:rFonts w:ascii="Times New Roman" w:hAnsi="Times New Roman"/>
                <w:b w:val="0"/>
              </w:rPr>
              <w:t>, approximately 179</w:t>
            </w:r>
            <w:r w:rsidRPr="001C11D8">
              <w:rPr>
                <w:rFonts w:ascii="Times New Roman" w:hAnsi="Times New Roman"/>
                <w:b w:val="0"/>
              </w:rPr>
              <w:t xml:space="preserve"> projects labeled as “medium” in complexity (Tier 2</w:t>
            </w:r>
            <w:r>
              <w:rPr>
                <w:rFonts w:ascii="Times New Roman" w:hAnsi="Times New Roman"/>
                <w:b w:val="0"/>
              </w:rPr>
              <w:t>A</w:t>
            </w:r>
            <w:r w:rsidR="00AA37A9">
              <w:rPr>
                <w:rFonts w:ascii="Times New Roman" w:hAnsi="Times New Roman"/>
                <w:b w:val="0"/>
              </w:rPr>
              <w:t xml:space="preserve"> - $4,390 -</w:t>
            </w:r>
            <w:r>
              <w:rPr>
                <w:rFonts w:ascii="Times New Roman" w:hAnsi="Times New Roman"/>
                <w:b w:val="0"/>
              </w:rPr>
              <w:t xml:space="preserve"> and 2B</w:t>
            </w:r>
            <w:r w:rsidR="00AA37A9">
              <w:rPr>
                <w:rFonts w:ascii="Times New Roman" w:hAnsi="Times New Roman"/>
                <w:b w:val="0"/>
              </w:rPr>
              <w:t xml:space="preserve"> -$12,105 -</w:t>
            </w:r>
            <w:r w:rsidRPr="001C11D8">
              <w:rPr>
                <w:rFonts w:ascii="Times New Roman" w:hAnsi="Times New Roman"/>
                <w:b w:val="0"/>
              </w:rPr>
              <w:t xml:space="preserve"> of the proposed fee structure) and about </w:t>
            </w:r>
            <w:r>
              <w:rPr>
                <w:rFonts w:ascii="Times New Roman" w:hAnsi="Times New Roman"/>
                <w:b w:val="0"/>
              </w:rPr>
              <w:t>6</w:t>
            </w:r>
            <w:r w:rsidRPr="001C11D8">
              <w:rPr>
                <w:rFonts w:ascii="Times New Roman" w:hAnsi="Times New Roman"/>
                <w:b w:val="0"/>
              </w:rPr>
              <w:t xml:space="preserve"> large scale projects (Tier 3</w:t>
            </w:r>
            <w:r w:rsidR="00AA37A9">
              <w:rPr>
                <w:rFonts w:ascii="Times New Roman" w:hAnsi="Times New Roman"/>
                <w:b w:val="0"/>
              </w:rPr>
              <w:t xml:space="preserve"> -$17,780 -</w:t>
            </w:r>
            <w:r w:rsidRPr="001C11D8">
              <w:rPr>
                <w:rFonts w:ascii="Times New Roman" w:hAnsi="Times New Roman"/>
                <w:b w:val="0"/>
              </w:rPr>
              <w:t xml:space="preserve"> of the proposed fee structure).  The 401 program </w:t>
            </w:r>
            <w:r>
              <w:rPr>
                <w:rFonts w:ascii="Times New Roman" w:hAnsi="Times New Roman"/>
                <w:b w:val="0"/>
              </w:rPr>
              <w:t xml:space="preserve">may also receive occasional projects </w:t>
            </w:r>
            <w:r w:rsidRPr="001C11D8">
              <w:rPr>
                <w:rFonts w:ascii="Times New Roman" w:hAnsi="Times New Roman"/>
                <w:b w:val="0"/>
              </w:rPr>
              <w:t>that fall under the current “special projects” fee (Tier 4</w:t>
            </w:r>
            <w:r w:rsidR="00AA37A9">
              <w:rPr>
                <w:rFonts w:ascii="Times New Roman" w:hAnsi="Times New Roman"/>
                <w:b w:val="0"/>
              </w:rPr>
              <w:t xml:space="preserve"> -$14,020/month -</w:t>
            </w:r>
            <w:r w:rsidRPr="001C11D8">
              <w:rPr>
                <w:rFonts w:ascii="Times New Roman" w:hAnsi="Times New Roman"/>
                <w:b w:val="0"/>
              </w:rPr>
              <w:t xml:space="preserve"> of the proposed fee structure).  Examples of special projects are lar</w:t>
            </w:r>
            <w:r w:rsidR="00842142">
              <w:rPr>
                <w:rFonts w:ascii="Times New Roman" w:hAnsi="Times New Roman"/>
                <w:b w:val="0"/>
              </w:rPr>
              <w:t>ge energy projects such as the liquefied natural gas t</w:t>
            </w:r>
            <w:r w:rsidRPr="001C11D8">
              <w:rPr>
                <w:rFonts w:ascii="Times New Roman" w:hAnsi="Times New Roman"/>
                <w:b w:val="0"/>
              </w:rPr>
              <w:t>e</w:t>
            </w:r>
            <w:r w:rsidR="00842142">
              <w:rPr>
                <w:rFonts w:ascii="Times New Roman" w:hAnsi="Times New Roman"/>
                <w:b w:val="0"/>
              </w:rPr>
              <w:t>rminals and p</w:t>
            </w:r>
            <w:r>
              <w:rPr>
                <w:rFonts w:ascii="Times New Roman" w:hAnsi="Times New Roman"/>
                <w:b w:val="0"/>
              </w:rPr>
              <w:t>ipeline proposals</w:t>
            </w:r>
            <w:r w:rsidRPr="001C11D8">
              <w:rPr>
                <w:rFonts w:ascii="Times New Roman" w:hAnsi="Times New Roman"/>
                <w:b w:val="0"/>
              </w:rPr>
              <w:t>. The proposed fee table labels the project as Tier 1, 2, 3 or 4.  Some examples of project types in each of the tiers are:</w:t>
            </w:r>
          </w:p>
          <w:p w:rsidR="001C11D8" w:rsidRPr="001C11D8" w:rsidRDefault="001C11D8" w:rsidP="001C11D8">
            <w:pPr>
              <w:pStyle w:val="DEQSMALLHEADLINES"/>
              <w:outlineLvl w:val="0"/>
              <w:rPr>
                <w:rFonts w:ascii="Times New Roman" w:hAnsi="Times New Roman"/>
                <w:b w:val="0"/>
              </w:rPr>
            </w:pPr>
          </w:p>
          <w:p w:rsidR="001C11D8" w:rsidRPr="001C11D8" w:rsidRDefault="001C11D8" w:rsidP="001C11D8">
            <w:pPr>
              <w:pStyle w:val="DEQSMALLHEADLINES"/>
              <w:numPr>
                <w:ilvl w:val="0"/>
                <w:numId w:val="7"/>
              </w:numPr>
              <w:outlineLvl w:val="0"/>
              <w:rPr>
                <w:rFonts w:ascii="Times New Roman" w:hAnsi="Times New Roman"/>
                <w:b w:val="0"/>
              </w:rPr>
            </w:pPr>
            <w:r w:rsidRPr="001C11D8">
              <w:rPr>
                <w:rFonts w:ascii="Times New Roman" w:hAnsi="Times New Roman"/>
                <w:b w:val="0"/>
              </w:rPr>
              <w:t>Tier 1:   Restoration projects, utility line placement, pond creation, small docks</w:t>
            </w:r>
          </w:p>
          <w:p w:rsidR="001C11D8" w:rsidRPr="001C11D8" w:rsidRDefault="001C11D8" w:rsidP="001C11D8">
            <w:pPr>
              <w:pStyle w:val="DEQSMALLHEADLINES"/>
              <w:numPr>
                <w:ilvl w:val="0"/>
                <w:numId w:val="7"/>
              </w:numPr>
              <w:outlineLvl w:val="0"/>
              <w:rPr>
                <w:rFonts w:ascii="Times New Roman" w:hAnsi="Times New Roman"/>
                <w:b w:val="0"/>
              </w:rPr>
            </w:pPr>
            <w:r w:rsidRPr="001C11D8">
              <w:rPr>
                <w:rFonts w:ascii="Times New Roman" w:hAnsi="Times New Roman"/>
                <w:b w:val="0"/>
              </w:rPr>
              <w:t xml:space="preserve">Tier 2:   Dredging projects, dam removal,  most developments with wetland fills, </w:t>
            </w:r>
          </w:p>
          <w:p w:rsidR="001C11D8" w:rsidRPr="001C11D8" w:rsidRDefault="00A4387B" w:rsidP="001C11D8">
            <w:pPr>
              <w:pStyle w:val="DEQSMALLHEADLINES"/>
              <w:numPr>
                <w:ilvl w:val="0"/>
                <w:numId w:val="7"/>
              </w:numPr>
              <w:outlineLvl w:val="0"/>
              <w:rPr>
                <w:rFonts w:ascii="Times New Roman" w:hAnsi="Times New Roman"/>
                <w:b w:val="0"/>
              </w:rPr>
            </w:pPr>
            <w:r>
              <w:rPr>
                <w:rFonts w:ascii="Times New Roman" w:hAnsi="Times New Roman"/>
                <w:b w:val="0"/>
              </w:rPr>
              <w:t xml:space="preserve">Tier 3:   </w:t>
            </w:r>
            <w:r w:rsidR="00842142">
              <w:rPr>
                <w:rFonts w:ascii="Times New Roman" w:hAnsi="Times New Roman"/>
                <w:b w:val="0"/>
              </w:rPr>
              <w:t xml:space="preserve">US Army Corps of Engineers </w:t>
            </w:r>
            <w:r w:rsidR="001C11D8" w:rsidRPr="001C11D8">
              <w:rPr>
                <w:rFonts w:ascii="Times New Roman" w:hAnsi="Times New Roman"/>
                <w:b w:val="0"/>
              </w:rPr>
              <w:t>dredging proje</w:t>
            </w:r>
            <w:r w:rsidR="00842142">
              <w:rPr>
                <w:rFonts w:ascii="Times New Roman" w:hAnsi="Times New Roman"/>
                <w:b w:val="0"/>
              </w:rPr>
              <w:t>cts such as the Columbia River channel d</w:t>
            </w:r>
            <w:r w:rsidR="001C11D8" w:rsidRPr="001C11D8">
              <w:rPr>
                <w:rFonts w:ascii="Times New Roman" w:hAnsi="Times New Roman"/>
                <w:b w:val="0"/>
              </w:rPr>
              <w:t>eepening</w:t>
            </w:r>
            <w:r w:rsidR="001C11D8">
              <w:rPr>
                <w:rFonts w:ascii="Times New Roman" w:hAnsi="Times New Roman"/>
                <w:b w:val="0"/>
              </w:rPr>
              <w:t xml:space="preserve">, </w:t>
            </w:r>
            <w:r w:rsidR="001C11D8" w:rsidRPr="001C11D8">
              <w:rPr>
                <w:rFonts w:ascii="Times New Roman" w:hAnsi="Times New Roman"/>
                <w:b w:val="0"/>
              </w:rPr>
              <w:t xml:space="preserve"> large industrial developments</w:t>
            </w:r>
          </w:p>
          <w:p w:rsidR="001C11D8" w:rsidRPr="001C11D8" w:rsidRDefault="001C11D8" w:rsidP="001C11D8">
            <w:pPr>
              <w:pStyle w:val="DEQSMALLHEADLINES"/>
              <w:numPr>
                <w:ilvl w:val="0"/>
                <w:numId w:val="7"/>
              </w:numPr>
              <w:outlineLvl w:val="0"/>
              <w:rPr>
                <w:rFonts w:ascii="Times New Roman" w:hAnsi="Times New Roman"/>
                <w:b w:val="0"/>
              </w:rPr>
            </w:pPr>
            <w:r w:rsidRPr="001C11D8">
              <w:rPr>
                <w:rFonts w:ascii="Times New Roman" w:hAnsi="Times New Roman"/>
                <w:b w:val="0"/>
              </w:rPr>
              <w:t xml:space="preserve">Tier 4:    </w:t>
            </w:r>
            <w:r w:rsidR="00842142">
              <w:rPr>
                <w:rFonts w:ascii="Times New Roman" w:hAnsi="Times New Roman"/>
                <w:b w:val="0"/>
              </w:rPr>
              <w:t>Large special projects such as liquefied natural gas and p</w:t>
            </w:r>
            <w:r w:rsidRPr="001C11D8">
              <w:rPr>
                <w:rFonts w:ascii="Times New Roman" w:hAnsi="Times New Roman"/>
                <w:b w:val="0"/>
              </w:rPr>
              <w:t xml:space="preserve">ipelines.  </w:t>
            </w:r>
          </w:p>
          <w:p w:rsidR="001C11D8" w:rsidRDefault="001C11D8" w:rsidP="00943AD3">
            <w:pPr>
              <w:widowControl w:val="0"/>
              <w:ind w:left="-18"/>
              <w:rPr>
                <w:iCs/>
              </w:rPr>
            </w:pPr>
          </w:p>
          <w:p w:rsidR="002D3D3F" w:rsidRPr="00173EBE" w:rsidRDefault="0093737F" w:rsidP="00943AD3">
            <w:pPr>
              <w:widowControl w:val="0"/>
              <w:ind w:left="-18"/>
              <w:rPr>
                <w:iCs/>
              </w:rPr>
            </w:pPr>
            <w:r w:rsidRPr="00173EBE">
              <w:rPr>
                <w:iCs/>
              </w:rPr>
              <w:t>For several reasons, this proposed</w:t>
            </w:r>
            <w:r w:rsidR="004E7249">
              <w:rPr>
                <w:iCs/>
              </w:rPr>
              <w:t xml:space="preserve"> </w:t>
            </w:r>
            <w:r w:rsidRPr="00173EBE">
              <w:rPr>
                <w:iCs/>
              </w:rPr>
              <w:t xml:space="preserve"> rule will likely increase direct costs of private and public construction, development and in-stream sand and gravel projects where removal and fill activities occur.  First, a number of previously exempt projects are required to pay fees as </w:t>
            </w:r>
            <w:r w:rsidR="007E10CC">
              <w:rPr>
                <w:iCs/>
              </w:rPr>
              <w:t>determined</w:t>
            </w:r>
            <w:r w:rsidRPr="00173EBE">
              <w:rPr>
                <w:iCs/>
              </w:rPr>
              <w:t xml:space="preserve"> by HB 2185.  Second, this proposed rule will address the long-standing gap between actual program costs incurred by DEQ and level of 401 certification fees, thus potentially increasing the direct costs for many projects.  The magnitude of the impact from the proposed fees will range from minimal to moderate </w:t>
            </w:r>
            <w:r w:rsidR="00AF0DF8" w:rsidRPr="00173EBE">
              <w:rPr>
                <w:iCs/>
              </w:rPr>
              <w:t>and,</w:t>
            </w:r>
            <w:r w:rsidRPr="00173EBE">
              <w:rPr>
                <w:iCs/>
              </w:rPr>
              <w:t xml:space="preserve"> in a few cases a major impact may result.</w:t>
            </w:r>
          </w:p>
          <w:p w:rsidR="0093737F" w:rsidRPr="00173EBE" w:rsidRDefault="0093737F" w:rsidP="00943AD3">
            <w:pPr>
              <w:widowControl w:val="0"/>
              <w:ind w:left="-18"/>
              <w:rPr>
                <w:iCs/>
              </w:rPr>
            </w:pPr>
          </w:p>
          <w:p w:rsidR="0093737F" w:rsidRPr="00173EBE" w:rsidRDefault="0093737F" w:rsidP="00943AD3">
            <w:pPr>
              <w:widowControl w:val="0"/>
              <w:ind w:left="-18"/>
              <w:rPr>
                <w:iCs/>
              </w:rPr>
            </w:pPr>
            <w:r w:rsidRPr="00173EBE">
              <w:rPr>
                <w:iCs/>
              </w:rPr>
              <w:t>Agricultural activities, however, are generally exempt from 401 certification fees.</w:t>
            </w:r>
          </w:p>
          <w:p w:rsidR="0093737F" w:rsidRPr="00173EBE" w:rsidRDefault="0093737F" w:rsidP="00943AD3">
            <w:pPr>
              <w:widowControl w:val="0"/>
              <w:ind w:left="-18"/>
              <w:rPr>
                <w:iCs/>
              </w:rPr>
            </w:pPr>
          </w:p>
          <w:p w:rsidR="0093737F" w:rsidRPr="00173EBE" w:rsidRDefault="0093737F" w:rsidP="00943AD3">
            <w:pPr>
              <w:widowControl w:val="0"/>
              <w:ind w:left="-18"/>
              <w:rPr>
                <w:iCs/>
              </w:rPr>
            </w:pPr>
            <w:r w:rsidRPr="00173EBE">
              <w:rPr>
                <w:iCs/>
              </w:rPr>
              <w:t>The direct cost increases associated with this proposed rule will likely be offset in some cases by cost reductions realized by expedited review, certification and enhanced technical assistance/program implementation.  The proposed</w:t>
            </w:r>
            <w:r w:rsidR="005610AA" w:rsidRPr="00173EBE">
              <w:rPr>
                <w:iCs/>
              </w:rPr>
              <w:t xml:space="preserve"> rule will eventually add 3.40 </w:t>
            </w:r>
            <w:r w:rsidR="00926DE2">
              <w:rPr>
                <w:iCs/>
              </w:rPr>
              <w:t>full-time employees</w:t>
            </w:r>
            <w:r w:rsidRPr="00173EBE">
              <w:rPr>
                <w:iCs/>
              </w:rPr>
              <w:t xml:space="preserve"> to the existing program, allowing DEQ to increase field visits</w:t>
            </w:r>
            <w:r w:rsidR="005610AA" w:rsidRPr="00173EBE">
              <w:rPr>
                <w:iCs/>
              </w:rPr>
              <w:t>, arrange more pre-certification meetings with applicants, and increase guidance information on the DEQ website</w:t>
            </w:r>
            <w:r w:rsidR="00B66F3B">
              <w:rPr>
                <w:iCs/>
              </w:rPr>
              <w:t xml:space="preserve">.  </w:t>
            </w:r>
            <w:r w:rsidR="00AF0DF8" w:rsidRPr="00173EBE">
              <w:rPr>
                <w:iCs/>
              </w:rPr>
              <w:t>Taken</w:t>
            </w:r>
            <w:r w:rsidR="005610AA" w:rsidRPr="00173EBE">
              <w:rPr>
                <w:iCs/>
              </w:rPr>
              <w:t xml:space="preserve"> together, these activities will in many cases r</w:t>
            </w:r>
            <w:r w:rsidR="007E10CC">
              <w:rPr>
                <w:iCs/>
              </w:rPr>
              <w:t>educe delays in review/approval and will provide more certainty for project applicants.</w:t>
            </w:r>
          </w:p>
          <w:p w:rsidR="005610AA" w:rsidRPr="00173EBE" w:rsidRDefault="005610AA" w:rsidP="00943AD3">
            <w:pPr>
              <w:widowControl w:val="0"/>
              <w:ind w:left="-18"/>
              <w:rPr>
                <w:iCs/>
              </w:rPr>
            </w:pPr>
          </w:p>
          <w:p w:rsidR="005610AA" w:rsidRPr="00173EBE" w:rsidRDefault="005610AA" w:rsidP="00943AD3">
            <w:pPr>
              <w:widowControl w:val="0"/>
              <w:ind w:left="-18"/>
              <w:rPr>
                <w:b/>
              </w:rPr>
            </w:pPr>
            <w:r w:rsidRPr="00173EBE">
              <w:rPr>
                <w:iCs/>
              </w:rPr>
              <w:t xml:space="preserve">Indirect costs associated with this proposed rule are unknown.  Lower impact projects may not experience an increase </w:t>
            </w:r>
            <w:r w:rsidR="007E10CC">
              <w:rPr>
                <w:iCs/>
              </w:rPr>
              <w:t>in</w:t>
            </w:r>
            <w:r w:rsidRPr="00173EBE">
              <w:rPr>
                <w:iCs/>
              </w:rPr>
              <w:t xml:space="preserve"> fees.  However, some construction and development projects with greater impacts and which </w:t>
            </w:r>
            <w:r w:rsidR="007E10CC">
              <w:rPr>
                <w:iCs/>
              </w:rPr>
              <w:t>result in</w:t>
            </w:r>
            <w:r w:rsidRPr="00173EBE">
              <w:rPr>
                <w:iCs/>
              </w:rPr>
              <w:t xml:space="preserve"> greater program costs or have not paid fees in the past will likely face higher 401 certification fees.  Residents and businesses who expect to undertake or benefit from new construction and development may see minimal to</w:t>
            </w:r>
            <w:r w:rsidR="00B66F3B">
              <w:rPr>
                <w:iCs/>
              </w:rPr>
              <w:t xml:space="preserve"> moderate</w:t>
            </w:r>
            <w:r w:rsidR="00E03124">
              <w:rPr>
                <w:iCs/>
              </w:rPr>
              <w:t xml:space="preserve"> </w:t>
            </w:r>
            <w:proofErr w:type="gramStart"/>
            <w:r w:rsidR="00E03124">
              <w:rPr>
                <w:iCs/>
              </w:rPr>
              <w:t xml:space="preserve">cost </w:t>
            </w:r>
            <w:r w:rsidR="00B66F3B">
              <w:rPr>
                <w:iCs/>
              </w:rPr>
              <w:t xml:space="preserve"> impacts</w:t>
            </w:r>
            <w:proofErr w:type="gramEnd"/>
            <w:r w:rsidR="00B66F3B">
              <w:rPr>
                <w:iCs/>
              </w:rPr>
              <w:t xml:space="preserve"> in the future.</w:t>
            </w:r>
            <w:r w:rsidRPr="00173EBE">
              <w:rPr>
                <w:iCs/>
              </w:rPr>
              <w:t xml:space="preserve">  Finally, taxpayer or ratepayers who benefit from the construction and development of public infrastructure may </w:t>
            </w:r>
            <w:r w:rsidR="007E10CC">
              <w:rPr>
                <w:iCs/>
              </w:rPr>
              <w:t>experience</w:t>
            </w:r>
            <w:r w:rsidRPr="00173EBE">
              <w:rPr>
                <w:iCs/>
              </w:rPr>
              <w:t xml:space="preserve"> minimal to moderate </w:t>
            </w:r>
            <w:r w:rsidR="00E03124">
              <w:rPr>
                <w:iCs/>
              </w:rPr>
              <w:t xml:space="preserve">cost </w:t>
            </w:r>
            <w:r w:rsidRPr="00173EBE">
              <w:rPr>
                <w:iCs/>
              </w:rPr>
              <w:t>impacts.</w:t>
            </w:r>
          </w:p>
          <w:p w:rsidR="009338DE" w:rsidRPr="00173EBE" w:rsidRDefault="009338DE" w:rsidP="0040081A">
            <w:pPr>
              <w:pStyle w:val="BlockText"/>
              <w:rPr>
                <w:sz w:val="20"/>
              </w:rPr>
            </w:pPr>
          </w:p>
        </w:tc>
      </w:tr>
      <w:tr w:rsidR="00211D5F" w:rsidRPr="00173EBE" w:rsidTr="00943AD3">
        <w:tc>
          <w:tcPr>
            <w:tcW w:w="2358" w:type="dxa"/>
          </w:tcPr>
          <w:p w:rsidR="00211D5F" w:rsidRPr="00173EBE" w:rsidRDefault="00C8496F" w:rsidP="00943AD3">
            <w:pPr>
              <w:tabs>
                <w:tab w:val="left" w:pos="45"/>
              </w:tabs>
              <w:ind w:left="360"/>
              <w:rPr>
                <w:rFonts w:ascii="Arial" w:hAnsi="Arial" w:cs="Arial"/>
                <w:b/>
              </w:rPr>
            </w:pPr>
            <w:bookmarkStart w:id="2" w:name="ABGP"/>
            <w:bookmarkEnd w:id="2"/>
            <w:r w:rsidRPr="00173EBE">
              <w:rPr>
                <w:rFonts w:ascii="Arial" w:hAnsi="Arial" w:cs="Arial"/>
                <w:b/>
              </w:rPr>
              <w:t xml:space="preserve">Impacts </w:t>
            </w:r>
            <w:r w:rsidR="003849F8" w:rsidRPr="00173EBE">
              <w:rPr>
                <w:rFonts w:ascii="Arial" w:hAnsi="Arial" w:cs="Arial"/>
                <w:b/>
              </w:rPr>
              <w:t>on the</w:t>
            </w:r>
            <w:r w:rsidRPr="00173EBE">
              <w:rPr>
                <w:rFonts w:ascii="Arial" w:hAnsi="Arial" w:cs="Arial"/>
                <w:b/>
              </w:rPr>
              <w:t xml:space="preserve"> </w:t>
            </w:r>
            <w:r w:rsidR="00211D5F" w:rsidRPr="00173EBE">
              <w:rPr>
                <w:rFonts w:ascii="Arial" w:hAnsi="Arial" w:cs="Arial"/>
                <w:b/>
              </w:rPr>
              <w:t xml:space="preserve">General </w:t>
            </w:r>
            <w:r w:rsidR="002F5509" w:rsidRPr="00173EBE">
              <w:rPr>
                <w:rFonts w:ascii="Arial" w:hAnsi="Arial" w:cs="Arial"/>
                <w:b/>
              </w:rPr>
              <w:t>P</w:t>
            </w:r>
            <w:r w:rsidR="00211D5F" w:rsidRPr="00173EBE">
              <w:rPr>
                <w:rFonts w:ascii="Arial" w:hAnsi="Arial" w:cs="Arial"/>
                <w:b/>
              </w:rPr>
              <w:t>ublic</w:t>
            </w:r>
          </w:p>
          <w:p w:rsidR="00EE032E" w:rsidRPr="00173EBE" w:rsidRDefault="00EE032E" w:rsidP="00943AD3">
            <w:pPr>
              <w:ind w:left="360"/>
              <w:rPr>
                <w:rFonts w:ascii="Arial" w:hAnsi="Arial" w:cs="Arial"/>
                <w:b/>
              </w:rPr>
            </w:pPr>
          </w:p>
        </w:tc>
        <w:tc>
          <w:tcPr>
            <w:tcW w:w="8658" w:type="dxa"/>
            <w:gridSpan w:val="2"/>
          </w:tcPr>
          <w:p w:rsidR="00F37869" w:rsidRPr="00173EBE" w:rsidRDefault="005610AA" w:rsidP="004C5C1F">
            <w:r w:rsidRPr="00173EBE">
              <w:rPr>
                <w:iCs/>
              </w:rPr>
              <w:t>This proposed rule will likely increase direct costs of many private and public construction</w:t>
            </w:r>
            <w:r w:rsidR="00364F29" w:rsidRPr="00173EBE">
              <w:rPr>
                <w:iCs/>
              </w:rPr>
              <w:t>, development and sand and gravel projects where removal and fill activities occur.  It is expected that the magnitude of the impacts will likely be minimal to moderate in most cases.</w:t>
            </w:r>
          </w:p>
        </w:tc>
      </w:tr>
      <w:tr w:rsidR="00E7168E" w:rsidRPr="00173EBE" w:rsidTr="00943AD3">
        <w:tc>
          <w:tcPr>
            <w:tcW w:w="2358" w:type="dxa"/>
          </w:tcPr>
          <w:p w:rsidR="00E7168E" w:rsidRPr="00173EBE" w:rsidRDefault="00E7168E" w:rsidP="00943AD3">
            <w:pPr>
              <w:tabs>
                <w:tab w:val="left" w:pos="45"/>
              </w:tabs>
              <w:ind w:left="360"/>
              <w:rPr>
                <w:rFonts w:ascii="Arial" w:hAnsi="Arial" w:cs="Arial"/>
              </w:rPr>
            </w:pPr>
            <w:r w:rsidRPr="00173EBE">
              <w:rPr>
                <w:rFonts w:ascii="Arial" w:hAnsi="Arial" w:cs="Arial"/>
                <w:b/>
              </w:rPr>
              <w:t>Impacts to Small Business</w:t>
            </w:r>
            <w:r w:rsidRPr="00173EBE">
              <w:rPr>
                <w:rFonts w:ascii="Arial" w:hAnsi="Arial" w:cs="Arial"/>
              </w:rPr>
              <w:t xml:space="preserve"> </w:t>
            </w:r>
          </w:p>
          <w:p w:rsidR="00E7168E" w:rsidRPr="00173EBE" w:rsidRDefault="00E7168E" w:rsidP="00943AD3">
            <w:pPr>
              <w:tabs>
                <w:tab w:val="left" w:pos="45"/>
              </w:tabs>
              <w:ind w:left="360"/>
              <w:rPr>
                <w:rFonts w:ascii="Arial" w:hAnsi="Arial" w:cs="Arial"/>
              </w:rPr>
            </w:pPr>
            <w:r w:rsidRPr="00173EBE">
              <w:rPr>
                <w:rFonts w:ascii="Arial" w:hAnsi="Arial" w:cs="Arial"/>
              </w:rPr>
              <w:t>(50 or fewer employees –ORS183.310(10))</w:t>
            </w:r>
          </w:p>
          <w:p w:rsidR="00931890" w:rsidRPr="00173EBE" w:rsidRDefault="00931890" w:rsidP="00943AD3">
            <w:pPr>
              <w:tabs>
                <w:tab w:val="left" w:pos="45"/>
              </w:tabs>
              <w:ind w:left="360"/>
              <w:rPr>
                <w:rFonts w:ascii="Arial" w:hAnsi="Arial" w:cs="Arial"/>
                <w:b/>
              </w:rPr>
            </w:pPr>
          </w:p>
        </w:tc>
        <w:tc>
          <w:tcPr>
            <w:tcW w:w="8658" w:type="dxa"/>
            <w:gridSpan w:val="2"/>
          </w:tcPr>
          <w:p w:rsidR="00E7168E" w:rsidRPr="00173EBE" w:rsidRDefault="00364F29" w:rsidP="009136F2">
            <w:pPr>
              <w:rPr>
                <w:iCs/>
              </w:rPr>
            </w:pPr>
            <w:r w:rsidRPr="00173EBE">
              <w:rPr>
                <w:iCs/>
              </w:rPr>
              <w:lastRenderedPageBreak/>
              <w:t>There is high probability that this proposed rule will increase the direct costs of private and public construction, development and sand and gravel projects undertaken by small businesses where removal and fill activities occur.</w:t>
            </w:r>
            <w:r w:rsidR="00A2321B" w:rsidRPr="00173EBE">
              <w:rPr>
                <w:iCs/>
              </w:rPr>
              <w:t xml:space="preserve">  Prior to the adoption of HB 2185, many smaller removal and fill activities were exempt from paying 401 cer</w:t>
            </w:r>
            <w:r w:rsidR="009136F2" w:rsidRPr="00173EBE">
              <w:rPr>
                <w:iCs/>
              </w:rPr>
              <w:t>ti</w:t>
            </w:r>
            <w:r w:rsidR="00A2321B" w:rsidRPr="00173EBE">
              <w:rPr>
                <w:iCs/>
              </w:rPr>
              <w:t xml:space="preserve">fication fees.   As required by HB </w:t>
            </w:r>
            <w:r w:rsidR="009136F2" w:rsidRPr="00173EBE">
              <w:rPr>
                <w:iCs/>
              </w:rPr>
              <w:t>2185, this proposed rule imposes f</w:t>
            </w:r>
            <w:r w:rsidR="004457B5" w:rsidRPr="00173EBE">
              <w:rPr>
                <w:iCs/>
              </w:rPr>
              <w:t>ees on all projects seeking 401</w:t>
            </w:r>
            <w:r w:rsidR="009136F2" w:rsidRPr="00173EBE">
              <w:rPr>
                <w:iCs/>
              </w:rPr>
              <w:t xml:space="preserve">certification.  </w:t>
            </w:r>
            <w:r w:rsidR="004457B5" w:rsidRPr="00173EBE">
              <w:rPr>
                <w:iCs/>
              </w:rPr>
              <w:t xml:space="preserve">It is reasonable to assume that many of these projects are </w:t>
            </w:r>
            <w:r w:rsidR="004457B5" w:rsidRPr="00173EBE">
              <w:rPr>
                <w:iCs/>
              </w:rPr>
              <w:lastRenderedPageBreak/>
              <w:t>undertaken by small business, and that they will likely be moderately impacted.</w:t>
            </w:r>
          </w:p>
        </w:tc>
      </w:tr>
      <w:tr w:rsidR="00A64A2D" w:rsidRPr="00173EBE" w:rsidTr="00943AD3">
        <w:trPr>
          <w:trHeight w:val="863"/>
        </w:trPr>
        <w:tc>
          <w:tcPr>
            <w:tcW w:w="2358" w:type="dxa"/>
            <w:vMerge w:val="restart"/>
          </w:tcPr>
          <w:p w:rsidR="00A64A2D" w:rsidRPr="00173EBE" w:rsidRDefault="006F1EB9" w:rsidP="00943AD3">
            <w:pPr>
              <w:ind w:left="360"/>
              <w:rPr>
                <w:rFonts w:ascii="Arial" w:hAnsi="Arial" w:cs="Arial"/>
                <w:color w:val="FF6600"/>
              </w:rPr>
            </w:pPr>
            <w:bookmarkStart w:id="3" w:name="ABSB"/>
            <w:bookmarkEnd w:id="3"/>
            <w:r w:rsidRPr="00173EBE">
              <w:rPr>
                <w:rFonts w:ascii="Arial" w:hAnsi="Arial" w:cs="Arial"/>
                <w:b/>
              </w:rPr>
              <w:lastRenderedPageBreak/>
              <w:t xml:space="preserve">Cost of Compliance on </w:t>
            </w:r>
            <w:r w:rsidR="00CE2775" w:rsidRPr="00173EBE">
              <w:rPr>
                <w:rFonts w:ascii="Arial" w:hAnsi="Arial" w:cs="Arial"/>
                <w:b/>
              </w:rPr>
              <w:t>Small Business</w:t>
            </w:r>
            <w:r w:rsidR="00CE2775" w:rsidRPr="00173EBE">
              <w:rPr>
                <w:rFonts w:ascii="Arial" w:hAnsi="Arial" w:cs="Arial"/>
              </w:rPr>
              <w:t xml:space="preserve"> </w:t>
            </w:r>
            <w:r w:rsidR="00733AE9" w:rsidRPr="00173EBE">
              <w:rPr>
                <w:rFonts w:ascii="Arial" w:hAnsi="Arial" w:cs="Arial"/>
              </w:rPr>
              <w:t>(50 or fewer employees –ORS183.310(10))</w:t>
            </w:r>
          </w:p>
        </w:tc>
        <w:tc>
          <w:tcPr>
            <w:tcW w:w="2610" w:type="dxa"/>
          </w:tcPr>
          <w:p w:rsidR="00A64A2D" w:rsidRPr="00173EBE" w:rsidRDefault="00774D6F" w:rsidP="00774D6F">
            <w:r w:rsidRPr="00173EBE">
              <w:t xml:space="preserve">a) Estimated number </w:t>
            </w:r>
            <w:r w:rsidR="006F1EB9" w:rsidRPr="00173EBE">
              <w:t>of small businesses subject to the proposed rule</w:t>
            </w:r>
          </w:p>
        </w:tc>
        <w:tc>
          <w:tcPr>
            <w:tcW w:w="6048" w:type="dxa"/>
          </w:tcPr>
          <w:p w:rsidR="00A64A2D" w:rsidRPr="00173EBE" w:rsidRDefault="004457B5" w:rsidP="00CE2775">
            <w:r w:rsidRPr="00173EBE">
              <w:rPr>
                <w:iCs/>
                <w:color w:val="000000"/>
              </w:rPr>
              <w:t xml:space="preserve">Over the last five </w:t>
            </w:r>
            <w:r w:rsidR="00EF01B7">
              <w:rPr>
                <w:iCs/>
                <w:color w:val="000000"/>
              </w:rPr>
              <w:t>years, DEQ has processed approximately</w:t>
            </w:r>
            <w:r w:rsidRPr="00173EBE">
              <w:rPr>
                <w:iCs/>
                <w:color w:val="000000"/>
              </w:rPr>
              <w:t xml:space="preserve"> 100 certificatio</w:t>
            </w:r>
            <w:r w:rsidR="00926DE2">
              <w:rPr>
                <w:iCs/>
                <w:color w:val="000000"/>
              </w:rPr>
              <w:t>ns per year.  Approximately, 20 percent (about 10 percent</w:t>
            </w:r>
            <w:r w:rsidRPr="00173EBE">
              <w:rPr>
                <w:iCs/>
                <w:color w:val="000000"/>
              </w:rPr>
              <w:t xml:space="preserve"> currently fee-exe</w:t>
            </w:r>
            <w:r w:rsidR="00926DE2">
              <w:rPr>
                <w:iCs/>
                <w:color w:val="000000"/>
              </w:rPr>
              <w:t>mpt will pay a fee and about 10 percent</w:t>
            </w:r>
            <w:r w:rsidRPr="00173EBE">
              <w:rPr>
                <w:iCs/>
                <w:color w:val="000000"/>
              </w:rPr>
              <w:t xml:space="preserve"> who currently pay fees will pay a higher fee) of those certifications are likely to involve firms</w:t>
            </w:r>
            <w:r w:rsidR="00845F26" w:rsidRPr="00173EBE">
              <w:rPr>
                <w:iCs/>
                <w:color w:val="000000"/>
              </w:rPr>
              <w:t xml:space="preserve"> meeting this definition of “small business.”</w:t>
            </w:r>
          </w:p>
        </w:tc>
      </w:tr>
      <w:tr w:rsidR="004E7857" w:rsidRPr="00173EBE" w:rsidTr="00943AD3">
        <w:trPr>
          <w:trHeight w:val="863"/>
        </w:trPr>
        <w:tc>
          <w:tcPr>
            <w:tcW w:w="2358" w:type="dxa"/>
            <w:vMerge/>
          </w:tcPr>
          <w:p w:rsidR="004E7857" w:rsidRPr="00173EBE" w:rsidRDefault="004E7857" w:rsidP="00943AD3">
            <w:pPr>
              <w:ind w:left="360"/>
              <w:rPr>
                <w:rFonts w:ascii="Arial" w:hAnsi="Arial" w:cs="Arial"/>
                <w:b/>
              </w:rPr>
            </w:pPr>
          </w:p>
        </w:tc>
        <w:tc>
          <w:tcPr>
            <w:tcW w:w="2610" w:type="dxa"/>
          </w:tcPr>
          <w:p w:rsidR="004E7857" w:rsidRPr="00173EBE" w:rsidRDefault="00DC30D6" w:rsidP="00774D6F">
            <w:r w:rsidRPr="00173EBE">
              <w:t xml:space="preserve">b) </w:t>
            </w:r>
            <w:r w:rsidR="004E7857" w:rsidRPr="00173EBE">
              <w:t>Types of businesses and industries with small businesses subject to the proposed rule</w:t>
            </w:r>
          </w:p>
        </w:tc>
        <w:tc>
          <w:tcPr>
            <w:tcW w:w="6048" w:type="dxa"/>
          </w:tcPr>
          <w:p w:rsidR="004E7857" w:rsidRPr="00173EBE" w:rsidRDefault="00845F26" w:rsidP="00943AD3">
            <w:pPr>
              <w:autoSpaceDE w:val="0"/>
              <w:autoSpaceDN w:val="0"/>
              <w:adjustRightInd w:val="0"/>
              <w:rPr>
                <w:iCs/>
                <w:color w:val="000000"/>
              </w:rPr>
            </w:pPr>
            <w:r w:rsidRPr="00173EBE">
              <w:rPr>
                <w:iCs/>
                <w:color w:val="000000"/>
              </w:rPr>
              <w:t>Small businesses within the following industries could potentially be affected by the proposed rule: construction, development, restoration, mining, reclamation, and marine recreation.</w:t>
            </w:r>
            <w:r w:rsidR="004E7857" w:rsidRPr="00173EBE">
              <w:rPr>
                <w:iCs/>
                <w:color w:val="0000FF"/>
              </w:rPr>
              <w:t xml:space="preserve"> </w:t>
            </w:r>
          </w:p>
        </w:tc>
      </w:tr>
      <w:tr w:rsidR="00676867" w:rsidRPr="00173EBE" w:rsidTr="00943AD3">
        <w:trPr>
          <w:trHeight w:val="458"/>
        </w:trPr>
        <w:tc>
          <w:tcPr>
            <w:tcW w:w="2358" w:type="dxa"/>
            <w:vMerge/>
          </w:tcPr>
          <w:p w:rsidR="00676867" w:rsidRPr="00173EBE" w:rsidRDefault="00676867" w:rsidP="00943AD3">
            <w:pPr>
              <w:ind w:left="360"/>
              <w:rPr>
                <w:rFonts w:ascii="Arial" w:hAnsi="Arial" w:cs="Arial"/>
                <w:b/>
                <w:color w:val="FF6600"/>
              </w:rPr>
            </w:pPr>
          </w:p>
        </w:tc>
        <w:tc>
          <w:tcPr>
            <w:tcW w:w="2610" w:type="dxa"/>
          </w:tcPr>
          <w:p w:rsidR="00676867" w:rsidRPr="00173EBE" w:rsidRDefault="00DC30D6" w:rsidP="00774D6F">
            <w:r w:rsidRPr="00173EBE">
              <w:t>c) Projected reporting, recordkeeping and other administrative activities required by small businesses for compliance with the proposed rule, including costs of professional services</w:t>
            </w:r>
          </w:p>
        </w:tc>
        <w:tc>
          <w:tcPr>
            <w:tcW w:w="6048" w:type="dxa"/>
          </w:tcPr>
          <w:p w:rsidR="00676867" w:rsidRPr="00173EBE" w:rsidRDefault="00845F26" w:rsidP="00CE2775">
            <w:r w:rsidRPr="00173EBE">
              <w:rPr>
                <w:iCs/>
              </w:rPr>
              <w:t>The proposed rule does not require additional reporting.</w:t>
            </w:r>
          </w:p>
        </w:tc>
      </w:tr>
      <w:tr w:rsidR="00A64A2D" w:rsidRPr="00173EBE" w:rsidTr="00943AD3">
        <w:trPr>
          <w:trHeight w:val="458"/>
        </w:trPr>
        <w:tc>
          <w:tcPr>
            <w:tcW w:w="2358" w:type="dxa"/>
            <w:vMerge/>
          </w:tcPr>
          <w:p w:rsidR="00A64A2D" w:rsidRPr="00173EBE" w:rsidRDefault="00A64A2D" w:rsidP="00943AD3">
            <w:pPr>
              <w:ind w:left="360"/>
              <w:rPr>
                <w:rFonts w:ascii="Arial" w:hAnsi="Arial" w:cs="Arial"/>
                <w:b/>
                <w:color w:val="FF6600"/>
              </w:rPr>
            </w:pPr>
          </w:p>
        </w:tc>
        <w:tc>
          <w:tcPr>
            <w:tcW w:w="2610" w:type="dxa"/>
          </w:tcPr>
          <w:p w:rsidR="00A64A2D" w:rsidRPr="00173EBE" w:rsidRDefault="005E16B4" w:rsidP="00774D6F">
            <w:r w:rsidRPr="00173EBE">
              <w:t>d</w:t>
            </w:r>
            <w:r w:rsidR="00774D6F" w:rsidRPr="00173EBE">
              <w:t xml:space="preserve">) </w:t>
            </w:r>
            <w:r w:rsidRPr="00173EBE">
              <w:t>The equipment, supplies, labor, and increased administration required by small businesses for compliance with the proposed rule</w:t>
            </w:r>
          </w:p>
        </w:tc>
        <w:tc>
          <w:tcPr>
            <w:tcW w:w="6048" w:type="dxa"/>
          </w:tcPr>
          <w:p w:rsidR="00A64A2D" w:rsidRPr="00173EBE" w:rsidRDefault="00774C79" w:rsidP="00774C79">
            <w:r w:rsidRPr="00173EBE">
              <w:rPr>
                <w:iCs/>
              </w:rPr>
              <w:t>The proposed rule does not require additional equipment or administration.</w:t>
            </w:r>
          </w:p>
        </w:tc>
      </w:tr>
      <w:tr w:rsidR="00A64A2D" w:rsidRPr="00173EBE" w:rsidTr="00943AD3">
        <w:tc>
          <w:tcPr>
            <w:tcW w:w="2358" w:type="dxa"/>
            <w:vMerge/>
          </w:tcPr>
          <w:p w:rsidR="00A64A2D" w:rsidRPr="00173EBE" w:rsidRDefault="00A64A2D" w:rsidP="00943AD3">
            <w:pPr>
              <w:ind w:left="360"/>
              <w:rPr>
                <w:rFonts w:ascii="Arial" w:hAnsi="Arial" w:cs="Arial"/>
                <w:b/>
                <w:color w:val="FF6600"/>
              </w:rPr>
            </w:pPr>
          </w:p>
        </w:tc>
        <w:tc>
          <w:tcPr>
            <w:tcW w:w="2610" w:type="dxa"/>
          </w:tcPr>
          <w:p w:rsidR="00A64A2D" w:rsidRPr="00173EBE" w:rsidRDefault="00737336" w:rsidP="00774D6F">
            <w:r w:rsidRPr="00173EBE">
              <w:t>e</w:t>
            </w:r>
            <w:r w:rsidR="00774D6F" w:rsidRPr="00173EBE">
              <w:t xml:space="preserve">) </w:t>
            </w:r>
            <w:r w:rsidR="00C75473" w:rsidRPr="00173EBE">
              <w:t>A description of the manner in which DEQ involved small businesses in the development of this rulemaking</w:t>
            </w:r>
          </w:p>
        </w:tc>
        <w:tc>
          <w:tcPr>
            <w:tcW w:w="6048" w:type="dxa"/>
          </w:tcPr>
          <w:p w:rsidR="00184D07" w:rsidRPr="00173EBE" w:rsidRDefault="00774C79" w:rsidP="00211D5F">
            <w:pPr>
              <w:rPr>
                <w:b/>
                <w:color w:val="FF6600"/>
              </w:rPr>
            </w:pPr>
            <w:r w:rsidRPr="00173EBE">
              <w:rPr>
                <w:iCs/>
              </w:rPr>
              <w:t>There were no individuals on the advisory workgroup who specifically represented small business.  However, several trade associations representing various sectors of the construction, development and mining industries-including the small businesses within those industries-participated on the advisory workgroup.</w:t>
            </w:r>
          </w:p>
        </w:tc>
      </w:tr>
      <w:tr w:rsidR="00912B45" w:rsidRPr="00173EBE" w:rsidTr="00943AD3">
        <w:trPr>
          <w:trHeight w:val="890"/>
        </w:trPr>
        <w:tc>
          <w:tcPr>
            <w:tcW w:w="2358" w:type="dxa"/>
          </w:tcPr>
          <w:p w:rsidR="00912B45" w:rsidRPr="00173EBE" w:rsidRDefault="00C8496F" w:rsidP="00943AD3">
            <w:pPr>
              <w:ind w:left="360"/>
              <w:rPr>
                <w:rFonts w:ascii="Arial" w:hAnsi="Arial" w:cs="Arial"/>
                <w:b/>
              </w:rPr>
            </w:pPr>
            <w:r w:rsidRPr="00173EBE">
              <w:rPr>
                <w:rFonts w:ascii="Arial" w:hAnsi="Arial" w:cs="Arial"/>
                <w:b/>
              </w:rPr>
              <w:t xml:space="preserve">Impacts </w:t>
            </w:r>
            <w:r w:rsidR="003849F8" w:rsidRPr="00173EBE">
              <w:rPr>
                <w:rFonts w:ascii="Arial" w:hAnsi="Arial" w:cs="Arial"/>
                <w:b/>
              </w:rPr>
              <w:t>on</w:t>
            </w:r>
            <w:r w:rsidRPr="00173EBE">
              <w:rPr>
                <w:rFonts w:ascii="Arial" w:hAnsi="Arial" w:cs="Arial"/>
                <w:b/>
              </w:rPr>
              <w:t xml:space="preserve"> </w:t>
            </w:r>
            <w:r w:rsidR="002D3D3F" w:rsidRPr="00173EBE">
              <w:rPr>
                <w:rFonts w:ascii="Arial" w:hAnsi="Arial" w:cs="Arial"/>
                <w:b/>
              </w:rPr>
              <w:t>Large Business</w:t>
            </w:r>
          </w:p>
          <w:p w:rsidR="007D2BCB" w:rsidRPr="00173EBE" w:rsidRDefault="007D2BCB" w:rsidP="00943AD3">
            <w:pPr>
              <w:ind w:left="360"/>
              <w:rPr>
                <w:rFonts w:ascii="Arial" w:hAnsi="Arial" w:cs="Arial"/>
              </w:rPr>
            </w:pPr>
            <w:r w:rsidRPr="00173EBE">
              <w:rPr>
                <w:rFonts w:ascii="Arial" w:hAnsi="Arial" w:cs="Arial"/>
              </w:rPr>
              <w:t>(all businesses that are not “small businesses” under ORS183.310(10))</w:t>
            </w:r>
          </w:p>
          <w:p w:rsidR="00931890" w:rsidRPr="00173EBE" w:rsidRDefault="00931890" w:rsidP="00943AD3">
            <w:pPr>
              <w:ind w:left="360"/>
              <w:rPr>
                <w:rFonts w:ascii="Arial" w:hAnsi="Arial" w:cs="Arial"/>
              </w:rPr>
            </w:pPr>
          </w:p>
        </w:tc>
        <w:tc>
          <w:tcPr>
            <w:tcW w:w="8658" w:type="dxa"/>
            <w:gridSpan w:val="2"/>
          </w:tcPr>
          <w:p w:rsidR="00912B45" w:rsidRPr="00173EBE" w:rsidRDefault="00774C79" w:rsidP="009A4405">
            <w:pPr>
              <w:rPr>
                <w:spacing w:val="-3"/>
              </w:rPr>
            </w:pPr>
            <w:r w:rsidRPr="00173EBE">
              <w:rPr>
                <w:iCs/>
              </w:rPr>
              <w:t>Because this proposed rule will address the long-standing gap between actual program costs incurred by DEQ and level of 401 certification fees, it is likely that large businesses-especially those in the construction, development, restoration and mining industries-will potentially see increased costs for 401 certifications.  It is expected that the magnitude of the impacts will likely be more minimal when compared to small business.</w:t>
            </w:r>
          </w:p>
        </w:tc>
      </w:tr>
      <w:tr w:rsidR="00211D5F" w:rsidRPr="00173EBE" w:rsidTr="00943AD3">
        <w:trPr>
          <w:trHeight w:val="890"/>
        </w:trPr>
        <w:tc>
          <w:tcPr>
            <w:tcW w:w="2358" w:type="dxa"/>
          </w:tcPr>
          <w:p w:rsidR="00211D5F" w:rsidRPr="00173EBE" w:rsidRDefault="003849F8" w:rsidP="00943AD3">
            <w:pPr>
              <w:ind w:left="360"/>
              <w:rPr>
                <w:rFonts w:ascii="Arial" w:hAnsi="Arial" w:cs="Arial"/>
                <w:b/>
              </w:rPr>
            </w:pPr>
            <w:bookmarkStart w:id="4" w:name="ABLG"/>
            <w:bookmarkEnd w:id="4"/>
            <w:r w:rsidRPr="00173EBE">
              <w:rPr>
                <w:rFonts w:ascii="Arial" w:hAnsi="Arial" w:cs="Arial"/>
                <w:b/>
              </w:rPr>
              <w:t xml:space="preserve">Impacts on </w:t>
            </w:r>
            <w:r w:rsidR="00211D5F" w:rsidRPr="00173EBE">
              <w:rPr>
                <w:rFonts w:ascii="Arial" w:hAnsi="Arial" w:cs="Arial"/>
                <w:b/>
              </w:rPr>
              <w:t>Local Government</w:t>
            </w:r>
          </w:p>
          <w:p w:rsidR="00EE032E" w:rsidRPr="00173EBE" w:rsidRDefault="00EE032E" w:rsidP="00943AD3">
            <w:pPr>
              <w:ind w:left="360"/>
              <w:rPr>
                <w:rFonts w:ascii="Arial" w:hAnsi="Arial" w:cs="Arial"/>
                <w:b/>
              </w:rPr>
            </w:pPr>
          </w:p>
        </w:tc>
        <w:tc>
          <w:tcPr>
            <w:tcW w:w="8658" w:type="dxa"/>
            <w:gridSpan w:val="2"/>
          </w:tcPr>
          <w:p w:rsidR="00426107" w:rsidRPr="00173EBE" w:rsidRDefault="00982A85" w:rsidP="009A4405">
            <w:r w:rsidRPr="00173EBE">
              <w:rPr>
                <w:iCs/>
              </w:rPr>
              <w:t xml:space="preserve">This proposed rule may increase direct costs, likely at a minimal level, of some public construction, development and reclamation projects where removal and fill </w:t>
            </w:r>
            <w:r w:rsidR="002C11D3" w:rsidRPr="00173EBE">
              <w:rPr>
                <w:iCs/>
              </w:rPr>
              <w:t>activities occur. A subset of local transportation projects are covered under a general permit and would likely not realize a substantial fee increase.  Taxpayers or ratepayers that benefit from the construction and development of public infrastructure may realize higher fees, taxes and rates.</w:t>
            </w:r>
          </w:p>
        </w:tc>
      </w:tr>
      <w:tr w:rsidR="00211D5F" w:rsidRPr="00173EBE" w:rsidTr="00943AD3">
        <w:trPr>
          <w:trHeight w:val="413"/>
        </w:trPr>
        <w:tc>
          <w:tcPr>
            <w:tcW w:w="2358" w:type="dxa"/>
          </w:tcPr>
          <w:p w:rsidR="007A2436" w:rsidRPr="00173EBE" w:rsidRDefault="003849F8" w:rsidP="00943AD3">
            <w:pPr>
              <w:ind w:left="360"/>
              <w:rPr>
                <w:rFonts w:ascii="Arial" w:hAnsi="Arial" w:cs="Arial"/>
                <w:b/>
              </w:rPr>
            </w:pPr>
            <w:bookmarkStart w:id="5" w:name="ABSA"/>
            <w:bookmarkEnd w:id="5"/>
            <w:r w:rsidRPr="00173EBE">
              <w:rPr>
                <w:rFonts w:ascii="Arial" w:hAnsi="Arial" w:cs="Arial"/>
                <w:b/>
              </w:rPr>
              <w:t xml:space="preserve">Impacts on </w:t>
            </w:r>
            <w:r w:rsidR="00211D5F" w:rsidRPr="00173EBE">
              <w:rPr>
                <w:rFonts w:ascii="Arial" w:hAnsi="Arial" w:cs="Arial"/>
                <w:b/>
              </w:rPr>
              <w:t>State Agencies</w:t>
            </w:r>
            <w:r w:rsidR="005062F9" w:rsidRPr="00173EBE">
              <w:rPr>
                <w:rFonts w:ascii="Arial" w:hAnsi="Arial" w:cs="Arial"/>
                <w:b/>
              </w:rPr>
              <w:t xml:space="preserve"> </w:t>
            </w:r>
            <w:r w:rsidRPr="00173EBE">
              <w:rPr>
                <w:rFonts w:ascii="Arial" w:hAnsi="Arial" w:cs="Arial"/>
                <w:b/>
              </w:rPr>
              <w:t>o</w:t>
            </w:r>
            <w:r w:rsidR="004B7BC8" w:rsidRPr="00173EBE">
              <w:rPr>
                <w:rFonts w:ascii="Arial" w:hAnsi="Arial" w:cs="Arial"/>
                <w:b/>
              </w:rPr>
              <w:t xml:space="preserve">ther </w:t>
            </w:r>
            <w:r w:rsidRPr="00173EBE">
              <w:rPr>
                <w:rFonts w:ascii="Arial" w:hAnsi="Arial" w:cs="Arial"/>
                <w:b/>
              </w:rPr>
              <w:t>t</w:t>
            </w:r>
            <w:r w:rsidR="00621478" w:rsidRPr="00173EBE">
              <w:rPr>
                <w:rFonts w:ascii="Arial" w:hAnsi="Arial" w:cs="Arial"/>
                <w:b/>
              </w:rPr>
              <w:t>han DEQ</w:t>
            </w:r>
          </w:p>
          <w:p w:rsidR="007A2436" w:rsidRPr="00173EBE" w:rsidRDefault="007A2436" w:rsidP="00943AD3">
            <w:pPr>
              <w:ind w:left="360"/>
              <w:rPr>
                <w:rFonts w:ascii="Arial" w:hAnsi="Arial" w:cs="Arial"/>
                <w:b/>
              </w:rPr>
            </w:pPr>
          </w:p>
        </w:tc>
        <w:tc>
          <w:tcPr>
            <w:tcW w:w="8658" w:type="dxa"/>
            <w:gridSpan w:val="2"/>
          </w:tcPr>
          <w:p w:rsidR="00C9351D" w:rsidRPr="00173EBE" w:rsidRDefault="00197941" w:rsidP="00211D5F">
            <w:pPr>
              <w:rPr>
                <w:iCs/>
              </w:rPr>
            </w:pPr>
            <w:r w:rsidRPr="00173EBE">
              <w:rPr>
                <w:iCs/>
              </w:rPr>
              <w:t>This proposed rule will likely increase direct costs of many public construction, development and sand and gravel projects where removal and fill activities occur.</w:t>
            </w:r>
          </w:p>
          <w:p w:rsidR="00197941" w:rsidRPr="00173EBE" w:rsidRDefault="00197941" w:rsidP="00211D5F"/>
        </w:tc>
      </w:tr>
      <w:tr w:rsidR="009257A2" w:rsidRPr="00173EBE" w:rsidTr="00943AD3">
        <w:tc>
          <w:tcPr>
            <w:tcW w:w="2358" w:type="dxa"/>
          </w:tcPr>
          <w:p w:rsidR="009257A2" w:rsidRPr="00173EBE" w:rsidRDefault="003849F8" w:rsidP="00943AD3">
            <w:pPr>
              <w:jc w:val="center"/>
              <w:rPr>
                <w:rFonts w:ascii="Arial" w:hAnsi="Arial" w:cs="Arial"/>
                <w:b/>
              </w:rPr>
            </w:pPr>
            <w:bookmarkStart w:id="6" w:name="ABDEQ"/>
            <w:bookmarkEnd w:id="6"/>
            <w:r w:rsidRPr="00173EBE">
              <w:rPr>
                <w:rFonts w:ascii="Arial" w:hAnsi="Arial" w:cs="Arial"/>
                <w:b/>
              </w:rPr>
              <w:t xml:space="preserve">Impacts on </w:t>
            </w:r>
            <w:r w:rsidR="009257A2" w:rsidRPr="00173EBE">
              <w:rPr>
                <w:rFonts w:ascii="Arial" w:hAnsi="Arial" w:cs="Arial"/>
                <w:b/>
              </w:rPr>
              <w:t>DEQ</w:t>
            </w:r>
          </w:p>
          <w:p w:rsidR="003849F8" w:rsidRPr="00173EBE" w:rsidRDefault="003849F8" w:rsidP="003849F8">
            <w:pPr>
              <w:rPr>
                <w:rFonts w:ascii="Arial" w:hAnsi="Arial" w:cs="Arial"/>
                <w:b/>
              </w:rPr>
            </w:pPr>
          </w:p>
          <w:p w:rsidR="00EE032E" w:rsidRPr="00173EBE" w:rsidRDefault="00EE032E" w:rsidP="00943AD3">
            <w:pPr>
              <w:ind w:left="720"/>
              <w:rPr>
                <w:rFonts w:ascii="Arial" w:hAnsi="Arial" w:cs="Arial"/>
                <w:b/>
              </w:rPr>
            </w:pPr>
          </w:p>
        </w:tc>
        <w:tc>
          <w:tcPr>
            <w:tcW w:w="8658" w:type="dxa"/>
            <w:gridSpan w:val="2"/>
          </w:tcPr>
          <w:p w:rsidR="002C330C" w:rsidRPr="00173EBE" w:rsidRDefault="00197941" w:rsidP="00197941">
            <w:pPr>
              <w:rPr>
                <w:b/>
                <w:u w:val="single"/>
              </w:rPr>
            </w:pPr>
            <w:r w:rsidRPr="00173EBE">
              <w:rPr>
                <w:iCs/>
              </w:rPr>
              <w:t>Some initial costs for setting up administrative procedures will occur.  Included in the fee is a one-time cost for data base improvement, so these costs should not be ong</w:t>
            </w:r>
            <w:r w:rsidR="00E03124">
              <w:rPr>
                <w:iCs/>
              </w:rPr>
              <w:t>oing.  DEQ’s 401 Water Quality Certification P</w:t>
            </w:r>
            <w:r w:rsidRPr="00173EBE">
              <w:rPr>
                <w:iCs/>
              </w:rPr>
              <w:t>rogram will be more sustainable with fees that more a</w:t>
            </w:r>
            <w:r w:rsidR="00297C70">
              <w:rPr>
                <w:iCs/>
              </w:rPr>
              <w:t xml:space="preserve">ccurately reflect program costs.  Extensive applicant fee determination review requests may increase program costs.  </w:t>
            </w:r>
          </w:p>
        </w:tc>
      </w:tr>
      <w:tr w:rsidR="009257A2" w:rsidRPr="00173EBE" w:rsidTr="00943AD3">
        <w:tc>
          <w:tcPr>
            <w:tcW w:w="2358" w:type="dxa"/>
          </w:tcPr>
          <w:p w:rsidR="009257A2" w:rsidRPr="00173EBE" w:rsidRDefault="009257A2" w:rsidP="00943AD3">
            <w:pPr>
              <w:tabs>
                <w:tab w:val="left" w:pos="360"/>
                <w:tab w:val="right" w:pos="2700"/>
              </w:tabs>
              <w:ind w:left="360"/>
              <w:rPr>
                <w:rFonts w:ascii="Arial" w:hAnsi="Arial" w:cs="Arial"/>
                <w:b/>
              </w:rPr>
            </w:pPr>
            <w:bookmarkStart w:id="7" w:name="ABOA"/>
            <w:bookmarkEnd w:id="7"/>
            <w:r w:rsidRPr="00173EBE">
              <w:rPr>
                <w:rFonts w:ascii="Arial" w:hAnsi="Arial" w:cs="Arial"/>
                <w:b/>
              </w:rPr>
              <w:t>Assumptions</w:t>
            </w:r>
          </w:p>
          <w:p w:rsidR="00EE032E" w:rsidRPr="00173EBE" w:rsidRDefault="00EE032E" w:rsidP="00943AD3">
            <w:pPr>
              <w:tabs>
                <w:tab w:val="left" w:pos="360"/>
                <w:tab w:val="right" w:pos="2700"/>
              </w:tabs>
              <w:rPr>
                <w:rFonts w:ascii="Arial" w:hAnsi="Arial" w:cs="Arial"/>
                <w:b/>
              </w:rPr>
            </w:pPr>
          </w:p>
        </w:tc>
        <w:tc>
          <w:tcPr>
            <w:tcW w:w="8658" w:type="dxa"/>
            <w:gridSpan w:val="2"/>
            <w:shd w:val="clear" w:color="auto" w:fill="FFFFFF"/>
          </w:tcPr>
          <w:p w:rsidR="00DD050C" w:rsidRPr="00173EBE" w:rsidRDefault="00197941" w:rsidP="009A4405">
            <w:pPr>
              <w:rPr>
                <w:spacing w:val="-3"/>
              </w:rPr>
            </w:pPr>
            <w:r w:rsidRPr="00173EBE">
              <w:rPr>
                <w:iCs/>
              </w:rPr>
              <w:t>DEQ assumes that for most businesses, local governments and state agencies that the cost of obtaining 401 certification is small compared to overall project or operating costs.</w:t>
            </w:r>
          </w:p>
        </w:tc>
      </w:tr>
      <w:tr w:rsidR="009257A2" w:rsidRPr="00173EBE" w:rsidTr="00943AD3">
        <w:tc>
          <w:tcPr>
            <w:tcW w:w="2358" w:type="dxa"/>
          </w:tcPr>
          <w:p w:rsidR="009257A2" w:rsidRPr="00173EBE" w:rsidRDefault="009257A2" w:rsidP="00943AD3">
            <w:pPr>
              <w:tabs>
                <w:tab w:val="left" w:pos="360"/>
                <w:tab w:val="right" w:pos="2700"/>
              </w:tabs>
              <w:ind w:left="360"/>
              <w:rPr>
                <w:rFonts w:ascii="Arial" w:hAnsi="Arial" w:cs="Arial"/>
                <w:b/>
              </w:rPr>
            </w:pPr>
            <w:r w:rsidRPr="00173EBE">
              <w:rPr>
                <w:rFonts w:ascii="Arial" w:hAnsi="Arial" w:cs="Arial"/>
                <w:b/>
              </w:rPr>
              <w:t>Housing Cost</w:t>
            </w:r>
            <w:r w:rsidR="000C6F67" w:rsidRPr="00173EBE">
              <w:rPr>
                <w:rFonts w:ascii="Arial" w:hAnsi="Arial" w:cs="Arial"/>
                <w:b/>
              </w:rPr>
              <w:t>s</w:t>
            </w:r>
          </w:p>
        </w:tc>
        <w:tc>
          <w:tcPr>
            <w:tcW w:w="8658" w:type="dxa"/>
            <w:gridSpan w:val="2"/>
          </w:tcPr>
          <w:p w:rsidR="005E1B38" w:rsidRPr="00173EBE" w:rsidRDefault="005D6E13" w:rsidP="005E1B38">
            <w:pPr>
              <w:rPr>
                <w:iCs/>
              </w:rPr>
            </w:pPr>
            <w:r w:rsidRPr="00173EBE">
              <w:rPr>
                <w:iCs/>
              </w:rPr>
              <w:t>DEQ has determined that this proposed rulemaking will have the following potential effects on the cost of development of a 6,000 square foot parcel and the construction of a 1,200 square foot detached single family dwelling on the parcel.</w:t>
            </w:r>
          </w:p>
          <w:p w:rsidR="005D6E13" w:rsidRPr="00173EBE" w:rsidRDefault="005D6E13" w:rsidP="005E1B38">
            <w:pPr>
              <w:rPr>
                <w:iCs/>
              </w:rPr>
            </w:pPr>
          </w:p>
          <w:p w:rsidR="005D6E13" w:rsidRPr="00173EBE" w:rsidRDefault="005D6E13" w:rsidP="005E1B38">
            <w:pPr>
              <w:rPr>
                <w:iCs/>
                <w:u w:val="single"/>
              </w:rPr>
            </w:pPr>
            <w:r w:rsidRPr="00173EBE">
              <w:rPr>
                <w:iCs/>
                <w:u w:val="single"/>
              </w:rPr>
              <w:t>Scenario A</w:t>
            </w:r>
          </w:p>
          <w:p w:rsidR="005D6E13" w:rsidRPr="00173EBE" w:rsidRDefault="005D6E13" w:rsidP="0066609E">
            <w:pPr>
              <w:rPr>
                <w:iCs/>
              </w:rPr>
            </w:pPr>
            <w:r w:rsidRPr="00173EBE">
              <w:rPr>
                <w:iCs/>
              </w:rPr>
              <w:t xml:space="preserve">DEQ assumes the proposed rule would have a minimal impact where the lot and single-family dwelling are part of a larger development project submitted by a developer.  In the instance, DEQ estimates that </w:t>
            </w:r>
            <w:r w:rsidR="0066609E" w:rsidRPr="00173EBE">
              <w:rPr>
                <w:iCs/>
              </w:rPr>
              <w:t xml:space="preserve">the overall development project would likely fall into </w:t>
            </w:r>
            <w:r w:rsidR="00C25B2E">
              <w:rPr>
                <w:iCs/>
              </w:rPr>
              <w:t>either Tier 2A or Tier 2B ($4390</w:t>
            </w:r>
            <w:r w:rsidR="0066609E" w:rsidRPr="00173EBE">
              <w:rPr>
                <w:iCs/>
              </w:rPr>
              <w:t xml:space="preserve"> or $</w:t>
            </w:r>
            <w:r w:rsidR="00C25B2E">
              <w:rPr>
                <w:iCs/>
              </w:rPr>
              <w:t>12105</w:t>
            </w:r>
            <w:r w:rsidR="0066609E" w:rsidRPr="00173EBE">
              <w:rPr>
                <w:iCs/>
              </w:rPr>
              <w:t xml:space="preserve"> in the </w:t>
            </w:r>
            <w:r w:rsidR="00AA37A9">
              <w:rPr>
                <w:iCs/>
              </w:rPr>
              <w:t>fee structure</w:t>
            </w:r>
            <w:r w:rsidR="0066609E" w:rsidRPr="00173EBE">
              <w:rPr>
                <w:iCs/>
              </w:rPr>
              <w:t xml:space="preserve">).  Because the 401 certification costs would be assumed by the developer and only some portion of those costs would be allocated to an individual parcel or dwelling, DEQ estimates that there </w:t>
            </w:r>
            <w:r w:rsidR="0066609E" w:rsidRPr="00173EBE">
              <w:rPr>
                <w:iCs/>
              </w:rPr>
              <w:lastRenderedPageBreak/>
              <w:t>would only be a minimal impact.</w:t>
            </w:r>
          </w:p>
          <w:p w:rsidR="0066609E" w:rsidRPr="00173EBE" w:rsidRDefault="0066609E" w:rsidP="0066609E">
            <w:pPr>
              <w:rPr>
                <w:iCs/>
              </w:rPr>
            </w:pPr>
          </w:p>
          <w:p w:rsidR="0066609E" w:rsidRPr="00173EBE" w:rsidRDefault="0066609E" w:rsidP="0066609E">
            <w:pPr>
              <w:rPr>
                <w:iCs/>
                <w:u w:val="single"/>
              </w:rPr>
            </w:pPr>
            <w:r w:rsidRPr="00173EBE">
              <w:rPr>
                <w:iCs/>
                <w:u w:val="single"/>
              </w:rPr>
              <w:t>Scenario B</w:t>
            </w:r>
          </w:p>
          <w:p w:rsidR="0066609E" w:rsidRPr="00173EBE" w:rsidRDefault="0066609E" w:rsidP="007D3A07">
            <w:r w:rsidRPr="00173EBE">
              <w:rPr>
                <w:iCs/>
              </w:rPr>
              <w:t>In those cases, wh</w:t>
            </w:r>
            <w:r w:rsidR="007D3A07" w:rsidRPr="00173EBE">
              <w:rPr>
                <w:iCs/>
              </w:rPr>
              <w:t>ere an applicant is seeking 401</w:t>
            </w:r>
            <w:r w:rsidRPr="00173EBE">
              <w:rPr>
                <w:iCs/>
              </w:rPr>
              <w:t xml:space="preserve">certification for an individual parcel or </w:t>
            </w:r>
            <w:r w:rsidR="007D3A07" w:rsidRPr="00173EBE">
              <w:rPr>
                <w:iCs/>
              </w:rPr>
              <w:t>d</w:t>
            </w:r>
            <w:r w:rsidRPr="00173EBE">
              <w:rPr>
                <w:iCs/>
              </w:rPr>
              <w:t>welling, the effect of the proposed rule is likely to be greater.  Based on an estimate of where these projects would</w:t>
            </w:r>
            <w:r w:rsidR="007D3A07" w:rsidRPr="00173EBE">
              <w:rPr>
                <w:iCs/>
              </w:rPr>
              <w:t xml:space="preserve"> fall in the proposed fee schedule, it is likely that the applica</w:t>
            </w:r>
            <w:r w:rsidR="00C25B2E">
              <w:rPr>
                <w:iCs/>
              </w:rPr>
              <w:t>nt would need to pay either $985 or $4390</w:t>
            </w:r>
            <w:r w:rsidR="007D3A07" w:rsidRPr="00173EBE">
              <w:rPr>
                <w:iCs/>
              </w:rPr>
              <w:t xml:space="preserve"> in fees (Tier 1 and Tier 2A, respectively).  Assuming the higher amount, the impact of the proposed rule could be substantial on an individual parcel or dwelling.</w:t>
            </w:r>
          </w:p>
        </w:tc>
      </w:tr>
      <w:tr w:rsidR="00211D5F" w:rsidRPr="00173EBE" w:rsidTr="00943AD3">
        <w:tc>
          <w:tcPr>
            <w:tcW w:w="2358" w:type="dxa"/>
          </w:tcPr>
          <w:p w:rsidR="00EE032E" w:rsidRPr="00173EBE" w:rsidRDefault="00211D5F" w:rsidP="00211D5F">
            <w:pPr>
              <w:rPr>
                <w:rFonts w:ascii="Arial" w:hAnsi="Arial" w:cs="Arial"/>
                <w:b/>
              </w:rPr>
            </w:pPr>
            <w:r w:rsidRPr="00173EBE">
              <w:rPr>
                <w:rFonts w:ascii="Arial" w:hAnsi="Arial" w:cs="Arial"/>
                <w:b/>
              </w:rPr>
              <w:lastRenderedPageBreak/>
              <w:t>Adminis</w:t>
            </w:r>
            <w:r w:rsidR="009257A2" w:rsidRPr="00173EBE">
              <w:rPr>
                <w:rFonts w:ascii="Arial" w:hAnsi="Arial" w:cs="Arial"/>
                <w:b/>
              </w:rPr>
              <w:t>trative Rule Advisory Committee</w:t>
            </w:r>
          </w:p>
        </w:tc>
        <w:tc>
          <w:tcPr>
            <w:tcW w:w="8658" w:type="dxa"/>
            <w:gridSpan w:val="2"/>
          </w:tcPr>
          <w:p w:rsidR="006E6321" w:rsidRPr="00173EBE" w:rsidRDefault="006F6E05" w:rsidP="00211D5F">
            <w:pPr>
              <w:rPr>
                <w:iCs/>
              </w:rPr>
            </w:pPr>
            <w:r w:rsidRPr="00173EBE">
              <w:rPr>
                <w:iCs/>
              </w:rPr>
              <w:t>DEQ formed an advisory</w:t>
            </w:r>
            <w:r w:rsidR="00FF7E4E">
              <w:rPr>
                <w:iCs/>
              </w:rPr>
              <w:t xml:space="preserve"> committee in 2007</w:t>
            </w:r>
            <w:r w:rsidR="00CA1E8E" w:rsidRPr="00173EBE">
              <w:rPr>
                <w:iCs/>
              </w:rPr>
              <w:t>, and the committee met several times</w:t>
            </w:r>
            <w:r w:rsidR="007E10CC">
              <w:rPr>
                <w:iCs/>
              </w:rPr>
              <w:t xml:space="preserve"> since then</w:t>
            </w:r>
            <w:r w:rsidR="00CA1E8E" w:rsidRPr="00173EBE">
              <w:rPr>
                <w:iCs/>
              </w:rPr>
              <w:t xml:space="preserve">.  Representatives from the federal government, state government, local governments, environmental groups, and trade associations all participated in this process.  The committee </w:t>
            </w:r>
            <w:r w:rsidR="007E10CC">
              <w:rPr>
                <w:iCs/>
              </w:rPr>
              <w:t>generally</w:t>
            </w:r>
            <w:r w:rsidR="00CA1E8E" w:rsidRPr="00173EBE">
              <w:rPr>
                <w:iCs/>
              </w:rPr>
              <w:t xml:space="preserve"> agreed </w:t>
            </w:r>
            <w:r w:rsidR="00A029F1">
              <w:rPr>
                <w:iCs/>
              </w:rPr>
              <w:t>t</w:t>
            </w:r>
            <w:r w:rsidR="007E10CC">
              <w:rPr>
                <w:iCs/>
              </w:rPr>
              <w:t>hat</w:t>
            </w:r>
            <w:r w:rsidR="00A029F1">
              <w:rPr>
                <w:iCs/>
              </w:rPr>
              <w:t xml:space="preserve"> 401</w:t>
            </w:r>
            <w:r w:rsidR="00CA1E8E" w:rsidRPr="00173EBE">
              <w:rPr>
                <w:iCs/>
              </w:rPr>
              <w:t xml:space="preserve"> certification fees should be based on the actual program costs associated with the review and approval of specific projects.</w:t>
            </w:r>
          </w:p>
          <w:p w:rsidR="00CA1E8E" w:rsidRPr="00173EBE" w:rsidRDefault="00CA1E8E" w:rsidP="00211D5F">
            <w:pPr>
              <w:rPr>
                <w:iCs/>
              </w:rPr>
            </w:pPr>
          </w:p>
          <w:p w:rsidR="00CA1E8E" w:rsidRDefault="00CA1E8E" w:rsidP="00211D5F">
            <w:pPr>
              <w:rPr>
                <w:iCs/>
              </w:rPr>
            </w:pPr>
            <w:r w:rsidRPr="00173EBE">
              <w:rPr>
                <w:iCs/>
              </w:rPr>
              <w:t>In light of new legislative direction per HB 2185</w:t>
            </w:r>
            <w:r w:rsidR="007E10CC">
              <w:rPr>
                <w:iCs/>
              </w:rPr>
              <w:t xml:space="preserve"> in 2009</w:t>
            </w:r>
            <w:r w:rsidRPr="00173EBE">
              <w:rPr>
                <w:iCs/>
              </w:rPr>
              <w:t>, DEQ held an additional meeting of this committee in March 2010 to present options for revised fee structure</w:t>
            </w:r>
            <w:r w:rsidR="007E10CC">
              <w:rPr>
                <w:iCs/>
              </w:rPr>
              <w:t xml:space="preserve"> in the form of fee Tiers</w:t>
            </w:r>
            <w:r w:rsidRPr="00173EBE">
              <w:rPr>
                <w:iCs/>
              </w:rPr>
              <w:t>.  The revised structure took into account several of the issues raised in prior committee discussions</w:t>
            </w:r>
            <w:r w:rsidR="007E10CC">
              <w:rPr>
                <w:iCs/>
              </w:rPr>
              <w:t xml:space="preserve"> and by the Legislature</w:t>
            </w:r>
            <w:r w:rsidRPr="00173EBE">
              <w:rPr>
                <w:iCs/>
              </w:rPr>
              <w:t>.</w:t>
            </w:r>
          </w:p>
          <w:p w:rsidR="00A029F1" w:rsidRDefault="00A029F1" w:rsidP="00211D5F">
            <w:pPr>
              <w:rPr>
                <w:iCs/>
              </w:rPr>
            </w:pPr>
          </w:p>
          <w:p w:rsidR="00A029F1" w:rsidRPr="00173EBE" w:rsidRDefault="00A029F1" w:rsidP="00211D5F">
            <w:pPr>
              <w:rPr>
                <w:iCs/>
              </w:rPr>
            </w:pPr>
            <w:r>
              <w:rPr>
                <w:iCs/>
              </w:rPr>
              <w:t xml:space="preserve">DEQ </w:t>
            </w:r>
            <w:r w:rsidR="007E22DD">
              <w:rPr>
                <w:iCs/>
              </w:rPr>
              <w:t>reconvened</w:t>
            </w:r>
            <w:r>
              <w:rPr>
                <w:iCs/>
              </w:rPr>
              <w:t xml:space="preserve"> the advisory committee i</w:t>
            </w:r>
            <w:r w:rsidR="00616C3F">
              <w:rPr>
                <w:iCs/>
              </w:rPr>
              <w:t>n March 2012 to outline</w:t>
            </w:r>
            <w:r>
              <w:rPr>
                <w:iCs/>
              </w:rPr>
              <w:t xml:space="preserve"> the Kaizen process improvement project</w:t>
            </w:r>
            <w:r w:rsidR="007E22DD">
              <w:rPr>
                <w:iCs/>
              </w:rPr>
              <w:t xml:space="preserve">, </w:t>
            </w:r>
            <w:r w:rsidR="00616C3F">
              <w:rPr>
                <w:iCs/>
              </w:rPr>
              <w:t xml:space="preserve">review </w:t>
            </w:r>
            <w:r w:rsidR="007E22DD">
              <w:rPr>
                <w:iCs/>
              </w:rPr>
              <w:t>the proposed fee structure, and</w:t>
            </w:r>
            <w:r w:rsidR="00616C3F">
              <w:rPr>
                <w:iCs/>
              </w:rPr>
              <w:t xml:space="preserve"> discuss</w:t>
            </w:r>
            <w:r w:rsidR="007E22DD">
              <w:rPr>
                <w:iCs/>
              </w:rPr>
              <w:t xml:space="preserve"> the 401 rulemaking plan.    </w:t>
            </w:r>
            <w:r>
              <w:rPr>
                <w:iCs/>
              </w:rPr>
              <w:t xml:space="preserve"> </w:t>
            </w:r>
          </w:p>
          <w:p w:rsidR="006E6321" w:rsidRDefault="006E6321" w:rsidP="00211D5F"/>
          <w:p w:rsidR="004E7249" w:rsidRPr="00173EBE" w:rsidRDefault="004E7249" w:rsidP="00211D5F">
            <w:r>
              <w:t xml:space="preserve">In June 2012, DEQ provided the members of the advisory committee an opportunity to review and comment on this fiscal impact statement.  </w:t>
            </w:r>
          </w:p>
        </w:tc>
      </w:tr>
    </w:tbl>
    <w:p w:rsidR="00DA42A5" w:rsidRPr="00173EBE" w:rsidRDefault="006A64A3">
      <w:pPr>
        <w:tabs>
          <w:tab w:val="left" w:pos="360"/>
          <w:tab w:val="right" w:pos="2700"/>
        </w:tabs>
        <w:rPr>
          <w:rFonts w:ascii="Arial" w:hAnsi="Arial" w:cs="Arial"/>
        </w:rPr>
      </w:pPr>
      <w:r w:rsidRPr="00173EBE">
        <w:rPr>
          <w:rFonts w:ascii="Arial" w:hAnsi="Arial" w:cs="Arial"/>
        </w:rPr>
        <w:tab/>
      </w:r>
      <w:r w:rsidRPr="00173EBE">
        <w:rPr>
          <w:rFonts w:ascii="Arial" w:hAnsi="Arial" w:cs="Arial"/>
        </w:rPr>
        <w:tab/>
      </w:r>
      <w:r w:rsidRPr="00173EBE">
        <w:rPr>
          <w:rFonts w:ascii="Arial" w:hAnsi="Arial" w:cs="Arial"/>
        </w:rPr>
        <w:tab/>
      </w:r>
      <w:r w:rsidRPr="00173EBE">
        <w:rPr>
          <w:rFonts w:ascii="Arial" w:hAnsi="Arial" w:cs="Arial"/>
        </w:rPr>
        <w:tab/>
      </w:r>
    </w:p>
    <w:p w:rsidR="00EE032E" w:rsidRPr="00173EBE" w:rsidRDefault="00EE032E">
      <w:pPr>
        <w:tabs>
          <w:tab w:val="left" w:pos="360"/>
          <w:tab w:val="right" w:pos="2700"/>
        </w:tabs>
        <w:rPr>
          <w:rFonts w:ascii="Arial" w:hAnsi="Arial" w:cs="Arial"/>
        </w:rPr>
      </w:pPr>
    </w:p>
    <w:p w:rsidR="006A64A3" w:rsidRPr="00173EBE" w:rsidRDefault="004C3D35" w:rsidP="007004FC">
      <w:pPr>
        <w:tabs>
          <w:tab w:val="left" w:pos="360"/>
          <w:tab w:val="right" w:pos="2700"/>
          <w:tab w:val="left" w:pos="2880"/>
          <w:tab w:val="left" w:pos="3600"/>
          <w:tab w:val="left" w:pos="4320"/>
          <w:tab w:val="left" w:pos="5040"/>
          <w:tab w:val="left" w:pos="5760"/>
          <w:tab w:val="left" w:pos="6480"/>
          <w:tab w:val="left" w:pos="7200"/>
          <w:tab w:val="left" w:pos="7920"/>
        </w:tabs>
        <w:rPr>
          <w:rFonts w:ascii="Arial" w:hAnsi="Arial" w:cs="Arial"/>
        </w:rPr>
      </w:pPr>
      <w:r w:rsidRPr="00173EBE">
        <w:rPr>
          <w:rFonts w:ascii="Arial" w:hAnsi="Arial" w:cs="Arial"/>
        </w:rPr>
        <w:t>_________________________________</w:t>
      </w:r>
      <w:r w:rsidRPr="00173EBE">
        <w:rPr>
          <w:rFonts w:ascii="Arial" w:hAnsi="Arial" w:cs="Arial"/>
        </w:rPr>
        <w:tab/>
      </w:r>
      <w:r w:rsidR="007004FC" w:rsidRPr="00173EBE">
        <w:rPr>
          <w:rFonts w:ascii="Arial" w:hAnsi="Arial" w:cs="Arial"/>
        </w:rPr>
        <w:t>____</w:t>
      </w:r>
      <w:r w:rsidRPr="00173EBE">
        <w:rPr>
          <w:rFonts w:ascii="Arial" w:hAnsi="Arial" w:cs="Arial"/>
        </w:rPr>
        <w:t>_____________</w:t>
      </w:r>
      <w:r w:rsidR="00F2038C" w:rsidRPr="00173EBE">
        <w:rPr>
          <w:rFonts w:ascii="Arial" w:hAnsi="Arial" w:cs="Arial"/>
        </w:rPr>
        <w:t>________________           _________________</w:t>
      </w:r>
    </w:p>
    <w:p w:rsidR="007004FC" w:rsidRPr="00173EBE" w:rsidRDefault="007004FC" w:rsidP="007004FC">
      <w:pPr>
        <w:tabs>
          <w:tab w:val="center" w:pos="1700"/>
          <w:tab w:val="left" w:pos="2880"/>
          <w:tab w:val="left" w:pos="3600"/>
          <w:tab w:val="left" w:pos="4320"/>
          <w:tab w:val="left" w:pos="5040"/>
          <w:tab w:val="left" w:pos="5760"/>
          <w:tab w:val="left" w:pos="6480"/>
          <w:tab w:val="left" w:pos="7200"/>
          <w:tab w:val="center" w:pos="7560"/>
          <w:tab w:val="left" w:pos="7920"/>
        </w:tabs>
        <w:rPr>
          <w:rFonts w:ascii="Arial" w:hAnsi="Arial" w:cs="Arial"/>
        </w:rPr>
      </w:pPr>
      <w:r w:rsidRPr="00173EBE">
        <w:rPr>
          <w:rFonts w:ascii="Arial" w:hAnsi="Arial" w:cs="Arial"/>
        </w:rPr>
        <w:t>Prepared</w:t>
      </w:r>
      <w:r w:rsidR="00BC20F6" w:rsidRPr="00173EBE">
        <w:rPr>
          <w:rFonts w:ascii="Arial" w:hAnsi="Arial" w:cs="Arial"/>
        </w:rPr>
        <w:t xml:space="preserve"> by</w:t>
      </w:r>
      <w:r w:rsidRPr="00173EBE">
        <w:rPr>
          <w:rFonts w:ascii="Arial" w:hAnsi="Arial" w:cs="Arial"/>
        </w:rPr>
        <w:tab/>
      </w:r>
      <w:r w:rsidRPr="00173EBE">
        <w:rPr>
          <w:rFonts w:ascii="Arial" w:hAnsi="Arial" w:cs="Arial"/>
        </w:rPr>
        <w:tab/>
      </w:r>
      <w:r w:rsidRPr="00173EBE">
        <w:rPr>
          <w:rFonts w:ascii="Arial" w:hAnsi="Arial" w:cs="Arial"/>
        </w:rPr>
        <w:tab/>
      </w:r>
      <w:r w:rsidRPr="00173EBE">
        <w:rPr>
          <w:rFonts w:ascii="Arial" w:hAnsi="Arial" w:cs="Arial"/>
        </w:rPr>
        <w:tab/>
        <w:t>Printed name</w:t>
      </w:r>
      <w:r w:rsidRPr="00173EBE">
        <w:rPr>
          <w:rFonts w:ascii="Arial" w:hAnsi="Arial" w:cs="Arial"/>
        </w:rPr>
        <w:tab/>
      </w:r>
      <w:r w:rsidRPr="00173EBE">
        <w:rPr>
          <w:rFonts w:ascii="Arial" w:hAnsi="Arial" w:cs="Arial"/>
        </w:rPr>
        <w:tab/>
      </w:r>
      <w:r w:rsidRPr="00173EBE">
        <w:rPr>
          <w:rFonts w:ascii="Arial" w:hAnsi="Arial" w:cs="Arial"/>
        </w:rPr>
        <w:tab/>
      </w:r>
      <w:r w:rsidRPr="00173EBE">
        <w:rPr>
          <w:rFonts w:ascii="Arial" w:hAnsi="Arial" w:cs="Arial"/>
        </w:rPr>
        <w:tab/>
      </w:r>
      <w:r w:rsidRPr="00173EBE">
        <w:rPr>
          <w:rFonts w:ascii="Arial" w:hAnsi="Arial" w:cs="Arial"/>
        </w:rPr>
        <w:tab/>
      </w:r>
      <w:r w:rsidRPr="00173EBE">
        <w:rPr>
          <w:rFonts w:ascii="Arial" w:hAnsi="Arial" w:cs="Arial"/>
        </w:rPr>
        <w:tab/>
        <w:t>Date</w:t>
      </w:r>
    </w:p>
    <w:p w:rsidR="007004FC" w:rsidRPr="00173EBE" w:rsidRDefault="007004FC" w:rsidP="007004FC">
      <w:pPr>
        <w:tabs>
          <w:tab w:val="center" w:pos="1700"/>
          <w:tab w:val="left" w:pos="2880"/>
          <w:tab w:val="left" w:pos="3600"/>
          <w:tab w:val="left" w:pos="4320"/>
          <w:tab w:val="left" w:pos="5040"/>
          <w:tab w:val="left" w:pos="5760"/>
          <w:tab w:val="left" w:pos="6480"/>
          <w:tab w:val="left" w:pos="7200"/>
          <w:tab w:val="center" w:pos="7560"/>
          <w:tab w:val="left" w:pos="7920"/>
        </w:tabs>
        <w:rPr>
          <w:rFonts w:ascii="Arial" w:hAnsi="Arial" w:cs="Arial"/>
        </w:rPr>
      </w:pPr>
    </w:p>
    <w:p w:rsidR="00DA42A5" w:rsidRPr="00173EBE" w:rsidRDefault="00DA42A5" w:rsidP="007004FC">
      <w:pPr>
        <w:tabs>
          <w:tab w:val="left" w:pos="360"/>
          <w:tab w:val="right" w:pos="2700"/>
          <w:tab w:val="left" w:pos="2880"/>
          <w:tab w:val="left" w:pos="3600"/>
          <w:tab w:val="left" w:pos="4320"/>
          <w:tab w:val="left" w:pos="5040"/>
          <w:tab w:val="left" w:pos="5760"/>
          <w:tab w:val="left" w:pos="6480"/>
          <w:tab w:val="left" w:pos="7200"/>
          <w:tab w:val="left" w:pos="7920"/>
        </w:tabs>
        <w:rPr>
          <w:rFonts w:ascii="Arial" w:hAnsi="Arial" w:cs="Arial"/>
        </w:rPr>
      </w:pPr>
      <w:r w:rsidRPr="00173EBE">
        <w:rPr>
          <w:rFonts w:ascii="Arial" w:hAnsi="Arial" w:cs="Arial"/>
        </w:rPr>
        <w:tab/>
      </w:r>
      <w:r w:rsidRPr="00173EBE">
        <w:rPr>
          <w:rFonts w:ascii="Arial" w:hAnsi="Arial" w:cs="Arial"/>
        </w:rPr>
        <w:tab/>
      </w:r>
      <w:r w:rsidRPr="00173EBE">
        <w:rPr>
          <w:rFonts w:ascii="Arial" w:hAnsi="Arial" w:cs="Arial"/>
        </w:rPr>
        <w:tab/>
      </w:r>
    </w:p>
    <w:p w:rsidR="004C3D35" w:rsidRPr="00173EBE" w:rsidRDefault="004C3D35" w:rsidP="004C3D35">
      <w:pPr>
        <w:tabs>
          <w:tab w:val="left" w:pos="360"/>
          <w:tab w:val="right" w:pos="2700"/>
          <w:tab w:val="left" w:pos="2880"/>
          <w:tab w:val="left" w:pos="3600"/>
          <w:tab w:val="left" w:pos="4320"/>
          <w:tab w:val="left" w:pos="5040"/>
          <w:tab w:val="left" w:pos="5760"/>
          <w:tab w:val="left" w:pos="6480"/>
          <w:tab w:val="left" w:pos="7200"/>
          <w:tab w:val="left" w:pos="7920"/>
        </w:tabs>
        <w:rPr>
          <w:rFonts w:ascii="Arial" w:hAnsi="Arial" w:cs="Arial"/>
        </w:rPr>
      </w:pPr>
      <w:r w:rsidRPr="00173EBE">
        <w:rPr>
          <w:rFonts w:ascii="Arial" w:hAnsi="Arial" w:cs="Arial"/>
        </w:rPr>
        <w:t>_________________________________</w:t>
      </w:r>
      <w:r w:rsidRPr="00173EBE">
        <w:rPr>
          <w:rFonts w:ascii="Arial" w:hAnsi="Arial" w:cs="Arial"/>
        </w:rPr>
        <w:tab/>
        <w:t>_________________</w:t>
      </w:r>
      <w:r w:rsidR="00F2038C" w:rsidRPr="00173EBE">
        <w:rPr>
          <w:rFonts w:ascii="Arial" w:hAnsi="Arial" w:cs="Arial"/>
        </w:rPr>
        <w:t>________________           __________________</w:t>
      </w:r>
    </w:p>
    <w:p w:rsidR="006A64A3" w:rsidRPr="00891DCE" w:rsidRDefault="007004FC" w:rsidP="004C3D35">
      <w:pPr>
        <w:tabs>
          <w:tab w:val="left" w:pos="2880"/>
          <w:tab w:val="left" w:pos="3600"/>
          <w:tab w:val="left" w:pos="4320"/>
          <w:tab w:val="left" w:pos="5040"/>
          <w:tab w:val="left" w:pos="5760"/>
          <w:tab w:val="left" w:pos="6480"/>
          <w:tab w:val="left" w:pos="7200"/>
          <w:tab w:val="left" w:pos="7920"/>
        </w:tabs>
        <w:rPr>
          <w:rFonts w:ascii="Arial" w:hAnsi="Arial" w:cs="Arial"/>
        </w:rPr>
      </w:pPr>
      <w:r w:rsidRPr="00173EBE">
        <w:rPr>
          <w:rFonts w:ascii="Arial" w:hAnsi="Arial" w:cs="Arial"/>
        </w:rPr>
        <w:t xml:space="preserve">Approved by </w:t>
      </w:r>
      <w:r w:rsidR="009611F3" w:rsidRPr="00173EBE">
        <w:rPr>
          <w:rFonts w:ascii="Arial" w:hAnsi="Arial" w:cs="Arial"/>
        </w:rPr>
        <w:t>DEQ Budget Office</w:t>
      </w:r>
      <w:r w:rsidRPr="00173EBE">
        <w:rPr>
          <w:rFonts w:ascii="Arial" w:hAnsi="Arial" w:cs="Arial"/>
        </w:rPr>
        <w:tab/>
      </w:r>
      <w:r w:rsidRPr="00173EBE">
        <w:rPr>
          <w:rFonts w:ascii="Arial" w:hAnsi="Arial" w:cs="Arial"/>
        </w:rPr>
        <w:tab/>
      </w:r>
      <w:r w:rsidRPr="00173EBE">
        <w:rPr>
          <w:rFonts w:ascii="Arial" w:hAnsi="Arial" w:cs="Arial"/>
        </w:rPr>
        <w:tab/>
      </w:r>
      <w:r w:rsidR="009611F3" w:rsidRPr="00173EBE">
        <w:rPr>
          <w:rFonts w:ascii="Arial" w:hAnsi="Arial" w:cs="Arial"/>
        </w:rPr>
        <w:t>Printed name</w:t>
      </w:r>
      <w:r w:rsidR="009611F3" w:rsidRPr="00891DCE">
        <w:rPr>
          <w:rFonts w:ascii="Arial" w:hAnsi="Arial" w:cs="Arial"/>
        </w:rPr>
        <w:tab/>
      </w:r>
      <w:r w:rsidR="009611F3" w:rsidRPr="00891DCE">
        <w:rPr>
          <w:rFonts w:ascii="Arial" w:hAnsi="Arial" w:cs="Arial"/>
        </w:rPr>
        <w:tab/>
      </w:r>
      <w:r w:rsidR="009611F3" w:rsidRPr="00891DCE">
        <w:rPr>
          <w:rFonts w:ascii="Arial" w:hAnsi="Arial" w:cs="Arial"/>
        </w:rPr>
        <w:tab/>
      </w:r>
      <w:r w:rsidR="009611F3" w:rsidRPr="00891DCE">
        <w:rPr>
          <w:rFonts w:ascii="Arial" w:hAnsi="Arial" w:cs="Arial"/>
        </w:rPr>
        <w:tab/>
      </w:r>
      <w:r w:rsidR="009611F3" w:rsidRPr="00891DCE">
        <w:rPr>
          <w:rFonts w:ascii="Arial" w:hAnsi="Arial" w:cs="Arial"/>
        </w:rPr>
        <w:tab/>
        <w:t>Date</w:t>
      </w:r>
    </w:p>
    <w:sectPr w:rsidR="006A64A3" w:rsidRPr="00891DCE" w:rsidSect="00271F85">
      <w:footerReference w:type="default" r:id="rId7"/>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9B7" w:rsidRDefault="00E019B7">
      <w:r>
        <w:separator/>
      </w:r>
    </w:p>
  </w:endnote>
  <w:endnote w:type="continuationSeparator" w:id="0">
    <w:p w:rsidR="00E019B7" w:rsidRDefault="00E019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9B7" w:rsidRDefault="00E019B7">
    <w:pPr>
      <w:pStyle w:val="Footer"/>
    </w:pPr>
  </w:p>
  <w:p w:rsidR="00E019B7" w:rsidRPr="0017100C" w:rsidRDefault="00E019B7" w:rsidP="00672CF1">
    <w:pPr>
      <w:pStyle w:val="Foote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9B7" w:rsidRDefault="00E019B7">
      <w:r>
        <w:separator/>
      </w:r>
    </w:p>
  </w:footnote>
  <w:footnote w:type="continuationSeparator" w:id="0">
    <w:p w:rsidR="00E019B7" w:rsidRDefault="00E019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70FA"/>
    <w:multiLevelType w:val="hybridMultilevel"/>
    <w:tmpl w:val="1E54C9A8"/>
    <w:lvl w:ilvl="0" w:tplc="3E06E6E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B764C0"/>
    <w:multiLevelType w:val="hybridMultilevel"/>
    <w:tmpl w:val="BCA230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70212B"/>
    <w:multiLevelType w:val="hybridMultilevel"/>
    <w:tmpl w:val="5080C8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F80680"/>
    <w:multiLevelType w:val="hybridMultilevel"/>
    <w:tmpl w:val="CFF6C0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A836ED"/>
    <w:multiLevelType w:val="hybridMultilevel"/>
    <w:tmpl w:val="C32E6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323099"/>
    <w:multiLevelType w:val="hybridMultilevel"/>
    <w:tmpl w:val="3154E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8F1173D"/>
    <w:multiLevelType w:val="hybridMultilevel"/>
    <w:tmpl w:val="4A529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6"/>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A64A3"/>
    <w:rsid w:val="00002C19"/>
    <w:rsid w:val="000114E9"/>
    <w:rsid w:val="0001295D"/>
    <w:rsid w:val="0001576E"/>
    <w:rsid w:val="00015DA5"/>
    <w:rsid w:val="000207CB"/>
    <w:rsid w:val="00024A06"/>
    <w:rsid w:val="00032EB7"/>
    <w:rsid w:val="00036786"/>
    <w:rsid w:val="00040ECC"/>
    <w:rsid w:val="00041EAA"/>
    <w:rsid w:val="00043C28"/>
    <w:rsid w:val="0004745A"/>
    <w:rsid w:val="000479A0"/>
    <w:rsid w:val="000531BC"/>
    <w:rsid w:val="00053BB3"/>
    <w:rsid w:val="000567AD"/>
    <w:rsid w:val="00056EC3"/>
    <w:rsid w:val="0006364F"/>
    <w:rsid w:val="0006385C"/>
    <w:rsid w:val="000679C7"/>
    <w:rsid w:val="00067F22"/>
    <w:rsid w:val="00070F34"/>
    <w:rsid w:val="0007535A"/>
    <w:rsid w:val="00076640"/>
    <w:rsid w:val="00076950"/>
    <w:rsid w:val="000862D5"/>
    <w:rsid w:val="00090612"/>
    <w:rsid w:val="00090C6C"/>
    <w:rsid w:val="00094483"/>
    <w:rsid w:val="00094D4F"/>
    <w:rsid w:val="00096876"/>
    <w:rsid w:val="000A345B"/>
    <w:rsid w:val="000A6441"/>
    <w:rsid w:val="000B4052"/>
    <w:rsid w:val="000C2EE0"/>
    <w:rsid w:val="000C6F67"/>
    <w:rsid w:val="000D78AE"/>
    <w:rsid w:val="000E1CF8"/>
    <w:rsid w:val="000E4E10"/>
    <w:rsid w:val="000E76E4"/>
    <w:rsid w:val="000F095C"/>
    <w:rsid w:val="000F0FFC"/>
    <w:rsid w:val="000F3A7F"/>
    <w:rsid w:val="00110455"/>
    <w:rsid w:val="00110EF5"/>
    <w:rsid w:val="001123C4"/>
    <w:rsid w:val="0011563B"/>
    <w:rsid w:val="001169CF"/>
    <w:rsid w:val="00126872"/>
    <w:rsid w:val="00126F29"/>
    <w:rsid w:val="00127402"/>
    <w:rsid w:val="00132CD4"/>
    <w:rsid w:val="001337F0"/>
    <w:rsid w:val="00133866"/>
    <w:rsid w:val="0013756F"/>
    <w:rsid w:val="00141E1C"/>
    <w:rsid w:val="00151039"/>
    <w:rsid w:val="001649E4"/>
    <w:rsid w:val="00170B34"/>
    <w:rsid w:val="0017100C"/>
    <w:rsid w:val="00173EBE"/>
    <w:rsid w:val="001834CA"/>
    <w:rsid w:val="00184D07"/>
    <w:rsid w:val="00187645"/>
    <w:rsid w:val="00193B5B"/>
    <w:rsid w:val="00194776"/>
    <w:rsid w:val="00197941"/>
    <w:rsid w:val="001A0427"/>
    <w:rsid w:val="001A57AE"/>
    <w:rsid w:val="001B152F"/>
    <w:rsid w:val="001B1E46"/>
    <w:rsid w:val="001C11D8"/>
    <w:rsid w:val="001C20E0"/>
    <w:rsid w:val="001C6173"/>
    <w:rsid w:val="001C62CB"/>
    <w:rsid w:val="001D2B1A"/>
    <w:rsid w:val="001E6C2A"/>
    <w:rsid w:val="001F2491"/>
    <w:rsid w:val="001F389C"/>
    <w:rsid w:val="001F42FD"/>
    <w:rsid w:val="002034C3"/>
    <w:rsid w:val="00204C00"/>
    <w:rsid w:val="002068DE"/>
    <w:rsid w:val="00210082"/>
    <w:rsid w:val="002114D7"/>
    <w:rsid w:val="00211D5F"/>
    <w:rsid w:val="00211EEB"/>
    <w:rsid w:val="00214500"/>
    <w:rsid w:val="00220D8C"/>
    <w:rsid w:val="00222056"/>
    <w:rsid w:val="00224100"/>
    <w:rsid w:val="002241C3"/>
    <w:rsid w:val="00224BEE"/>
    <w:rsid w:val="002256C5"/>
    <w:rsid w:val="0022579E"/>
    <w:rsid w:val="002279D5"/>
    <w:rsid w:val="0023047F"/>
    <w:rsid w:val="00235DE7"/>
    <w:rsid w:val="002365E9"/>
    <w:rsid w:val="00247A53"/>
    <w:rsid w:val="00251847"/>
    <w:rsid w:val="002633E2"/>
    <w:rsid w:val="00271F85"/>
    <w:rsid w:val="00273478"/>
    <w:rsid w:val="00281EBB"/>
    <w:rsid w:val="0028371C"/>
    <w:rsid w:val="00287077"/>
    <w:rsid w:val="002944DD"/>
    <w:rsid w:val="002977C0"/>
    <w:rsid w:val="00297C70"/>
    <w:rsid w:val="002B2524"/>
    <w:rsid w:val="002C11D3"/>
    <w:rsid w:val="002C330C"/>
    <w:rsid w:val="002D3D3F"/>
    <w:rsid w:val="002E00E7"/>
    <w:rsid w:val="002E26E7"/>
    <w:rsid w:val="002F3253"/>
    <w:rsid w:val="002F5509"/>
    <w:rsid w:val="002F578C"/>
    <w:rsid w:val="002F78E8"/>
    <w:rsid w:val="00300235"/>
    <w:rsid w:val="003023DA"/>
    <w:rsid w:val="00304556"/>
    <w:rsid w:val="0031145E"/>
    <w:rsid w:val="00330BB7"/>
    <w:rsid w:val="00335EDC"/>
    <w:rsid w:val="0033666A"/>
    <w:rsid w:val="003577A6"/>
    <w:rsid w:val="00362627"/>
    <w:rsid w:val="00362648"/>
    <w:rsid w:val="00364F29"/>
    <w:rsid w:val="0037071B"/>
    <w:rsid w:val="00372229"/>
    <w:rsid w:val="003732F5"/>
    <w:rsid w:val="0037391F"/>
    <w:rsid w:val="003849F8"/>
    <w:rsid w:val="00385DDF"/>
    <w:rsid w:val="0039428F"/>
    <w:rsid w:val="003A72A6"/>
    <w:rsid w:val="003B58E7"/>
    <w:rsid w:val="003B6C0A"/>
    <w:rsid w:val="003D14A9"/>
    <w:rsid w:val="003D1AF5"/>
    <w:rsid w:val="003D413A"/>
    <w:rsid w:val="003D4221"/>
    <w:rsid w:val="003D4B1C"/>
    <w:rsid w:val="003E2809"/>
    <w:rsid w:val="003E36A9"/>
    <w:rsid w:val="0040081A"/>
    <w:rsid w:val="0040443D"/>
    <w:rsid w:val="0041037A"/>
    <w:rsid w:val="00411409"/>
    <w:rsid w:val="004150AE"/>
    <w:rsid w:val="00421570"/>
    <w:rsid w:val="00422583"/>
    <w:rsid w:val="00424FE7"/>
    <w:rsid w:val="00426107"/>
    <w:rsid w:val="004328C4"/>
    <w:rsid w:val="00436A8A"/>
    <w:rsid w:val="004430B9"/>
    <w:rsid w:val="004457B5"/>
    <w:rsid w:val="004461A9"/>
    <w:rsid w:val="00455621"/>
    <w:rsid w:val="00456DD5"/>
    <w:rsid w:val="0046030B"/>
    <w:rsid w:val="00466A8D"/>
    <w:rsid w:val="004755B8"/>
    <w:rsid w:val="00482BB4"/>
    <w:rsid w:val="00482C25"/>
    <w:rsid w:val="00486F49"/>
    <w:rsid w:val="004918B8"/>
    <w:rsid w:val="00494934"/>
    <w:rsid w:val="004A07C8"/>
    <w:rsid w:val="004A2CB8"/>
    <w:rsid w:val="004A661D"/>
    <w:rsid w:val="004A7A08"/>
    <w:rsid w:val="004B2642"/>
    <w:rsid w:val="004B6D33"/>
    <w:rsid w:val="004B7BC8"/>
    <w:rsid w:val="004C096C"/>
    <w:rsid w:val="004C27F8"/>
    <w:rsid w:val="004C3D35"/>
    <w:rsid w:val="004C5C1F"/>
    <w:rsid w:val="004C6CEA"/>
    <w:rsid w:val="004D0F04"/>
    <w:rsid w:val="004D10F3"/>
    <w:rsid w:val="004D5CE7"/>
    <w:rsid w:val="004E69A7"/>
    <w:rsid w:val="004E7249"/>
    <w:rsid w:val="004E7857"/>
    <w:rsid w:val="004F2D37"/>
    <w:rsid w:val="004F75AE"/>
    <w:rsid w:val="004F79F2"/>
    <w:rsid w:val="00504D15"/>
    <w:rsid w:val="005062F9"/>
    <w:rsid w:val="00512695"/>
    <w:rsid w:val="00512BE7"/>
    <w:rsid w:val="0051355D"/>
    <w:rsid w:val="005217A0"/>
    <w:rsid w:val="00533CD6"/>
    <w:rsid w:val="00534578"/>
    <w:rsid w:val="00535E0D"/>
    <w:rsid w:val="00542525"/>
    <w:rsid w:val="00554C1C"/>
    <w:rsid w:val="00560FE6"/>
    <w:rsid w:val="00561056"/>
    <w:rsid w:val="005610AA"/>
    <w:rsid w:val="005634F5"/>
    <w:rsid w:val="00565D15"/>
    <w:rsid w:val="00570B55"/>
    <w:rsid w:val="005767E3"/>
    <w:rsid w:val="005843E5"/>
    <w:rsid w:val="005859E6"/>
    <w:rsid w:val="0058612E"/>
    <w:rsid w:val="00587A78"/>
    <w:rsid w:val="00592C3B"/>
    <w:rsid w:val="005A1B14"/>
    <w:rsid w:val="005A3009"/>
    <w:rsid w:val="005A3ECD"/>
    <w:rsid w:val="005A4C47"/>
    <w:rsid w:val="005B0E22"/>
    <w:rsid w:val="005B18F4"/>
    <w:rsid w:val="005B41EA"/>
    <w:rsid w:val="005B48B4"/>
    <w:rsid w:val="005C02F8"/>
    <w:rsid w:val="005C2A15"/>
    <w:rsid w:val="005C778F"/>
    <w:rsid w:val="005D1428"/>
    <w:rsid w:val="005D212B"/>
    <w:rsid w:val="005D348F"/>
    <w:rsid w:val="005D6E13"/>
    <w:rsid w:val="005E0DCE"/>
    <w:rsid w:val="005E16B4"/>
    <w:rsid w:val="005E184C"/>
    <w:rsid w:val="005E1B38"/>
    <w:rsid w:val="005E556D"/>
    <w:rsid w:val="005E64E1"/>
    <w:rsid w:val="005F39B7"/>
    <w:rsid w:val="005F7E2E"/>
    <w:rsid w:val="00602857"/>
    <w:rsid w:val="00610BC3"/>
    <w:rsid w:val="00616C3F"/>
    <w:rsid w:val="00616D4C"/>
    <w:rsid w:val="00621478"/>
    <w:rsid w:val="00624D46"/>
    <w:rsid w:val="00630CF6"/>
    <w:rsid w:val="006345F3"/>
    <w:rsid w:val="00636EC6"/>
    <w:rsid w:val="00640B0A"/>
    <w:rsid w:val="00647D80"/>
    <w:rsid w:val="006567EE"/>
    <w:rsid w:val="00661323"/>
    <w:rsid w:val="00662023"/>
    <w:rsid w:val="0066364D"/>
    <w:rsid w:val="0066609E"/>
    <w:rsid w:val="00672484"/>
    <w:rsid w:val="00672CF1"/>
    <w:rsid w:val="006731E4"/>
    <w:rsid w:val="00676867"/>
    <w:rsid w:val="0068056B"/>
    <w:rsid w:val="006809AB"/>
    <w:rsid w:val="006866B7"/>
    <w:rsid w:val="00695E24"/>
    <w:rsid w:val="00696A79"/>
    <w:rsid w:val="006977C9"/>
    <w:rsid w:val="006A64A3"/>
    <w:rsid w:val="006A7254"/>
    <w:rsid w:val="006B7E6F"/>
    <w:rsid w:val="006C0BDA"/>
    <w:rsid w:val="006D3ACE"/>
    <w:rsid w:val="006E152C"/>
    <w:rsid w:val="006E24DA"/>
    <w:rsid w:val="006E6321"/>
    <w:rsid w:val="006F1E73"/>
    <w:rsid w:val="006F1EB9"/>
    <w:rsid w:val="006F3055"/>
    <w:rsid w:val="006F37B3"/>
    <w:rsid w:val="006F3F57"/>
    <w:rsid w:val="006F6E05"/>
    <w:rsid w:val="006F7D39"/>
    <w:rsid w:val="007004FC"/>
    <w:rsid w:val="00704118"/>
    <w:rsid w:val="007067FD"/>
    <w:rsid w:val="00711A87"/>
    <w:rsid w:val="0071696D"/>
    <w:rsid w:val="00716DA8"/>
    <w:rsid w:val="0072473B"/>
    <w:rsid w:val="0072481E"/>
    <w:rsid w:val="00726737"/>
    <w:rsid w:val="00727370"/>
    <w:rsid w:val="00727B74"/>
    <w:rsid w:val="00731FE0"/>
    <w:rsid w:val="00733AE9"/>
    <w:rsid w:val="00733F3A"/>
    <w:rsid w:val="00737336"/>
    <w:rsid w:val="00737B8F"/>
    <w:rsid w:val="00742273"/>
    <w:rsid w:val="00746885"/>
    <w:rsid w:val="00747475"/>
    <w:rsid w:val="00753D7B"/>
    <w:rsid w:val="00760AD6"/>
    <w:rsid w:val="00767C66"/>
    <w:rsid w:val="00774C79"/>
    <w:rsid w:val="00774D6F"/>
    <w:rsid w:val="00777EE9"/>
    <w:rsid w:val="00785F71"/>
    <w:rsid w:val="007870A5"/>
    <w:rsid w:val="007902B6"/>
    <w:rsid w:val="00795A22"/>
    <w:rsid w:val="007A146D"/>
    <w:rsid w:val="007A2436"/>
    <w:rsid w:val="007A3BCB"/>
    <w:rsid w:val="007A5174"/>
    <w:rsid w:val="007A6099"/>
    <w:rsid w:val="007A731A"/>
    <w:rsid w:val="007A7C5D"/>
    <w:rsid w:val="007B167C"/>
    <w:rsid w:val="007B477A"/>
    <w:rsid w:val="007C141D"/>
    <w:rsid w:val="007C2D3E"/>
    <w:rsid w:val="007D2BCB"/>
    <w:rsid w:val="007D3A07"/>
    <w:rsid w:val="007D5B51"/>
    <w:rsid w:val="007D5D64"/>
    <w:rsid w:val="007D6D8B"/>
    <w:rsid w:val="007E10CC"/>
    <w:rsid w:val="007E22DD"/>
    <w:rsid w:val="007F1514"/>
    <w:rsid w:val="007F2B1F"/>
    <w:rsid w:val="007F3011"/>
    <w:rsid w:val="007F3259"/>
    <w:rsid w:val="007F53C6"/>
    <w:rsid w:val="007F6FED"/>
    <w:rsid w:val="007F7B35"/>
    <w:rsid w:val="00800CD0"/>
    <w:rsid w:val="00810757"/>
    <w:rsid w:val="00816682"/>
    <w:rsid w:val="008251D0"/>
    <w:rsid w:val="00842142"/>
    <w:rsid w:val="00845F26"/>
    <w:rsid w:val="00847B5D"/>
    <w:rsid w:val="00857BBE"/>
    <w:rsid w:val="00860B15"/>
    <w:rsid w:val="0086119E"/>
    <w:rsid w:val="00865348"/>
    <w:rsid w:val="0086683D"/>
    <w:rsid w:val="008761D4"/>
    <w:rsid w:val="00881AD4"/>
    <w:rsid w:val="00881D42"/>
    <w:rsid w:val="00882EB0"/>
    <w:rsid w:val="008840B8"/>
    <w:rsid w:val="008915AA"/>
    <w:rsid w:val="00891DCE"/>
    <w:rsid w:val="008947AB"/>
    <w:rsid w:val="00897808"/>
    <w:rsid w:val="008A13AD"/>
    <w:rsid w:val="008B328A"/>
    <w:rsid w:val="008B42C7"/>
    <w:rsid w:val="008B55D3"/>
    <w:rsid w:val="008B6A83"/>
    <w:rsid w:val="008B784C"/>
    <w:rsid w:val="008B7C05"/>
    <w:rsid w:val="008D0B29"/>
    <w:rsid w:val="008D7051"/>
    <w:rsid w:val="008E188A"/>
    <w:rsid w:val="008E5143"/>
    <w:rsid w:val="008E51F5"/>
    <w:rsid w:val="008E616E"/>
    <w:rsid w:val="008F0BB3"/>
    <w:rsid w:val="009007C7"/>
    <w:rsid w:val="00901AD0"/>
    <w:rsid w:val="0090215F"/>
    <w:rsid w:val="00905A37"/>
    <w:rsid w:val="00912B45"/>
    <w:rsid w:val="009136F2"/>
    <w:rsid w:val="009160F6"/>
    <w:rsid w:val="00920841"/>
    <w:rsid w:val="009257A2"/>
    <w:rsid w:val="00925E4E"/>
    <w:rsid w:val="00926DE2"/>
    <w:rsid w:val="00931890"/>
    <w:rsid w:val="009338DE"/>
    <w:rsid w:val="0093737F"/>
    <w:rsid w:val="009410B8"/>
    <w:rsid w:val="009416D1"/>
    <w:rsid w:val="00943210"/>
    <w:rsid w:val="00943AD3"/>
    <w:rsid w:val="00956B70"/>
    <w:rsid w:val="009611F3"/>
    <w:rsid w:val="0096149D"/>
    <w:rsid w:val="00962E6B"/>
    <w:rsid w:val="0096737E"/>
    <w:rsid w:val="00972800"/>
    <w:rsid w:val="0097407D"/>
    <w:rsid w:val="00981D45"/>
    <w:rsid w:val="00982A85"/>
    <w:rsid w:val="009830CC"/>
    <w:rsid w:val="00986D78"/>
    <w:rsid w:val="00987260"/>
    <w:rsid w:val="00992E4D"/>
    <w:rsid w:val="009A1D54"/>
    <w:rsid w:val="009A4405"/>
    <w:rsid w:val="009B1058"/>
    <w:rsid w:val="009B2C3E"/>
    <w:rsid w:val="009C3127"/>
    <w:rsid w:val="009D7903"/>
    <w:rsid w:val="009E0102"/>
    <w:rsid w:val="009E0821"/>
    <w:rsid w:val="009E2A6C"/>
    <w:rsid w:val="009E50F0"/>
    <w:rsid w:val="009E5FFE"/>
    <w:rsid w:val="009E6021"/>
    <w:rsid w:val="009E6B4D"/>
    <w:rsid w:val="009F0839"/>
    <w:rsid w:val="009F157A"/>
    <w:rsid w:val="009F3CC9"/>
    <w:rsid w:val="009F5A3F"/>
    <w:rsid w:val="009F7489"/>
    <w:rsid w:val="00A029F1"/>
    <w:rsid w:val="00A0595F"/>
    <w:rsid w:val="00A06302"/>
    <w:rsid w:val="00A20346"/>
    <w:rsid w:val="00A2321B"/>
    <w:rsid w:val="00A23EF5"/>
    <w:rsid w:val="00A32585"/>
    <w:rsid w:val="00A37B83"/>
    <w:rsid w:val="00A40693"/>
    <w:rsid w:val="00A4387B"/>
    <w:rsid w:val="00A50FD5"/>
    <w:rsid w:val="00A54AFA"/>
    <w:rsid w:val="00A5555C"/>
    <w:rsid w:val="00A61A01"/>
    <w:rsid w:val="00A62F37"/>
    <w:rsid w:val="00A64A2D"/>
    <w:rsid w:val="00A64EEA"/>
    <w:rsid w:val="00A65E82"/>
    <w:rsid w:val="00A678C0"/>
    <w:rsid w:val="00A74329"/>
    <w:rsid w:val="00A829A9"/>
    <w:rsid w:val="00A87FAF"/>
    <w:rsid w:val="00AA37A9"/>
    <w:rsid w:val="00AB2213"/>
    <w:rsid w:val="00AD2571"/>
    <w:rsid w:val="00AD3959"/>
    <w:rsid w:val="00AD4C55"/>
    <w:rsid w:val="00AD6A51"/>
    <w:rsid w:val="00AE77DE"/>
    <w:rsid w:val="00AF096D"/>
    <w:rsid w:val="00AF0DF8"/>
    <w:rsid w:val="00AF63E3"/>
    <w:rsid w:val="00AF7367"/>
    <w:rsid w:val="00B055F8"/>
    <w:rsid w:val="00B05E2C"/>
    <w:rsid w:val="00B1335D"/>
    <w:rsid w:val="00B13628"/>
    <w:rsid w:val="00B17EE0"/>
    <w:rsid w:val="00B2043A"/>
    <w:rsid w:val="00B21C8C"/>
    <w:rsid w:val="00B3143C"/>
    <w:rsid w:val="00B372CC"/>
    <w:rsid w:val="00B464D6"/>
    <w:rsid w:val="00B47501"/>
    <w:rsid w:val="00B57B76"/>
    <w:rsid w:val="00B6119F"/>
    <w:rsid w:val="00B62CC9"/>
    <w:rsid w:val="00B66F3B"/>
    <w:rsid w:val="00B7093A"/>
    <w:rsid w:val="00B8031D"/>
    <w:rsid w:val="00B82FD4"/>
    <w:rsid w:val="00B831A3"/>
    <w:rsid w:val="00B85763"/>
    <w:rsid w:val="00B92CFD"/>
    <w:rsid w:val="00BA06A9"/>
    <w:rsid w:val="00BA3083"/>
    <w:rsid w:val="00BB136C"/>
    <w:rsid w:val="00BB21C6"/>
    <w:rsid w:val="00BB3E7C"/>
    <w:rsid w:val="00BC187E"/>
    <w:rsid w:val="00BC20F6"/>
    <w:rsid w:val="00BC663E"/>
    <w:rsid w:val="00BC7943"/>
    <w:rsid w:val="00BC79D3"/>
    <w:rsid w:val="00BC7BF6"/>
    <w:rsid w:val="00BD6B9B"/>
    <w:rsid w:val="00BE4807"/>
    <w:rsid w:val="00BE6DC2"/>
    <w:rsid w:val="00BE7235"/>
    <w:rsid w:val="00BF6E71"/>
    <w:rsid w:val="00BF7496"/>
    <w:rsid w:val="00C02F60"/>
    <w:rsid w:val="00C10FD6"/>
    <w:rsid w:val="00C112B7"/>
    <w:rsid w:val="00C20F05"/>
    <w:rsid w:val="00C221FC"/>
    <w:rsid w:val="00C25B2E"/>
    <w:rsid w:val="00C3255E"/>
    <w:rsid w:val="00C42570"/>
    <w:rsid w:val="00C42F46"/>
    <w:rsid w:val="00C43351"/>
    <w:rsid w:val="00C44B53"/>
    <w:rsid w:val="00C45949"/>
    <w:rsid w:val="00C56B7B"/>
    <w:rsid w:val="00C6079C"/>
    <w:rsid w:val="00C6436C"/>
    <w:rsid w:val="00C75473"/>
    <w:rsid w:val="00C80503"/>
    <w:rsid w:val="00C81557"/>
    <w:rsid w:val="00C8496F"/>
    <w:rsid w:val="00C9351D"/>
    <w:rsid w:val="00C941BE"/>
    <w:rsid w:val="00C94399"/>
    <w:rsid w:val="00CA1E8E"/>
    <w:rsid w:val="00CA5220"/>
    <w:rsid w:val="00CB1DE7"/>
    <w:rsid w:val="00CC44DA"/>
    <w:rsid w:val="00CD3990"/>
    <w:rsid w:val="00CE1053"/>
    <w:rsid w:val="00CE2775"/>
    <w:rsid w:val="00CE58DD"/>
    <w:rsid w:val="00CF066B"/>
    <w:rsid w:val="00CF29F4"/>
    <w:rsid w:val="00CF4C03"/>
    <w:rsid w:val="00CF5F25"/>
    <w:rsid w:val="00D02604"/>
    <w:rsid w:val="00D03FC5"/>
    <w:rsid w:val="00D0541D"/>
    <w:rsid w:val="00D05D8D"/>
    <w:rsid w:val="00D10ABB"/>
    <w:rsid w:val="00D1326C"/>
    <w:rsid w:val="00D20113"/>
    <w:rsid w:val="00D35A64"/>
    <w:rsid w:val="00D40D90"/>
    <w:rsid w:val="00D4374E"/>
    <w:rsid w:val="00D45541"/>
    <w:rsid w:val="00D53F45"/>
    <w:rsid w:val="00D60A69"/>
    <w:rsid w:val="00D624E5"/>
    <w:rsid w:val="00D67377"/>
    <w:rsid w:val="00D74EB1"/>
    <w:rsid w:val="00D80609"/>
    <w:rsid w:val="00D82005"/>
    <w:rsid w:val="00D847D1"/>
    <w:rsid w:val="00D9018A"/>
    <w:rsid w:val="00D907DC"/>
    <w:rsid w:val="00D93339"/>
    <w:rsid w:val="00D96031"/>
    <w:rsid w:val="00DA42A5"/>
    <w:rsid w:val="00DB433E"/>
    <w:rsid w:val="00DB4811"/>
    <w:rsid w:val="00DB4E2B"/>
    <w:rsid w:val="00DB6B9E"/>
    <w:rsid w:val="00DC27FC"/>
    <w:rsid w:val="00DC2E68"/>
    <w:rsid w:val="00DC30D6"/>
    <w:rsid w:val="00DC602B"/>
    <w:rsid w:val="00DC7C7E"/>
    <w:rsid w:val="00DD050C"/>
    <w:rsid w:val="00DD60F6"/>
    <w:rsid w:val="00DE1A26"/>
    <w:rsid w:val="00DE3D83"/>
    <w:rsid w:val="00DE5247"/>
    <w:rsid w:val="00DF0C49"/>
    <w:rsid w:val="00DF36E1"/>
    <w:rsid w:val="00DF5739"/>
    <w:rsid w:val="00DF7DD8"/>
    <w:rsid w:val="00E000D5"/>
    <w:rsid w:val="00E019B7"/>
    <w:rsid w:val="00E03124"/>
    <w:rsid w:val="00E14524"/>
    <w:rsid w:val="00E26AC8"/>
    <w:rsid w:val="00E27CB5"/>
    <w:rsid w:val="00E30335"/>
    <w:rsid w:val="00E33640"/>
    <w:rsid w:val="00E35ABC"/>
    <w:rsid w:val="00E400E9"/>
    <w:rsid w:val="00E40784"/>
    <w:rsid w:val="00E45527"/>
    <w:rsid w:val="00E45C5A"/>
    <w:rsid w:val="00E5261A"/>
    <w:rsid w:val="00E53E56"/>
    <w:rsid w:val="00E60DCF"/>
    <w:rsid w:val="00E70045"/>
    <w:rsid w:val="00E7168E"/>
    <w:rsid w:val="00E72D79"/>
    <w:rsid w:val="00E745A8"/>
    <w:rsid w:val="00E80674"/>
    <w:rsid w:val="00E843D1"/>
    <w:rsid w:val="00E86991"/>
    <w:rsid w:val="00E954AF"/>
    <w:rsid w:val="00E97223"/>
    <w:rsid w:val="00EA0F40"/>
    <w:rsid w:val="00EA74A2"/>
    <w:rsid w:val="00EB2B30"/>
    <w:rsid w:val="00EB7CF1"/>
    <w:rsid w:val="00EB7E5D"/>
    <w:rsid w:val="00EC0132"/>
    <w:rsid w:val="00ED1A75"/>
    <w:rsid w:val="00ED3CB8"/>
    <w:rsid w:val="00ED4080"/>
    <w:rsid w:val="00ED5BD8"/>
    <w:rsid w:val="00ED636C"/>
    <w:rsid w:val="00ED6FDF"/>
    <w:rsid w:val="00EE032E"/>
    <w:rsid w:val="00EE60C8"/>
    <w:rsid w:val="00EF01B7"/>
    <w:rsid w:val="00EF566C"/>
    <w:rsid w:val="00F00D1E"/>
    <w:rsid w:val="00F0596D"/>
    <w:rsid w:val="00F2038C"/>
    <w:rsid w:val="00F20C49"/>
    <w:rsid w:val="00F222FA"/>
    <w:rsid w:val="00F27BD1"/>
    <w:rsid w:val="00F303AE"/>
    <w:rsid w:val="00F31423"/>
    <w:rsid w:val="00F33D5F"/>
    <w:rsid w:val="00F37869"/>
    <w:rsid w:val="00F455CD"/>
    <w:rsid w:val="00F47698"/>
    <w:rsid w:val="00F5779F"/>
    <w:rsid w:val="00F57AA3"/>
    <w:rsid w:val="00F67146"/>
    <w:rsid w:val="00F67836"/>
    <w:rsid w:val="00F73AA6"/>
    <w:rsid w:val="00F77D50"/>
    <w:rsid w:val="00F8009B"/>
    <w:rsid w:val="00F82AAA"/>
    <w:rsid w:val="00F92133"/>
    <w:rsid w:val="00FA4013"/>
    <w:rsid w:val="00FA42C3"/>
    <w:rsid w:val="00FB0A6F"/>
    <w:rsid w:val="00FB4C79"/>
    <w:rsid w:val="00FC2D1E"/>
    <w:rsid w:val="00FC4905"/>
    <w:rsid w:val="00FC5A5E"/>
    <w:rsid w:val="00FD2EA1"/>
    <w:rsid w:val="00FF392C"/>
    <w:rsid w:val="00FF3D79"/>
    <w:rsid w:val="00FF4387"/>
    <w:rsid w:val="00FF7E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F85"/>
  </w:style>
  <w:style w:type="paragraph" w:styleId="Heading2">
    <w:name w:val="heading 2"/>
    <w:basedOn w:val="Normal"/>
    <w:next w:val="Normal"/>
    <w:qFormat/>
    <w:rsid w:val="00E000D5"/>
    <w:pPr>
      <w:keepNext/>
      <w:spacing w:before="240" w:after="60"/>
      <w:outlineLvl w:val="1"/>
    </w:pPr>
    <w:rPr>
      <w:rFonts w:ascii="Arial" w:hAnsi="Arial" w:cs="Arial"/>
      <w:b/>
      <w:bCs/>
      <w:i/>
      <w:iCs/>
      <w:sz w:val="28"/>
      <w:szCs w:val="28"/>
    </w:rPr>
  </w:style>
  <w:style w:type="paragraph" w:styleId="Heading4">
    <w:name w:val="heading 4"/>
    <w:aliases w:val="Map Title"/>
    <w:basedOn w:val="Normal"/>
    <w:next w:val="Normal"/>
    <w:qFormat/>
    <w:rsid w:val="00592C3B"/>
    <w:pPr>
      <w:spacing w:after="240"/>
      <w:outlineLvl w:val="3"/>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11D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E032E"/>
    <w:pPr>
      <w:tabs>
        <w:tab w:val="center" w:pos="4320"/>
        <w:tab w:val="right" w:pos="8640"/>
      </w:tabs>
    </w:pPr>
  </w:style>
  <w:style w:type="paragraph" w:styleId="Footer">
    <w:name w:val="footer"/>
    <w:basedOn w:val="Normal"/>
    <w:link w:val="FooterChar"/>
    <w:uiPriority w:val="99"/>
    <w:rsid w:val="00EE032E"/>
    <w:pPr>
      <w:tabs>
        <w:tab w:val="center" w:pos="4320"/>
        <w:tab w:val="right" w:pos="8640"/>
      </w:tabs>
    </w:pPr>
  </w:style>
  <w:style w:type="paragraph" w:styleId="BalloonText">
    <w:name w:val="Balloon Text"/>
    <w:basedOn w:val="Normal"/>
    <w:semiHidden/>
    <w:rsid w:val="000C6F67"/>
    <w:rPr>
      <w:rFonts w:ascii="Tahoma" w:hAnsi="Tahoma" w:cs="Tahoma"/>
      <w:sz w:val="16"/>
      <w:szCs w:val="16"/>
    </w:rPr>
  </w:style>
  <w:style w:type="character" w:styleId="PageNumber">
    <w:name w:val="page number"/>
    <w:basedOn w:val="DefaultParagraphFont"/>
    <w:rsid w:val="00362627"/>
  </w:style>
  <w:style w:type="character" w:styleId="Hyperlink">
    <w:name w:val="Hyperlink"/>
    <w:basedOn w:val="DefaultParagraphFont"/>
    <w:rsid w:val="006F3F57"/>
    <w:rPr>
      <w:color w:val="0000FF"/>
      <w:u w:val="single"/>
    </w:rPr>
  </w:style>
  <w:style w:type="character" w:styleId="FollowedHyperlink">
    <w:name w:val="FollowedHyperlink"/>
    <w:basedOn w:val="DefaultParagraphFont"/>
    <w:rsid w:val="006F3F57"/>
    <w:rPr>
      <w:color w:val="800080"/>
      <w:u w:val="single"/>
    </w:rPr>
  </w:style>
  <w:style w:type="paragraph" w:styleId="BlockText">
    <w:name w:val="Block Text"/>
    <w:basedOn w:val="Normal"/>
    <w:rsid w:val="00592C3B"/>
    <w:rPr>
      <w:sz w:val="24"/>
    </w:rPr>
  </w:style>
  <w:style w:type="paragraph" w:customStyle="1" w:styleId="DEQSMALLHEADLINES">
    <w:name w:val="(DEQ)SMALL HEADLINES"/>
    <w:basedOn w:val="Normal"/>
    <w:rsid w:val="00592C3B"/>
    <w:rPr>
      <w:rFonts w:ascii="Arial" w:eastAsia="Times" w:hAnsi="Arial"/>
      <w:b/>
    </w:rPr>
  </w:style>
  <w:style w:type="paragraph" w:styleId="FootnoteText">
    <w:name w:val="footnote text"/>
    <w:basedOn w:val="Normal"/>
    <w:semiHidden/>
    <w:rsid w:val="006A7254"/>
  </w:style>
  <w:style w:type="character" w:styleId="FootnoteReference">
    <w:name w:val="footnote reference"/>
    <w:basedOn w:val="DefaultParagraphFont"/>
    <w:semiHidden/>
    <w:rsid w:val="006A7254"/>
    <w:rPr>
      <w:vertAlign w:val="superscript"/>
    </w:rPr>
  </w:style>
  <w:style w:type="paragraph" w:customStyle="1" w:styleId="DEQTEXTforFACTSHEET">
    <w:name w:val="(DEQ)TEXT for FACT SHEET"/>
    <w:basedOn w:val="Normal"/>
    <w:rsid w:val="004B2642"/>
    <w:rPr>
      <w:rFonts w:eastAsia="Times"/>
    </w:rPr>
  </w:style>
  <w:style w:type="paragraph" w:customStyle="1" w:styleId="deqtextforfactsheet0">
    <w:name w:val="deqtextforfactsheet"/>
    <w:basedOn w:val="Normal"/>
    <w:rsid w:val="002D3D3F"/>
    <w:pPr>
      <w:spacing w:before="100" w:beforeAutospacing="1" w:after="100" w:afterAutospacing="1"/>
    </w:pPr>
    <w:rPr>
      <w:sz w:val="24"/>
      <w:szCs w:val="24"/>
    </w:rPr>
  </w:style>
  <w:style w:type="paragraph" w:customStyle="1" w:styleId="DEQREPORTTITLE">
    <w:name w:val="(DEQ)REPORT TITLE"/>
    <w:basedOn w:val="Heading2"/>
    <w:rsid w:val="00E000D5"/>
    <w:pPr>
      <w:spacing w:before="0" w:after="0"/>
    </w:pPr>
    <w:rPr>
      <w:rFonts w:cs="Times New Roman"/>
      <w:bCs w:val="0"/>
      <w:i w:val="0"/>
      <w:iCs w:val="0"/>
      <w:sz w:val="60"/>
      <w:szCs w:val="20"/>
    </w:rPr>
  </w:style>
  <w:style w:type="character" w:customStyle="1" w:styleId="FooterChar">
    <w:name w:val="Footer Char"/>
    <w:basedOn w:val="DefaultParagraphFont"/>
    <w:link w:val="Footer"/>
    <w:uiPriority w:val="99"/>
    <w:rsid w:val="00E019B7"/>
  </w:style>
</w:styles>
</file>

<file path=word/webSettings.xml><?xml version="1.0" encoding="utf-8"?>
<w:webSettings xmlns:r="http://schemas.openxmlformats.org/officeDocument/2006/relationships" xmlns:w="http://schemas.openxmlformats.org/wordprocessingml/2006/main">
  <w:divs>
    <w:div w:id="156907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2082</Words>
  <Characters>11995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Secretary of State</vt:lpstr>
    </vt:vector>
  </TitlesOfParts>
  <Company>Oregon Secretary of State</Company>
  <LinksUpToDate>false</LinksUpToDate>
  <CharactersWithSpaces>14049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Secretary of State</dc:title>
  <dc:creator>Archives Divison</dc:creator>
  <cp:lastModifiedBy>PCAdmin</cp:lastModifiedBy>
  <cp:revision>12</cp:revision>
  <cp:lastPrinted>2012-07-09T21:11:00Z</cp:lastPrinted>
  <dcterms:created xsi:type="dcterms:W3CDTF">2012-06-04T23:27:00Z</dcterms:created>
  <dcterms:modified xsi:type="dcterms:W3CDTF">2012-07-09T21:11:00Z</dcterms:modified>
</cp:coreProperties>
</file>