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0A5" w:rsidRDefault="001570A5" w:rsidP="001570A5">
      <w:pPr>
        <w:jc w:val="center"/>
        <w:rPr>
          <w:b/>
          <w:sz w:val="24"/>
          <w:szCs w:val="24"/>
        </w:rPr>
      </w:pPr>
      <w:r w:rsidRPr="001570A5">
        <w:rPr>
          <w:b/>
          <w:sz w:val="24"/>
          <w:szCs w:val="24"/>
        </w:rPr>
        <w:t>Housing Costs</w:t>
      </w:r>
    </w:p>
    <w:p w:rsidR="001570A5" w:rsidRPr="00D02604" w:rsidRDefault="001570A5" w:rsidP="001570A5">
      <w:pPr>
        <w:jc w:val="center"/>
        <w:rPr>
          <w:rFonts w:ascii="Arial" w:hAnsi="Arial" w:cs="Arial"/>
          <w:b/>
          <w:sz w:val="24"/>
          <w:szCs w:val="24"/>
          <w:u w:val="single"/>
        </w:rPr>
      </w:pPr>
      <w:r w:rsidRPr="00D02604">
        <w:rPr>
          <w:rFonts w:ascii="Arial" w:hAnsi="Arial" w:cs="Arial"/>
          <w:sz w:val="24"/>
          <w:szCs w:val="24"/>
        </w:rPr>
        <w:t>401 Water Quality Certification Fee Increase for Removal &amp; Fill Projects</w:t>
      </w:r>
    </w:p>
    <w:p w:rsidR="001570A5" w:rsidRDefault="001570A5" w:rsidP="001570A5"/>
    <w:p w:rsidR="001570A5" w:rsidRDefault="001570A5" w:rsidP="001570A5">
      <w:r>
        <w:t>DEQ has determined that this proposed rulemaking will have the following potential effects on the cost of development of a 6,000 square foot parcel and the construction of a 1,200 square foot detached single family dwelling on the parcel.</w:t>
      </w:r>
    </w:p>
    <w:p w:rsidR="001570A5" w:rsidRDefault="001570A5" w:rsidP="001570A5"/>
    <w:p w:rsidR="001570A5" w:rsidRDefault="001570A5" w:rsidP="001570A5">
      <w:r>
        <w:t>Scenario A</w:t>
      </w:r>
    </w:p>
    <w:p w:rsidR="001570A5" w:rsidRDefault="001570A5" w:rsidP="001570A5">
      <w:r>
        <w:t xml:space="preserve">DEQ assumes the proposed rule would have a minimal impact where the lot and single-family dwelling are part of a larger development project submitted by a developer.  </w:t>
      </w:r>
      <w:proofErr w:type="gramStart"/>
      <w:r>
        <w:t>In the instance, DEQ estimates that the overall development project would likely fall into either Tier 2A or Tier 2B ($4390 or $12105 in the fee structure).</w:t>
      </w:r>
      <w:proofErr w:type="gramEnd"/>
      <w:r>
        <w:t xml:space="preserve">  Because the 401 certification costs would be assumed by the developer and only some portion of those costs would be allocated to an individual parcel or dwelling, DEQ estimates that there would only be a minimal impact.</w:t>
      </w:r>
    </w:p>
    <w:p w:rsidR="001570A5" w:rsidRDefault="001570A5" w:rsidP="001570A5"/>
    <w:p w:rsidR="001570A5" w:rsidRDefault="001570A5" w:rsidP="001570A5">
      <w:r>
        <w:t>Scenario B</w:t>
      </w:r>
    </w:p>
    <w:p w:rsidR="00C61511" w:rsidRDefault="001570A5" w:rsidP="001570A5">
      <w:r>
        <w:t>In those cases, where an applicant is seeking 401certification for an individual parcel or dwelling, the effect of the proposed rule is likely to be greater.  Based on an estimate of where these projects would fall in the proposed fee schedule, it is likely that the applicant would need to pay either $985 or $4390 in fees (Tier 1 and Tier 2A, respectively).  Assuming the higher amount, the impact of the proposed rule could be substantial on an individual parcel or dwelling.</w:t>
      </w:r>
    </w:p>
    <w:sectPr w:rsidR="00C61511" w:rsidSect="006732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grammar="clean"/>
  <w:stylePaneFormatFilter w:val="1728"/>
  <w:defaultTabStop w:val="720"/>
  <w:characterSpacingControl w:val="doNotCompress"/>
  <w:compat/>
  <w:rsids>
    <w:rsidRoot w:val="001570A5"/>
    <w:rsid w:val="001570A5"/>
    <w:rsid w:val="002F4FAC"/>
    <w:rsid w:val="00313D83"/>
    <w:rsid w:val="005C2368"/>
    <w:rsid w:val="006732E3"/>
    <w:rsid w:val="006D1F14"/>
    <w:rsid w:val="00766F0B"/>
    <w:rsid w:val="00B63031"/>
    <w:rsid w:val="00B93DED"/>
    <w:rsid w:val="00C2127D"/>
    <w:rsid w:val="00C61511"/>
    <w:rsid w:val="00D438EE"/>
    <w:rsid w:val="00F00DCD"/>
    <w:rsid w:val="00FB0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AC"/>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1141</Characters>
  <Application>Microsoft Office Word</Application>
  <DocSecurity>0</DocSecurity>
  <Lines>18</Lines>
  <Paragraphs>4</Paragraphs>
  <ScaleCrop>false</ScaleCrop>
  <Company>State of Oregon Department of Environmental Quality</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1</cp:revision>
  <dcterms:created xsi:type="dcterms:W3CDTF">2012-07-12T22:30:00Z</dcterms:created>
  <dcterms:modified xsi:type="dcterms:W3CDTF">2012-07-12T22:32:00Z</dcterms:modified>
</cp:coreProperties>
</file>