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BB" w:rsidRDefault="006372BB">
      <w:pPr>
        <w:pStyle w:val="Heading4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Oregon</w:t>
          </w:r>
        </w:smartTag>
      </w:smartTag>
    </w:p>
    <w:p w:rsidR="006372BB" w:rsidRDefault="006372B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Department of Environmental Quality</w:t>
      </w:r>
      <w:r>
        <w:rPr>
          <w:rFonts w:ascii="Times New Roman" w:hAnsi="Times New Roman"/>
          <w:sz w:val="36"/>
        </w:rPr>
        <w:tab/>
        <w:t>Memorandum</w:t>
      </w:r>
    </w:p>
    <w:p w:rsidR="006372BB" w:rsidRDefault="00681F48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6372BB" w:rsidRPr="00880075" w:rsidRDefault="009E0C46" w:rsidP="00061A8B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  <w:b/>
          <w:szCs w:val="24"/>
        </w:rPr>
      </w:pPr>
      <w:r w:rsidRPr="009E0C46">
        <w:rPr>
          <w:rFonts w:ascii="Times New Roman" w:hAnsi="Times New Roman"/>
          <w:b/>
          <w:sz w:val="22"/>
          <w:szCs w:val="22"/>
        </w:rPr>
        <w:t>Date:</w:t>
      </w:r>
      <w:r w:rsidR="006372BB" w:rsidRPr="00880075">
        <w:rPr>
          <w:rFonts w:ascii="Times New Roman" w:hAnsi="Times New Roman"/>
          <w:b/>
          <w:szCs w:val="24"/>
        </w:rPr>
        <w:t xml:space="preserve"> </w:t>
      </w:r>
      <w:r w:rsidR="006372BB" w:rsidRPr="00880075">
        <w:rPr>
          <w:rFonts w:ascii="Times New Roman" w:hAnsi="Times New Roman"/>
          <w:b/>
          <w:szCs w:val="24"/>
        </w:rPr>
        <w:tab/>
      </w:r>
      <w:r w:rsidR="00D62706">
        <w:rPr>
          <w:rFonts w:ascii="Times New Roman" w:hAnsi="Times New Roman"/>
          <w:szCs w:val="24"/>
        </w:rPr>
        <w:t>May 21</w:t>
      </w:r>
      <w:r w:rsidR="00061A8B" w:rsidRPr="00880075">
        <w:rPr>
          <w:rFonts w:ascii="Times New Roman" w:hAnsi="Times New Roman"/>
          <w:szCs w:val="24"/>
        </w:rPr>
        <w:t xml:space="preserve">, </w:t>
      </w:r>
      <w:r w:rsidR="0032021A" w:rsidRPr="00880075">
        <w:rPr>
          <w:rFonts w:ascii="Times New Roman" w:hAnsi="Times New Roman"/>
          <w:szCs w:val="24"/>
        </w:rPr>
        <w:t>2012</w:t>
      </w:r>
    </w:p>
    <w:p w:rsidR="00061A8B" w:rsidRPr="00880075" w:rsidRDefault="00061A8B" w:rsidP="00061A8B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  <w:szCs w:val="24"/>
        </w:rPr>
      </w:pPr>
    </w:p>
    <w:p w:rsidR="006372BB" w:rsidRPr="00880075" w:rsidRDefault="009E0C46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Cs w:val="24"/>
        </w:rPr>
      </w:pPr>
      <w:r w:rsidRPr="009E0C46">
        <w:rPr>
          <w:rFonts w:ascii="Times New Roman" w:hAnsi="Times New Roman"/>
          <w:b/>
          <w:sz w:val="22"/>
          <w:szCs w:val="22"/>
        </w:rPr>
        <w:t>To:</w:t>
      </w:r>
      <w:r w:rsidR="006372BB" w:rsidRPr="00880075">
        <w:rPr>
          <w:rFonts w:ascii="Times New Roman" w:hAnsi="Times New Roman"/>
          <w:szCs w:val="24"/>
        </w:rPr>
        <w:tab/>
      </w:r>
      <w:r w:rsidR="006372BB" w:rsidRPr="00880075">
        <w:rPr>
          <w:rFonts w:ascii="Times New Roman" w:hAnsi="Times New Roman"/>
          <w:szCs w:val="24"/>
        </w:rPr>
        <w:tab/>
        <w:t>Environmental Quality Commission</w:t>
      </w:r>
    </w:p>
    <w:p w:rsidR="006372BB" w:rsidRPr="00880075" w:rsidRDefault="006372BB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6372BB" w:rsidRPr="00880075" w:rsidRDefault="009E0C46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Cs w:val="24"/>
        </w:rPr>
      </w:pPr>
      <w:r w:rsidRPr="009E0C46">
        <w:rPr>
          <w:rFonts w:ascii="Times New Roman" w:hAnsi="Times New Roman"/>
          <w:b/>
          <w:sz w:val="22"/>
          <w:szCs w:val="22"/>
        </w:rPr>
        <w:t>From:</w:t>
      </w:r>
      <w:r w:rsidR="006372BB" w:rsidRPr="00880075">
        <w:rPr>
          <w:rFonts w:ascii="Times New Roman" w:hAnsi="Times New Roman"/>
          <w:szCs w:val="24"/>
        </w:rPr>
        <w:tab/>
      </w:r>
      <w:r w:rsidR="006372BB" w:rsidRPr="00880075">
        <w:rPr>
          <w:rFonts w:ascii="Times New Roman" w:hAnsi="Times New Roman"/>
          <w:szCs w:val="24"/>
        </w:rPr>
        <w:tab/>
      </w:r>
      <w:r w:rsidR="003F4C87" w:rsidRPr="00880075">
        <w:rPr>
          <w:rFonts w:ascii="Times New Roman" w:hAnsi="Times New Roman"/>
          <w:szCs w:val="24"/>
        </w:rPr>
        <w:t>Dick Pedersen</w:t>
      </w:r>
      <w:r w:rsidR="006372BB" w:rsidRPr="00880075">
        <w:rPr>
          <w:rFonts w:ascii="Times New Roman" w:hAnsi="Times New Roman"/>
          <w:szCs w:val="24"/>
        </w:rPr>
        <w:t>, Director</w:t>
      </w:r>
    </w:p>
    <w:p w:rsidR="006372BB" w:rsidRPr="00880075" w:rsidRDefault="006372B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6372BB" w:rsidRPr="00880075" w:rsidRDefault="009E0C46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Cs w:val="24"/>
        </w:rPr>
      </w:pPr>
      <w:r w:rsidRPr="009E0C46">
        <w:rPr>
          <w:rFonts w:ascii="Times New Roman" w:hAnsi="Times New Roman"/>
          <w:b/>
          <w:sz w:val="22"/>
          <w:szCs w:val="22"/>
        </w:rPr>
        <w:t>Subject:</w:t>
      </w:r>
      <w:r w:rsidR="006372BB" w:rsidRPr="00880075">
        <w:rPr>
          <w:rFonts w:ascii="Times New Roman" w:hAnsi="Times New Roman"/>
          <w:szCs w:val="24"/>
        </w:rPr>
        <w:tab/>
      </w:r>
      <w:bookmarkStart w:id="0" w:name="AgendaInfo"/>
      <w:r w:rsidR="00AF21FD" w:rsidRPr="00880075">
        <w:rPr>
          <w:rFonts w:ascii="Times New Roman" w:hAnsi="Times New Roman"/>
          <w:szCs w:val="24"/>
        </w:rPr>
        <w:t>Agenda i</w:t>
      </w:r>
      <w:r w:rsidR="006372BB" w:rsidRPr="00880075">
        <w:rPr>
          <w:rFonts w:ascii="Times New Roman" w:hAnsi="Times New Roman"/>
          <w:szCs w:val="24"/>
        </w:rPr>
        <w:t>tem</w:t>
      </w:r>
      <w:r w:rsidR="004452A0" w:rsidRPr="00880075">
        <w:rPr>
          <w:rFonts w:ascii="Times New Roman" w:hAnsi="Times New Roman"/>
          <w:szCs w:val="24"/>
        </w:rPr>
        <w:t xml:space="preserve"> </w:t>
      </w:r>
      <w:bookmarkEnd w:id="0"/>
      <w:r w:rsidR="00D62706">
        <w:rPr>
          <w:rFonts w:ascii="Times New Roman" w:hAnsi="Times New Roman"/>
          <w:szCs w:val="24"/>
        </w:rPr>
        <w:t>B</w:t>
      </w:r>
      <w:r w:rsidR="0098700A" w:rsidRPr="00880075">
        <w:rPr>
          <w:rFonts w:ascii="Times New Roman" w:hAnsi="Times New Roman"/>
          <w:szCs w:val="24"/>
        </w:rPr>
        <w:t xml:space="preserve">, </w:t>
      </w:r>
      <w:r w:rsidR="004A13C4" w:rsidRPr="00880075">
        <w:rPr>
          <w:rFonts w:ascii="Times New Roman" w:hAnsi="Times New Roman"/>
          <w:szCs w:val="24"/>
        </w:rPr>
        <w:t xml:space="preserve">Informational </w:t>
      </w:r>
      <w:r w:rsidR="00AF21FD" w:rsidRPr="00880075">
        <w:rPr>
          <w:rFonts w:ascii="Times New Roman" w:hAnsi="Times New Roman"/>
          <w:szCs w:val="24"/>
        </w:rPr>
        <w:t>i</w:t>
      </w:r>
      <w:r w:rsidR="006372BB" w:rsidRPr="00880075">
        <w:rPr>
          <w:rFonts w:ascii="Times New Roman" w:hAnsi="Times New Roman"/>
          <w:szCs w:val="24"/>
        </w:rPr>
        <w:t>tem</w:t>
      </w:r>
      <w:r w:rsidR="001B6AB6" w:rsidRPr="00880075">
        <w:rPr>
          <w:rFonts w:ascii="Times New Roman" w:hAnsi="Times New Roman"/>
          <w:szCs w:val="24"/>
        </w:rPr>
        <w:t>:</w:t>
      </w:r>
      <w:r w:rsidR="00830600" w:rsidRPr="00880075">
        <w:rPr>
          <w:rFonts w:ascii="Times New Roman" w:hAnsi="Times New Roman"/>
          <w:szCs w:val="24"/>
        </w:rPr>
        <w:t xml:space="preserve"> </w:t>
      </w:r>
      <w:r w:rsidR="005D4BA6">
        <w:rPr>
          <w:rFonts w:ascii="Times New Roman" w:hAnsi="Times New Roman"/>
          <w:szCs w:val="24"/>
        </w:rPr>
        <w:t xml:space="preserve">Recommendations on </w:t>
      </w:r>
      <w:r w:rsidR="00593686" w:rsidRPr="00880075">
        <w:rPr>
          <w:rFonts w:ascii="Times New Roman" w:hAnsi="Times New Roman"/>
          <w:szCs w:val="24"/>
        </w:rPr>
        <w:t>C</w:t>
      </w:r>
      <w:r w:rsidR="0098700A" w:rsidRPr="00880075">
        <w:rPr>
          <w:rFonts w:ascii="Times New Roman" w:hAnsi="Times New Roman"/>
          <w:szCs w:val="24"/>
        </w:rPr>
        <w:t xml:space="preserve">lean </w:t>
      </w:r>
      <w:r w:rsidR="00593686" w:rsidRPr="00880075">
        <w:rPr>
          <w:rFonts w:ascii="Times New Roman" w:hAnsi="Times New Roman"/>
          <w:szCs w:val="24"/>
        </w:rPr>
        <w:t>W</w:t>
      </w:r>
      <w:r w:rsidR="0098700A" w:rsidRPr="00880075">
        <w:rPr>
          <w:rFonts w:ascii="Times New Roman" w:hAnsi="Times New Roman"/>
          <w:szCs w:val="24"/>
        </w:rPr>
        <w:t xml:space="preserve">ater </w:t>
      </w:r>
      <w:r w:rsidR="00593686" w:rsidRPr="00880075">
        <w:rPr>
          <w:rFonts w:ascii="Times New Roman" w:hAnsi="Times New Roman"/>
          <w:szCs w:val="24"/>
        </w:rPr>
        <w:t>S</w:t>
      </w:r>
      <w:r w:rsidR="0098700A" w:rsidRPr="00880075">
        <w:rPr>
          <w:rFonts w:ascii="Times New Roman" w:hAnsi="Times New Roman"/>
          <w:szCs w:val="24"/>
        </w:rPr>
        <w:t xml:space="preserve">tate </w:t>
      </w:r>
      <w:r w:rsidR="00593686" w:rsidRPr="00880075">
        <w:rPr>
          <w:rFonts w:ascii="Times New Roman" w:hAnsi="Times New Roman"/>
          <w:szCs w:val="24"/>
        </w:rPr>
        <w:t>R</w:t>
      </w:r>
      <w:r w:rsidR="0098700A" w:rsidRPr="00880075">
        <w:rPr>
          <w:rFonts w:ascii="Times New Roman" w:hAnsi="Times New Roman"/>
          <w:szCs w:val="24"/>
        </w:rPr>
        <w:t xml:space="preserve">evolving </w:t>
      </w:r>
      <w:r w:rsidR="00593686" w:rsidRPr="00880075">
        <w:rPr>
          <w:rFonts w:ascii="Times New Roman" w:hAnsi="Times New Roman"/>
          <w:szCs w:val="24"/>
        </w:rPr>
        <w:t>F</w:t>
      </w:r>
      <w:r w:rsidR="0098700A" w:rsidRPr="00880075">
        <w:rPr>
          <w:rFonts w:ascii="Times New Roman" w:hAnsi="Times New Roman"/>
          <w:szCs w:val="24"/>
        </w:rPr>
        <w:t>und</w:t>
      </w:r>
      <w:r w:rsidR="00593686" w:rsidRPr="00880075">
        <w:rPr>
          <w:rFonts w:ascii="Times New Roman" w:hAnsi="Times New Roman"/>
          <w:szCs w:val="24"/>
        </w:rPr>
        <w:t xml:space="preserve"> </w:t>
      </w:r>
      <w:r w:rsidR="0068348B">
        <w:rPr>
          <w:rFonts w:ascii="Times New Roman" w:hAnsi="Times New Roman"/>
          <w:szCs w:val="24"/>
        </w:rPr>
        <w:t>r</w:t>
      </w:r>
      <w:r w:rsidR="005D4BA6">
        <w:rPr>
          <w:rFonts w:ascii="Times New Roman" w:hAnsi="Times New Roman"/>
          <w:szCs w:val="24"/>
        </w:rPr>
        <w:t xml:space="preserve">ule </w:t>
      </w:r>
      <w:r w:rsidR="0068348B">
        <w:rPr>
          <w:rFonts w:ascii="Times New Roman" w:hAnsi="Times New Roman"/>
          <w:szCs w:val="24"/>
        </w:rPr>
        <w:t>a</w:t>
      </w:r>
      <w:r w:rsidR="005D4BA6">
        <w:rPr>
          <w:rFonts w:ascii="Times New Roman" w:hAnsi="Times New Roman"/>
          <w:szCs w:val="24"/>
        </w:rPr>
        <w:t>mendments</w:t>
      </w:r>
    </w:p>
    <w:p w:rsidR="006372BB" w:rsidRPr="00880075" w:rsidRDefault="006372B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Cs w:val="24"/>
        </w:rPr>
      </w:pPr>
      <w:r w:rsidRPr="00880075">
        <w:rPr>
          <w:rFonts w:ascii="Times New Roman" w:hAnsi="Times New Roman"/>
          <w:b/>
          <w:szCs w:val="24"/>
        </w:rPr>
        <w:tab/>
      </w:r>
      <w:r w:rsidRPr="00880075">
        <w:rPr>
          <w:rFonts w:ascii="Times New Roman" w:hAnsi="Times New Roman"/>
          <w:b/>
          <w:szCs w:val="24"/>
        </w:rPr>
        <w:tab/>
      </w:r>
      <w:r w:rsidR="00593686" w:rsidRPr="00880075">
        <w:rPr>
          <w:rFonts w:ascii="Times New Roman" w:hAnsi="Times New Roman"/>
          <w:szCs w:val="24"/>
        </w:rPr>
        <w:t>June</w:t>
      </w:r>
      <w:r w:rsidR="00CF049B" w:rsidRPr="00880075">
        <w:rPr>
          <w:rFonts w:ascii="Times New Roman" w:hAnsi="Times New Roman"/>
          <w:szCs w:val="24"/>
        </w:rPr>
        <w:t xml:space="preserve"> </w:t>
      </w:r>
      <w:r w:rsidR="00593686" w:rsidRPr="00880075">
        <w:rPr>
          <w:rFonts w:ascii="Times New Roman" w:hAnsi="Times New Roman"/>
          <w:szCs w:val="24"/>
        </w:rPr>
        <w:t>2</w:t>
      </w:r>
      <w:r w:rsidR="00CF049B" w:rsidRPr="00880075">
        <w:rPr>
          <w:rFonts w:ascii="Times New Roman" w:hAnsi="Times New Roman"/>
          <w:szCs w:val="24"/>
        </w:rPr>
        <w:t>1-</w:t>
      </w:r>
      <w:r w:rsidR="00593686" w:rsidRPr="00880075">
        <w:rPr>
          <w:rFonts w:ascii="Times New Roman" w:hAnsi="Times New Roman"/>
          <w:szCs w:val="24"/>
        </w:rPr>
        <w:t>22</w:t>
      </w:r>
      <w:r w:rsidR="00AF21FD" w:rsidRPr="00880075">
        <w:rPr>
          <w:rFonts w:ascii="Times New Roman" w:hAnsi="Times New Roman"/>
          <w:szCs w:val="24"/>
        </w:rPr>
        <w:t>, 201</w:t>
      </w:r>
      <w:r w:rsidR="009944BF" w:rsidRPr="00880075">
        <w:rPr>
          <w:rFonts w:ascii="Times New Roman" w:hAnsi="Times New Roman"/>
          <w:szCs w:val="24"/>
        </w:rPr>
        <w:t>2</w:t>
      </w:r>
      <w:r w:rsidR="00AF21FD" w:rsidRPr="00880075">
        <w:rPr>
          <w:rFonts w:ascii="Times New Roman" w:hAnsi="Times New Roman"/>
          <w:szCs w:val="24"/>
        </w:rPr>
        <w:t xml:space="preserve">, </w:t>
      </w:r>
      <w:r w:rsidRPr="00880075">
        <w:rPr>
          <w:rFonts w:ascii="Times New Roman" w:hAnsi="Times New Roman"/>
          <w:szCs w:val="24"/>
        </w:rPr>
        <w:t xml:space="preserve">EQC </w:t>
      </w:r>
      <w:r w:rsidR="00AF21FD" w:rsidRPr="00880075">
        <w:rPr>
          <w:rFonts w:ascii="Times New Roman" w:hAnsi="Times New Roman"/>
          <w:szCs w:val="24"/>
        </w:rPr>
        <w:t>m</w:t>
      </w:r>
      <w:r w:rsidRPr="00880075">
        <w:rPr>
          <w:rFonts w:ascii="Times New Roman" w:hAnsi="Times New Roman"/>
          <w:szCs w:val="24"/>
        </w:rPr>
        <w:t xml:space="preserve">eeting </w:t>
      </w:r>
    </w:p>
    <w:p w:rsidR="006372BB" w:rsidRPr="00880075" w:rsidRDefault="006372BB">
      <w:pPr>
        <w:tabs>
          <w:tab w:val="left" w:pos="-1440"/>
          <w:tab w:val="left" w:pos="-720"/>
          <w:tab w:val="left" w:pos="4050"/>
        </w:tabs>
        <w:suppressAutoHyphens/>
        <w:rPr>
          <w:rFonts w:ascii="Times New Roman" w:hAnsi="Times New Roman"/>
          <w:szCs w:val="24"/>
        </w:rPr>
      </w:pPr>
    </w:p>
    <w:tbl>
      <w:tblPr>
        <w:tblW w:w="0" w:type="auto"/>
        <w:tblInd w:w="-342" w:type="dxa"/>
        <w:tblLayout w:type="fixed"/>
        <w:tblLook w:val="01E0"/>
      </w:tblPr>
      <w:tblGrid>
        <w:gridCol w:w="1890"/>
        <w:gridCol w:w="8028"/>
      </w:tblGrid>
      <w:tr w:rsidR="006372BB" w:rsidRPr="00880075" w:rsidTr="009C7B25">
        <w:tc>
          <w:tcPr>
            <w:tcW w:w="1890" w:type="dxa"/>
          </w:tcPr>
          <w:p w:rsidR="006372BB" w:rsidRPr="00D53B8D" w:rsidRDefault="009E0C4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  <w:r w:rsidRPr="009E0C46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Purpose of item</w:t>
            </w:r>
          </w:p>
        </w:tc>
        <w:tc>
          <w:tcPr>
            <w:tcW w:w="8028" w:type="dxa"/>
          </w:tcPr>
          <w:p w:rsidR="006372BB" w:rsidRPr="00880075" w:rsidRDefault="0098700A" w:rsidP="00D360E7">
            <w:pPr>
              <w:tabs>
                <w:tab w:val="left" w:pos="1440"/>
              </w:tabs>
              <w:rPr>
                <w:rFonts w:ascii="Times New Roman" w:hAnsi="Times New Roman"/>
                <w:b/>
                <w:spacing w:val="-3"/>
                <w:szCs w:val="24"/>
              </w:rPr>
            </w:pPr>
            <w:r w:rsidRPr="00880075">
              <w:rPr>
                <w:rFonts w:ascii="Times New Roman" w:hAnsi="Times New Roman"/>
                <w:spacing w:val="-3"/>
                <w:szCs w:val="24"/>
              </w:rPr>
              <w:t>T</w:t>
            </w:r>
            <w:r w:rsidR="00593686" w:rsidRPr="00880075">
              <w:rPr>
                <w:rFonts w:ascii="Times New Roman" w:hAnsi="Times New Roman"/>
                <w:spacing w:val="-3"/>
                <w:szCs w:val="24"/>
              </w:rPr>
              <w:t>his item provide</w:t>
            </w:r>
            <w:r w:rsidR="00D360E7">
              <w:rPr>
                <w:rFonts w:ascii="Times New Roman" w:hAnsi="Times New Roman"/>
                <w:spacing w:val="-3"/>
                <w:szCs w:val="24"/>
              </w:rPr>
              <w:t>s</w:t>
            </w:r>
            <w:r w:rsidR="00593686" w:rsidRPr="00880075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880075">
              <w:rPr>
                <w:rFonts w:ascii="Times New Roman" w:hAnsi="Times New Roman"/>
                <w:spacing w:val="-3"/>
                <w:szCs w:val="24"/>
              </w:rPr>
              <w:t xml:space="preserve">a summary of </w:t>
            </w:r>
            <w:r w:rsidR="00593686" w:rsidRPr="00880075">
              <w:rPr>
                <w:rFonts w:ascii="Times New Roman" w:hAnsi="Times New Roman"/>
                <w:spacing w:val="-3"/>
                <w:szCs w:val="24"/>
              </w:rPr>
              <w:t xml:space="preserve">the Clean Water State Revolving Fund </w:t>
            </w:r>
            <w:r w:rsidR="00E6027E" w:rsidRPr="00880075">
              <w:rPr>
                <w:rFonts w:ascii="Times New Roman" w:hAnsi="Times New Roman"/>
                <w:spacing w:val="-3"/>
                <w:szCs w:val="24"/>
              </w:rPr>
              <w:t xml:space="preserve">Advisory Committee’s </w:t>
            </w:r>
            <w:r w:rsidRPr="00880075">
              <w:rPr>
                <w:rFonts w:ascii="Times New Roman" w:hAnsi="Times New Roman"/>
                <w:spacing w:val="-3"/>
                <w:szCs w:val="24"/>
              </w:rPr>
              <w:t xml:space="preserve">final </w:t>
            </w:r>
            <w:r w:rsidR="00E6027E" w:rsidRPr="00880075">
              <w:rPr>
                <w:rFonts w:ascii="Times New Roman" w:hAnsi="Times New Roman"/>
                <w:spacing w:val="-3"/>
                <w:szCs w:val="24"/>
              </w:rPr>
              <w:t>recommendations</w:t>
            </w:r>
            <w:r w:rsidRPr="00880075">
              <w:rPr>
                <w:rFonts w:ascii="Times New Roman" w:hAnsi="Times New Roman"/>
                <w:spacing w:val="-3"/>
                <w:szCs w:val="24"/>
              </w:rPr>
              <w:t xml:space="preserve"> on CWSRF rule amendments</w:t>
            </w:r>
            <w:r w:rsidR="00593686" w:rsidRPr="00880075">
              <w:rPr>
                <w:rFonts w:ascii="Times New Roman" w:hAnsi="Times New Roman"/>
                <w:spacing w:val="-3"/>
                <w:szCs w:val="24"/>
              </w:rPr>
              <w:t xml:space="preserve">. </w:t>
            </w:r>
          </w:p>
        </w:tc>
      </w:tr>
      <w:tr w:rsidR="006372BB" w:rsidRPr="00880075" w:rsidTr="009C7B25">
        <w:tc>
          <w:tcPr>
            <w:tcW w:w="1890" w:type="dxa"/>
          </w:tcPr>
          <w:p w:rsidR="006372BB" w:rsidRPr="00880075" w:rsidRDefault="006372B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</w:tc>
        <w:tc>
          <w:tcPr>
            <w:tcW w:w="8028" w:type="dxa"/>
          </w:tcPr>
          <w:p w:rsidR="006372BB" w:rsidRPr="00880075" w:rsidRDefault="006372BB" w:rsidP="0061577A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C354B4" w:rsidRPr="00880075" w:rsidTr="009C7B25">
        <w:tc>
          <w:tcPr>
            <w:tcW w:w="1890" w:type="dxa"/>
          </w:tcPr>
          <w:p w:rsidR="00C354B4" w:rsidRPr="00D53B8D" w:rsidRDefault="00805C2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D53B8D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Background</w:t>
            </w:r>
          </w:p>
        </w:tc>
        <w:tc>
          <w:tcPr>
            <w:tcW w:w="8028" w:type="dxa"/>
          </w:tcPr>
          <w:p w:rsidR="00FC48C8" w:rsidRPr="00880075" w:rsidRDefault="0098700A" w:rsidP="006D570B">
            <w:pPr>
              <w:rPr>
                <w:rFonts w:ascii="Times New Roman" w:hAnsi="Times New Roman"/>
                <w:szCs w:val="24"/>
              </w:rPr>
            </w:pPr>
            <w:r w:rsidRPr="00880075">
              <w:rPr>
                <w:rFonts w:ascii="Times New Roman" w:hAnsi="Times New Roman"/>
                <w:color w:val="000000"/>
                <w:szCs w:val="24"/>
              </w:rPr>
              <w:t xml:space="preserve">DEQ administers </w:t>
            </w:r>
            <w:r w:rsidR="00E6027E" w:rsidRPr="00880075">
              <w:rPr>
                <w:rFonts w:ascii="Times New Roman" w:hAnsi="Times New Roman"/>
                <w:color w:val="000000"/>
                <w:szCs w:val="24"/>
              </w:rPr>
              <w:t xml:space="preserve">Oregon’s </w:t>
            </w:r>
            <w:r w:rsidR="00DD352A" w:rsidRPr="00880075">
              <w:rPr>
                <w:rFonts w:ascii="Times New Roman" w:hAnsi="Times New Roman"/>
                <w:spacing w:val="-3"/>
                <w:szCs w:val="24"/>
              </w:rPr>
              <w:t>Clean Water State Revolving Fund</w:t>
            </w:r>
            <w:r w:rsidR="00E6027E" w:rsidRPr="00880075">
              <w:rPr>
                <w:rFonts w:ascii="Times New Roman" w:hAnsi="Times New Roman"/>
                <w:color w:val="000000"/>
                <w:szCs w:val="24"/>
              </w:rPr>
              <w:t xml:space="preserve"> loan program</w:t>
            </w:r>
            <w:r w:rsidRPr="00880075">
              <w:rPr>
                <w:rFonts w:ascii="Times New Roman" w:hAnsi="Times New Roman"/>
                <w:color w:val="000000"/>
                <w:szCs w:val="24"/>
              </w:rPr>
              <w:t xml:space="preserve"> that</w:t>
            </w:r>
            <w:r w:rsidR="00E6027E" w:rsidRPr="00880075">
              <w:rPr>
                <w:rFonts w:ascii="Times New Roman" w:hAnsi="Times New Roman"/>
                <w:color w:val="000000"/>
                <w:szCs w:val="24"/>
              </w:rPr>
              <w:t xml:space="preserve"> provides low-interest loans </w:t>
            </w:r>
            <w:r w:rsidRPr="00880075">
              <w:rPr>
                <w:rFonts w:ascii="Times New Roman" w:hAnsi="Times New Roman"/>
                <w:color w:val="000000"/>
                <w:szCs w:val="24"/>
              </w:rPr>
              <w:t xml:space="preserve">to public agencies </w:t>
            </w:r>
            <w:r w:rsidR="00E6027E" w:rsidRPr="00880075">
              <w:rPr>
                <w:rFonts w:ascii="Times New Roman" w:hAnsi="Times New Roman"/>
                <w:color w:val="000000"/>
                <w:szCs w:val="24"/>
              </w:rPr>
              <w:t xml:space="preserve">for the planning, design and construction of projects that will prevent or mitigate water pollution. </w:t>
            </w:r>
            <w:r w:rsidRPr="00880075">
              <w:rPr>
                <w:rFonts w:ascii="Times New Roman" w:hAnsi="Times New Roman"/>
                <w:szCs w:val="24"/>
              </w:rPr>
              <w:t>DEQ completed the last</w:t>
            </w:r>
            <w:r w:rsidR="006D570B" w:rsidRPr="00880075">
              <w:rPr>
                <w:rFonts w:ascii="Times New Roman" w:hAnsi="Times New Roman"/>
                <w:szCs w:val="24"/>
              </w:rPr>
              <w:t xml:space="preserve"> </w:t>
            </w:r>
            <w:r w:rsidR="00F33011" w:rsidRPr="00880075">
              <w:rPr>
                <w:rFonts w:ascii="Times New Roman" w:hAnsi="Times New Roman"/>
                <w:szCs w:val="24"/>
              </w:rPr>
              <w:t xml:space="preserve">comprehensive program </w:t>
            </w:r>
            <w:r w:rsidR="006D570B" w:rsidRPr="00880075">
              <w:rPr>
                <w:rFonts w:ascii="Times New Roman" w:hAnsi="Times New Roman"/>
                <w:szCs w:val="24"/>
              </w:rPr>
              <w:t xml:space="preserve">rule </w:t>
            </w:r>
            <w:r w:rsidR="00E02383" w:rsidRPr="00880075">
              <w:rPr>
                <w:rFonts w:ascii="Times New Roman" w:hAnsi="Times New Roman"/>
                <w:szCs w:val="24"/>
              </w:rPr>
              <w:t>update</w:t>
            </w:r>
            <w:r w:rsidR="006D570B" w:rsidRPr="00880075">
              <w:rPr>
                <w:rFonts w:ascii="Times New Roman" w:hAnsi="Times New Roman"/>
                <w:szCs w:val="24"/>
              </w:rPr>
              <w:t xml:space="preserve"> in 2003</w:t>
            </w:r>
            <w:r w:rsidRPr="00880075">
              <w:rPr>
                <w:rFonts w:ascii="Times New Roman" w:hAnsi="Times New Roman"/>
                <w:szCs w:val="24"/>
              </w:rPr>
              <w:t>, and</w:t>
            </w:r>
            <w:r w:rsidR="00DD352A">
              <w:rPr>
                <w:rFonts w:ascii="Times New Roman" w:hAnsi="Times New Roman"/>
                <w:szCs w:val="24"/>
              </w:rPr>
              <w:t xml:space="preserve"> has</w:t>
            </w:r>
            <w:r w:rsidRPr="00880075">
              <w:rPr>
                <w:rFonts w:ascii="Times New Roman" w:hAnsi="Times New Roman"/>
                <w:szCs w:val="24"/>
              </w:rPr>
              <w:t xml:space="preserve"> made several rule updates since then to address federal requirements, including </w:t>
            </w:r>
            <w:r w:rsidR="006D570B" w:rsidRPr="00880075">
              <w:rPr>
                <w:rFonts w:ascii="Times New Roman" w:hAnsi="Times New Roman"/>
                <w:szCs w:val="24"/>
              </w:rPr>
              <w:t xml:space="preserve">the American Recovery and Reinvestment Act of 2009. </w:t>
            </w:r>
          </w:p>
          <w:p w:rsidR="00800171" w:rsidRPr="00880075" w:rsidRDefault="00800171" w:rsidP="00E36BC1">
            <w:pPr>
              <w:rPr>
                <w:rFonts w:ascii="Times New Roman" w:hAnsi="Times New Roman"/>
                <w:szCs w:val="24"/>
              </w:rPr>
            </w:pPr>
          </w:p>
          <w:p w:rsidR="005D3E19" w:rsidRDefault="00F33011">
            <w:pPr>
              <w:pStyle w:val="DEQTEXTforFACTSHEET"/>
            </w:pPr>
            <w:r w:rsidRPr="00880075">
              <w:rPr>
                <w:sz w:val="24"/>
                <w:szCs w:val="24"/>
              </w:rPr>
              <w:t>In Feb</w:t>
            </w:r>
            <w:r w:rsidR="00DD352A">
              <w:rPr>
                <w:sz w:val="24"/>
                <w:szCs w:val="24"/>
              </w:rPr>
              <w:t>ruary</w:t>
            </w:r>
            <w:r w:rsidRPr="00880075">
              <w:rPr>
                <w:sz w:val="24"/>
                <w:szCs w:val="24"/>
              </w:rPr>
              <w:t xml:space="preserve"> 2011, DEQ selected and appointed a CWSRF Advisory Committee, which met monthly from May 2011 through March 2012. The committee researched, discussed and developed recommendations on </w:t>
            </w:r>
            <w:r w:rsidR="003919E8" w:rsidRPr="00880075">
              <w:rPr>
                <w:sz w:val="24"/>
                <w:szCs w:val="24"/>
              </w:rPr>
              <w:t>the technical, policy and financial aspects of the program.</w:t>
            </w:r>
            <w:r w:rsidR="00815E0D">
              <w:rPr>
                <w:sz w:val="24"/>
                <w:szCs w:val="24"/>
              </w:rPr>
              <w:t xml:space="preserve"> </w:t>
            </w:r>
          </w:p>
        </w:tc>
      </w:tr>
      <w:tr w:rsidR="00C354B4" w:rsidRPr="00880075" w:rsidTr="009C7B25">
        <w:tc>
          <w:tcPr>
            <w:tcW w:w="1890" w:type="dxa"/>
          </w:tcPr>
          <w:p w:rsidR="00C354B4" w:rsidRPr="00880075" w:rsidRDefault="00C354B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</w:tc>
        <w:tc>
          <w:tcPr>
            <w:tcW w:w="8028" w:type="dxa"/>
          </w:tcPr>
          <w:p w:rsidR="00C354B4" w:rsidRPr="00880075" w:rsidRDefault="00C354B4" w:rsidP="00424135">
            <w:pPr>
              <w:rPr>
                <w:rFonts w:ascii="Times New Roman" w:hAnsi="Times New Roman"/>
                <w:szCs w:val="24"/>
              </w:rPr>
            </w:pPr>
          </w:p>
        </w:tc>
      </w:tr>
      <w:tr w:rsidR="000111FF" w:rsidRPr="00880075" w:rsidTr="009C7B25">
        <w:tc>
          <w:tcPr>
            <w:tcW w:w="1890" w:type="dxa"/>
          </w:tcPr>
          <w:p w:rsidR="000111FF" w:rsidRPr="00880075" w:rsidRDefault="00350B0C" w:rsidP="000111FF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Cs w:val="24"/>
              </w:rPr>
              <w:t>Public involvement</w:t>
            </w:r>
          </w:p>
        </w:tc>
        <w:tc>
          <w:tcPr>
            <w:tcW w:w="8028" w:type="dxa"/>
          </w:tcPr>
          <w:p w:rsidR="003641C5" w:rsidRPr="00880075" w:rsidRDefault="003919E8" w:rsidP="003641C5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880075">
              <w:rPr>
                <w:rFonts w:ascii="Times New Roman" w:hAnsi="Times New Roman"/>
                <w:szCs w:val="24"/>
              </w:rPr>
              <w:t>T</w:t>
            </w:r>
            <w:r w:rsidR="008B1BBD" w:rsidRPr="00880075">
              <w:rPr>
                <w:rFonts w:ascii="Times New Roman" w:hAnsi="Times New Roman"/>
                <w:szCs w:val="24"/>
              </w:rPr>
              <w:t xml:space="preserve">he committee developed rulemaking guiding principles </w:t>
            </w:r>
            <w:r w:rsidR="00815E0D">
              <w:rPr>
                <w:rFonts w:ascii="Times New Roman" w:hAnsi="Times New Roman"/>
                <w:szCs w:val="24"/>
              </w:rPr>
              <w:t xml:space="preserve">to develop its </w:t>
            </w:r>
            <w:r w:rsidR="009E0C46" w:rsidRPr="009E0C46">
              <w:rPr>
                <w:rFonts w:ascii="Times New Roman" w:hAnsi="Times New Roman"/>
                <w:szCs w:val="24"/>
              </w:rPr>
              <w:t>recommendation</w:t>
            </w:r>
            <w:r w:rsidR="00815E0D">
              <w:rPr>
                <w:rFonts w:ascii="Times New Roman" w:hAnsi="Times New Roman"/>
                <w:szCs w:val="24"/>
              </w:rPr>
              <w:t>s</w:t>
            </w:r>
            <w:r w:rsidR="009E0C46" w:rsidRPr="009E0C46">
              <w:rPr>
                <w:rFonts w:ascii="Times New Roman" w:hAnsi="Times New Roman"/>
                <w:szCs w:val="24"/>
              </w:rPr>
              <w:t xml:space="preserve">. </w:t>
            </w:r>
            <w:r w:rsidR="001C6019" w:rsidRPr="00880075">
              <w:rPr>
                <w:rFonts w:ascii="Times New Roman" w:hAnsi="Times New Roman"/>
                <w:szCs w:val="24"/>
              </w:rPr>
              <w:t>Throughout the process</w:t>
            </w:r>
            <w:r w:rsidR="00815E0D">
              <w:rPr>
                <w:rFonts w:ascii="Times New Roman" w:hAnsi="Times New Roman"/>
                <w:szCs w:val="24"/>
              </w:rPr>
              <w:t>,</w:t>
            </w:r>
            <w:r w:rsidR="001C6019" w:rsidRPr="00880075">
              <w:rPr>
                <w:rFonts w:ascii="Times New Roman" w:hAnsi="Times New Roman"/>
                <w:szCs w:val="24"/>
              </w:rPr>
              <w:t xml:space="preserve"> </w:t>
            </w:r>
            <w:r w:rsidR="009E0C46" w:rsidRPr="009E0C46">
              <w:rPr>
                <w:rFonts w:ascii="Times New Roman" w:hAnsi="Times New Roman"/>
                <w:szCs w:val="24"/>
              </w:rPr>
              <w:t xml:space="preserve">several overarching themes emerged: </w:t>
            </w:r>
          </w:p>
          <w:p w:rsidR="006751BC" w:rsidRDefault="003641C5">
            <w:pPr>
              <w:pStyle w:val="ListParagraph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spacing w:val="-3"/>
              </w:rPr>
            </w:pPr>
            <w:r w:rsidRPr="00880075">
              <w:t>A</w:t>
            </w:r>
            <w:r w:rsidR="008B1BBD" w:rsidRPr="00880075">
              <w:t>cknowledgement that small communities need as much assistance as possible</w:t>
            </w:r>
            <w:r w:rsidRPr="00880075">
              <w:t>.</w:t>
            </w:r>
          </w:p>
          <w:p w:rsidR="006751BC" w:rsidRDefault="0068348B">
            <w:pPr>
              <w:pStyle w:val="ListParagraph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spacing w:val="-3"/>
              </w:rPr>
            </w:pPr>
            <w:r>
              <w:t xml:space="preserve">The </w:t>
            </w:r>
            <w:r w:rsidR="003641C5" w:rsidRPr="00880075">
              <w:t>program should emphasize both point and nonpoint source projects that improve and protect water quality.</w:t>
            </w:r>
          </w:p>
          <w:p w:rsidR="005D3E19" w:rsidRDefault="0068348B" w:rsidP="005D3E19">
            <w:pPr>
              <w:pStyle w:val="ListParagraph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spacing w:val="-3"/>
              </w:rPr>
            </w:pPr>
            <w:r>
              <w:t>The program</w:t>
            </w:r>
            <w:r w:rsidRPr="00880075">
              <w:t xml:space="preserve"> </w:t>
            </w:r>
            <w:r w:rsidR="008B1BBD" w:rsidRPr="00880075">
              <w:t>should fund projects that have multiple water quality benefits,</w:t>
            </w:r>
            <w:r w:rsidR="003641C5" w:rsidRPr="00880075">
              <w:t xml:space="preserve"> especially projects integrating traditional “gray” infrastructure with “green” or natural infrastructure.</w:t>
            </w:r>
            <w:r w:rsidR="008B1BBD" w:rsidRPr="00880075">
              <w:t xml:space="preserve"> </w:t>
            </w:r>
          </w:p>
        </w:tc>
      </w:tr>
      <w:tr w:rsidR="00E02383" w:rsidRPr="00880075" w:rsidTr="009C7B25">
        <w:tc>
          <w:tcPr>
            <w:tcW w:w="1890" w:type="dxa"/>
          </w:tcPr>
          <w:p w:rsidR="00E02383" w:rsidRPr="00880075" w:rsidRDefault="00E0238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</w:tc>
        <w:tc>
          <w:tcPr>
            <w:tcW w:w="8028" w:type="dxa"/>
          </w:tcPr>
          <w:p w:rsidR="00E02383" w:rsidRPr="00880075" w:rsidRDefault="00E02383" w:rsidP="00424135">
            <w:pPr>
              <w:rPr>
                <w:rFonts w:ascii="Times New Roman" w:hAnsi="Times New Roman"/>
                <w:szCs w:val="24"/>
              </w:rPr>
            </w:pPr>
          </w:p>
        </w:tc>
      </w:tr>
      <w:tr w:rsidR="00C354B4" w:rsidRPr="00880075" w:rsidTr="009C7B25">
        <w:tc>
          <w:tcPr>
            <w:tcW w:w="1890" w:type="dxa"/>
          </w:tcPr>
          <w:p w:rsidR="00C354B4" w:rsidRPr="00D53B8D" w:rsidRDefault="009E0C4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9E0C46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 xml:space="preserve">Key </w:t>
            </w:r>
            <w:r w:rsidR="0068348B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recommend</w:t>
            </w:r>
            <w:r w:rsidR="00205296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ations</w:t>
            </w:r>
          </w:p>
          <w:p w:rsidR="00C354B4" w:rsidRPr="00880075" w:rsidRDefault="00C354B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</w:tc>
        <w:tc>
          <w:tcPr>
            <w:tcW w:w="8028" w:type="dxa"/>
          </w:tcPr>
          <w:p w:rsidR="00B71684" w:rsidRPr="00880075" w:rsidRDefault="00880075" w:rsidP="006A7B43">
            <w:pPr>
              <w:pStyle w:val="DEQTEXTforFACTSHEET"/>
              <w:rPr>
                <w:sz w:val="24"/>
                <w:szCs w:val="24"/>
              </w:rPr>
            </w:pPr>
            <w:r w:rsidRPr="00880075">
              <w:rPr>
                <w:sz w:val="24"/>
                <w:szCs w:val="24"/>
              </w:rPr>
              <w:t>The advisory committee’s k</w:t>
            </w:r>
            <w:r w:rsidR="003641C5" w:rsidRPr="00880075">
              <w:rPr>
                <w:sz w:val="24"/>
                <w:szCs w:val="24"/>
              </w:rPr>
              <w:t>ey recommendations include:</w:t>
            </w:r>
          </w:p>
          <w:p w:rsidR="00495BDA" w:rsidRPr="00880075" w:rsidRDefault="00495BDA" w:rsidP="006A7B43">
            <w:pPr>
              <w:pStyle w:val="DEQTEXTforFACTSHEET"/>
              <w:rPr>
                <w:sz w:val="24"/>
                <w:szCs w:val="24"/>
              </w:rPr>
            </w:pPr>
          </w:p>
          <w:p w:rsidR="006751BC" w:rsidRDefault="009E0C46">
            <w:pPr>
              <w:rPr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Project eligibility</w:t>
            </w:r>
          </w:p>
          <w:p w:rsidR="005D4BA6" w:rsidRDefault="009E0C46">
            <w:pPr>
              <w:rPr>
                <w:rFonts w:ascii="Times New Roman" w:hAnsi="Times New Roman"/>
                <w:szCs w:val="24"/>
              </w:rPr>
            </w:pPr>
            <w:r w:rsidRPr="009E0C46">
              <w:rPr>
                <w:rFonts w:ascii="Times New Roman" w:hAnsi="Times New Roman"/>
                <w:szCs w:val="24"/>
              </w:rPr>
              <w:t xml:space="preserve">The committee recommends </w:t>
            </w:r>
            <w:r w:rsidR="00350B0C" w:rsidRPr="009E0C46">
              <w:rPr>
                <w:rFonts w:ascii="Times New Roman" w:hAnsi="Times New Roman"/>
                <w:szCs w:val="24"/>
              </w:rPr>
              <w:t>broadening</w:t>
            </w:r>
            <w:r w:rsidRPr="009E0C46">
              <w:rPr>
                <w:rFonts w:ascii="Times New Roman" w:hAnsi="Times New Roman"/>
                <w:szCs w:val="24"/>
              </w:rPr>
              <w:t xml:space="preserve"> the current project eligibility rule</w:t>
            </w:r>
            <w:r w:rsidR="00880075" w:rsidRPr="00880075">
              <w:rPr>
                <w:rFonts w:ascii="Times New Roman" w:hAnsi="Times New Roman"/>
                <w:szCs w:val="24"/>
              </w:rPr>
              <w:t>s</w:t>
            </w:r>
            <w:r w:rsidRPr="009E0C46">
              <w:rPr>
                <w:rFonts w:ascii="Times New Roman" w:hAnsi="Times New Roman"/>
                <w:szCs w:val="24"/>
              </w:rPr>
              <w:t xml:space="preserve"> to include more types of water quality improvement projects that could receive program funding. The rules should also be flexible so future water quality improvement projects not specifically identified in the </w:t>
            </w:r>
            <w:r w:rsidR="0068348B">
              <w:rPr>
                <w:rFonts w:ascii="Times New Roman" w:hAnsi="Times New Roman"/>
                <w:szCs w:val="24"/>
              </w:rPr>
              <w:t xml:space="preserve">current </w:t>
            </w:r>
            <w:r w:rsidRPr="009E0C46">
              <w:rPr>
                <w:rFonts w:ascii="Times New Roman" w:hAnsi="Times New Roman"/>
                <w:szCs w:val="24"/>
              </w:rPr>
              <w:t xml:space="preserve">rules are eligible. Project eligibility determines which projects can receive CWSRF funding. The </w:t>
            </w:r>
            <w:r w:rsidRPr="009E0C46">
              <w:rPr>
                <w:rFonts w:ascii="Times New Roman" w:hAnsi="Times New Roman"/>
                <w:szCs w:val="24"/>
              </w:rPr>
              <w:lastRenderedPageBreak/>
              <w:t xml:space="preserve">committee’s concerns with current rules were </w:t>
            </w:r>
            <w:r>
              <w:rPr>
                <w:rFonts w:ascii="Times New Roman" w:hAnsi="Times New Roman"/>
                <w:szCs w:val="24"/>
              </w:rPr>
              <w:t xml:space="preserve">how the program’s funds are unevenly distributed between point source and nonpoint source projects. </w:t>
            </w:r>
            <w:r w:rsidR="0068348B">
              <w:rPr>
                <w:rFonts w:ascii="Times New Roman" w:hAnsi="Times New Roman"/>
                <w:szCs w:val="24"/>
              </w:rPr>
              <w:t xml:space="preserve">Committee members </w:t>
            </w:r>
            <w:r>
              <w:rPr>
                <w:rFonts w:ascii="Times New Roman" w:hAnsi="Times New Roman"/>
                <w:szCs w:val="24"/>
              </w:rPr>
              <w:t xml:space="preserve">agreed that all eligible projects should achieve the </w:t>
            </w:r>
            <w:r w:rsidR="0068348B">
              <w:rPr>
                <w:rFonts w:ascii="Times New Roman" w:hAnsi="Times New Roman"/>
                <w:szCs w:val="24"/>
              </w:rPr>
              <w:t xml:space="preserve">greatest </w:t>
            </w:r>
            <w:r>
              <w:rPr>
                <w:rFonts w:ascii="Times New Roman" w:hAnsi="Times New Roman"/>
                <w:szCs w:val="24"/>
              </w:rPr>
              <w:t xml:space="preserve">water quality benefits possible. </w:t>
            </w:r>
          </w:p>
          <w:p w:rsidR="005D4BA6" w:rsidRDefault="005D4BA6">
            <w:pPr>
              <w:rPr>
                <w:rFonts w:ascii="Times New Roman" w:hAnsi="Times New Roman"/>
                <w:szCs w:val="24"/>
              </w:rPr>
            </w:pPr>
          </w:p>
          <w:p w:rsidR="006751BC" w:rsidRDefault="005D4BA6">
            <w:r>
              <w:rPr>
                <w:rFonts w:ascii="Times New Roman" w:hAnsi="Times New Roman"/>
                <w:szCs w:val="24"/>
              </w:rPr>
              <w:t>The committee also supports the use of</w:t>
            </w:r>
            <w:r w:rsidR="00457221">
              <w:rPr>
                <w:rFonts w:ascii="Times New Roman" w:hAnsi="Times New Roman"/>
                <w:szCs w:val="24"/>
              </w:rPr>
              <w:t xml:space="preserve"> water quality trading </w:t>
            </w:r>
            <w:r>
              <w:rPr>
                <w:rFonts w:ascii="Times New Roman" w:hAnsi="Times New Roman"/>
                <w:szCs w:val="24"/>
              </w:rPr>
              <w:t>as</w:t>
            </w:r>
            <w:r w:rsidR="00457221">
              <w:rPr>
                <w:rFonts w:ascii="Times New Roman" w:hAnsi="Times New Roman"/>
                <w:szCs w:val="24"/>
              </w:rPr>
              <w:t xml:space="preserve"> an emerging improvement tool. The committee recommends </w:t>
            </w:r>
            <w:r w:rsidR="0068348B">
              <w:rPr>
                <w:rFonts w:ascii="Times New Roman" w:hAnsi="Times New Roman"/>
                <w:szCs w:val="24"/>
              </w:rPr>
              <w:t xml:space="preserve">that </w:t>
            </w:r>
            <w:r w:rsidR="00457221">
              <w:rPr>
                <w:rFonts w:ascii="Times New Roman" w:hAnsi="Times New Roman"/>
                <w:szCs w:val="24"/>
              </w:rPr>
              <w:t xml:space="preserve">DEQ pursue </w:t>
            </w:r>
            <w:r w:rsidR="00B57E0B">
              <w:rPr>
                <w:rFonts w:ascii="Times New Roman" w:hAnsi="Times New Roman"/>
                <w:szCs w:val="24"/>
              </w:rPr>
              <w:t xml:space="preserve">federal and state </w:t>
            </w:r>
            <w:r w:rsidR="00457221">
              <w:rPr>
                <w:rFonts w:ascii="Times New Roman" w:hAnsi="Times New Roman"/>
                <w:szCs w:val="24"/>
              </w:rPr>
              <w:t xml:space="preserve">regulatory changes needed to allow </w:t>
            </w:r>
            <w:r>
              <w:rPr>
                <w:rFonts w:ascii="Times New Roman" w:hAnsi="Times New Roman"/>
                <w:szCs w:val="24"/>
              </w:rPr>
              <w:t>the purchase and finance of long</w:t>
            </w:r>
            <w:r w:rsidR="0068348B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term water quality trading credits under the CWSRF program</w:t>
            </w:r>
            <w:r w:rsidR="00457221">
              <w:rPr>
                <w:rFonts w:ascii="Times New Roman" w:hAnsi="Times New Roman"/>
                <w:szCs w:val="24"/>
              </w:rPr>
              <w:t>.</w:t>
            </w:r>
          </w:p>
          <w:p w:rsidR="006751BC" w:rsidRDefault="009E0C46"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95296A" w:rsidRPr="00880075" w:rsidRDefault="009E0C46" w:rsidP="00FC4CBA">
            <w:pPr>
              <w:rPr>
                <w:rFonts w:ascii="Times New Roman" w:hAnsi="Times New Roman"/>
                <w:b/>
                <w:szCs w:val="24"/>
              </w:rPr>
            </w:pPr>
            <w:r w:rsidRPr="009E0C46">
              <w:rPr>
                <w:rFonts w:ascii="Times New Roman" w:hAnsi="Times New Roman"/>
                <w:b/>
                <w:szCs w:val="24"/>
              </w:rPr>
              <w:t>Project ranking criteria</w:t>
            </w:r>
          </w:p>
          <w:p w:rsidR="00FC4CBA" w:rsidRPr="00880075" w:rsidRDefault="009E0C46" w:rsidP="00FC4CBA">
            <w:pPr>
              <w:rPr>
                <w:rFonts w:ascii="Times New Roman" w:hAnsi="Times New Roman"/>
                <w:szCs w:val="24"/>
              </w:rPr>
            </w:pPr>
            <w:r w:rsidRPr="009E0C46">
              <w:rPr>
                <w:rFonts w:ascii="Times New Roman" w:hAnsi="Times New Roman"/>
                <w:szCs w:val="24"/>
              </w:rPr>
              <w:t xml:space="preserve">DEQ awards funding based on a competitive application process. Project ranking criteria determine how a project ranks against other projects, and the order determines funding priority. Recommendations focused on criteria that could apply to all types of water quality projects: </w:t>
            </w:r>
          </w:p>
          <w:p w:rsidR="00FC4CBA" w:rsidRPr="00880075" w:rsidRDefault="00495BDA" w:rsidP="00FC4CBA">
            <w:pPr>
              <w:pStyle w:val="ListParagraph"/>
              <w:numPr>
                <w:ilvl w:val="0"/>
                <w:numId w:val="13"/>
              </w:numPr>
              <w:contextualSpacing w:val="0"/>
            </w:pPr>
            <w:r w:rsidRPr="00880075">
              <w:t>Align criteria more closely with DEQ's water quality priorities and the committee’s guiding principles</w:t>
            </w:r>
            <w:r w:rsidR="00FC4CBA" w:rsidRPr="00880075">
              <w:t>.</w:t>
            </w:r>
          </w:p>
          <w:p w:rsidR="00FC4CBA" w:rsidRPr="00880075" w:rsidRDefault="00FC4CBA" w:rsidP="00FC4CBA">
            <w:pPr>
              <w:pStyle w:val="ListParagraph"/>
              <w:numPr>
                <w:ilvl w:val="0"/>
                <w:numId w:val="13"/>
              </w:numPr>
              <w:contextualSpacing w:val="0"/>
            </w:pPr>
            <w:r w:rsidRPr="00880075">
              <w:t xml:space="preserve">Shift emphasis from </w:t>
            </w:r>
            <w:r w:rsidR="00531A92">
              <w:t xml:space="preserve">permit </w:t>
            </w:r>
            <w:r w:rsidRPr="00880075">
              <w:t>compliance</w:t>
            </w:r>
            <w:r w:rsidR="00531A92">
              <w:t xml:space="preserve"> or </w:t>
            </w:r>
            <w:r w:rsidRPr="00880075">
              <w:t>non-compliance to proactively improv</w:t>
            </w:r>
            <w:r w:rsidR="00205296">
              <w:t>e</w:t>
            </w:r>
            <w:r w:rsidRPr="00880075">
              <w:t>, restor</w:t>
            </w:r>
            <w:r w:rsidR="00205296">
              <w:t>e</w:t>
            </w:r>
            <w:r w:rsidRPr="00880075">
              <w:t xml:space="preserve"> and maintain water quality.</w:t>
            </w:r>
          </w:p>
          <w:p w:rsidR="00FC4CBA" w:rsidRPr="00880075" w:rsidRDefault="00FC4CBA" w:rsidP="00FC4CBA">
            <w:pPr>
              <w:pStyle w:val="ListParagraph"/>
              <w:numPr>
                <w:ilvl w:val="0"/>
                <w:numId w:val="13"/>
              </w:numPr>
              <w:contextualSpacing w:val="0"/>
            </w:pPr>
            <w:r w:rsidRPr="00880075">
              <w:t>Encourag</w:t>
            </w:r>
            <w:r w:rsidR="0095296A" w:rsidRPr="00880075">
              <w:t>e</w:t>
            </w:r>
            <w:r w:rsidR="00D6622A" w:rsidRPr="00880075">
              <w:t xml:space="preserve"> </w:t>
            </w:r>
            <w:r w:rsidRPr="00880075">
              <w:t>projects t</w:t>
            </w:r>
            <w:r w:rsidR="00D6622A" w:rsidRPr="00880075">
              <w:t>o</w:t>
            </w:r>
            <w:r w:rsidRPr="00880075">
              <w:t xml:space="preserve"> integrate sustainable and “green” components with “gray” infrastructure.</w:t>
            </w:r>
          </w:p>
          <w:p w:rsidR="00FC4CBA" w:rsidRPr="00880075" w:rsidRDefault="00FC4CBA" w:rsidP="00FC4CBA">
            <w:pPr>
              <w:pStyle w:val="ListParagraph"/>
              <w:numPr>
                <w:ilvl w:val="0"/>
                <w:numId w:val="13"/>
              </w:numPr>
              <w:contextualSpacing w:val="0"/>
            </w:pPr>
            <w:r w:rsidRPr="00880075">
              <w:t>Add new project planning criteria to encourage planning efforts.</w:t>
            </w:r>
          </w:p>
          <w:p w:rsidR="00FC4CBA" w:rsidRPr="00880075" w:rsidRDefault="0095296A" w:rsidP="00FC4CBA">
            <w:pPr>
              <w:pStyle w:val="ListParagraph"/>
              <w:numPr>
                <w:ilvl w:val="0"/>
                <w:numId w:val="13"/>
              </w:numPr>
              <w:contextualSpacing w:val="0"/>
            </w:pPr>
            <w:r w:rsidRPr="00880075">
              <w:t xml:space="preserve">Develop </w:t>
            </w:r>
            <w:r w:rsidR="00FC4CBA" w:rsidRPr="00880075">
              <w:t xml:space="preserve">a </w:t>
            </w:r>
            <w:r w:rsidR="00D6622A" w:rsidRPr="00880075">
              <w:t xml:space="preserve">consistent, standardized </w:t>
            </w:r>
            <w:r w:rsidR="00FC4CBA" w:rsidRPr="00880075">
              <w:t xml:space="preserve">scoring system. </w:t>
            </w:r>
          </w:p>
          <w:p w:rsidR="00FC4CBA" w:rsidRPr="00880075" w:rsidRDefault="00FC4CBA" w:rsidP="00FC4CB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0075" w:rsidRDefault="00F47D47" w:rsidP="00FC4C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Funding allocation and f</w:t>
            </w:r>
            <w:r w:rsidR="009E0C46" w:rsidRPr="009E0C46">
              <w:rPr>
                <w:rFonts w:ascii="Times New Roman" w:hAnsi="Times New Roman" w:cs="Times New Roman"/>
                <w:b/>
                <w:sz w:val="24"/>
                <w:szCs w:val="24"/>
              </w:rPr>
              <w:t>inancial provisions</w:t>
            </w:r>
          </w:p>
          <w:p w:rsidR="00FC4CBA" w:rsidRPr="00880075" w:rsidRDefault="00F47D47" w:rsidP="00FC4CB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CWSRF program fund is allocated through loan reserves established for specific purposes, such as planning. </w:t>
            </w:r>
            <w:r w:rsidR="009E0C46"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>The loan annual fee, loan interest rates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E0C46"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principal forgiveness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and loan term</w:t>
            </w:r>
            <w:r w:rsidR="009E0C46"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have the most impact on finance affordability for all borrowers. </w:t>
            </w:r>
            <w:r w:rsidR="006751BC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9E0C46"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ommittee </w:t>
            </w:r>
            <w:r w:rsidR="006751BC">
              <w:rPr>
                <w:rFonts w:ascii="Times New Roman" w:hAnsi="Times New Roman" w:cs="Times New Roman"/>
                <w:bCs/>
                <w:sz w:val="24"/>
                <w:szCs w:val="24"/>
              </w:rPr>
              <w:t>recommendations</w:t>
            </w:r>
            <w:r w:rsidR="009E0C46"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include:</w:t>
            </w:r>
            <w:r w:rsidR="00815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E55AA" w:rsidRPr="000E55AA" w:rsidRDefault="000E55AA" w:rsidP="000E55AA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liminate the E</w:t>
            </w:r>
            <w:r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>xpedited Loan Reserve</w:t>
            </w:r>
            <w:r w:rsidR="00BA053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398A">
              <w:rPr>
                <w:rFonts w:ascii="Times New Roman" w:hAnsi="Times New Roman" w:cs="Times New Roman"/>
                <w:bCs/>
                <w:sz w:val="24"/>
                <w:szCs w:val="24"/>
              </w:rPr>
              <w:t>as this reserve has never been used</w:t>
            </w:r>
            <w:r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E55AA" w:rsidRPr="006751BC" w:rsidRDefault="000E55AA" w:rsidP="000E55AA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>Increas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</w:t>
            </w:r>
            <w:r w:rsidR="00E82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initial </w:t>
            </w:r>
            <w:r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>maximum planning loan amount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from $150,000 to $250,000</w:t>
            </w:r>
            <w:r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E55AA" w:rsidRPr="000E55AA" w:rsidRDefault="000E55AA" w:rsidP="000E55AA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>Revis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definition of a small community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from 5,000 or less to 10,000 or less population, and increase the Small Community Reserve from 15 percent of total available funds to 25 percent</w:t>
            </w:r>
            <w:r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E55AA" w:rsidRPr="006751BC" w:rsidRDefault="000E55AA" w:rsidP="000E55AA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Continue to award loan increases to existing projects before funding new projects.</w:t>
            </w:r>
          </w:p>
          <w:p w:rsidR="00D6622A" w:rsidRPr="00880075" w:rsidRDefault="006751BC" w:rsidP="00D6622A">
            <w:pPr>
              <w:pStyle w:val="NoSpacing"/>
              <w:numPr>
                <w:ilvl w:val="0"/>
                <w:numId w:val="12"/>
              </w:numPr>
              <w:tabs>
                <w:tab w:val="num" w:pos="11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Reduce the annual fee account balance</w:t>
            </w:r>
            <w:r w:rsidR="003B3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used for administering the CWSRF program,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through a temporary two</w:t>
            </w:r>
            <w:r w:rsidR="00BA053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year </w:t>
            </w:r>
            <w:r w:rsidR="00E82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reduction and re-assessment process. </w:t>
            </w:r>
            <w:r w:rsidR="003B308A">
              <w:rPr>
                <w:rFonts w:ascii="Times New Roman" w:hAnsi="Times New Roman" w:cs="Times New Roman"/>
                <w:bCs/>
                <w:sz w:val="24"/>
                <w:szCs w:val="24"/>
              </w:rPr>
              <w:t>Over time the account balance has increased and the reduction will not impact DEQ’s ability to administer the program.</w:t>
            </w:r>
          </w:p>
          <w:p w:rsidR="00FC4CBA" w:rsidRPr="00880075" w:rsidRDefault="003B308A" w:rsidP="00FC4CBA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Reduce </w:t>
            </w:r>
            <w:r w:rsidR="006751BC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9E0C46"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>nterest rate</w:t>
            </w:r>
            <w:r w:rsidR="006751BC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9E0C46"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all communities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including lower interest rates for small communities with less than </w:t>
            </w:r>
            <w:r w:rsidR="00BA0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statewide median household income</w:t>
            </w:r>
            <w:r w:rsidR="009E0C46"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CD06C2" w:rsidRPr="00CD06C2" w:rsidRDefault="00CD06C2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Pursue amending state statute and obtaining EPA approval to extend the loan repayment period from 20 years to 30 years as an option for future borrowers. </w:t>
            </w:r>
          </w:p>
          <w:p w:rsidR="005D3E19" w:rsidRDefault="006751BC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9E0C46" w:rsidRPr="009E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ward principal forgiveness </w:t>
            </w:r>
            <w:r w:rsidR="00E827C4">
              <w:rPr>
                <w:rFonts w:ascii="Times New Roman" w:hAnsi="Times New Roman" w:cs="Times New Roman"/>
                <w:bCs/>
                <w:sz w:val="24"/>
                <w:szCs w:val="24"/>
              </w:rPr>
              <w:t>for planning,</w:t>
            </w:r>
            <w:r w:rsidR="00BA0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27C4">
              <w:rPr>
                <w:rFonts w:ascii="Times New Roman" w:hAnsi="Times New Roman" w:cs="Times New Roman"/>
                <w:bCs/>
                <w:sz w:val="24"/>
                <w:szCs w:val="24"/>
              </w:rPr>
              <w:t>design and construction loans on a priority basis</w:t>
            </w:r>
            <w:r w:rsidR="00BA053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82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first</w:t>
            </w:r>
            <w:r w:rsidR="00BA053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82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 small communities with less than statewide median household income</w:t>
            </w:r>
            <w:r w:rsidR="00E827C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2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then to</w:t>
            </w:r>
            <w:r w:rsidR="00E82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other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2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small communities. If </w:t>
            </w:r>
            <w:r w:rsidR="00C647F6">
              <w:rPr>
                <w:rFonts w:ascii="Times New Roman" w:hAnsi="Times New Roman" w:cs="Times New Roman"/>
                <w:bCs/>
                <w:sz w:val="24"/>
                <w:szCs w:val="24"/>
              </w:rPr>
              <w:t>there are no eligible small community projects</w:t>
            </w:r>
            <w:r w:rsidR="00E82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DEQ could award principal forgiveness to large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communities with less than statewide median household income</w:t>
            </w:r>
            <w:r w:rsidR="00E82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design and construction loans.</w:t>
            </w:r>
            <w:r w:rsidR="00815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02383" w:rsidRPr="00880075" w:rsidTr="009C7B25">
        <w:tc>
          <w:tcPr>
            <w:tcW w:w="1890" w:type="dxa"/>
          </w:tcPr>
          <w:p w:rsidR="00E02383" w:rsidRPr="00880075" w:rsidRDefault="00E0238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</w:tc>
        <w:tc>
          <w:tcPr>
            <w:tcW w:w="8028" w:type="dxa"/>
          </w:tcPr>
          <w:p w:rsidR="00E02383" w:rsidRPr="00880075" w:rsidRDefault="00E02383" w:rsidP="006A7B43">
            <w:pPr>
              <w:pStyle w:val="DEQTEXTforFACTSHEET"/>
              <w:rPr>
                <w:sz w:val="24"/>
                <w:szCs w:val="24"/>
              </w:rPr>
            </w:pPr>
          </w:p>
        </w:tc>
      </w:tr>
      <w:tr w:rsidR="0091474C" w:rsidRPr="00880075" w:rsidTr="009C7B25">
        <w:trPr>
          <w:trHeight w:val="567"/>
        </w:trPr>
        <w:tc>
          <w:tcPr>
            <w:tcW w:w="1890" w:type="dxa"/>
          </w:tcPr>
          <w:p w:rsidR="00B91179" w:rsidRPr="00D53B8D" w:rsidRDefault="00B91179" w:rsidP="00B911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D53B8D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Next steps</w:t>
            </w:r>
          </w:p>
          <w:p w:rsidR="00B91179" w:rsidRPr="00880075" w:rsidRDefault="00B91179" w:rsidP="0091474C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</w:tc>
        <w:tc>
          <w:tcPr>
            <w:tcW w:w="8028" w:type="dxa"/>
          </w:tcPr>
          <w:p w:rsidR="0091474C" w:rsidRPr="00880075" w:rsidRDefault="00880075" w:rsidP="0068348B">
            <w:pPr>
              <w:ind w:right="-36"/>
              <w:rPr>
                <w:rFonts w:ascii="Times New Roman" w:hAnsi="Times New Roman"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 xml:space="preserve">DEQ will publish a notice of proposed rulemaking for public comment in the Secretary of State Bulletin in July 2012, and will hold a </w:t>
            </w:r>
            <w:r w:rsidR="00FC4CBA" w:rsidRPr="00880075">
              <w:rPr>
                <w:rFonts w:ascii="Times New Roman" w:hAnsi="Times New Roman"/>
                <w:szCs w:val="24"/>
              </w:rPr>
              <w:t>p</w:t>
            </w:r>
            <w:r w:rsidR="00FA71C7" w:rsidRPr="00880075">
              <w:rPr>
                <w:rFonts w:ascii="Times New Roman" w:hAnsi="Times New Roman"/>
                <w:szCs w:val="24"/>
              </w:rPr>
              <w:t xml:space="preserve">ublic </w:t>
            </w:r>
            <w:r w:rsidR="009C7642" w:rsidRPr="00880075">
              <w:rPr>
                <w:rFonts w:ascii="Times New Roman" w:hAnsi="Times New Roman"/>
                <w:szCs w:val="24"/>
              </w:rPr>
              <w:t xml:space="preserve">comment </w:t>
            </w:r>
            <w:r w:rsidR="00FC4CBA" w:rsidRPr="00880075">
              <w:rPr>
                <w:rFonts w:ascii="Times New Roman" w:hAnsi="Times New Roman"/>
                <w:szCs w:val="24"/>
              </w:rPr>
              <w:t xml:space="preserve">period </w:t>
            </w:r>
            <w:r>
              <w:rPr>
                <w:rFonts w:ascii="Times New Roman" w:hAnsi="Times New Roman"/>
                <w:szCs w:val="24"/>
              </w:rPr>
              <w:t xml:space="preserve">with </w:t>
            </w:r>
            <w:r w:rsidR="009C7642" w:rsidRPr="00880075">
              <w:rPr>
                <w:rFonts w:ascii="Times New Roman" w:hAnsi="Times New Roman"/>
                <w:szCs w:val="24"/>
              </w:rPr>
              <w:t xml:space="preserve">hearings </w:t>
            </w:r>
            <w:r>
              <w:rPr>
                <w:rFonts w:ascii="Times New Roman" w:hAnsi="Times New Roman"/>
                <w:szCs w:val="24"/>
              </w:rPr>
              <w:t>in Sept</w:t>
            </w:r>
            <w:r w:rsidR="0068348B">
              <w:rPr>
                <w:rFonts w:ascii="Times New Roman" w:hAnsi="Times New Roman"/>
                <w:szCs w:val="24"/>
              </w:rPr>
              <w:t>ember</w:t>
            </w:r>
            <w:r>
              <w:rPr>
                <w:rFonts w:ascii="Times New Roman" w:hAnsi="Times New Roman"/>
                <w:szCs w:val="24"/>
              </w:rPr>
              <w:t xml:space="preserve"> 2012</w:t>
            </w:r>
            <w:r w:rsidR="009C7642" w:rsidRPr="0088007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0111FF" w:rsidRPr="00880075">
              <w:rPr>
                <w:rFonts w:ascii="Times New Roman" w:hAnsi="Times New Roman"/>
                <w:szCs w:val="24"/>
              </w:rPr>
              <w:t xml:space="preserve">After considering public comments, </w:t>
            </w:r>
            <w:r>
              <w:rPr>
                <w:rFonts w:ascii="Times New Roman" w:hAnsi="Times New Roman"/>
                <w:szCs w:val="24"/>
              </w:rPr>
              <w:t xml:space="preserve">DEQ will return to </w:t>
            </w:r>
            <w:r w:rsidR="00970707" w:rsidRPr="00880075">
              <w:rPr>
                <w:rFonts w:ascii="Times New Roman" w:hAnsi="Times New Roman"/>
                <w:szCs w:val="24"/>
              </w:rPr>
              <w:t>the commission in Dec</w:t>
            </w:r>
            <w:r w:rsidR="0068348B">
              <w:rPr>
                <w:rFonts w:ascii="Times New Roman" w:hAnsi="Times New Roman"/>
                <w:szCs w:val="24"/>
              </w:rPr>
              <w:t>ember</w:t>
            </w:r>
            <w:r w:rsidR="00970707" w:rsidRPr="00880075">
              <w:rPr>
                <w:rFonts w:ascii="Times New Roman" w:hAnsi="Times New Roman"/>
                <w:szCs w:val="24"/>
              </w:rPr>
              <w:t xml:space="preserve"> 2012</w:t>
            </w:r>
            <w:r>
              <w:rPr>
                <w:rFonts w:ascii="Times New Roman" w:hAnsi="Times New Roman"/>
                <w:szCs w:val="24"/>
              </w:rPr>
              <w:t xml:space="preserve"> with proposed final rules for adoption</w:t>
            </w:r>
            <w:r w:rsidR="00970707" w:rsidRPr="00880075">
              <w:rPr>
                <w:rFonts w:ascii="Times New Roman" w:hAnsi="Times New Roman"/>
                <w:szCs w:val="24"/>
              </w:rPr>
              <w:t xml:space="preserve">. </w:t>
            </w:r>
          </w:p>
        </w:tc>
      </w:tr>
      <w:tr w:rsidR="00DD2E20" w:rsidRPr="00880075" w:rsidTr="009C7B25">
        <w:trPr>
          <w:trHeight w:val="274"/>
        </w:trPr>
        <w:tc>
          <w:tcPr>
            <w:tcW w:w="1890" w:type="dxa"/>
          </w:tcPr>
          <w:p w:rsidR="00DD2E20" w:rsidRPr="00880075" w:rsidRDefault="00DD2E20" w:rsidP="00DD2E20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</w:tc>
        <w:tc>
          <w:tcPr>
            <w:tcW w:w="8028" w:type="dxa"/>
          </w:tcPr>
          <w:p w:rsidR="00DD2E20" w:rsidRPr="00880075" w:rsidRDefault="00DD2E20" w:rsidP="0091474C">
            <w:pPr>
              <w:ind w:right="-36"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E02383" w:rsidRPr="00880075" w:rsidTr="009C7B25">
        <w:trPr>
          <w:trHeight w:val="274"/>
        </w:trPr>
        <w:tc>
          <w:tcPr>
            <w:tcW w:w="1890" w:type="dxa"/>
          </w:tcPr>
          <w:p w:rsidR="00DD2E20" w:rsidRPr="00880075" w:rsidRDefault="00DD2E20" w:rsidP="00DD2E20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  <w:r w:rsidRPr="00D53B8D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Attachment</w:t>
            </w:r>
            <w:r w:rsidR="009E0C46" w:rsidRPr="009E0C46">
              <w:rPr>
                <w:rFonts w:ascii="Times New Roman" w:hAnsi="Times New Roman"/>
                <w:b/>
                <w:spacing w:val="-3"/>
                <w:szCs w:val="24"/>
              </w:rPr>
              <w:t>s</w:t>
            </w:r>
          </w:p>
          <w:p w:rsidR="00E02383" w:rsidRPr="00880075" w:rsidRDefault="00E02383" w:rsidP="00B911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</w:tc>
        <w:tc>
          <w:tcPr>
            <w:tcW w:w="8028" w:type="dxa"/>
          </w:tcPr>
          <w:p w:rsidR="00E02383" w:rsidRDefault="00880075" w:rsidP="0091474C">
            <w:pPr>
              <w:ind w:right="-36"/>
              <w:rPr>
                <w:rFonts w:ascii="Times New Roman" w:hAnsi="Times New Roman"/>
                <w:i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 xml:space="preserve">A. </w:t>
            </w:r>
            <w:r w:rsidR="00D53B8D">
              <w:rPr>
                <w:rFonts w:ascii="Times New Roman" w:hAnsi="Times New Roman"/>
                <w:spacing w:val="-3"/>
                <w:szCs w:val="24"/>
              </w:rPr>
              <w:t xml:space="preserve">CWSRF Advisory Committee report: </w:t>
            </w:r>
            <w:r w:rsidR="009E0C46" w:rsidRPr="009E0C46">
              <w:rPr>
                <w:rFonts w:ascii="Times New Roman" w:hAnsi="Times New Roman"/>
                <w:i/>
                <w:spacing w:val="-3"/>
                <w:szCs w:val="24"/>
              </w:rPr>
              <w:t>Recommendations on Clean Water State Revolving Fund Rule Amendments</w:t>
            </w:r>
          </w:p>
          <w:p w:rsidR="00D53B8D" w:rsidRPr="00D53B8D" w:rsidRDefault="00D53B8D" w:rsidP="0091474C">
            <w:pPr>
              <w:ind w:right="-36"/>
              <w:rPr>
                <w:rFonts w:ascii="Times New Roman" w:hAnsi="Times New Roman"/>
                <w:szCs w:val="24"/>
              </w:rPr>
            </w:pPr>
          </w:p>
        </w:tc>
      </w:tr>
      <w:tr w:rsidR="00D53B8D" w:rsidRPr="00D53B8D" w:rsidTr="009C7B25">
        <w:trPr>
          <w:trHeight w:val="274"/>
        </w:trPr>
        <w:tc>
          <w:tcPr>
            <w:tcW w:w="1890" w:type="dxa"/>
          </w:tcPr>
          <w:p w:rsidR="00D53B8D" w:rsidRPr="00880075" w:rsidRDefault="00D53B8D" w:rsidP="006751BC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Available upon request</w:t>
            </w:r>
          </w:p>
          <w:p w:rsidR="00D53B8D" w:rsidRPr="00880075" w:rsidRDefault="00D53B8D" w:rsidP="006751BC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</w:tc>
        <w:tc>
          <w:tcPr>
            <w:tcW w:w="8028" w:type="dxa"/>
          </w:tcPr>
          <w:p w:rsidR="0068348B" w:rsidRDefault="0068348B" w:rsidP="0068348B">
            <w:pPr>
              <w:ind w:right="-36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 </w:t>
            </w:r>
            <w:r w:rsidR="00D53B8D">
              <w:rPr>
                <w:rFonts w:ascii="Times New Roman" w:hAnsi="Times New Roman"/>
                <w:szCs w:val="24"/>
              </w:rPr>
              <w:t xml:space="preserve">CWSRF Advisory Committee meeting minutes and summaries </w:t>
            </w:r>
            <w:r>
              <w:rPr>
                <w:rFonts w:ascii="Times New Roman" w:hAnsi="Times New Roman"/>
                <w:szCs w:val="24"/>
              </w:rPr>
              <w:t xml:space="preserve">– </w:t>
            </w:r>
            <w:r>
              <w:rPr>
                <w:rFonts w:ascii="Times New Roman" w:hAnsi="Times New Roman"/>
                <w:i/>
                <w:szCs w:val="24"/>
              </w:rPr>
              <w:t xml:space="preserve">available online or via hard copy upon request </w:t>
            </w:r>
          </w:p>
          <w:p w:rsidR="005D3E19" w:rsidRDefault="00DE27CA" w:rsidP="005D3E19">
            <w:pPr>
              <w:pStyle w:val="ListParagraph"/>
              <w:numPr>
                <w:ilvl w:val="0"/>
                <w:numId w:val="17"/>
              </w:numPr>
              <w:ind w:right="-36"/>
            </w:pPr>
            <w:r w:rsidRPr="00DE27CA">
              <w:t xml:space="preserve">Link: </w:t>
            </w:r>
            <w:hyperlink r:id="rId8" w:history="1">
              <w:r>
                <w:rPr>
                  <w:rStyle w:val="Hyperlink"/>
                </w:rPr>
                <w:t>http://www.deq.state.or.us/wq/loans/advisory.htm</w:t>
              </w:r>
            </w:hyperlink>
            <w:r w:rsidR="005D3E19" w:rsidRPr="005D3E19">
              <w:t xml:space="preserve"> </w:t>
            </w:r>
          </w:p>
        </w:tc>
      </w:tr>
    </w:tbl>
    <w:p w:rsidR="00AD79B4" w:rsidRDefault="00AD79B4" w:rsidP="0091474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  <w:szCs w:val="24"/>
        </w:rPr>
      </w:pPr>
    </w:p>
    <w:p w:rsidR="0068348B" w:rsidRPr="00880075" w:rsidRDefault="0068348B" w:rsidP="0091474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  <w:szCs w:val="24"/>
        </w:rPr>
      </w:pPr>
    </w:p>
    <w:p w:rsidR="00B71684" w:rsidRPr="00880075" w:rsidRDefault="008A2A2F" w:rsidP="008A2A2F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center"/>
        <w:rPr>
          <w:rFonts w:ascii="Times New Roman" w:hAnsi="Times New Roman"/>
          <w:szCs w:val="24"/>
        </w:rPr>
      </w:pPr>
      <w:r w:rsidRPr="00880075">
        <w:rPr>
          <w:rFonts w:ascii="Times New Roman" w:hAnsi="Times New Roman"/>
          <w:szCs w:val="24"/>
        </w:rPr>
        <w:t xml:space="preserve">Approved: </w:t>
      </w:r>
    </w:p>
    <w:p w:rsidR="00B71684" w:rsidRPr="00880075" w:rsidRDefault="00B71684" w:rsidP="0091474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  <w:szCs w:val="24"/>
        </w:rPr>
      </w:pPr>
    </w:p>
    <w:p w:rsidR="00AD3F71" w:rsidRPr="00880075" w:rsidRDefault="008A2A2F" w:rsidP="006C0F9D">
      <w:pPr>
        <w:ind w:left="1080"/>
        <w:jc w:val="right"/>
        <w:rPr>
          <w:rFonts w:ascii="Times New Roman" w:hAnsi="Times New Roman"/>
          <w:szCs w:val="24"/>
        </w:rPr>
      </w:pPr>
      <w:r w:rsidRPr="00880075">
        <w:rPr>
          <w:rFonts w:ascii="Times New Roman" w:hAnsi="Times New Roman"/>
          <w:szCs w:val="24"/>
        </w:rPr>
        <w:t xml:space="preserve">Division: </w:t>
      </w:r>
      <w:r w:rsidR="00D61211" w:rsidRPr="00880075">
        <w:rPr>
          <w:rFonts w:ascii="Times New Roman" w:hAnsi="Times New Roman"/>
          <w:szCs w:val="24"/>
        </w:rPr>
        <w:t>_</w:t>
      </w:r>
      <w:r w:rsidRPr="00880075">
        <w:rPr>
          <w:rFonts w:ascii="Times New Roman" w:hAnsi="Times New Roman"/>
          <w:szCs w:val="24"/>
        </w:rPr>
        <w:t>_________________________</w:t>
      </w:r>
    </w:p>
    <w:p w:rsidR="00AD3F71" w:rsidRPr="00880075" w:rsidRDefault="00AD3F71" w:rsidP="006C0F9D">
      <w:pPr>
        <w:ind w:left="1080"/>
        <w:jc w:val="right"/>
        <w:rPr>
          <w:rFonts w:ascii="Times New Roman" w:hAnsi="Times New Roman"/>
          <w:szCs w:val="24"/>
        </w:rPr>
      </w:pPr>
    </w:p>
    <w:p w:rsidR="008A2A2F" w:rsidRPr="00880075" w:rsidRDefault="008A2A2F" w:rsidP="006C0F9D">
      <w:pPr>
        <w:ind w:left="1080"/>
        <w:jc w:val="right"/>
        <w:rPr>
          <w:rFonts w:ascii="Times New Roman" w:hAnsi="Times New Roman"/>
          <w:szCs w:val="24"/>
        </w:rPr>
      </w:pPr>
    </w:p>
    <w:p w:rsidR="006C0F9D" w:rsidRPr="00880075" w:rsidRDefault="008A2A2F" w:rsidP="006C0F9D">
      <w:pPr>
        <w:ind w:left="1080"/>
        <w:jc w:val="right"/>
        <w:rPr>
          <w:rFonts w:ascii="Times New Roman" w:hAnsi="Times New Roman"/>
          <w:szCs w:val="24"/>
        </w:rPr>
      </w:pPr>
      <w:r w:rsidRPr="00880075">
        <w:rPr>
          <w:rFonts w:ascii="Times New Roman" w:hAnsi="Times New Roman"/>
          <w:szCs w:val="24"/>
        </w:rPr>
        <w:t>Section: __________________________</w:t>
      </w:r>
    </w:p>
    <w:p w:rsidR="00AD3F71" w:rsidRPr="00880075" w:rsidRDefault="00AD3F71" w:rsidP="006C0F9D">
      <w:pPr>
        <w:jc w:val="right"/>
        <w:rPr>
          <w:rFonts w:ascii="Times New Roman" w:hAnsi="Times New Roman"/>
          <w:szCs w:val="24"/>
        </w:rPr>
      </w:pPr>
    </w:p>
    <w:p w:rsidR="00AD3F71" w:rsidRPr="00880075" w:rsidRDefault="008A2A2F" w:rsidP="006C0F9D">
      <w:pPr>
        <w:jc w:val="right"/>
        <w:rPr>
          <w:rFonts w:ascii="Times New Roman" w:hAnsi="Times New Roman"/>
          <w:szCs w:val="24"/>
        </w:rPr>
      </w:pPr>
      <w:r w:rsidRPr="00880075">
        <w:rPr>
          <w:rFonts w:ascii="Times New Roman" w:hAnsi="Times New Roman"/>
          <w:szCs w:val="24"/>
        </w:rPr>
        <w:t>Report prepared by: Manette Simpson</w:t>
      </w:r>
    </w:p>
    <w:p w:rsidR="00AD3F71" w:rsidRPr="00880075" w:rsidRDefault="008A2A2F" w:rsidP="006C0F9D">
      <w:pPr>
        <w:jc w:val="right"/>
        <w:rPr>
          <w:rFonts w:ascii="Times New Roman" w:hAnsi="Times New Roman"/>
          <w:szCs w:val="24"/>
        </w:rPr>
      </w:pPr>
      <w:r w:rsidRPr="00880075">
        <w:rPr>
          <w:rFonts w:ascii="Times New Roman" w:hAnsi="Times New Roman"/>
          <w:szCs w:val="24"/>
        </w:rPr>
        <w:t>Phone: 503-229-5622</w:t>
      </w:r>
    </w:p>
    <w:p w:rsidR="006C0F9D" w:rsidRPr="00880075" w:rsidRDefault="006C0F9D" w:rsidP="006C0F9D">
      <w:pPr>
        <w:jc w:val="right"/>
        <w:rPr>
          <w:rFonts w:ascii="Times New Roman" w:hAnsi="Times New Roman"/>
          <w:szCs w:val="24"/>
        </w:rPr>
      </w:pPr>
    </w:p>
    <w:p w:rsidR="006C0F9D" w:rsidRPr="00880075" w:rsidRDefault="006C0F9D" w:rsidP="0091474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  <w:i/>
          <w:szCs w:val="24"/>
        </w:rPr>
      </w:pPr>
    </w:p>
    <w:sectPr w:rsidR="006C0F9D" w:rsidRPr="00880075" w:rsidSect="00B04723">
      <w:headerReference w:type="default" r:id="rId9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A92" w:rsidRDefault="00531A92">
      <w:r>
        <w:separator/>
      </w:r>
    </w:p>
  </w:endnote>
  <w:endnote w:type="continuationSeparator" w:id="0">
    <w:p w:rsidR="00531A92" w:rsidRDefault="00531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A92" w:rsidRDefault="00531A92">
      <w:r>
        <w:separator/>
      </w:r>
    </w:p>
  </w:footnote>
  <w:footnote w:type="continuationSeparator" w:id="0">
    <w:p w:rsidR="00531A92" w:rsidRDefault="00531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A92" w:rsidRPr="00953C39" w:rsidRDefault="00531A92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Arial" w:hAnsi="Arial" w:cs="Arial"/>
        <w:sz w:val="20"/>
      </w:rPr>
    </w:pPr>
    <w:r w:rsidRPr="00953C39">
      <w:rPr>
        <w:rFonts w:ascii="Arial" w:hAnsi="Arial" w:cs="Arial"/>
        <w:sz w:val="20"/>
      </w:rPr>
      <w:t xml:space="preserve">Informational item: </w:t>
    </w:r>
    <w:r>
      <w:rPr>
        <w:rFonts w:ascii="Arial" w:hAnsi="Arial" w:cs="Arial"/>
        <w:sz w:val="20"/>
      </w:rPr>
      <w:t xml:space="preserve">Recommendations on CWSRF Rule Amendments </w:t>
    </w:r>
  </w:p>
  <w:p w:rsidR="00531A92" w:rsidRPr="00162872" w:rsidRDefault="00531A92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June</w:t>
    </w:r>
    <w:r w:rsidRPr="00162872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2</w:t>
    </w:r>
    <w:r w:rsidRPr="00162872">
      <w:rPr>
        <w:rFonts w:ascii="Arial" w:hAnsi="Arial" w:cs="Arial"/>
        <w:sz w:val="20"/>
      </w:rPr>
      <w:t>1-</w:t>
    </w:r>
    <w:r>
      <w:rPr>
        <w:rFonts w:ascii="Arial" w:hAnsi="Arial" w:cs="Arial"/>
        <w:sz w:val="20"/>
      </w:rPr>
      <w:t>22</w:t>
    </w:r>
    <w:r w:rsidRPr="00162872">
      <w:rPr>
        <w:rFonts w:ascii="Arial" w:hAnsi="Arial" w:cs="Arial"/>
        <w:sz w:val="20"/>
      </w:rPr>
      <w:t>, 201</w:t>
    </w:r>
    <w:r>
      <w:rPr>
        <w:rFonts w:ascii="Arial" w:hAnsi="Arial" w:cs="Arial"/>
        <w:sz w:val="20"/>
      </w:rPr>
      <w:t>2</w:t>
    </w:r>
    <w:r w:rsidRPr="00162872">
      <w:rPr>
        <w:rFonts w:ascii="Arial" w:hAnsi="Arial" w:cs="Arial"/>
        <w:sz w:val="20"/>
      </w:rPr>
      <w:t>, EQC meeting</w:t>
    </w:r>
  </w:p>
  <w:p w:rsidR="00531A92" w:rsidRPr="00162872" w:rsidRDefault="00531A92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162872">
      <w:rPr>
        <w:rFonts w:ascii="Arial" w:hAnsi="Arial" w:cs="Arial"/>
        <w:sz w:val="20"/>
      </w:rPr>
      <w:t xml:space="preserve">Page </w:t>
    </w:r>
    <w:r w:rsidR="00681F48" w:rsidRPr="00162872">
      <w:rPr>
        <w:rStyle w:val="PageNumber"/>
        <w:rFonts w:ascii="Arial" w:hAnsi="Arial" w:cs="Arial"/>
        <w:sz w:val="20"/>
      </w:rPr>
      <w:fldChar w:fldCharType="begin"/>
    </w:r>
    <w:r w:rsidRPr="00162872">
      <w:rPr>
        <w:rStyle w:val="PageNumber"/>
        <w:rFonts w:ascii="Arial" w:hAnsi="Arial" w:cs="Arial"/>
        <w:sz w:val="20"/>
      </w:rPr>
      <w:instrText xml:space="preserve"> PAGE </w:instrText>
    </w:r>
    <w:r w:rsidR="00681F48" w:rsidRPr="00162872">
      <w:rPr>
        <w:rStyle w:val="PageNumber"/>
        <w:rFonts w:ascii="Arial" w:hAnsi="Arial" w:cs="Arial"/>
        <w:sz w:val="20"/>
      </w:rPr>
      <w:fldChar w:fldCharType="separate"/>
    </w:r>
    <w:r w:rsidR="00E64839">
      <w:rPr>
        <w:rStyle w:val="PageNumber"/>
        <w:rFonts w:ascii="Arial" w:hAnsi="Arial" w:cs="Arial"/>
        <w:noProof/>
        <w:sz w:val="20"/>
      </w:rPr>
      <w:t>3</w:t>
    </w:r>
    <w:r w:rsidR="00681F48" w:rsidRPr="00162872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3</w:t>
    </w:r>
  </w:p>
  <w:p w:rsidR="00531A92" w:rsidRDefault="00531A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565"/>
    <w:multiLevelType w:val="hybridMultilevel"/>
    <w:tmpl w:val="89340E76"/>
    <w:lvl w:ilvl="0" w:tplc="A2980E9C">
      <w:start w:val="5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pperplate Gothic Light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D503B2"/>
    <w:multiLevelType w:val="hybridMultilevel"/>
    <w:tmpl w:val="75FA53D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7348B"/>
    <w:multiLevelType w:val="hybridMultilevel"/>
    <w:tmpl w:val="F8EC2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0B1BA6"/>
    <w:multiLevelType w:val="hybridMultilevel"/>
    <w:tmpl w:val="85B28D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87950"/>
    <w:multiLevelType w:val="hybridMultilevel"/>
    <w:tmpl w:val="95D2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056C69"/>
    <w:multiLevelType w:val="multilevel"/>
    <w:tmpl w:val="9376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B30DA3"/>
    <w:multiLevelType w:val="hybridMultilevel"/>
    <w:tmpl w:val="D6EA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14963"/>
    <w:multiLevelType w:val="hybridMultilevel"/>
    <w:tmpl w:val="2084AE8A"/>
    <w:lvl w:ilvl="0" w:tplc="248C8338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3656D6"/>
    <w:multiLevelType w:val="hybridMultilevel"/>
    <w:tmpl w:val="07D85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741F1"/>
    <w:multiLevelType w:val="hybridMultilevel"/>
    <w:tmpl w:val="12C0AED2"/>
    <w:lvl w:ilvl="0" w:tplc="2F228C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6A2F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687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2ED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82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144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FCB1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ED2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88C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680E5A"/>
    <w:multiLevelType w:val="hybridMultilevel"/>
    <w:tmpl w:val="AE023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657451"/>
    <w:multiLevelType w:val="hybridMultilevel"/>
    <w:tmpl w:val="2D4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93D70"/>
    <w:multiLevelType w:val="hybridMultilevel"/>
    <w:tmpl w:val="6D803B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CB04FB"/>
    <w:multiLevelType w:val="hybridMultilevel"/>
    <w:tmpl w:val="9C5E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1362D"/>
    <w:multiLevelType w:val="hybridMultilevel"/>
    <w:tmpl w:val="1F52F916"/>
    <w:lvl w:ilvl="0" w:tplc="7C54FF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A39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341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B821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EE76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5E8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A5A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B0B0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32A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D3559B"/>
    <w:multiLevelType w:val="hybridMultilevel"/>
    <w:tmpl w:val="2B0012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15"/>
  </w:num>
  <w:num w:numId="9">
    <w:abstractNumId w:val="9"/>
  </w:num>
  <w:num w:numId="10">
    <w:abstractNumId w:val="0"/>
  </w:num>
  <w:num w:numId="11">
    <w:abstractNumId w:val="16"/>
  </w:num>
  <w:num w:numId="12">
    <w:abstractNumId w:val="2"/>
  </w:num>
  <w:num w:numId="13">
    <w:abstractNumId w:val="7"/>
  </w:num>
  <w:num w:numId="14">
    <w:abstractNumId w:val="13"/>
  </w:num>
  <w:num w:numId="15">
    <w:abstractNumId w:val="4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BDF"/>
    <w:rsid w:val="000111FF"/>
    <w:rsid w:val="00015D9F"/>
    <w:rsid w:val="00033870"/>
    <w:rsid w:val="000411F9"/>
    <w:rsid w:val="000437DB"/>
    <w:rsid w:val="0005337F"/>
    <w:rsid w:val="000553B2"/>
    <w:rsid w:val="00061A8B"/>
    <w:rsid w:val="000777A6"/>
    <w:rsid w:val="0008119A"/>
    <w:rsid w:val="000826A6"/>
    <w:rsid w:val="00095DB7"/>
    <w:rsid w:val="000A06D5"/>
    <w:rsid w:val="000A66E6"/>
    <w:rsid w:val="000B7F3F"/>
    <w:rsid w:val="000C2075"/>
    <w:rsid w:val="000C6A08"/>
    <w:rsid w:val="000D5075"/>
    <w:rsid w:val="000E219A"/>
    <w:rsid w:val="000E55AA"/>
    <w:rsid w:val="000E7B99"/>
    <w:rsid w:val="000F0DBC"/>
    <w:rsid w:val="000F5453"/>
    <w:rsid w:val="000F58FA"/>
    <w:rsid w:val="0010386C"/>
    <w:rsid w:val="001053AE"/>
    <w:rsid w:val="00113969"/>
    <w:rsid w:val="001312E7"/>
    <w:rsid w:val="00147F8E"/>
    <w:rsid w:val="00151E3C"/>
    <w:rsid w:val="00162872"/>
    <w:rsid w:val="001648D1"/>
    <w:rsid w:val="00167513"/>
    <w:rsid w:val="00182C92"/>
    <w:rsid w:val="001B6AB6"/>
    <w:rsid w:val="001B7896"/>
    <w:rsid w:val="001C19DB"/>
    <w:rsid w:val="001C6019"/>
    <w:rsid w:val="001C71A1"/>
    <w:rsid w:val="001D006F"/>
    <w:rsid w:val="001E0B58"/>
    <w:rsid w:val="001E4AE8"/>
    <w:rsid w:val="001F01BB"/>
    <w:rsid w:val="001F3408"/>
    <w:rsid w:val="001F59B2"/>
    <w:rsid w:val="00205296"/>
    <w:rsid w:val="00207128"/>
    <w:rsid w:val="00220F3A"/>
    <w:rsid w:val="00232217"/>
    <w:rsid w:val="00235404"/>
    <w:rsid w:val="002415FC"/>
    <w:rsid w:val="00241BCE"/>
    <w:rsid w:val="002471BB"/>
    <w:rsid w:val="00253E40"/>
    <w:rsid w:val="00262883"/>
    <w:rsid w:val="00275A67"/>
    <w:rsid w:val="0028742D"/>
    <w:rsid w:val="00287B6B"/>
    <w:rsid w:val="002A0DA2"/>
    <w:rsid w:val="002A74A7"/>
    <w:rsid w:val="002C6BCB"/>
    <w:rsid w:val="002D2954"/>
    <w:rsid w:val="002D3F32"/>
    <w:rsid w:val="002D49C2"/>
    <w:rsid w:val="002D63F0"/>
    <w:rsid w:val="002D6A38"/>
    <w:rsid w:val="002D7B21"/>
    <w:rsid w:val="002D7E86"/>
    <w:rsid w:val="002E0320"/>
    <w:rsid w:val="00310BC6"/>
    <w:rsid w:val="0032021A"/>
    <w:rsid w:val="00322DB3"/>
    <w:rsid w:val="00323F73"/>
    <w:rsid w:val="00324FC5"/>
    <w:rsid w:val="00340EA4"/>
    <w:rsid w:val="003445EB"/>
    <w:rsid w:val="00347B91"/>
    <w:rsid w:val="00350B0C"/>
    <w:rsid w:val="003641C5"/>
    <w:rsid w:val="00367BE7"/>
    <w:rsid w:val="00373C49"/>
    <w:rsid w:val="00381D7B"/>
    <w:rsid w:val="0038767D"/>
    <w:rsid w:val="003919E8"/>
    <w:rsid w:val="003A0055"/>
    <w:rsid w:val="003B0E6C"/>
    <w:rsid w:val="003B308A"/>
    <w:rsid w:val="003F2FF4"/>
    <w:rsid w:val="003F4C87"/>
    <w:rsid w:val="004025E0"/>
    <w:rsid w:val="004069B8"/>
    <w:rsid w:val="004218AA"/>
    <w:rsid w:val="00424135"/>
    <w:rsid w:val="00424B3A"/>
    <w:rsid w:val="00436F17"/>
    <w:rsid w:val="004400AC"/>
    <w:rsid w:val="004452A0"/>
    <w:rsid w:val="00445BE2"/>
    <w:rsid w:val="00446D2D"/>
    <w:rsid w:val="00457221"/>
    <w:rsid w:val="00457704"/>
    <w:rsid w:val="00464C5C"/>
    <w:rsid w:val="004650C9"/>
    <w:rsid w:val="00471E44"/>
    <w:rsid w:val="00472B51"/>
    <w:rsid w:val="00480D06"/>
    <w:rsid w:val="00494490"/>
    <w:rsid w:val="00495BDA"/>
    <w:rsid w:val="004A06EB"/>
    <w:rsid w:val="004A13C4"/>
    <w:rsid w:val="004A1D93"/>
    <w:rsid w:val="004B4D5D"/>
    <w:rsid w:val="004B639D"/>
    <w:rsid w:val="004C14C6"/>
    <w:rsid w:val="004C36BF"/>
    <w:rsid w:val="004D401D"/>
    <w:rsid w:val="004E0CED"/>
    <w:rsid w:val="004E1111"/>
    <w:rsid w:val="004E5587"/>
    <w:rsid w:val="0052491D"/>
    <w:rsid w:val="00526EDE"/>
    <w:rsid w:val="00531A92"/>
    <w:rsid w:val="00534954"/>
    <w:rsid w:val="00534CE4"/>
    <w:rsid w:val="00534EBC"/>
    <w:rsid w:val="0054140C"/>
    <w:rsid w:val="00546DC0"/>
    <w:rsid w:val="0056016E"/>
    <w:rsid w:val="005732B3"/>
    <w:rsid w:val="005856AE"/>
    <w:rsid w:val="005874CC"/>
    <w:rsid w:val="00593686"/>
    <w:rsid w:val="00594E36"/>
    <w:rsid w:val="005A0CC7"/>
    <w:rsid w:val="005A3CE4"/>
    <w:rsid w:val="005A5517"/>
    <w:rsid w:val="005B3F7D"/>
    <w:rsid w:val="005C2E0C"/>
    <w:rsid w:val="005D05E8"/>
    <w:rsid w:val="005D3E19"/>
    <w:rsid w:val="005D4524"/>
    <w:rsid w:val="005D4BA6"/>
    <w:rsid w:val="005D4C80"/>
    <w:rsid w:val="005D56DB"/>
    <w:rsid w:val="005D5AF3"/>
    <w:rsid w:val="005F2165"/>
    <w:rsid w:val="005F4324"/>
    <w:rsid w:val="005F4D13"/>
    <w:rsid w:val="006058FB"/>
    <w:rsid w:val="00611E1A"/>
    <w:rsid w:val="0061577A"/>
    <w:rsid w:val="006372BB"/>
    <w:rsid w:val="00645963"/>
    <w:rsid w:val="00651124"/>
    <w:rsid w:val="00664884"/>
    <w:rsid w:val="006751BC"/>
    <w:rsid w:val="00681F48"/>
    <w:rsid w:val="0068348B"/>
    <w:rsid w:val="00683C4D"/>
    <w:rsid w:val="00685701"/>
    <w:rsid w:val="0068601C"/>
    <w:rsid w:val="0069141D"/>
    <w:rsid w:val="00694330"/>
    <w:rsid w:val="00694A9F"/>
    <w:rsid w:val="00694CF5"/>
    <w:rsid w:val="006A6049"/>
    <w:rsid w:val="006A6A12"/>
    <w:rsid w:val="006A7B43"/>
    <w:rsid w:val="006B152D"/>
    <w:rsid w:val="006B35B6"/>
    <w:rsid w:val="006B4B36"/>
    <w:rsid w:val="006C0F9D"/>
    <w:rsid w:val="006C130A"/>
    <w:rsid w:val="006C23EE"/>
    <w:rsid w:val="006D5238"/>
    <w:rsid w:val="006D570B"/>
    <w:rsid w:val="006E7903"/>
    <w:rsid w:val="006F34E7"/>
    <w:rsid w:val="00706DE7"/>
    <w:rsid w:val="007150A4"/>
    <w:rsid w:val="00717C9D"/>
    <w:rsid w:val="007210D6"/>
    <w:rsid w:val="0072631E"/>
    <w:rsid w:val="00731B4D"/>
    <w:rsid w:val="007325BD"/>
    <w:rsid w:val="00742D94"/>
    <w:rsid w:val="0074398A"/>
    <w:rsid w:val="0075292F"/>
    <w:rsid w:val="007637DE"/>
    <w:rsid w:val="0077679C"/>
    <w:rsid w:val="00784294"/>
    <w:rsid w:val="00791186"/>
    <w:rsid w:val="007A59BC"/>
    <w:rsid w:val="007A705F"/>
    <w:rsid w:val="007A71D0"/>
    <w:rsid w:val="007B49A0"/>
    <w:rsid w:val="007B5652"/>
    <w:rsid w:val="007B6FE5"/>
    <w:rsid w:val="007E0390"/>
    <w:rsid w:val="007E0B40"/>
    <w:rsid w:val="007E1255"/>
    <w:rsid w:val="007E4D62"/>
    <w:rsid w:val="007E7B56"/>
    <w:rsid w:val="007F721E"/>
    <w:rsid w:val="007F78D0"/>
    <w:rsid w:val="00800171"/>
    <w:rsid w:val="00805C2B"/>
    <w:rsid w:val="00815E0D"/>
    <w:rsid w:val="00825FAF"/>
    <w:rsid w:val="00830600"/>
    <w:rsid w:val="00835348"/>
    <w:rsid w:val="008632EF"/>
    <w:rsid w:val="008702D0"/>
    <w:rsid w:val="00876E7C"/>
    <w:rsid w:val="00880075"/>
    <w:rsid w:val="008872DB"/>
    <w:rsid w:val="00890370"/>
    <w:rsid w:val="00894B62"/>
    <w:rsid w:val="008A26C3"/>
    <w:rsid w:val="008A2A2F"/>
    <w:rsid w:val="008A2F82"/>
    <w:rsid w:val="008A4A83"/>
    <w:rsid w:val="008B1BBD"/>
    <w:rsid w:val="008B3740"/>
    <w:rsid w:val="008B3F5B"/>
    <w:rsid w:val="008C3C80"/>
    <w:rsid w:val="008C455F"/>
    <w:rsid w:val="008D0539"/>
    <w:rsid w:val="008E1388"/>
    <w:rsid w:val="008F1DEC"/>
    <w:rsid w:val="008F2DBC"/>
    <w:rsid w:val="0090456F"/>
    <w:rsid w:val="0091411D"/>
    <w:rsid w:val="0091474C"/>
    <w:rsid w:val="009207D2"/>
    <w:rsid w:val="00923BDF"/>
    <w:rsid w:val="00933B73"/>
    <w:rsid w:val="00941EC0"/>
    <w:rsid w:val="0094608A"/>
    <w:rsid w:val="00951B73"/>
    <w:rsid w:val="00951F9D"/>
    <w:rsid w:val="0095296A"/>
    <w:rsid w:val="00953C39"/>
    <w:rsid w:val="00954761"/>
    <w:rsid w:val="009601FC"/>
    <w:rsid w:val="009664DC"/>
    <w:rsid w:val="00967C97"/>
    <w:rsid w:val="0097013B"/>
    <w:rsid w:val="00970707"/>
    <w:rsid w:val="00975474"/>
    <w:rsid w:val="0098700A"/>
    <w:rsid w:val="00991DC3"/>
    <w:rsid w:val="009944BF"/>
    <w:rsid w:val="00994900"/>
    <w:rsid w:val="0099542C"/>
    <w:rsid w:val="009A473F"/>
    <w:rsid w:val="009C7642"/>
    <w:rsid w:val="009C7B25"/>
    <w:rsid w:val="009D5F07"/>
    <w:rsid w:val="009D7C2D"/>
    <w:rsid w:val="009E0C46"/>
    <w:rsid w:val="00A03160"/>
    <w:rsid w:val="00A11188"/>
    <w:rsid w:val="00A36E5B"/>
    <w:rsid w:val="00A40619"/>
    <w:rsid w:val="00A41437"/>
    <w:rsid w:val="00A47925"/>
    <w:rsid w:val="00A53332"/>
    <w:rsid w:val="00A55266"/>
    <w:rsid w:val="00A60D26"/>
    <w:rsid w:val="00A622D4"/>
    <w:rsid w:val="00A65A4C"/>
    <w:rsid w:val="00A66042"/>
    <w:rsid w:val="00A6680A"/>
    <w:rsid w:val="00A67306"/>
    <w:rsid w:val="00A77DC5"/>
    <w:rsid w:val="00A87CF9"/>
    <w:rsid w:val="00A911E4"/>
    <w:rsid w:val="00A95985"/>
    <w:rsid w:val="00AA63ED"/>
    <w:rsid w:val="00AB016F"/>
    <w:rsid w:val="00AB5656"/>
    <w:rsid w:val="00AC37F5"/>
    <w:rsid w:val="00AC7300"/>
    <w:rsid w:val="00AD1F69"/>
    <w:rsid w:val="00AD3F71"/>
    <w:rsid w:val="00AD79B4"/>
    <w:rsid w:val="00AF21FD"/>
    <w:rsid w:val="00B02185"/>
    <w:rsid w:val="00B03696"/>
    <w:rsid w:val="00B04723"/>
    <w:rsid w:val="00B134AA"/>
    <w:rsid w:val="00B16D4D"/>
    <w:rsid w:val="00B20046"/>
    <w:rsid w:val="00B258B7"/>
    <w:rsid w:val="00B343CB"/>
    <w:rsid w:val="00B36633"/>
    <w:rsid w:val="00B37E71"/>
    <w:rsid w:val="00B40CAD"/>
    <w:rsid w:val="00B4690C"/>
    <w:rsid w:val="00B525A9"/>
    <w:rsid w:val="00B57E0B"/>
    <w:rsid w:val="00B71684"/>
    <w:rsid w:val="00B71720"/>
    <w:rsid w:val="00B82154"/>
    <w:rsid w:val="00B82A8A"/>
    <w:rsid w:val="00B91179"/>
    <w:rsid w:val="00B94AB0"/>
    <w:rsid w:val="00BA0531"/>
    <w:rsid w:val="00BA3D5A"/>
    <w:rsid w:val="00BB2D86"/>
    <w:rsid w:val="00BC0882"/>
    <w:rsid w:val="00BC0970"/>
    <w:rsid w:val="00BD0AF7"/>
    <w:rsid w:val="00BE25D0"/>
    <w:rsid w:val="00BE4C49"/>
    <w:rsid w:val="00C0036E"/>
    <w:rsid w:val="00C00501"/>
    <w:rsid w:val="00C05BE3"/>
    <w:rsid w:val="00C062A0"/>
    <w:rsid w:val="00C10764"/>
    <w:rsid w:val="00C11656"/>
    <w:rsid w:val="00C11B00"/>
    <w:rsid w:val="00C11FBD"/>
    <w:rsid w:val="00C1539F"/>
    <w:rsid w:val="00C20889"/>
    <w:rsid w:val="00C2376C"/>
    <w:rsid w:val="00C24220"/>
    <w:rsid w:val="00C305D0"/>
    <w:rsid w:val="00C32DE2"/>
    <w:rsid w:val="00C33C5F"/>
    <w:rsid w:val="00C354B4"/>
    <w:rsid w:val="00C43D61"/>
    <w:rsid w:val="00C46BC2"/>
    <w:rsid w:val="00C52279"/>
    <w:rsid w:val="00C56BD3"/>
    <w:rsid w:val="00C647F6"/>
    <w:rsid w:val="00C65DB6"/>
    <w:rsid w:val="00C67010"/>
    <w:rsid w:val="00C7067E"/>
    <w:rsid w:val="00C80FBD"/>
    <w:rsid w:val="00C82648"/>
    <w:rsid w:val="00C859DA"/>
    <w:rsid w:val="00C971FE"/>
    <w:rsid w:val="00CA3A32"/>
    <w:rsid w:val="00CA6631"/>
    <w:rsid w:val="00CC21AA"/>
    <w:rsid w:val="00CD06C2"/>
    <w:rsid w:val="00CD3626"/>
    <w:rsid w:val="00CE0698"/>
    <w:rsid w:val="00CF049B"/>
    <w:rsid w:val="00CF6FB6"/>
    <w:rsid w:val="00D060BF"/>
    <w:rsid w:val="00D1270A"/>
    <w:rsid w:val="00D302DD"/>
    <w:rsid w:val="00D344F2"/>
    <w:rsid w:val="00D360E7"/>
    <w:rsid w:val="00D36CC7"/>
    <w:rsid w:val="00D53B8D"/>
    <w:rsid w:val="00D61211"/>
    <w:rsid w:val="00D62706"/>
    <w:rsid w:val="00D65A94"/>
    <w:rsid w:val="00D660B9"/>
    <w:rsid w:val="00D6622A"/>
    <w:rsid w:val="00D75409"/>
    <w:rsid w:val="00D83F78"/>
    <w:rsid w:val="00DA1820"/>
    <w:rsid w:val="00DB3CAA"/>
    <w:rsid w:val="00DC0481"/>
    <w:rsid w:val="00DD2E20"/>
    <w:rsid w:val="00DD352A"/>
    <w:rsid w:val="00DD72A3"/>
    <w:rsid w:val="00DE1C7F"/>
    <w:rsid w:val="00DE27CA"/>
    <w:rsid w:val="00DE361F"/>
    <w:rsid w:val="00DF2D6C"/>
    <w:rsid w:val="00E00035"/>
    <w:rsid w:val="00E02383"/>
    <w:rsid w:val="00E0557A"/>
    <w:rsid w:val="00E165F4"/>
    <w:rsid w:val="00E2299A"/>
    <w:rsid w:val="00E22B9B"/>
    <w:rsid w:val="00E30AAE"/>
    <w:rsid w:val="00E36BC1"/>
    <w:rsid w:val="00E37D7A"/>
    <w:rsid w:val="00E431FD"/>
    <w:rsid w:val="00E551B6"/>
    <w:rsid w:val="00E55341"/>
    <w:rsid w:val="00E57C63"/>
    <w:rsid w:val="00E6027E"/>
    <w:rsid w:val="00E64839"/>
    <w:rsid w:val="00E742C6"/>
    <w:rsid w:val="00E76A36"/>
    <w:rsid w:val="00E80330"/>
    <w:rsid w:val="00E80A7B"/>
    <w:rsid w:val="00E80C17"/>
    <w:rsid w:val="00E827C4"/>
    <w:rsid w:val="00E8712F"/>
    <w:rsid w:val="00E876E5"/>
    <w:rsid w:val="00EA0CF4"/>
    <w:rsid w:val="00EA727F"/>
    <w:rsid w:val="00EA7CB5"/>
    <w:rsid w:val="00EB6885"/>
    <w:rsid w:val="00EB78FC"/>
    <w:rsid w:val="00ED2C4C"/>
    <w:rsid w:val="00EE0DBE"/>
    <w:rsid w:val="00EE186E"/>
    <w:rsid w:val="00EF148D"/>
    <w:rsid w:val="00EF26B3"/>
    <w:rsid w:val="00EF289E"/>
    <w:rsid w:val="00EF65CA"/>
    <w:rsid w:val="00F06884"/>
    <w:rsid w:val="00F16334"/>
    <w:rsid w:val="00F17FE4"/>
    <w:rsid w:val="00F33011"/>
    <w:rsid w:val="00F335D2"/>
    <w:rsid w:val="00F37E60"/>
    <w:rsid w:val="00F410B9"/>
    <w:rsid w:val="00F47D47"/>
    <w:rsid w:val="00F52B25"/>
    <w:rsid w:val="00F56E9F"/>
    <w:rsid w:val="00F61918"/>
    <w:rsid w:val="00F642AE"/>
    <w:rsid w:val="00F714AE"/>
    <w:rsid w:val="00F72F2C"/>
    <w:rsid w:val="00F8051F"/>
    <w:rsid w:val="00F87D78"/>
    <w:rsid w:val="00F91438"/>
    <w:rsid w:val="00F92060"/>
    <w:rsid w:val="00FA2463"/>
    <w:rsid w:val="00FA42DC"/>
    <w:rsid w:val="00FA71C7"/>
    <w:rsid w:val="00FC3C16"/>
    <w:rsid w:val="00FC48C8"/>
    <w:rsid w:val="00FC4CBA"/>
    <w:rsid w:val="00FE2E23"/>
    <w:rsid w:val="00FE42F0"/>
    <w:rsid w:val="00FE69DB"/>
    <w:rsid w:val="00FF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23"/>
    <w:rPr>
      <w:rFonts w:ascii="CG Times" w:hAnsi="CG Times"/>
      <w:sz w:val="24"/>
    </w:rPr>
  </w:style>
  <w:style w:type="paragraph" w:styleId="Heading4">
    <w:name w:val="heading 4"/>
    <w:basedOn w:val="Normal"/>
    <w:next w:val="Normal"/>
    <w:qFormat/>
    <w:rsid w:val="00B0472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04723"/>
  </w:style>
  <w:style w:type="paragraph" w:styleId="Revision">
    <w:name w:val="Revision"/>
    <w:hidden/>
    <w:uiPriority w:val="99"/>
    <w:semiHidden/>
    <w:rsid w:val="00162872"/>
    <w:rPr>
      <w:rFonts w:ascii="CG Times" w:hAnsi="CG Times"/>
      <w:sz w:val="24"/>
    </w:rPr>
  </w:style>
  <w:style w:type="paragraph" w:styleId="Footer">
    <w:name w:val="footer"/>
    <w:basedOn w:val="Normal"/>
    <w:rsid w:val="00B0472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047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723"/>
  </w:style>
  <w:style w:type="character" w:styleId="CommentReference">
    <w:name w:val="annotation reference"/>
    <w:basedOn w:val="DefaultParagraphFont"/>
    <w:uiPriority w:val="99"/>
    <w:semiHidden/>
    <w:rsid w:val="00B04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47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B04723"/>
    <w:rPr>
      <w:b/>
      <w:bCs/>
    </w:rPr>
  </w:style>
  <w:style w:type="paragraph" w:styleId="BalloonText">
    <w:name w:val="Balloon Text"/>
    <w:basedOn w:val="Normal"/>
    <w:semiHidden/>
    <w:rsid w:val="00B0472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135"/>
    <w:rPr>
      <w:rFonts w:ascii="CG Times" w:hAnsi="CG Times"/>
    </w:rPr>
  </w:style>
  <w:style w:type="paragraph" w:styleId="ListParagraph">
    <w:name w:val="List Paragraph"/>
    <w:basedOn w:val="Normal"/>
    <w:qFormat/>
    <w:rsid w:val="00471E44"/>
    <w:pPr>
      <w:ind w:left="720"/>
      <w:contextualSpacing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47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60B9"/>
    <w:rPr>
      <w:color w:val="800080"/>
      <w:u w:val="single"/>
    </w:rPr>
  </w:style>
  <w:style w:type="paragraph" w:customStyle="1" w:styleId="DEQTEXTforFACTSHEET">
    <w:name w:val="(DEQ)TEXT for FACT SHEET"/>
    <w:basedOn w:val="Normal"/>
    <w:rsid w:val="00B71684"/>
    <w:rPr>
      <w:rFonts w:ascii="Times New Roman" w:eastAsia="Times" w:hAnsi="Times New Roman"/>
      <w:sz w:val="20"/>
    </w:rPr>
  </w:style>
  <w:style w:type="paragraph" w:styleId="NoSpacing">
    <w:name w:val="No Spacing"/>
    <w:qFormat/>
    <w:rsid w:val="00FC4CBA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9183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0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27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4124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8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q.state.or.us/wq/loans/advisory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Larry\Rule%20stuff\EQCStaffReportInfoIte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E8ED-F346-4C1A-B38C-E0229CBC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EQCStaffReportInfoItem</Template>
  <TotalTime>1</TotalTime>
  <Pages>3</Pages>
  <Words>847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Oregon</vt:lpstr>
    </vt:vector>
  </TitlesOfParts>
  <Company>Department of Environmental Quality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Oregon</dc:title>
  <dc:creator>lmcalli</dc:creator>
  <cp:lastModifiedBy>manette simpson</cp:lastModifiedBy>
  <cp:revision>2</cp:revision>
  <cp:lastPrinted>2012-04-13T16:27:00Z</cp:lastPrinted>
  <dcterms:created xsi:type="dcterms:W3CDTF">2012-07-18T16:44:00Z</dcterms:created>
  <dcterms:modified xsi:type="dcterms:W3CDTF">2012-07-18T16:44:00Z</dcterms:modified>
</cp:coreProperties>
</file>