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8C8" w:rsidRPr="00D83DE0" w:rsidRDefault="00BC77F4" w:rsidP="00BC77F4">
      <w:pPr>
        <w:jc w:val="center"/>
        <w:rPr>
          <w:rFonts w:ascii="Arial" w:hAnsi="Arial" w:cs="Arial"/>
          <w:b/>
          <w:spacing w:val="-3"/>
          <w:sz w:val="24"/>
          <w:szCs w:val="24"/>
        </w:rPr>
      </w:pPr>
      <w:r w:rsidRPr="00D83DE0">
        <w:rPr>
          <w:rFonts w:ascii="Arial" w:hAnsi="Arial" w:cs="Arial"/>
          <w:b/>
          <w:spacing w:val="-3"/>
          <w:sz w:val="24"/>
          <w:szCs w:val="24"/>
        </w:rPr>
        <w:t>Summary of Public Comment and Agency Response</w:t>
      </w:r>
      <w:r w:rsidR="009D0F03">
        <w:rPr>
          <w:rFonts w:ascii="Arial" w:hAnsi="Arial" w:cs="Arial"/>
          <w:b/>
          <w:spacing w:val="-3"/>
          <w:sz w:val="24"/>
          <w:szCs w:val="24"/>
        </w:rPr>
        <w:t>s</w:t>
      </w:r>
      <w:r w:rsidRPr="00D83DE0">
        <w:rPr>
          <w:rFonts w:ascii="Arial" w:hAnsi="Arial" w:cs="Arial"/>
          <w:b/>
          <w:spacing w:val="-3"/>
          <w:sz w:val="24"/>
          <w:szCs w:val="24"/>
        </w:rPr>
        <w:t xml:space="preserve"> </w:t>
      </w:r>
    </w:p>
    <w:p w:rsidR="00426C92" w:rsidRPr="00BC77F4" w:rsidRDefault="00426C92" w:rsidP="00BC77F4">
      <w:pPr>
        <w:jc w:val="center"/>
        <w:rPr>
          <w:rFonts w:ascii="Arial" w:hAnsi="Arial" w:cs="Arial"/>
          <w:b/>
          <w:spacing w:val="-3"/>
          <w:szCs w:val="22"/>
        </w:rPr>
      </w:pPr>
    </w:p>
    <w:p w:rsidR="00426C92" w:rsidRPr="00D83DE0" w:rsidRDefault="00426C92" w:rsidP="00426C92">
      <w:pPr>
        <w:rPr>
          <w:rFonts w:ascii="Arial" w:hAnsi="Arial" w:cs="Arial"/>
          <w:b/>
          <w:szCs w:val="22"/>
        </w:rPr>
      </w:pPr>
      <w:r w:rsidRPr="00D14C01">
        <w:rPr>
          <w:rFonts w:ascii="Arial" w:hAnsi="Arial" w:cs="Arial"/>
          <w:b/>
          <w:spacing w:val="-3"/>
          <w:szCs w:val="22"/>
        </w:rPr>
        <w:t>Title of Rulemaking:</w:t>
      </w:r>
      <w:r w:rsidR="00D14C01">
        <w:rPr>
          <w:rFonts w:ascii="Arial" w:hAnsi="Arial" w:cs="Arial"/>
          <w:b/>
          <w:spacing w:val="-3"/>
          <w:szCs w:val="22"/>
        </w:rPr>
        <w:t xml:space="preserve"> </w:t>
      </w:r>
      <w:r w:rsidR="00F91DFA">
        <w:rPr>
          <w:rFonts w:ascii="Arial" w:hAnsi="Arial" w:cs="Arial"/>
          <w:b/>
          <w:spacing w:val="-3"/>
          <w:szCs w:val="22"/>
        </w:rPr>
        <w:t>Clean Water State Revolving Fund Program Rules Update</w:t>
      </w:r>
    </w:p>
    <w:p w:rsidR="00F91DFA" w:rsidRDefault="00F91DFA" w:rsidP="00BC77F4">
      <w:pPr>
        <w:tabs>
          <w:tab w:val="left" w:pos="1080"/>
          <w:tab w:val="right" w:pos="7200"/>
          <w:tab w:val="right" w:pos="9360"/>
        </w:tabs>
        <w:rPr>
          <w:b/>
          <w:szCs w:val="24"/>
        </w:rPr>
      </w:pPr>
    </w:p>
    <w:p w:rsidR="00F91DFA" w:rsidRPr="0018164F" w:rsidRDefault="00BC77F4" w:rsidP="0018164F">
      <w:pPr>
        <w:tabs>
          <w:tab w:val="left" w:pos="1080"/>
          <w:tab w:val="right" w:pos="7200"/>
          <w:tab w:val="right" w:pos="9360"/>
        </w:tabs>
        <w:ind w:right="-720"/>
        <w:rPr>
          <w:rFonts w:ascii="Arial" w:hAnsi="Arial" w:cs="Arial"/>
          <w:szCs w:val="24"/>
        </w:rPr>
      </w:pPr>
      <w:r w:rsidRPr="0018164F">
        <w:rPr>
          <w:rFonts w:ascii="Arial" w:hAnsi="Arial" w:cs="Arial"/>
          <w:b/>
          <w:szCs w:val="24"/>
        </w:rPr>
        <w:t>Prepared by:</w:t>
      </w:r>
      <w:bookmarkStart w:id="0" w:name="MEMO"/>
      <w:bookmarkEnd w:id="0"/>
      <w:r w:rsidR="00F91DFA" w:rsidRPr="0018164F">
        <w:rPr>
          <w:rFonts w:ascii="Arial" w:hAnsi="Arial" w:cs="Arial"/>
          <w:b/>
          <w:szCs w:val="24"/>
        </w:rPr>
        <w:t xml:space="preserve"> </w:t>
      </w:r>
      <w:r w:rsidR="00F91DFA" w:rsidRPr="00E23E60">
        <w:rPr>
          <w:szCs w:val="24"/>
        </w:rPr>
        <w:t xml:space="preserve">Judy </w:t>
      </w:r>
      <w:proofErr w:type="spellStart"/>
      <w:r w:rsidR="00F91DFA" w:rsidRPr="00E23E60">
        <w:rPr>
          <w:szCs w:val="24"/>
        </w:rPr>
        <w:t>Johndohl</w:t>
      </w:r>
      <w:proofErr w:type="spellEnd"/>
      <w:r w:rsidR="00F91DFA" w:rsidRPr="00E23E60">
        <w:rPr>
          <w:szCs w:val="24"/>
        </w:rPr>
        <w:t xml:space="preserve">, Water Quality Community and Program Assistance </w:t>
      </w:r>
      <w:r w:rsidR="0018164F" w:rsidRPr="00E23E60">
        <w:rPr>
          <w:szCs w:val="24"/>
        </w:rPr>
        <w:t>S</w:t>
      </w:r>
      <w:r w:rsidR="00F91DFA" w:rsidRPr="00E23E60">
        <w:rPr>
          <w:szCs w:val="24"/>
        </w:rPr>
        <w:t>ection</w:t>
      </w:r>
    </w:p>
    <w:p w:rsidR="00BC77F4" w:rsidRPr="0018164F" w:rsidRDefault="00BC77F4" w:rsidP="00BC77F4">
      <w:pPr>
        <w:tabs>
          <w:tab w:val="left" w:pos="1080"/>
          <w:tab w:val="right" w:pos="7200"/>
          <w:tab w:val="right" w:pos="9360"/>
        </w:tabs>
        <w:rPr>
          <w:rFonts w:ascii="Arial" w:hAnsi="Arial" w:cs="Arial"/>
          <w:szCs w:val="24"/>
        </w:rPr>
      </w:pPr>
      <w:r w:rsidRPr="0018164F">
        <w:rPr>
          <w:rFonts w:ascii="Arial" w:hAnsi="Arial" w:cs="Arial"/>
          <w:b/>
          <w:szCs w:val="24"/>
        </w:rPr>
        <w:t xml:space="preserve">Date: </w:t>
      </w:r>
      <w:r w:rsidR="00F91DFA" w:rsidRPr="00E23E60">
        <w:rPr>
          <w:szCs w:val="24"/>
        </w:rPr>
        <w:t>Oct</w:t>
      </w:r>
      <w:r w:rsidR="008940BD">
        <w:rPr>
          <w:szCs w:val="24"/>
        </w:rPr>
        <w:t>.</w:t>
      </w:r>
      <w:r w:rsidR="00F91DFA" w:rsidRPr="00E23E60">
        <w:rPr>
          <w:szCs w:val="24"/>
        </w:rPr>
        <w:t xml:space="preserve"> 5, 2012</w:t>
      </w:r>
      <w:r w:rsidRPr="0018164F">
        <w:rPr>
          <w:rFonts w:ascii="Arial" w:hAnsi="Arial" w:cs="Arial"/>
          <w:b/>
          <w:szCs w:val="24"/>
        </w:rPr>
        <w:t xml:space="preserve"> </w:t>
      </w:r>
    </w:p>
    <w:p w:rsidR="00BC77F4" w:rsidRPr="0018164F" w:rsidRDefault="00BC77F4" w:rsidP="00BC77F4">
      <w:pPr>
        <w:tabs>
          <w:tab w:val="left" w:pos="1080"/>
        </w:tabs>
        <w:rPr>
          <w:rFonts w:ascii="Arial" w:hAnsi="Arial" w:cs="Arial"/>
          <w:szCs w:val="24"/>
        </w:rPr>
      </w:pPr>
    </w:p>
    <w:tbl>
      <w:tblPr>
        <w:tblW w:w="9468" w:type="dxa"/>
        <w:tblLayout w:type="fixed"/>
        <w:tblLook w:val="0000"/>
      </w:tblPr>
      <w:tblGrid>
        <w:gridCol w:w="1728"/>
        <w:gridCol w:w="7740"/>
      </w:tblGrid>
      <w:tr w:rsidR="00DD604D" w:rsidRPr="00D83DE0">
        <w:trPr>
          <w:cantSplit/>
        </w:trPr>
        <w:tc>
          <w:tcPr>
            <w:tcW w:w="1728" w:type="dxa"/>
          </w:tcPr>
          <w:p w:rsidR="00DD604D" w:rsidRPr="00D83DE0" w:rsidRDefault="00DD604D" w:rsidP="004471AA">
            <w:pPr>
              <w:pStyle w:val="Heading5"/>
              <w:rPr>
                <w:rFonts w:ascii="Arial" w:hAnsi="Arial" w:cs="Arial"/>
                <w:sz w:val="22"/>
                <w:szCs w:val="22"/>
              </w:rPr>
            </w:pPr>
            <w:r w:rsidRPr="00D83DE0">
              <w:rPr>
                <w:rFonts w:ascii="Arial" w:hAnsi="Arial" w:cs="Arial"/>
                <w:sz w:val="22"/>
                <w:szCs w:val="22"/>
              </w:rPr>
              <w:t>Comment period</w:t>
            </w:r>
          </w:p>
        </w:tc>
        <w:tc>
          <w:tcPr>
            <w:tcW w:w="7740" w:type="dxa"/>
          </w:tcPr>
          <w:p w:rsidR="00DD604D" w:rsidRPr="009D37F0" w:rsidRDefault="00DD604D" w:rsidP="00DD604D">
            <w:pPr>
              <w:pStyle w:val="BlockText"/>
              <w:rPr>
                <w:sz w:val="22"/>
                <w:szCs w:val="22"/>
              </w:rPr>
            </w:pPr>
          </w:p>
          <w:p w:rsidR="00DD604D" w:rsidRPr="009D37F0" w:rsidRDefault="00DD604D" w:rsidP="00DD604D">
            <w:pPr>
              <w:pStyle w:val="BlockText"/>
              <w:rPr>
                <w:sz w:val="22"/>
                <w:szCs w:val="22"/>
              </w:rPr>
            </w:pPr>
            <w:r w:rsidRPr="009D37F0">
              <w:rPr>
                <w:sz w:val="22"/>
                <w:szCs w:val="22"/>
              </w:rPr>
              <w:t>The public comment period opened Aug</w:t>
            </w:r>
            <w:r w:rsidR="008940BD">
              <w:rPr>
                <w:sz w:val="22"/>
                <w:szCs w:val="22"/>
              </w:rPr>
              <w:t>.</w:t>
            </w:r>
            <w:r w:rsidRPr="009D37F0">
              <w:rPr>
                <w:sz w:val="22"/>
                <w:szCs w:val="22"/>
              </w:rPr>
              <w:t xml:space="preserve"> 1, 2012</w:t>
            </w:r>
            <w:r w:rsidR="0018164F" w:rsidRPr="009D37F0">
              <w:rPr>
                <w:sz w:val="22"/>
                <w:szCs w:val="22"/>
              </w:rPr>
              <w:t>,</w:t>
            </w:r>
            <w:r w:rsidRPr="009D37F0">
              <w:rPr>
                <w:sz w:val="22"/>
                <w:szCs w:val="22"/>
              </w:rPr>
              <w:t xml:space="preserve"> and closed at 5 p.m. on Sept</w:t>
            </w:r>
            <w:r w:rsidR="008940BD">
              <w:rPr>
                <w:sz w:val="22"/>
                <w:szCs w:val="22"/>
              </w:rPr>
              <w:t>.</w:t>
            </w:r>
            <w:r w:rsidRPr="009D37F0">
              <w:rPr>
                <w:sz w:val="22"/>
                <w:szCs w:val="22"/>
              </w:rPr>
              <w:t xml:space="preserve"> 14, 2012. DEQ held public hearings on the following dates at the following locations: </w:t>
            </w:r>
          </w:p>
          <w:p w:rsidR="00DD604D" w:rsidRPr="009D37F0" w:rsidRDefault="00DD604D" w:rsidP="00DD604D">
            <w:pPr>
              <w:pStyle w:val="BlockText"/>
              <w:rPr>
                <w:sz w:val="22"/>
                <w:szCs w:val="22"/>
              </w:rPr>
            </w:pPr>
          </w:p>
          <w:p w:rsidR="00DD604D" w:rsidRPr="009D37F0" w:rsidRDefault="00DD604D" w:rsidP="00DD604D">
            <w:pPr>
              <w:pStyle w:val="BlockText"/>
              <w:numPr>
                <w:ilvl w:val="0"/>
                <w:numId w:val="2"/>
              </w:numPr>
              <w:rPr>
                <w:sz w:val="22"/>
                <w:szCs w:val="22"/>
              </w:rPr>
            </w:pPr>
            <w:r w:rsidRPr="009D37F0">
              <w:rPr>
                <w:sz w:val="22"/>
                <w:szCs w:val="22"/>
              </w:rPr>
              <w:t>Sept</w:t>
            </w:r>
            <w:r w:rsidR="008940BD">
              <w:rPr>
                <w:sz w:val="22"/>
                <w:szCs w:val="22"/>
              </w:rPr>
              <w:t>.</w:t>
            </w:r>
            <w:r w:rsidRPr="009D37F0">
              <w:rPr>
                <w:sz w:val="22"/>
                <w:szCs w:val="22"/>
              </w:rPr>
              <w:t xml:space="preserve"> 4, 2012, 3 p.m. Oregon DEQ Headquarters, Portland and DEQ Pendleton  and Eugene offices via conference call</w:t>
            </w:r>
          </w:p>
          <w:p w:rsidR="00DD604D" w:rsidRPr="009D37F0" w:rsidRDefault="00DD604D" w:rsidP="00DD604D">
            <w:pPr>
              <w:pStyle w:val="BlockText"/>
              <w:numPr>
                <w:ilvl w:val="0"/>
                <w:numId w:val="2"/>
              </w:numPr>
              <w:rPr>
                <w:sz w:val="22"/>
                <w:szCs w:val="22"/>
              </w:rPr>
            </w:pPr>
            <w:r w:rsidRPr="009D37F0">
              <w:rPr>
                <w:sz w:val="22"/>
                <w:szCs w:val="22"/>
              </w:rPr>
              <w:t>Sept</w:t>
            </w:r>
            <w:r w:rsidR="008940BD">
              <w:rPr>
                <w:sz w:val="22"/>
                <w:szCs w:val="22"/>
              </w:rPr>
              <w:t>.</w:t>
            </w:r>
            <w:r w:rsidRPr="009D37F0">
              <w:rPr>
                <w:sz w:val="22"/>
                <w:szCs w:val="22"/>
              </w:rPr>
              <w:t xml:space="preserve"> 5, 2012, 3 p.m. DEQ Bend office</w:t>
            </w:r>
          </w:p>
          <w:p w:rsidR="00DD604D" w:rsidRPr="009D37F0" w:rsidRDefault="00DD604D" w:rsidP="00DD604D">
            <w:pPr>
              <w:pStyle w:val="BlockText"/>
              <w:numPr>
                <w:ilvl w:val="0"/>
                <w:numId w:val="2"/>
              </w:numPr>
              <w:rPr>
                <w:sz w:val="22"/>
                <w:szCs w:val="22"/>
              </w:rPr>
            </w:pPr>
            <w:r w:rsidRPr="009D37F0">
              <w:rPr>
                <w:sz w:val="22"/>
                <w:szCs w:val="22"/>
              </w:rPr>
              <w:t>Sept</w:t>
            </w:r>
            <w:r w:rsidR="008940BD">
              <w:rPr>
                <w:sz w:val="22"/>
                <w:szCs w:val="22"/>
              </w:rPr>
              <w:t xml:space="preserve">. </w:t>
            </w:r>
            <w:r w:rsidRPr="009D37F0">
              <w:rPr>
                <w:sz w:val="22"/>
                <w:szCs w:val="22"/>
              </w:rPr>
              <w:t xml:space="preserve">6, 2012, 3 p.m. DEQ Medford office </w:t>
            </w:r>
          </w:p>
          <w:p w:rsidR="00DD604D" w:rsidRPr="009D37F0" w:rsidRDefault="00DD604D" w:rsidP="00DD604D">
            <w:pPr>
              <w:pStyle w:val="BlockText"/>
              <w:rPr>
                <w:sz w:val="22"/>
                <w:szCs w:val="22"/>
              </w:rPr>
            </w:pPr>
          </w:p>
          <w:p w:rsidR="00DD604D" w:rsidRPr="009D37F0" w:rsidRDefault="00DD604D" w:rsidP="00DD604D">
            <w:pPr>
              <w:pStyle w:val="BlockText"/>
              <w:rPr>
                <w:sz w:val="22"/>
                <w:szCs w:val="22"/>
              </w:rPr>
            </w:pPr>
            <w:r w:rsidRPr="009D37F0">
              <w:rPr>
                <w:sz w:val="22"/>
                <w:szCs w:val="22"/>
              </w:rPr>
              <w:t xml:space="preserve">No one attended the hearings. </w:t>
            </w:r>
          </w:p>
        </w:tc>
      </w:tr>
      <w:tr w:rsidR="00BC77F4" w:rsidRPr="00D83DE0">
        <w:trPr>
          <w:cantSplit/>
        </w:trPr>
        <w:tc>
          <w:tcPr>
            <w:tcW w:w="1728" w:type="dxa"/>
          </w:tcPr>
          <w:p w:rsidR="00BC77F4" w:rsidRPr="00D83DE0" w:rsidRDefault="004C3021" w:rsidP="004471AA">
            <w:pPr>
              <w:pStyle w:val="Heading5"/>
              <w:rPr>
                <w:rFonts w:ascii="Arial" w:hAnsi="Arial" w:cs="Arial"/>
                <w:sz w:val="22"/>
                <w:szCs w:val="22"/>
              </w:rPr>
            </w:pPr>
            <w:r w:rsidRPr="00D83DE0">
              <w:rPr>
                <w:rFonts w:ascii="Arial" w:hAnsi="Arial" w:cs="Arial"/>
                <w:sz w:val="22"/>
                <w:szCs w:val="22"/>
              </w:rPr>
              <w:t>Organization of</w:t>
            </w:r>
            <w:r w:rsidR="00BC77F4" w:rsidRPr="00D83DE0">
              <w:rPr>
                <w:rFonts w:ascii="Arial" w:hAnsi="Arial" w:cs="Arial"/>
                <w:sz w:val="22"/>
                <w:szCs w:val="22"/>
              </w:rPr>
              <w:t xml:space="preserve"> comments and responses</w:t>
            </w:r>
          </w:p>
        </w:tc>
        <w:tc>
          <w:tcPr>
            <w:tcW w:w="7740" w:type="dxa"/>
          </w:tcPr>
          <w:p w:rsidR="004C3021" w:rsidRPr="009D37F0" w:rsidRDefault="004C3021" w:rsidP="00DD604D">
            <w:pPr>
              <w:pStyle w:val="BlockText"/>
              <w:rPr>
                <w:sz w:val="22"/>
                <w:szCs w:val="22"/>
              </w:rPr>
            </w:pPr>
          </w:p>
          <w:p w:rsidR="00DD604D" w:rsidRPr="009D37F0" w:rsidRDefault="00DD604D" w:rsidP="00DD604D">
            <w:pPr>
              <w:pStyle w:val="BlockText"/>
              <w:rPr>
                <w:sz w:val="22"/>
                <w:szCs w:val="22"/>
              </w:rPr>
            </w:pPr>
            <w:r w:rsidRPr="009D37F0">
              <w:rPr>
                <w:sz w:val="22"/>
                <w:szCs w:val="22"/>
              </w:rPr>
              <w:t xml:space="preserve">Summaries of individual comments received by email and DEQ's responses are provided below. </w:t>
            </w:r>
            <w:r w:rsidRPr="00CF3177">
              <w:rPr>
                <w:sz w:val="22"/>
                <w:szCs w:val="22"/>
              </w:rPr>
              <w:t xml:space="preserve">When a person’s comment included multiple topics, that comment is divided by topic and each is addressed separately. </w:t>
            </w:r>
            <w:proofErr w:type="spellStart"/>
            <w:r w:rsidR="008940BD">
              <w:rPr>
                <w:sz w:val="22"/>
                <w:szCs w:val="22"/>
              </w:rPr>
              <w:t>Commenters</w:t>
            </w:r>
            <w:proofErr w:type="spellEnd"/>
            <w:r w:rsidR="008940BD">
              <w:rPr>
                <w:sz w:val="22"/>
                <w:szCs w:val="22"/>
              </w:rPr>
              <w:t xml:space="preserve"> are </w:t>
            </w:r>
            <w:r w:rsidRPr="00CF3177">
              <w:rPr>
                <w:sz w:val="22"/>
                <w:szCs w:val="22"/>
              </w:rPr>
              <w:t xml:space="preserve">referenced by number. A list of </w:t>
            </w:r>
            <w:proofErr w:type="spellStart"/>
            <w:r w:rsidRPr="00CF3177">
              <w:rPr>
                <w:sz w:val="22"/>
                <w:szCs w:val="22"/>
              </w:rPr>
              <w:t>commenters</w:t>
            </w:r>
            <w:proofErr w:type="spellEnd"/>
            <w:r w:rsidRPr="00CF3177">
              <w:rPr>
                <w:sz w:val="22"/>
                <w:szCs w:val="22"/>
              </w:rPr>
              <w:t xml:space="preserve"> and their reference numbers follows the comments and responses.</w:t>
            </w:r>
            <w:r w:rsidRPr="009D37F0">
              <w:rPr>
                <w:sz w:val="22"/>
                <w:szCs w:val="22"/>
              </w:rPr>
              <w:t xml:space="preserve"> </w:t>
            </w:r>
          </w:p>
          <w:p w:rsidR="00DD604D" w:rsidRPr="009D37F0" w:rsidRDefault="00DD604D" w:rsidP="00DD604D">
            <w:pPr>
              <w:pStyle w:val="BlockText"/>
              <w:rPr>
                <w:sz w:val="22"/>
                <w:szCs w:val="22"/>
              </w:rPr>
            </w:pPr>
          </w:p>
        </w:tc>
      </w:tr>
    </w:tbl>
    <w:p w:rsidR="006B7F3C" w:rsidRDefault="006B7F3C" w:rsidP="00C468F7">
      <w:pPr>
        <w:jc w:val="center"/>
        <w:rPr>
          <w:rFonts w:ascii="Arial" w:hAnsi="Arial" w:cs="Arial"/>
          <w:szCs w:val="22"/>
          <w:highlight w:val="yellow"/>
        </w:rPr>
      </w:pPr>
    </w:p>
    <w:tbl>
      <w:tblPr>
        <w:tblStyle w:val="TableGrid"/>
        <w:tblW w:w="9468" w:type="dxa"/>
        <w:tblBorders>
          <w:bottom w:val="single" w:sz="2" w:space="0" w:color="auto"/>
        </w:tblBorders>
        <w:tblLook w:val="01E0"/>
      </w:tblPr>
      <w:tblGrid>
        <w:gridCol w:w="9468"/>
      </w:tblGrid>
      <w:tr w:rsidR="007A65C5" w:rsidTr="0018164F">
        <w:tc>
          <w:tcPr>
            <w:tcW w:w="9468" w:type="dxa"/>
          </w:tcPr>
          <w:p w:rsidR="007A65C5" w:rsidRPr="007A65C5" w:rsidRDefault="007A65C5" w:rsidP="00915343">
            <w:pPr>
              <w:spacing w:before="120" w:after="120"/>
              <w:jc w:val="center"/>
              <w:rPr>
                <w:rFonts w:ascii="Arial" w:hAnsi="Arial" w:cs="Arial"/>
                <w:b/>
                <w:i/>
                <w:szCs w:val="22"/>
              </w:rPr>
            </w:pPr>
            <w:r w:rsidRPr="007A65C5">
              <w:rPr>
                <w:rFonts w:ascii="Arial" w:hAnsi="Arial" w:cs="Arial"/>
                <w:b/>
                <w:i/>
                <w:szCs w:val="22"/>
              </w:rPr>
              <w:t>Summary of Comments and Agency Responses</w:t>
            </w:r>
          </w:p>
        </w:tc>
      </w:tr>
    </w:tbl>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28"/>
        <w:gridCol w:w="7740"/>
      </w:tblGrid>
      <w:tr w:rsidR="00915343" w:rsidRPr="00185EA5" w:rsidTr="00DD604D">
        <w:tc>
          <w:tcPr>
            <w:tcW w:w="1728" w:type="dxa"/>
            <w:tcBorders>
              <w:top w:val="single" w:sz="4" w:space="0" w:color="auto"/>
            </w:tcBorders>
          </w:tcPr>
          <w:p w:rsidR="00915343" w:rsidRPr="007A65C5" w:rsidRDefault="00915343" w:rsidP="0018164F">
            <w:pPr>
              <w:spacing w:after="120"/>
              <w:rPr>
                <w:rFonts w:ascii="Arial" w:hAnsi="Arial" w:cs="Arial"/>
                <w:b/>
                <w:i/>
                <w:szCs w:val="22"/>
              </w:rPr>
            </w:pPr>
            <w:r>
              <w:rPr>
                <w:rFonts w:ascii="Arial" w:hAnsi="Arial" w:cs="Arial"/>
                <w:b/>
                <w:i/>
                <w:szCs w:val="22"/>
              </w:rPr>
              <w:t>Comment 1</w:t>
            </w:r>
          </w:p>
        </w:tc>
        <w:tc>
          <w:tcPr>
            <w:tcW w:w="7740" w:type="dxa"/>
            <w:tcBorders>
              <w:top w:val="single" w:sz="4" w:space="0" w:color="auto"/>
            </w:tcBorders>
          </w:tcPr>
          <w:p w:rsidR="00915343" w:rsidRDefault="00915343" w:rsidP="00915343">
            <w:pPr>
              <w:pStyle w:val="BlockText"/>
              <w:spacing w:after="120"/>
              <w:rPr>
                <w:sz w:val="22"/>
                <w:szCs w:val="22"/>
              </w:rPr>
            </w:pPr>
            <w:r w:rsidRPr="009D37F0">
              <w:rPr>
                <w:sz w:val="22"/>
                <w:szCs w:val="22"/>
              </w:rPr>
              <w:t>The Tribe appreciates DEQ taking proactive steps to modify the State Revolving Fund program in a way that attempts to deal with some of the more difficult to control pollutant sources</w:t>
            </w:r>
            <w:r>
              <w:rPr>
                <w:sz w:val="22"/>
                <w:szCs w:val="22"/>
              </w:rPr>
              <w:t xml:space="preserve"> including</w:t>
            </w:r>
            <w:r w:rsidRPr="009D37F0">
              <w:rPr>
                <w:sz w:val="22"/>
                <w:szCs w:val="22"/>
              </w:rPr>
              <w:t xml:space="preserve"> </w:t>
            </w:r>
            <w:proofErr w:type="spellStart"/>
            <w:r w:rsidRPr="009D37F0">
              <w:rPr>
                <w:sz w:val="22"/>
                <w:szCs w:val="22"/>
              </w:rPr>
              <w:t>stormwater</w:t>
            </w:r>
            <w:proofErr w:type="spellEnd"/>
            <w:r w:rsidRPr="009D37F0">
              <w:rPr>
                <w:sz w:val="22"/>
                <w:szCs w:val="22"/>
              </w:rPr>
              <w:t xml:space="preserve"> and non-point sources. Of particular interest, the Tribe supports the various rule changes</w:t>
            </w:r>
            <w:r>
              <w:rPr>
                <w:sz w:val="22"/>
                <w:szCs w:val="22"/>
              </w:rPr>
              <w:t xml:space="preserve"> including OAR 340-054-0015 </w:t>
            </w:r>
            <w:r w:rsidRPr="009D37F0">
              <w:rPr>
                <w:sz w:val="22"/>
                <w:szCs w:val="22"/>
              </w:rPr>
              <w:t>that clarif</w:t>
            </w:r>
            <w:r>
              <w:rPr>
                <w:sz w:val="22"/>
                <w:szCs w:val="22"/>
              </w:rPr>
              <w:t>ies</w:t>
            </w:r>
            <w:r w:rsidRPr="009D37F0">
              <w:rPr>
                <w:sz w:val="22"/>
                <w:szCs w:val="22"/>
              </w:rPr>
              <w:t xml:space="preserve"> program money is available to deal with</w:t>
            </w:r>
            <w:r>
              <w:rPr>
                <w:sz w:val="22"/>
                <w:szCs w:val="22"/>
              </w:rPr>
              <w:t xml:space="preserve"> </w:t>
            </w:r>
            <w:proofErr w:type="spellStart"/>
            <w:r>
              <w:rPr>
                <w:sz w:val="22"/>
                <w:szCs w:val="22"/>
              </w:rPr>
              <w:t>stormwater</w:t>
            </w:r>
            <w:proofErr w:type="spellEnd"/>
            <w:r>
              <w:rPr>
                <w:sz w:val="22"/>
                <w:szCs w:val="22"/>
              </w:rPr>
              <w:t xml:space="preserve">, and </w:t>
            </w:r>
            <w:r w:rsidRPr="009D37F0">
              <w:rPr>
                <w:sz w:val="22"/>
                <w:szCs w:val="22"/>
              </w:rPr>
              <w:t>inflow and infiltration issues that can cause unforeseen water quality issues and create difficult problems for wastewater treatment plant operators.</w:t>
            </w:r>
            <w:r>
              <w:rPr>
                <w:sz w:val="22"/>
                <w:szCs w:val="22"/>
              </w:rPr>
              <w:t xml:space="preserve"> </w:t>
            </w:r>
          </w:p>
          <w:p w:rsidR="00915343" w:rsidRDefault="00915343" w:rsidP="00CF3177">
            <w:pPr>
              <w:pStyle w:val="BlockText"/>
              <w:spacing w:after="120"/>
              <w:rPr>
                <w:sz w:val="22"/>
                <w:szCs w:val="22"/>
              </w:rPr>
            </w:pPr>
            <w:r>
              <w:rPr>
                <w:sz w:val="22"/>
                <w:szCs w:val="22"/>
              </w:rPr>
              <w:t xml:space="preserve">Commenter </w:t>
            </w:r>
            <w:r w:rsidR="00CF3177">
              <w:rPr>
                <w:sz w:val="22"/>
                <w:szCs w:val="22"/>
              </w:rPr>
              <w:t>1</w:t>
            </w:r>
          </w:p>
        </w:tc>
      </w:tr>
      <w:tr w:rsidR="00915343" w:rsidRPr="00185EA5" w:rsidTr="00DD604D">
        <w:tc>
          <w:tcPr>
            <w:tcW w:w="1728" w:type="dxa"/>
            <w:tcBorders>
              <w:top w:val="single" w:sz="4" w:space="0" w:color="auto"/>
            </w:tcBorders>
          </w:tcPr>
          <w:p w:rsidR="00915343" w:rsidRPr="007A65C5" w:rsidRDefault="00915343" w:rsidP="0018164F">
            <w:pPr>
              <w:spacing w:after="120"/>
              <w:rPr>
                <w:rFonts w:ascii="Arial" w:hAnsi="Arial" w:cs="Arial"/>
                <w:b/>
                <w:i/>
                <w:szCs w:val="22"/>
              </w:rPr>
            </w:pPr>
            <w:r>
              <w:rPr>
                <w:rFonts w:ascii="Arial" w:hAnsi="Arial" w:cs="Arial"/>
                <w:b/>
                <w:i/>
                <w:szCs w:val="22"/>
              </w:rPr>
              <w:t>Response</w:t>
            </w:r>
          </w:p>
        </w:tc>
        <w:tc>
          <w:tcPr>
            <w:tcW w:w="7740" w:type="dxa"/>
            <w:tcBorders>
              <w:top w:val="single" w:sz="4" w:space="0" w:color="auto"/>
            </w:tcBorders>
          </w:tcPr>
          <w:p w:rsidR="00915343" w:rsidRPr="00C047B5" w:rsidRDefault="00915343" w:rsidP="0018164F">
            <w:pPr>
              <w:pStyle w:val="BlockText"/>
              <w:spacing w:after="120"/>
              <w:rPr>
                <w:sz w:val="22"/>
                <w:szCs w:val="22"/>
              </w:rPr>
            </w:pPr>
            <w:r w:rsidRPr="00C047B5">
              <w:rPr>
                <w:sz w:val="22"/>
                <w:szCs w:val="22"/>
              </w:rPr>
              <w:t>DEQ acknowledges these comments in support of the proposed rule changes.</w:t>
            </w:r>
          </w:p>
        </w:tc>
      </w:tr>
      <w:tr w:rsidR="007A65C5" w:rsidRPr="00185EA5" w:rsidTr="00DD604D">
        <w:tc>
          <w:tcPr>
            <w:tcW w:w="1728" w:type="dxa"/>
            <w:tcBorders>
              <w:top w:val="single" w:sz="4" w:space="0" w:color="auto"/>
            </w:tcBorders>
          </w:tcPr>
          <w:p w:rsidR="007A65C5" w:rsidRPr="007A65C5" w:rsidRDefault="007A65C5"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2</w:t>
            </w:r>
          </w:p>
        </w:tc>
        <w:tc>
          <w:tcPr>
            <w:tcW w:w="7740" w:type="dxa"/>
            <w:tcBorders>
              <w:top w:val="single" w:sz="4" w:space="0" w:color="auto"/>
            </w:tcBorders>
          </w:tcPr>
          <w:p w:rsidR="007A65C5" w:rsidRDefault="00253680" w:rsidP="0018164F">
            <w:pPr>
              <w:pStyle w:val="BlockText"/>
              <w:spacing w:after="120"/>
              <w:rPr>
                <w:sz w:val="22"/>
                <w:szCs w:val="22"/>
              </w:rPr>
            </w:pPr>
            <w:r>
              <w:rPr>
                <w:sz w:val="22"/>
                <w:szCs w:val="22"/>
              </w:rPr>
              <w:t>T</w:t>
            </w:r>
            <w:r w:rsidR="00DD604D" w:rsidRPr="009D37F0">
              <w:rPr>
                <w:sz w:val="22"/>
                <w:szCs w:val="22"/>
              </w:rPr>
              <w:t>he Tribe strongly supports DEQ’s goal of moving away from the compliance/non-compliance emphasis for program funds. With limited funds available, program funds should be targeted for real and demonstrable water quality and environmental improvement rather than directed to solve issues related to permit compliance</w:t>
            </w:r>
            <w:r w:rsidR="0018164F" w:rsidRPr="009D37F0">
              <w:rPr>
                <w:sz w:val="22"/>
                <w:szCs w:val="22"/>
              </w:rPr>
              <w:t>.</w:t>
            </w:r>
          </w:p>
          <w:p w:rsidR="009D37F0" w:rsidRPr="009D37F0" w:rsidRDefault="009D37F0" w:rsidP="00CF3177">
            <w:pPr>
              <w:pStyle w:val="BlockText"/>
              <w:spacing w:after="120"/>
              <w:rPr>
                <w:sz w:val="22"/>
                <w:szCs w:val="22"/>
              </w:rPr>
            </w:pPr>
            <w:r>
              <w:rPr>
                <w:sz w:val="22"/>
                <w:szCs w:val="22"/>
              </w:rPr>
              <w:t xml:space="preserve">Commenter </w:t>
            </w:r>
            <w:r w:rsidR="00CF3177">
              <w:rPr>
                <w:sz w:val="22"/>
                <w:szCs w:val="22"/>
              </w:rPr>
              <w:t>1</w:t>
            </w:r>
          </w:p>
        </w:tc>
      </w:tr>
      <w:tr w:rsidR="009D37F0" w:rsidRPr="00185EA5">
        <w:tc>
          <w:tcPr>
            <w:tcW w:w="1728" w:type="dxa"/>
          </w:tcPr>
          <w:p w:rsidR="009D37F0" w:rsidRPr="007A65C5" w:rsidRDefault="009D37F0" w:rsidP="0018164F">
            <w:pPr>
              <w:spacing w:after="120"/>
              <w:rPr>
                <w:rFonts w:ascii="Arial" w:hAnsi="Arial" w:cs="Arial"/>
                <w:b/>
                <w:i/>
                <w:szCs w:val="22"/>
              </w:rPr>
            </w:pPr>
            <w:r w:rsidRPr="007A65C5">
              <w:rPr>
                <w:rFonts w:ascii="Arial" w:hAnsi="Arial" w:cs="Arial"/>
                <w:b/>
                <w:i/>
                <w:szCs w:val="22"/>
              </w:rPr>
              <w:t>Response</w:t>
            </w:r>
          </w:p>
        </w:tc>
        <w:tc>
          <w:tcPr>
            <w:tcW w:w="7740" w:type="dxa"/>
          </w:tcPr>
          <w:p w:rsidR="009D37F0" w:rsidRPr="009D37F0" w:rsidRDefault="009D37F0" w:rsidP="00CF3177">
            <w:pPr>
              <w:spacing w:after="120"/>
              <w:rPr>
                <w:szCs w:val="22"/>
              </w:rPr>
            </w:pPr>
            <w:r w:rsidRPr="009D37F0">
              <w:rPr>
                <w:szCs w:val="22"/>
              </w:rPr>
              <w:t xml:space="preserve">DEQ acknowledges </w:t>
            </w:r>
            <w:r w:rsidR="003A2BC2">
              <w:rPr>
                <w:szCs w:val="22"/>
              </w:rPr>
              <w:t xml:space="preserve">these comments in </w:t>
            </w:r>
            <w:r w:rsidRPr="009D37F0">
              <w:rPr>
                <w:szCs w:val="22"/>
              </w:rPr>
              <w:t xml:space="preserve">support </w:t>
            </w:r>
            <w:r w:rsidR="003A2BC2">
              <w:rPr>
                <w:szCs w:val="22"/>
              </w:rPr>
              <w:t xml:space="preserve">of </w:t>
            </w:r>
            <w:r w:rsidRPr="009D37F0">
              <w:rPr>
                <w:szCs w:val="22"/>
              </w:rPr>
              <w:t xml:space="preserve">the </w:t>
            </w:r>
            <w:r w:rsidR="003A2BC2">
              <w:rPr>
                <w:szCs w:val="22"/>
              </w:rPr>
              <w:t xml:space="preserve">proposed </w:t>
            </w:r>
            <w:r w:rsidRPr="009D37F0">
              <w:rPr>
                <w:szCs w:val="22"/>
              </w:rPr>
              <w:t>rule</w:t>
            </w:r>
            <w:r w:rsidR="003A2BC2">
              <w:rPr>
                <w:szCs w:val="22"/>
              </w:rPr>
              <w:t xml:space="preserve"> objectives</w:t>
            </w:r>
            <w:r w:rsidRPr="009D37F0">
              <w:rPr>
                <w:szCs w:val="22"/>
              </w:rPr>
              <w:t xml:space="preserve">. </w:t>
            </w:r>
          </w:p>
        </w:tc>
      </w:tr>
    </w:tbl>
    <w:p w:rsidR="009D0F03" w:rsidRDefault="009D0F03">
      <w:r>
        <w:br w:type="page"/>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28"/>
        <w:gridCol w:w="7740"/>
      </w:tblGrid>
      <w:tr w:rsidR="00DD604D" w:rsidRPr="00185EA5" w:rsidTr="00DD604D">
        <w:tc>
          <w:tcPr>
            <w:tcW w:w="1728" w:type="dxa"/>
          </w:tcPr>
          <w:p w:rsidR="00DD604D" w:rsidRPr="007A65C5" w:rsidRDefault="00DD604D" w:rsidP="0018164F">
            <w:pPr>
              <w:spacing w:after="120"/>
              <w:rPr>
                <w:rFonts w:ascii="Arial" w:hAnsi="Arial" w:cs="Arial"/>
                <w:b/>
                <w:i/>
                <w:szCs w:val="22"/>
              </w:rPr>
            </w:pPr>
            <w:r w:rsidRPr="007A65C5">
              <w:rPr>
                <w:rFonts w:ascii="Arial" w:hAnsi="Arial" w:cs="Arial"/>
                <w:b/>
                <w:i/>
                <w:szCs w:val="22"/>
              </w:rPr>
              <w:lastRenderedPageBreak/>
              <w:t>Comment</w:t>
            </w:r>
            <w:r>
              <w:rPr>
                <w:rFonts w:ascii="Arial" w:hAnsi="Arial" w:cs="Arial"/>
                <w:b/>
                <w:i/>
                <w:szCs w:val="22"/>
              </w:rPr>
              <w:t xml:space="preserve"> </w:t>
            </w:r>
            <w:r w:rsidR="0018164F">
              <w:rPr>
                <w:rFonts w:ascii="Arial" w:hAnsi="Arial" w:cs="Arial"/>
                <w:b/>
                <w:i/>
                <w:szCs w:val="22"/>
              </w:rPr>
              <w:t>3</w:t>
            </w:r>
          </w:p>
        </w:tc>
        <w:tc>
          <w:tcPr>
            <w:tcW w:w="7740" w:type="dxa"/>
          </w:tcPr>
          <w:p w:rsidR="00DD604D" w:rsidRDefault="003A2BC2" w:rsidP="003A2BC2">
            <w:pPr>
              <w:pStyle w:val="BlockText"/>
              <w:tabs>
                <w:tab w:val="left" w:pos="3036"/>
              </w:tabs>
              <w:spacing w:after="120"/>
              <w:rPr>
                <w:sz w:val="22"/>
                <w:szCs w:val="22"/>
              </w:rPr>
            </w:pPr>
            <w:r>
              <w:rPr>
                <w:sz w:val="22"/>
                <w:szCs w:val="22"/>
              </w:rPr>
              <w:t>An</w:t>
            </w:r>
            <w:r w:rsidR="0018164F" w:rsidRPr="009D37F0">
              <w:rPr>
                <w:sz w:val="22"/>
                <w:szCs w:val="22"/>
              </w:rPr>
              <w:t>other concept that could be explored would be creating an eligible project category for infrastructure projects that increase water quantity, by reducing stream withdrawals or otherwise keeping more water in streams and rivers. This is addressed somewhat in the provisions for “green” components, and water recycling, but there may be other avenues that have not been explored.</w:t>
            </w:r>
          </w:p>
          <w:p w:rsidR="003A2BC2" w:rsidRPr="003A2BC2" w:rsidRDefault="003A2BC2" w:rsidP="00CF3177">
            <w:pPr>
              <w:pStyle w:val="BlockText"/>
              <w:tabs>
                <w:tab w:val="left" w:pos="3036"/>
              </w:tabs>
              <w:spacing w:after="120"/>
              <w:rPr>
                <w:sz w:val="22"/>
                <w:szCs w:val="22"/>
              </w:rPr>
            </w:pPr>
            <w:r>
              <w:rPr>
                <w:sz w:val="22"/>
                <w:szCs w:val="22"/>
              </w:rPr>
              <w:t xml:space="preserve">Commenter </w:t>
            </w:r>
            <w:r w:rsidR="00CF3177">
              <w:rPr>
                <w:sz w:val="22"/>
                <w:szCs w:val="22"/>
              </w:rPr>
              <w:t>1</w:t>
            </w:r>
          </w:p>
        </w:tc>
      </w:tr>
      <w:tr w:rsidR="00DD604D" w:rsidRPr="00185EA5" w:rsidTr="00DD604D">
        <w:tc>
          <w:tcPr>
            <w:tcW w:w="1728" w:type="dxa"/>
          </w:tcPr>
          <w:p w:rsidR="00DD604D" w:rsidRPr="007A65C5" w:rsidRDefault="00DD604D" w:rsidP="0018164F">
            <w:pPr>
              <w:spacing w:after="120"/>
              <w:rPr>
                <w:rFonts w:ascii="Arial" w:hAnsi="Arial" w:cs="Arial"/>
                <w:b/>
                <w:i/>
                <w:szCs w:val="22"/>
              </w:rPr>
            </w:pPr>
            <w:r w:rsidRPr="007A65C5">
              <w:rPr>
                <w:rFonts w:ascii="Arial" w:hAnsi="Arial" w:cs="Arial"/>
                <w:b/>
                <w:i/>
                <w:szCs w:val="22"/>
              </w:rPr>
              <w:t>Response</w:t>
            </w:r>
          </w:p>
        </w:tc>
        <w:tc>
          <w:tcPr>
            <w:tcW w:w="7740" w:type="dxa"/>
          </w:tcPr>
          <w:p w:rsidR="003474C8" w:rsidRPr="003474C8" w:rsidRDefault="00C047B5" w:rsidP="003474C8">
            <w:pPr>
              <w:pStyle w:val="BlockText"/>
              <w:tabs>
                <w:tab w:val="left" w:pos="3036"/>
              </w:tabs>
              <w:spacing w:after="120"/>
              <w:rPr>
                <w:sz w:val="22"/>
                <w:szCs w:val="22"/>
              </w:rPr>
            </w:pPr>
            <w:r w:rsidRPr="003474C8">
              <w:rPr>
                <w:sz w:val="22"/>
                <w:szCs w:val="22"/>
              </w:rPr>
              <w:t xml:space="preserve">The proposed </w:t>
            </w:r>
            <w:r w:rsidR="00E3630C" w:rsidRPr="003474C8">
              <w:rPr>
                <w:sz w:val="22"/>
                <w:szCs w:val="22"/>
              </w:rPr>
              <w:t xml:space="preserve">project ranking criteria in OAR 340-054-0026, Table 1, </w:t>
            </w:r>
            <w:proofErr w:type="gramStart"/>
            <w:r w:rsidR="00E3630C" w:rsidRPr="003474C8">
              <w:rPr>
                <w:sz w:val="22"/>
                <w:szCs w:val="22"/>
              </w:rPr>
              <w:t>2F</w:t>
            </w:r>
            <w:proofErr w:type="gramEnd"/>
            <w:r w:rsidR="00E3630C" w:rsidRPr="003474C8">
              <w:rPr>
                <w:sz w:val="22"/>
                <w:szCs w:val="22"/>
              </w:rPr>
              <w:t>-I reflect</w:t>
            </w:r>
            <w:r w:rsidRPr="003474C8">
              <w:rPr>
                <w:sz w:val="22"/>
                <w:szCs w:val="22"/>
              </w:rPr>
              <w:t xml:space="preserve"> EPA's guidance on qualifying</w:t>
            </w:r>
            <w:r w:rsidR="00E3630C" w:rsidRPr="003474C8">
              <w:rPr>
                <w:sz w:val="22"/>
                <w:szCs w:val="22"/>
              </w:rPr>
              <w:t xml:space="preserve"> projects that can be considered for the green project reserve as EPA's capitalization grant</w:t>
            </w:r>
            <w:r w:rsidR="008940BD">
              <w:rPr>
                <w:sz w:val="22"/>
                <w:szCs w:val="22"/>
              </w:rPr>
              <w:t xml:space="preserve"> requires</w:t>
            </w:r>
            <w:r w:rsidR="00E3630C" w:rsidRPr="003474C8">
              <w:rPr>
                <w:sz w:val="22"/>
                <w:szCs w:val="22"/>
              </w:rPr>
              <w:t xml:space="preserve">. </w:t>
            </w:r>
            <w:r w:rsidR="00CF3177" w:rsidRPr="003474C8">
              <w:rPr>
                <w:sz w:val="22"/>
                <w:szCs w:val="22"/>
              </w:rPr>
              <w:t>Th</w:t>
            </w:r>
            <w:r w:rsidR="00CF3177">
              <w:rPr>
                <w:sz w:val="22"/>
                <w:szCs w:val="22"/>
              </w:rPr>
              <w:t>ese</w:t>
            </w:r>
            <w:r w:rsidR="00CF3177" w:rsidRPr="003474C8">
              <w:rPr>
                <w:sz w:val="22"/>
                <w:szCs w:val="22"/>
              </w:rPr>
              <w:t xml:space="preserve"> criteria </w:t>
            </w:r>
            <w:r w:rsidR="00CF3177">
              <w:rPr>
                <w:sz w:val="22"/>
                <w:szCs w:val="22"/>
              </w:rPr>
              <w:t>are</w:t>
            </w:r>
            <w:r w:rsidR="00CF3177" w:rsidRPr="003474C8">
              <w:rPr>
                <w:sz w:val="22"/>
                <w:szCs w:val="22"/>
              </w:rPr>
              <w:t xml:space="preserve"> new and were</w:t>
            </w:r>
            <w:r w:rsidR="003474C8" w:rsidRPr="003474C8">
              <w:rPr>
                <w:sz w:val="22"/>
                <w:szCs w:val="22"/>
              </w:rPr>
              <w:t xml:space="preserve"> recommended by the CWSRF Advisory Committee to support </w:t>
            </w:r>
            <w:r w:rsidR="003474C8">
              <w:rPr>
                <w:sz w:val="22"/>
                <w:szCs w:val="22"/>
              </w:rPr>
              <w:t xml:space="preserve">projects that integrate </w:t>
            </w:r>
            <w:r w:rsidR="003474C8" w:rsidRPr="003474C8">
              <w:rPr>
                <w:sz w:val="22"/>
                <w:szCs w:val="22"/>
              </w:rPr>
              <w:t xml:space="preserve">sustainable </w:t>
            </w:r>
            <w:r w:rsidR="003474C8">
              <w:rPr>
                <w:sz w:val="22"/>
                <w:szCs w:val="22"/>
              </w:rPr>
              <w:t xml:space="preserve">and "green" technology with traditional conventional solutions. </w:t>
            </w:r>
            <w:r w:rsidR="00E3630C" w:rsidRPr="003474C8">
              <w:rPr>
                <w:sz w:val="22"/>
                <w:szCs w:val="22"/>
              </w:rPr>
              <w:t xml:space="preserve">Water efficiency specifically means conservation and reuse efforts, as well as water loss reduction and prevention.  </w:t>
            </w:r>
          </w:p>
          <w:p w:rsidR="00DD604D" w:rsidRPr="003474C8" w:rsidRDefault="003A2BC2" w:rsidP="003474C8">
            <w:pPr>
              <w:pStyle w:val="BlockText"/>
              <w:tabs>
                <w:tab w:val="left" w:pos="3036"/>
              </w:tabs>
              <w:spacing w:after="120"/>
              <w:rPr>
                <w:szCs w:val="22"/>
              </w:rPr>
            </w:pPr>
            <w:r w:rsidRPr="003474C8">
              <w:rPr>
                <w:sz w:val="22"/>
                <w:szCs w:val="22"/>
              </w:rPr>
              <w:t>No changes were made to the proposed rules in response to this comment.</w:t>
            </w:r>
          </w:p>
        </w:tc>
      </w:tr>
      <w:tr w:rsidR="00DD604D" w:rsidRPr="00185EA5" w:rsidTr="00DD604D">
        <w:tc>
          <w:tcPr>
            <w:tcW w:w="1728" w:type="dxa"/>
            <w:tcBorders>
              <w:top w:val="single" w:sz="6" w:space="0" w:color="auto"/>
              <w:left w:val="single" w:sz="4" w:space="0" w:color="auto"/>
              <w:bottom w:val="single" w:sz="6"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w:t>
            </w:r>
            <w:r w:rsidR="0018164F">
              <w:rPr>
                <w:rFonts w:ascii="Arial" w:hAnsi="Arial" w:cs="Arial"/>
                <w:b/>
                <w:i/>
                <w:szCs w:val="22"/>
              </w:rPr>
              <w:t>4</w:t>
            </w:r>
          </w:p>
        </w:tc>
        <w:tc>
          <w:tcPr>
            <w:tcW w:w="7740" w:type="dxa"/>
            <w:tcBorders>
              <w:top w:val="single" w:sz="6" w:space="0" w:color="auto"/>
              <w:left w:val="single" w:sz="6" w:space="0" w:color="auto"/>
              <w:bottom w:val="single" w:sz="6" w:space="0" w:color="auto"/>
              <w:right w:val="single" w:sz="4" w:space="0" w:color="auto"/>
            </w:tcBorders>
          </w:tcPr>
          <w:p w:rsidR="0018164F" w:rsidRDefault="00D1241E" w:rsidP="003A2BC2">
            <w:pPr>
              <w:pStyle w:val="BlockText"/>
              <w:tabs>
                <w:tab w:val="left" w:pos="3036"/>
              </w:tabs>
              <w:spacing w:after="120"/>
              <w:rPr>
                <w:sz w:val="22"/>
                <w:szCs w:val="22"/>
              </w:rPr>
            </w:pPr>
            <w:r>
              <w:rPr>
                <w:sz w:val="22"/>
                <w:szCs w:val="22"/>
              </w:rPr>
              <w:t>T</w:t>
            </w:r>
            <w:r w:rsidR="0018164F" w:rsidRPr="009D37F0">
              <w:rPr>
                <w:sz w:val="22"/>
                <w:szCs w:val="22"/>
              </w:rPr>
              <w:t xml:space="preserve">he Tribe has not sought to use the </w:t>
            </w:r>
            <w:r>
              <w:rPr>
                <w:sz w:val="22"/>
                <w:szCs w:val="22"/>
              </w:rPr>
              <w:t xml:space="preserve">SRF program in the past although </w:t>
            </w:r>
            <w:r w:rsidR="0018164F" w:rsidRPr="009D37F0">
              <w:rPr>
                <w:sz w:val="22"/>
                <w:szCs w:val="22"/>
              </w:rPr>
              <w:t>it appreciates DEQ is clarify</w:t>
            </w:r>
            <w:r>
              <w:rPr>
                <w:sz w:val="22"/>
                <w:szCs w:val="22"/>
              </w:rPr>
              <w:t>ing</w:t>
            </w:r>
            <w:r w:rsidR="0018164F" w:rsidRPr="009D37F0">
              <w:rPr>
                <w:sz w:val="22"/>
                <w:szCs w:val="22"/>
              </w:rPr>
              <w:t xml:space="preserve"> the program is open to Indian tribes and tribal corporation/entities</w:t>
            </w:r>
            <w:r>
              <w:rPr>
                <w:sz w:val="22"/>
                <w:szCs w:val="22"/>
              </w:rPr>
              <w:t xml:space="preserve"> as stated in OAR 340-054-0010(26)</w:t>
            </w:r>
            <w:r w:rsidR="0018164F" w:rsidRPr="009D37F0">
              <w:rPr>
                <w:sz w:val="22"/>
                <w:szCs w:val="22"/>
              </w:rPr>
              <w:t>. Many tribes do not have access to low interest loans to finance large capacity and infrastructure projects such as wastewater/</w:t>
            </w:r>
            <w:proofErr w:type="spellStart"/>
            <w:r w:rsidR="0018164F" w:rsidRPr="009D37F0">
              <w:rPr>
                <w:sz w:val="22"/>
                <w:szCs w:val="22"/>
              </w:rPr>
              <w:t>stormwater</w:t>
            </w:r>
            <w:proofErr w:type="spellEnd"/>
            <w:r w:rsidR="0018164F" w:rsidRPr="009D37F0">
              <w:rPr>
                <w:sz w:val="22"/>
                <w:szCs w:val="22"/>
              </w:rPr>
              <w:t xml:space="preserve"> treatment facilities. This is a highly beneficial change for Oregon tribes and Oregon’s waters. </w:t>
            </w:r>
          </w:p>
          <w:p w:rsidR="00DD604D" w:rsidRPr="009D37F0" w:rsidRDefault="00D1241E" w:rsidP="00CF3177">
            <w:pPr>
              <w:pStyle w:val="BlockText"/>
              <w:tabs>
                <w:tab w:val="left" w:pos="3036"/>
              </w:tabs>
              <w:spacing w:after="120"/>
              <w:rPr>
                <w:szCs w:val="22"/>
              </w:rPr>
            </w:pPr>
            <w:r>
              <w:rPr>
                <w:sz w:val="22"/>
                <w:szCs w:val="22"/>
              </w:rPr>
              <w:t xml:space="preserve">Commenter </w:t>
            </w:r>
            <w:r w:rsidR="00CF3177">
              <w:rPr>
                <w:sz w:val="22"/>
                <w:szCs w:val="22"/>
              </w:rPr>
              <w:t>1</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4" w:space="0" w:color="auto"/>
              <w:right w:val="single" w:sz="4" w:space="0" w:color="auto"/>
            </w:tcBorders>
          </w:tcPr>
          <w:p w:rsidR="00DD604D" w:rsidRPr="00BF57C6" w:rsidRDefault="00BF57C6" w:rsidP="00CF3177">
            <w:pPr>
              <w:spacing w:after="120"/>
              <w:rPr>
                <w:szCs w:val="22"/>
              </w:rPr>
            </w:pPr>
            <w:r w:rsidRPr="00BF57C6">
              <w:rPr>
                <w:szCs w:val="22"/>
              </w:rPr>
              <w:t xml:space="preserve">The proposed rules added a definition for "public agency" </w:t>
            </w:r>
            <w:r w:rsidR="00CF3177">
              <w:rPr>
                <w:szCs w:val="22"/>
              </w:rPr>
              <w:t xml:space="preserve">[OAR 340-054-0010(26)] </w:t>
            </w:r>
            <w:r w:rsidRPr="00BF57C6">
              <w:rPr>
                <w:szCs w:val="22"/>
              </w:rPr>
              <w:t>to clarify who may apply for a CWSRF loan</w:t>
            </w:r>
            <w:r w:rsidR="00CF3177">
              <w:rPr>
                <w:szCs w:val="22"/>
              </w:rPr>
              <w:t xml:space="preserve"> based on state statute</w:t>
            </w:r>
            <w:r w:rsidRPr="00BF57C6">
              <w:rPr>
                <w:szCs w:val="22"/>
              </w:rPr>
              <w:t>. DEQ was made aware that the proposed definition conflict</w:t>
            </w:r>
            <w:r w:rsidR="00CF3177">
              <w:rPr>
                <w:szCs w:val="22"/>
              </w:rPr>
              <w:t>ed</w:t>
            </w:r>
            <w:r w:rsidRPr="00BF57C6">
              <w:rPr>
                <w:szCs w:val="22"/>
              </w:rPr>
              <w:t xml:space="preserve"> with the statute referenced by stating "and includes a tribal corporation, tribal agency or other tribal entity that is a federally recognized Indian tribal government." The statute referenced</w:t>
            </w:r>
            <w:r w:rsidR="00483FAA">
              <w:rPr>
                <w:szCs w:val="22"/>
              </w:rPr>
              <w:t xml:space="preserve"> in the definition</w:t>
            </w:r>
            <w:r w:rsidRPr="00BF57C6">
              <w:rPr>
                <w:szCs w:val="22"/>
              </w:rPr>
              <w:t>, ORS 468.423</w:t>
            </w:r>
            <w:r>
              <w:rPr>
                <w:szCs w:val="22"/>
              </w:rPr>
              <w:t xml:space="preserve">, </w:t>
            </w:r>
            <w:r w:rsidRPr="00BF57C6">
              <w:rPr>
                <w:szCs w:val="22"/>
              </w:rPr>
              <w:t xml:space="preserve">includes </w:t>
            </w:r>
            <w:r>
              <w:rPr>
                <w:szCs w:val="22"/>
              </w:rPr>
              <w:t>"</w:t>
            </w:r>
            <w:r w:rsidRPr="00BF57C6">
              <w:rPr>
                <w:szCs w:val="22"/>
              </w:rPr>
              <w:t>federally recognized Indian tribal government" as a public agency.</w:t>
            </w:r>
            <w:r>
              <w:rPr>
                <w:szCs w:val="22"/>
              </w:rPr>
              <w:t xml:space="preserve"> </w:t>
            </w:r>
            <w:r w:rsidR="00CF3177">
              <w:rPr>
                <w:szCs w:val="22"/>
              </w:rPr>
              <w:t xml:space="preserve">If a tribal corporation, tribal agency or other tribal entity is a federally recognized Indian tribal government, it is eligible as a public agency. </w:t>
            </w:r>
            <w:r>
              <w:rPr>
                <w:szCs w:val="22"/>
              </w:rPr>
              <w:t xml:space="preserve">DEQ will delete the conflicting language </w:t>
            </w:r>
            <w:r w:rsidR="00397CE5">
              <w:rPr>
                <w:szCs w:val="22"/>
              </w:rPr>
              <w:t xml:space="preserve">in the rule </w:t>
            </w:r>
            <w:r>
              <w:rPr>
                <w:szCs w:val="22"/>
              </w:rPr>
              <w:t xml:space="preserve">and only reference the statute. </w:t>
            </w:r>
            <w:r w:rsidRPr="00BF57C6">
              <w:rPr>
                <w:szCs w:val="22"/>
              </w:rPr>
              <w:t xml:space="preserve">   </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w:t>
            </w:r>
            <w:r w:rsidR="0018164F">
              <w:rPr>
                <w:rFonts w:ascii="Arial" w:hAnsi="Arial" w:cs="Arial"/>
                <w:b/>
                <w:i/>
                <w:szCs w:val="22"/>
              </w:rPr>
              <w:t>5</w:t>
            </w:r>
          </w:p>
        </w:tc>
        <w:tc>
          <w:tcPr>
            <w:tcW w:w="7740" w:type="dxa"/>
            <w:tcBorders>
              <w:top w:val="single" w:sz="6" w:space="0" w:color="auto"/>
              <w:left w:val="single" w:sz="6" w:space="0" w:color="auto"/>
              <w:bottom w:val="single" w:sz="4" w:space="0" w:color="auto"/>
              <w:right w:val="single" w:sz="4" w:space="0" w:color="auto"/>
            </w:tcBorders>
          </w:tcPr>
          <w:p w:rsidR="0018164F" w:rsidRDefault="00D1241E" w:rsidP="003A2BC2">
            <w:pPr>
              <w:pStyle w:val="BlockText"/>
              <w:tabs>
                <w:tab w:val="left" w:pos="3036"/>
              </w:tabs>
              <w:spacing w:after="120"/>
              <w:rPr>
                <w:sz w:val="22"/>
                <w:szCs w:val="22"/>
              </w:rPr>
            </w:pPr>
            <w:r>
              <w:rPr>
                <w:sz w:val="22"/>
                <w:szCs w:val="22"/>
              </w:rPr>
              <w:t>F</w:t>
            </w:r>
            <w:r w:rsidR="0018164F" w:rsidRPr="009D37F0">
              <w:rPr>
                <w:sz w:val="22"/>
                <w:szCs w:val="22"/>
              </w:rPr>
              <w:t>or infrastructure projects (i.e.</w:t>
            </w:r>
            <w:r>
              <w:rPr>
                <w:sz w:val="22"/>
                <w:szCs w:val="22"/>
              </w:rPr>
              <w:t>,</w:t>
            </w:r>
            <w:r w:rsidR="0018164F" w:rsidRPr="009D37F0">
              <w:rPr>
                <w:sz w:val="22"/>
                <w:szCs w:val="22"/>
              </w:rPr>
              <w:t xml:space="preserve"> non-planning related loans), the Tribe suggests DEQ consider instituting a pre- and post-project water quality monitoring process. This way DEQ can determine whether the projects it funds through the </w:t>
            </w:r>
            <w:r>
              <w:rPr>
                <w:sz w:val="22"/>
                <w:szCs w:val="22"/>
              </w:rPr>
              <w:t>SRF</w:t>
            </w:r>
            <w:r w:rsidR="0018164F" w:rsidRPr="009D37F0">
              <w:rPr>
                <w:sz w:val="22"/>
                <w:szCs w:val="22"/>
              </w:rPr>
              <w:t xml:space="preserve"> program are achieving the desired outcomes. </w:t>
            </w:r>
            <w:r>
              <w:rPr>
                <w:sz w:val="22"/>
                <w:szCs w:val="22"/>
              </w:rPr>
              <w:t>T</w:t>
            </w:r>
            <w:r w:rsidR="0018164F" w:rsidRPr="009D37F0">
              <w:rPr>
                <w:sz w:val="22"/>
                <w:szCs w:val="22"/>
              </w:rPr>
              <w:t>his data could be used to reassess priorities within the Intended Use Plan if the data shows some types of projects have more demonstrable water quality/quantity benefits than others.</w:t>
            </w:r>
          </w:p>
          <w:p w:rsidR="00DD604D" w:rsidRPr="009D37F0" w:rsidRDefault="00D1241E" w:rsidP="00CF3177">
            <w:pPr>
              <w:pStyle w:val="BlockText"/>
              <w:tabs>
                <w:tab w:val="left" w:pos="3036"/>
              </w:tabs>
              <w:spacing w:after="120"/>
              <w:rPr>
                <w:szCs w:val="22"/>
              </w:rPr>
            </w:pPr>
            <w:r>
              <w:rPr>
                <w:sz w:val="22"/>
                <w:szCs w:val="22"/>
              </w:rPr>
              <w:t xml:space="preserve">Commenter </w:t>
            </w:r>
            <w:r w:rsidR="00CF3177">
              <w:rPr>
                <w:sz w:val="22"/>
                <w:szCs w:val="22"/>
              </w:rPr>
              <w:t>1</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4" w:space="0" w:color="auto"/>
              <w:right w:val="single" w:sz="4" w:space="0" w:color="auto"/>
            </w:tcBorders>
          </w:tcPr>
          <w:p w:rsidR="005D34DD" w:rsidRDefault="00D1241E" w:rsidP="00483FAA">
            <w:pPr>
              <w:pStyle w:val="BlockText"/>
              <w:tabs>
                <w:tab w:val="left" w:pos="3036"/>
              </w:tabs>
              <w:spacing w:after="120"/>
              <w:rPr>
                <w:sz w:val="22"/>
                <w:szCs w:val="22"/>
              </w:rPr>
            </w:pPr>
            <w:r w:rsidRPr="00483FAA">
              <w:rPr>
                <w:sz w:val="22"/>
                <w:szCs w:val="22"/>
              </w:rPr>
              <w:t xml:space="preserve">DEQ agrees that monitoring water quality benefits of funded projects provides valuable information for the CWSRF program. </w:t>
            </w:r>
            <w:r w:rsidR="005D34DD">
              <w:rPr>
                <w:sz w:val="22"/>
                <w:szCs w:val="22"/>
              </w:rPr>
              <w:t>Water quality p</w:t>
            </w:r>
            <w:r w:rsidRPr="00483FAA">
              <w:rPr>
                <w:sz w:val="22"/>
                <w:szCs w:val="22"/>
              </w:rPr>
              <w:t xml:space="preserve">ermitted projects receiving CWSRF funding are required by the permit to regularly report to DEQ on their operation and impact on water quality. Depending on the nature of a project, DEQ can require subsequent monitoring and reporting through provisions in the CWSRF loan agreement. </w:t>
            </w:r>
          </w:p>
          <w:p w:rsidR="00D1241E" w:rsidRPr="00483FAA" w:rsidRDefault="00483FAA" w:rsidP="00483FAA">
            <w:pPr>
              <w:pStyle w:val="BlockText"/>
              <w:tabs>
                <w:tab w:val="left" w:pos="3036"/>
              </w:tabs>
              <w:spacing w:after="120"/>
              <w:rPr>
                <w:sz w:val="22"/>
                <w:szCs w:val="22"/>
              </w:rPr>
            </w:pPr>
            <w:r>
              <w:rPr>
                <w:sz w:val="22"/>
                <w:szCs w:val="22"/>
              </w:rPr>
              <w:t xml:space="preserve">The proposed project ranking criteria in </w:t>
            </w:r>
            <w:r w:rsidRPr="003474C8">
              <w:rPr>
                <w:sz w:val="22"/>
                <w:szCs w:val="22"/>
              </w:rPr>
              <w:t>OAR 340-054-0026, Table 1</w:t>
            </w:r>
            <w:r>
              <w:rPr>
                <w:sz w:val="22"/>
                <w:szCs w:val="22"/>
              </w:rPr>
              <w:t xml:space="preserve">, address water quality standards, public health considerations, and watershed benefits. </w:t>
            </w:r>
            <w:r w:rsidR="005D34DD">
              <w:rPr>
                <w:sz w:val="22"/>
                <w:szCs w:val="22"/>
              </w:rPr>
              <w:t xml:space="preserve">DEQ relies </w:t>
            </w:r>
            <w:r w:rsidR="005D34DD">
              <w:rPr>
                <w:sz w:val="22"/>
                <w:szCs w:val="22"/>
              </w:rPr>
              <w:lastRenderedPageBreak/>
              <w:t xml:space="preserve">on the ranking criteria and the Intended Use Plan to prioritize projects for funding. </w:t>
            </w:r>
          </w:p>
          <w:p w:rsidR="00DD604D" w:rsidRPr="00483FAA" w:rsidRDefault="00D1241E" w:rsidP="00483FAA">
            <w:pPr>
              <w:pStyle w:val="BlockText"/>
              <w:spacing w:after="120"/>
              <w:rPr>
                <w:sz w:val="22"/>
                <w:szCs w:val="22"/>
              </w:rPr>
            </w:pPr>
            <w:r w:rsidRPr="00483FAA">
              <w:rPr>
                <w:sz w:val="22"/>
                <w:szCs w:val="22"/>
              </w:rPr>
              <w:t>No changes were made to the proposed rules in response to this comment.</w:t>
            </w:r>
          </w:p>
        </w:tc>
      </w:tr>
    </w:tbl>
    <w:p w:rsidR="005D34DD" w:rsidRDefault="005D34DD"/>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28"/>
        <w:gridCol w:w="7740"/>
      </w:tblGrid>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w:t>
            </w:r>
            <w:r w:rsidR="0018164F">
              <w:rPr>
                <w:rFonts w:ascii="Arial" w:hAnsi="Arial" w:cs="Arial"/>
                <w:b/>
                <w:i/>
                <w:szCs w:val="22"/>
              </w:rPr>
              <w:t>6</w:t>
            </w:r>
          </w:p>
        </w:tc>
        <w:tc>
          <w:tcPr>
            <w:tcW w:w="7740" w:type="dxa"/>
            <w:tcBorders>
              <w:top w:val="single" w:sz="6" w:space="0" w:color="auto"/>
              <w:left w:val="single" w:sz="6" w:space="0" w:color="auto"/>
              <w:bottom w:val="single" w:sz="4" w:space="0" w:color="auto"/>
              <w:right w:val="single" w:sz="4" w:space="0" w:color="auto"/>
            </w:tcBorders>
          </w:tcPr>
          <w:p w:rsidR="0018164F" w:rsidRPr="009D37F0" w:rsidRDefault="0018164F" w:rsidP="003A2BC2">
            <w:pPr>
              <w:pStyle w:val="BlockText"/>
              <w:spacing w:after="120"/>
              <w:rPr>
                <w:sz w:val="22"/>
                <w:szCs w:val="22"/>
              </w:rPr>
            </w:pPr>
            <w:r w:rsidRPr="009D37F0">
              <w:rPr>
                <w:sz w:val="22"/>
                <w:szCs w:val="22"/>
              </w:rPr>
              <w:t>It is unclear how a project gets on the Intended Use Plan, and whether this</w:t>
            </w:r>
            <w:r w:rsidR="00D1241E">
              <w:rPr>
                <w:sz w:val="22"/>
                <w:szCs w:val="22"/>
              </w:rPr>
              <w:t xml:space="preserve"> is</w:t>
            </w:r>
            <w:r w:rsidRPr="009D37F0">
              <w:rPr>
                <w:sz w:val="22"/>
                <w:szCs w:val="22"/>
              </w:rPr>
              <w:t xml:space="preserve"> a meaningful requirement</w:t>
            </w:r>
            <w:r w:rsidR="003F4E08">
              <w:rPr>
                <w:sz w:val="22"/>
                <w:szCs w:val="22"/>
              </w:rPr>
              <w:t xml:space="preserve"> as stated in OAR 340-054-0022(2)</w:t>
            </w:r>
            <w:r w:rsidRPr="009D37F0">
              <w:rPr>
                <w:sz w:val="22"/>
                <w:szCs w:val="22"/>
              </w:rPr>
              <w:t xml:space="preserve">. </w:t>
            </w:r>
            <w:r w:rsidR="00D1241E">
              <w:rPr>
                <w:sz w:val="22"/>
                <w:szCs w:val="22"/>
              </w:rPr>
              <w:t>OAR</w:t>
            </w:r>
            <w:r w:rsidRPr="009D37F0">
              <w:rPr>
                <w:sz w:val="22"/>
                <w:szCs w:val="22"/>
              </w:rPr>
              <w:t xml:space="preserve"> 340-054-0025 discusses the IUP, but says project</w:t>
            </w:r>
            <w:r w:rsidR="004E6985">
              <w:rPr>
                <w:sz w:val="22"/>
                <w:szCs w:val="22"/>
              </w:rPr>
              <w:t>s</w:t>
            </w:r>
            <w:r w:rsidRPr="009D37F0">
              <w:rPr>
                <w:sz w:val="22"/>
                <w:szCs w:val="22"/>
              </w:rPr>
              <w:t xml:space="preserve"> will be added to the IUP as applications are received, which seems like a circular process. </w:t>
            </w:r>
            <w:r w:rsidR="003F4E08">
              <w:rPr>
                <w:sz w:val="22"/>
                <w:szCs w:val="22"/>
              </w:rPr>
              <w:t>T</w:t>
            </w:r>
            <w:r w:rsidRPr="009D37F0">
              <w:rPr>
                <w:sz w:val="22"/>
                <w:szCs w:val="22"/>
              </w:rPr>
              <w:t>he lack of clarity in this process may be an area where unseemly political lobbying could infiltrate the program</w:t>
            </w:r>
            <w:r w:rsidR="003F4E08">
              <w:rPr>
                <w:sz w:val="22"/>
                <w:szCs w:val="22"/>
              </w:rPr>
              <w:t xml:space="preserve"> such as</w:t>
            </w:r>
            <w:r w:rsidRPr="009D37F0">
              <w:rPr>
                <w:sz w:val="22"/>
                <w:szCs w:val="22"/>
              </w:rPr>
              <w:t xml:space="preserve"> whether projects are added to the </w:t>
            </w:r>
            <w:r w:rsidR="008940BD">
              <w:rPr>
                <w:sz w:val="22"/>
                <w:szCs w:val="22"/>
              </w:rPr>
              <w:t>plan</w:t>
            </w:r>
            <w:r w:rsidR="003F4E08">
              <w:rPr>
                <w:sz w:val="22"/>
                <w:szCs w:val="22"/>
              </w:rPr>
              <w:t>,</w:t>
            </w:r>
            <w:r w:rsidRPr="009D37F0">
              <w:rPr>
                <w:sz w:val="22"/>
                <w:szCs w:val="22"/>
              </w:rPr>
              <w:t xml:space="preserve"> and how they are ranked. Additional clarification of this provision may be warranted.</w:t>
            </w:r>
          </w:p>
          <w:p w:rsidR="00DD604D" w:rsidRPr="009D37F0" w:rsidRDefault="003F4E08" w:rsidP="00CF3177">
            <w:pPr>
              <w:spacing w:after="120"/>
              <w:rPr>
                <w:szCs w:val="22"/>
              </w:rPr>
            </w:pPr>
            <w:r>
              <w:rPr>
                <w:szCs w:val="22"/>
              </w:rPr>
              <w:t xml:space="preserve">Commenter </w:t>
            </w:r>
            <w:r w:rsidR="00CF3177">
              <w:rPr>
                <w:szCs w:val="22"/>
              </w:rPr>
              <w:t>1</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4" w:space="0" w:color="auto"/>
              <w:right w:val="single" w:sz="4" w:space="0" w:color="auto"/>
            </w:tcBorders>
          </w:tcPr>
          <w:p w:rsidR="008A2402" w:rsidRDefault="004E6985" w:rsidP="008A2402">
            <w:pPr>
              <w:pStyle w:val="BlockText"/>
              <w:spacing w:after="120"/>
              <w:rPr>
                <w:sz w:val="22"/>
                <w:szCs w:val="22"/>
              </w:rPr>
            </w:pPr>
            <w:r>
              <w:rPr>
                <w:sz w:val="22"/>
                <w:szCs w:val="22"/>
              </w:rPr>
              <w:t>The federal Clean Water Act requires state CWSRF programs to</w:t>
            </w:r>
            <w:r w:rsidR="003F4E08" w:rsidRPr="004E6985">
              <w:rPr>
                <w:sz w:val="22"/>
                <w:szCs w:val="22"/>
              </w:rPr>
              <w:t xml:space="preserve"> </w:t>
            </w:r>
            <w:r>
              <w:rPr>
                <w:sz w:val="22"/>
                <w:szCs w:val="22"/>
              </w:rPr>
              <w:t xml:space="preserve">annually </w:t>
            </w:r>
            <w:r w:rsidR="003F4E08" w:rsidRPr="004E6985">
              <w:rPr>
                <w:sz w:val="22"/>
                <w:szCs w:val="22"/>
              </w:rPr>
              <w:t>develop</w:t>
            </w:r>
            <w:r>
              <w:rPr>
                <w:sz w:val="22"/>
                <w:szCs w:val="22"/>
              </w:rPr>
              <w:t xml:space="preserve"> and public notice an</w:t>
            </w:r>
            <w:r w:rsidR="003F4E08" w:rsidRPr="004E6985">
              <w:rPr>
                <w:sz w:val="22"/>
                <w:szCs w:val="22"/>
              </w:rPr>
              <w:t xml:space="preserve"> Intended Use Plan. The </w:t>
            </w:r>
            <w:r w:rsidR="008940BD">
              <w:rPr>
                <w:sz w:val="22"/>
                <w:szCs w:val="22"/>
              </w:rPr>
              <w:t>plan</w:t>
            </w:r>
            <w:r w:rsidR="008940BD" w:rsidRPr="004E6985">
              <w:rPr>
                <w:sz w:val="22"/>
                <w:szCs w:val="22"/>
              </w:rPr>
              <w:t xml:space="preserve"> </w:t>
            </w:r>
            <w:r>
              <w:rPr>
                <w:sz w:val="22"/>
                <w:szCs w:val="22"/>
              </w:rPr>
              <w:t>identifies</w:t>
            </w:r>
            <w:r w:rsidR="003F4E08" w:rsidRPr="004E6985">
              <w:rPr>
                <w:sz w:val="22"/>
                <w:szCs w:val="22"/>
              </w:rPr>
              <w:t xml:space="preserve"> projects the state proposes to fund each fiscal year</w:t>
            </w:r>
            <w:r>
              <w:rPr>
                <w:sz w:val="22"/>
                <w:szCs w:val="22"/>
              </w:rPr>
              <w:t xml:space="preserve"> and other program information</w:t>
            </w:r>
            <w:r w:rsidR="003F4E08" w:rsidRPr="004E6985">
              <w:rPr>
                <w:sz w:val="22"/>
                <w:szCs w:val="22"/>
              </w:rPr>
              <w:t xml:space="preserve">. </w:t>
            </w:r>
            <w:r>
              <w:rPr>
                <w:sz w:val="22"/>
                <w:szCs w:val="22"/>
              </w:rPr>
              <w:t>DEQ must submit the</w:t>
            </w:r>
            <w:r w:rsidR="008940BD">
              <w:rPr>
                <w:sz w:val="22"/>
                <w:szCs w:val="22"/>
              </w:rPr>
              <w:t xml:space="preserve"> plan </w:t>
            </w:r>
            <w:r>
              <w:rPr>
                <w:sz w:val="22"/>
                <w:szCs w:val="22"/>
              </w:rPr>
              <w:t xml:space="preserve">to EPA prior to receiving a capitalization grant. </w:t>
            </w:r>
          </w:p>
          <w:p w:rsidR="008A2402" w:rsidRDefault="00397CE5" w:rsidP="008A2402">
            <w:pPr>
              <w:pStyle w:val="BlockText"/>
              <w:spacing w:after="120"/>
              <w:rPr>
                <w:sz w:val="22"/>
                <w:szCs w:val="22"/>
              </w:rPr>
            </w:pPr>
            <w:r>
              <w:rPr>
                <w:sz w:val="22"/>
                <w:szCs w:val="22"/>
              </w:rPr>
              <w:t xml:space="preserve">DEQ agrees the </w:t>
            </w:r>
            <w:r w:rsidR="008940BD" w:rsidRPr="004E6985">
              <w:rPr>
                <w:sz w:val="22"/>
                <w:szCs w:val="22"/>
              </w:rPr>
              <w:t>Intended Use Plan</w:t>
            </w:r>
            <w:r>
              <w:rPr>
                <w:sz w:val="22"/>
                <w:szCs w:val="22"/>
              </w:rPr>
              <w:t xml:space="preserve"> process should be clear and based on further review of the proposed rules </w:t>
            </w:r>
            <w:r w:rsidR="005D34DD">
              <w:rPr>
                <w:sz w:val="22"/>
                <w:szCs w:val="22"/>
              </w:rPr>
              <w:t>DEQ determined that</w:t>
            </w:r>
            <w:r>
              <w:rPr>
                <w:sz w:val="22"/>
                <w:szCs w:val="22"/>
              </w:rPr>
              <w:t xml:space="preserve"> no changes are needed. </w:t>
            </w:r>
            <w:r w:rsidR="003F4E08" w:rsidRPr="004E6985">
              <w:rPr>
                <w:sz w:val="22"/>
                <w:szCs w:val="22"/>
              </w:rPr>
              <w:t xml:space="preserve">OAR 340-054-0025 describes </w:t>
            </w:r>
            <w:r w:rsidR="008A2402">
              <w:rPr>
                <w:sz w:val="22"/>
                <w:szCs w:val="22"/>
              </w:rPr>
              <w:t xml:space="preserve">how DEQ will develop, update, </w:t>
            </w:r>
            <w:r>
              <w:rPr>
                <w:sz w:val="22"/>
                <w:szCs w:val="22"/>
              </w:rPr>
              <w:t xml:space="preserve">and </w:t>
            </w:r>
            <w:r w:rsidR="008A2402">
              <w:rPr>
                <w:sz w:val="22"/>
                <w:szCs w:val="22"/>
              </w:rPr>
              <w:t>provide public notice</w:t>
            </w:r>
            <w:r>
              <w:rPr>
                <w:sz w:val="22"/>
                <w:szCs w:val="22"/>
              </w:rPr>
              <w:t xml:space="preserve"> of the </w:t>
            </w:r>
            <w:r w:rsidR="008940BD">
              <w:rPr>
                <w:sz w:val="22"/>
                <w:szCs w:val="22"/>
              </w:rPr>
              <w:t>plan</w:t>
            </w:r>
            <w:r w:rsidR="008A2402">
              <w:rPr>
                <w:sz w:val="22"/>
                <w:szCs w:val="22"/>
              </w:rPr>
              <w:t>, and rank projects to develop a project priority list</w:t>
            </w:r>
            <w:r>
              <w:rPr>
                <w:sz w:val="22"/>
                <w:szCs w:val="22"/>
              </w:rPr>
              <w:t xml:space="preserve"> for the </w:t>
            </w:r>
            <w:r w:rsidR="008940BD" w:rsidRPr="004E6985">
              <w:rPr>
                <w:sz w:val="22"/>
                <w:szCs w:val="22"/>
              </w:rPr>
              <w:t>Intended Use Plan</w:t>
            </w:r>
            <w:r w:rsidR="003F4E08" w:rsidRPr="004E6985">
              <w:rPr>
                <w:sz w:val="22"/>
                <w:szCs w:val="22"/>
              </w:rPr>
              <w:t xml:space="preserve">. </w:t>
            </w:r>
            <w:r w:rsidR="008A2402">
              <w:rPr>
                <w:sz w:val="22"/>
                <w:szCs w:val="22"/>
              </w:rPr>
              <w:t>Specific project ranking criteria are stated in OAR 340-054-0026</w:t>
            </w:r>
            <w:r w:rsidR="005D34DD">
              <w:rPr>
                <w:sz w:val="22"/>
                <w:szCs w:val="22"/>
              </w:rPr>
              <w:t xml:space="preserve"> and 340-054-0027</w:t>
            </w:r>
            <w:r w:rsidR="008A2402">
              <w:rPr>
                <w:sz w:val="22"/>
                <w:szCs w:val="22"/>
              </w:rPr>
              <w:t>. DEQ's CWSRF program has a year-round "open" application process that allows an interested applicant to submit an application at any time. This type of process does not limit opportunities for an applicant to consider the CWSRF program for available funding throughout the year.</w:t>
            </w:r>
          </w:p>
          <w:p w:rsidR="008A2402" w:rsidRPr="004E6985" w:rsidRDefault="008A2402" w:rsidP="00397CE5">
            <w:pPr>
              <w:pStyle w:val="BlockText"/>
              <w:spacing w:after="120"/>
              <w:rPr>
                <w:szCs w:val="22"/>
              </w:rPr>
            </w:pPr>
            <w:r>
              <w:rPr>
                <w:sz w:val="22"/>
                <w:szCs w:val="22"/>
              </w:rPr>
              <w:t>No changes were made to the proposed rules in response to th</w:t>
            </w:r>
            <w:r w:rsidR="00397CE5">
              <w:rPr>
                <w:sz w:val="22"/>
                <w:szCs w:val="22"/>
              </w:rPr>
              <w:t>ese</w:t>
            </w:r>
            <w:r>
              <w:rPr>
                <w:sz w:val="22"/>
                <w:szCs w:val="22"/>
              </w:rPr>
              <w:t xml:space="preserve"> comment</w:t>
            </w:r>
            <w:r w:rsidR="00397CE5">
              <w:rPr>
                <w:sz w:val="22"/>
                <w:szCs w:val="22"/>
              </w:rPr>
              <w:t>s</w:t>
            </w:r>
            <w:r>
              <w:rPr>
                <w:sz w:val="22"/>
                <w:szCs w:val="22"/>
              </w:rPr>
              <w:t xml:space="preserve">. </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w:t>
            </w:r>
            <w:r w:rsidR="0018164F">
              <w:rPr>
                <w:rFonts w:ascii="Arial" w:hAnsi="Arial" w:cs="Arial"/>
                <w:b/>
                <w:i/>
                <w:szCs w:val="22"/>
              </w:rPr>
              <w:t>7</w:t>
            </w:r>
          </w:p>
        </w:tc>
        <w:tc>
          <w:tcPr>
            <w:tcW w:w="7740" w:type="dxa"/>
            <w:tcBorders>
              <w:top w:val="single" w:sz="6" w:space="0" w:color="auto"/>
              <w:left w:val="single" w:sz="6" w:space="0" w:color="auto"/>
              <w:bottom w:val="single" w:sz="4" w:space="0" w:color="auto"/>
              <w:right w:val="single" w:sz="4" w:space="0" w:color="auto"/>
            </w:tcBorders>
          </w:tcPr>
          <w:p w:rsidR="0018164F" w:rsidRPr="003F4E08" w:rsidRDefault="0018164F" w:rsidP="003A2BC2">
            <w:pPr>
              <w:pStyle w:val="BlockText"/>
              <w:spacing w:after="120"/>
              <w:rPr>
                <w:sz w:val="22"/>
                <w:szCs w:val="22"/>
              </w:rPr>
            </w:pPr>
            <w:r w:rsidRPr="009D37F0">
              <w:rPr>
                <w:sz w:val="22"/>
                <w:szCs w:val="22"/>
              </w:rPr>
              <w:t xml:space="preserve">Some recurring language in the rulemaking could create confusion about using the CWSRF for </w:t>
            </w:r>
            <w:proofErr w:type="spellStart"/>
            <w:r w:rsidRPr="009D37F0">
              <w:rPr>
                <w:sz w:val="22"/>
                <w:szCs w:val="22"/>
              </w:rPr>
              <w:t>stormwater</w:t>
            </w:r>
            <w:proofErr w:type="spellEnd"/>
            <w:r w:rsidRPr="009D37F0">
              <w:rPr>
                <w:sz w:val="22"/>
                <w:szCs w:val="22"/>
              </w:rPr>
              <w:t xml:space="preserve"> projects. One of the goals of the advisory committee was to ensure that the CWSRF can be used for </w:t>
            </w:r>
            <w:proofErr w:type="spellStart"/>
            <w:r w:rsidRPr="009D37F0">
              <w:rPr>
                <w:sz w:val="22"/>
                <w:szCs w:val="22"/>
              </w:rPr>
              <w:t>stormwater</w:t>
            </w:r>
            <w:proofErr w:type="spellEnd"/>
            <w:r w:rsidRPr="009D37F0">
              <w:rPr>
                <w:sz w:val="22"/>
                <w:szCs w:val="22"/>
              </w:rPr>
              <w:t xml:space="preserve"> projects</w:t>
            </w:r>
            <w:r w:rsidR="003F4E08">
              <w:rPr>
                <w:sz w:val="22"/>
                <w:szCs w:val="22"/>
              </w:rPr>
              <w:t xml:space="preserve"> as stated in new language for eligible projects. In several places though throughout the rules,</w:t>
            </w:r>
            <w:r w:rsidRPr="009D37F0">
              <w:rPr>
                <w:sz w:val="22"/>
                <w:szCs w:val="22"/>
              </w:rPr>
              <w:t xml:space="preserve"> </w:t>
            </w:r>
            <w:r w:rsidR="003F4E08">
              <w:rPr>
                <w:sz w:val="22"/>
                <w:szCs w:val="22"/>
              </w:rPr>
              <w:t>"</w:t>
            </w:r>
            <w:r w:rsidRPr="009D37F0">
              <w:rPr>
                <w:sz w:val="22"/>
                <w:szCs w:val="22"/>
              </w:rPr>
              <w:t xml:space="preserve">wastewater facility, </w:t>
            </w:r>
            <w:proofErr w:type="gramStart"/>
            <w:r w:rsidRPr="009D37F0">
              <w:rPr>
                <w:sz w:val="22"/>
                <w:szCs w:val="22"/>
              </w:rPr>
              <w:t>nonpoint</w:t>
            </w:r>
            <w:proofErr w:type="gramEnd"/>
            <w:r w:rsidRPr="009D37F0">
              <w:rPr>
                <w:sz w:val="22"/>
                <w:szCs w:val="22"/>
              </w:rPr>
              <w:t xml:space="preserve"> source control or estuary management project</w:t>
            </w:r>
            <w:r w:rsidR="003F4E08">
              <w:rPr>
                <w:sz w:val="22"/>
                <w:szCs w:val="22"/>
              </w:rPr>
              <w:t>"</w:t>
            </w:r>
            <w:r w:rsidRPr="009D37F0">
              <w:rPr>
                <w:sz w:val="22"/>
                <w:szCs w:val="22"/>
              </w:rPr>
              <w:t xml:space="preserve"> </w:t>
            </w:r>
            <w:r w:rsidR="003F4E08">
              <w:rPr>
                <w:sz w:val="22"/>
                <w:szCs w:val="22"/>
              </w:rPr>
              <w:t xml:space="preserve">is repeated and doesn't include </w:t>
            </w:r>
            <w:proofErr w:type="spellStart"/>
            <w:r w:rsidR="003F4E08">
              <w:rPr>
                <w:sz w:val="22"/>
                <w:szCs w:val="22"/>
              </w:rPr>
              <w:t>stormwater</w:t>
            </w:r>
            <w:proofErr w:type="spellEnd"/>
            <w:r w:rsidR="003F4E08">
              <w:rPr>
                <w:sz w:val="22"/>
                <w:szCs w:val="22"/>
              </w:rPr>
              <w:t xml:space="preserve"> projects. </w:t>
            </w:r>
            <w:r w:rsidRPr="009D37F0">
              <w:rPr>
                <w:sz w:val="22"/>
                <w:szCs w:val="22"/>
              </w:rPr>
              <w:t xml:space="preserve">This oversight could create unintended confusion about the use of CWSRF funds for </w:t>
            </w:r>
            <w:proofErr w:type="spellStart"/>
            <w:r w:rsidRPr="009D37F0">
              <w:rPr>
                <w:sz w:val="22"/>
                <w:szCs w:val="22"/>
              </w:rPr>
              <w:t>stormwater</w:t>
            </w:r>
            <w:proofErr w:type="spellEnd"/>
            <w:r w:rsidRPr="009D37F0">
              <w:rPr>
                <w:sz w:val="22"/>
                <w:szCs w:val="22"/>
              </w:rPr>
              <w:t xml:space="preserve"> projects, despite their inclusion in the list of eligible projects and activities. </w:t>
            </w:r>
            <w:proofErr w:type="spellStart"/>
            <w:r w:rsidRPr="009D37F0">
              <w:rPr>
                <w:sz w:val="22"/>
                <w:szCs w:val="22"/>
              </w:rPr>
              <w:t>Stormwater</w:t>
            </w:r>
            <w:proofErr w:type="spellEnd"/>
            <w:r w:rsidRPr="009D37F0">
              <w:rPr>
                <w:sz w:val="22"/>
                <w:szCs w:val="22"/>
              </w:rPr>
              <w:t xml:space="preserve"> should not be excluded from this frequently repeated list of project types</w:t>
            </w:r>
            <w:r w:rsidR="003F4E08">
              <w:rPr>
                <w:sz w:val="22"/>
                <w:szCs w:val="22"/>
              </w:rPr>
              <w:t xml:space="preserve"> and</w:t>
            </w:r>
            <w:r w:rsidRPr="009D37F0">
              <w:rPr>
                <w:sz w:val="22"/>
                <w:szCs w:val="22"/>
              </w:rPr>
              <w:t xml:space="preserve"> should be added in every instance where this series occurs. </w:t>
            </w:r>
            <w:r w:rsidR="003F4E08">
              <w:rPr>
                <w:sz w:val="22"/>
                <w:szCs w:val="22"/>
              </w:rPr>
              <w:t xml:space="preserve">Suggested language is </w:t>
            </w:r>
            <w:r w:rsidRPr="003F4E08">
              <w:rPr>
                <w:sz w:val="22"/>
                <w:szCs w:val="22"/>
              </w:rPr>
              <w:t xml:space="preserve">“a wastewater or </w:t>
            </w:r>
            <w:proofErr w:type="spellStart"/>
            <w:r w:rsidRPr="003F4E08">
              <w:rPr>
                <w:sz w:val="22"/>
                <w:szCs w:val="22"/>
              </w:rPr>
              <w:t>stormwater</w:t>
            </w:r>
            <w:proofErr w:type="spellEnd"/>
            <w:r w:rsidRPr="003F4E08">
              <w:rPr>
                <w:sz w:val="22"/>
                <w:szCs w:val="22"/>
              </w:rPr>
              <w:t xml:space="preserve"> facility, nonpoint source control or estuary management project.”</w:t>
            </w:r>
          </w:p>
          <w:p w:rsidR="00DD604D" w:rsidRPr="009D37F0" w:rsidRDefault="003F4E08" w:rsidP="00CF3177">
            <w:pPr>
              <w:spacing w:after="120"/>
              <w:rPr>
                <w:szCs w:val="22"/>
              </w:rPr>
            </w:pPr>
            <w:r>
              <w:rPr>
                <w:szCs w:val="22"/>
              </w:rPr>
              <w:t xml:space="preserve">Commenter </w:t>
            </w:r>
            <w:r w:rsidR="00CF3177">
              <w:rPr>
                <w:szCs w:val="22"/>
              </w:rPr>
              <w:t>2</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4" w:space="0" w:color="auto"/>
              <w:right w:val="single" w:sz="4" w:space="0" w:color="auto"/>
            </w:tcBorders>
          </w:tcPr>
          <w:p w:rsidR="005D34DD" w:rsidRDefault="003F4E08" w:rsidP="005D34DD">
            <w:pPr>
              <w:pStyle w:val="BlockText"/>
              <w:rPr>
                <w:sz w:val="22"/>
                <w:szCs w:val="22"/>
              </w:rPr>
            </w:pPr>
            <w:proofErr w:type="spellStart"/>
            <w:r w:rsidRPr="00915343">
              <w:rPr>
                <w:sz w:val="22"/>
                <w:szCs w:val="22"/>
              </w:rPr>
              <w:t>Stormwater</w:t>
            </w:r>
            <w:proofErr w:type="spellEnd"/>
            <w:r w:rsidRPr="00915343">
              <w:rPr>
                <w:sz w:val="22"/>
                <w:szCs w:val="22"/>
              </w:rPr>
              <w:t xml:space="preserve"> improvements are eligible for CWSRF funding</w:t>
            </w:r>
            <w:r w:rsidR="00915343">
              <w:rPr>
                <w:sz w:val="22"/>
                <w:szCs w:val="22"/>
              </w:rPr>
              <w:t xml:space="preserve"> although the rules don't specifically include the suggested reference when wastewater facility, nonpoint source control or estuary management project is stated. </w:t>
            </w:r>
            <w:r w:rsidRPr="00915343">
              <w:rPr>
                <w:sz w:val="22"/>
                <w:szCs w:val="22"/>
              </w:rPr>
              <w:t>DEQ agrees th</w:t>
            </w:r>
            <w:r w:rsidR="00E27D6C">
              <w:rPr>
                <w:sz w:val="22"/>
                <w:szCs w:val="22"/>
              </w:rPr>
              <w:t xml:space="preserve">at for clarification the rules should reference </w:t>
            </w:r>
            <w:proofErr w:type="spellStart"/>
            <w:r w:rsidR="00E27D6C">
              <w:rPr>
                <w:sz w:val="22"/>
                <w:szCs w:val="22"/>
              </w:rPr>
              <w:t>stormwater</w:t>
            </w:r>
            <w:proofErr w:type="spellEnd"/>
            <w:r w:rsidR="00E27D6C">
              <w:rPr>
                <w:sz w:val="22"/>
                <w:szCs w:val="22"/>
              </w:rPr>
              <w:t xml:space="preserve"> facility and has made the suggested changes to</w:t>
            </w:r>
            <w:r w:rsidR="005D34DD">
              <w:rPr>
                <w:sz w:val="22"/>
                <w:szCs w:val="22"/>
              </w:rPr>
              <w:t>:</w:t>
            </w:r>
          </w:p>
          <w:p w:rsidR="005D34DD" w:rsidRDefault="00E27D6C" w:rsidP="005D34DD">
            <w:pPr>
              <w:pStyle w:val="BlockText"/>
              <w:numPr>
                <w:ilvl w:val="0"/>
                <w:numId w:val="4"/>
              </w:numPr>
              <w:rPr>
                <w:sz w:val="22"/>
                <w:szCs w:val="22"/>
              </w:rPr>
            </w:pPr>
            <w:r>
              <w:rPr>
                <w:sz w:val="22"/>
                <w:szCs w:val="22"/>
              </w:rPr>
              <w:t>OAR 340-054-</w:t>
            </w:r>
            <w:r w:rsidR="005D34DD">
              <w:rPr>
                <w:sz w:val="22"/>
                <w:szCs w:val="22"/>
              </w:rPr>
              <w:t>0010(9), (17), (21), (22)(a) and (27</w:t>
            </w:r>
            <w:r w:rsidR="003848E5">
              <w:rPr>
                <w:sz w:val="22"/>
                <w:szCs w:val="22"/>
              </w:rPr>
              <w:t>)</w:t>
            </w:r>
            <w:r w:rsidR="005D34DD">
              <w:rPr>
                <w:sz w:val="22"/>
                <w:szCs w:val="22"/>
              </w:rPr>
              <w:t>(a)</w:t>
            </w:r>
          </w:p>
          <w:p w:rsidR="005D34DD" w:rsidRDefault="005D34DD" w:rsidP="005D34DD">
            <w:pPr>
              <w:pStyle w:val="BlockText"/>
              <w:numPr>
                <w:ilvl w:val="0"/>
                <w:numId w:val="4"/>
              </w:numPr>
              <w:rPr>
                <w:sz w:val="22"/>
                <w:szCs w:val="22"/>
              </w:rPr>
            </w:pPr>
            <w:r>
              <w:rPr>
                <w:sz w:val="22"/>
                <w:szCs w:val="22"/>
              </w:rPr>
              <w:t>OAR 340-054-0</w:t>
            </w:r>
            <w:r w:rsidR="003848E5">
              <w:rPr>
                <w:sz w:val="22"/>
                <w:szCs w:val="22"/>
              </w:rPr>
              <w:t>0</w:t>
            </w:r>
            <w:r>
              <w:rPr>
                <w:sz w:val="22"/>
                <w:szCs w:val="22"/>
              </w:rPr>
              <w:t>22(3)(e)</w:t>
            </w:r>
          </w:p>
          <w:p w:rsidR="005D34DD" w:rsidRDefault="005D34DD" w:rsidP="005D34DD">
            <w:pPr>
              <w:pStyle w:val="BlockText"/>
              <w:numPr>
                <w:ilvl w:val="0"/>
                <w:numId w:val="4"/>
              </w:numPr>
              <w:rPr>
                <w:sz w:val="22"/>
                <w:szCs w:val="22"/>
              </w:rPr>
            </w:pPr>
            <w:r>
              <w:rPr>
                <w:sz w:val="22"/>
                <w:szCs w:val="22"/>
              </w:rPr>
              <w:t>OAR 340-054-0060(17)(a)</w:t>
            </w:r>
          </w:p>
          <w:p w:rsidR="00E27D6C" w:rsidRDefault="005D34DD" w:rsidP="005D34DD">
            <w:pPr>
              <w:pStyle w:val="BlockText"/>
              <w:numPr>
                <w:ilvl w:val="0"/>
                <w:numId w:val="4"/>
              </w:numPr>
              <w:spacing w:after="120"/>
              <w:ind w:left="763"/>
              <w:rPr>
                <w:sz w:val="22"/>
                <w:szCs w:val="22"/>
              </w:rPr>
            </w:pPr>
            <w:r>
              <w:rPr>
                <w:sz w:val="22"/>
                <w:szCs w:val="22"/>
              </w:rPr>
              <w:lastRenderedPageBreak/>
              <w:t>OAR 340-054-0065(2)(b)(A)</w:t>
            </w:r>
            <w:r w:rsidR="00E27D6C">
              <w:rPr>
                <w:sz w:val="22"/>
                <w:szCs w:val="22"/>
              </w:rPr>
              <w:t xml:space="preserve"> </w:t>
            </w:r>
          </w:p>
          <w:p w:rsidR="005D34DD" w:rsidRPr="00E27D6C" w:rsidRDefault="003848E5" w:rsidP="003848E5">
            <w:pPr>
              <w:pStyle w:val="BlockText"/>
              <w:spacing w:after="120"/>
              <w:rPr>
                <w:sz w:val="22"/>
                <w:szCs w:val="22"/>
              </w:rPr>
            </w:pPr>
            <w:r>
              <w:rPr>
                <w:sz w:val="22"/>
                <w:szCs w:val="22"/>
              </w:rPr>
              <w:t xml:space="preserve">DEQ also reviewed OAR 340-054-0015(10) and clarified what is meant by </w:t>
            </w:r>
            <w:proofErr w:type="spellStart"/>
            <w:r>
              <w:rPr>
                <w:sz w:val="22"/>
                <w:szCs w:val="22"/>
              </w:rPr>
              <w:t>stormwater</w:t>
            </w:r>
            <w:proofErr w:type="spellEnd"/>
            <w:r>
              <w:rPr>
                <w:sz w:val="22"/>
                <w:szCs w:val="22"/>
              </w:rPr>
              <w:t xml:space="preserve"> facilities, systems or projects. A definition for "</w:t>
            </w:r>
            <w:proofErr w:type="spellStart"/>
            <w:r>
              <w:rPr>
                <w:sz w:val="22"/>
                <w:szCs w:val="22"/>
              </w:rPr>
              <w:t>stormwater</w:t>
            </w:r>
            <w:proofErr w:type="spellEnd"/>
            <w:r>
              <w:rPr>
                <w:sz w:val="22"/>
                <w:szCs w:val="22"/>
              </w:rPr>
              <w:t>" was included in OAR 340-054-0010(30).</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lastRenderedPageBreak/>
              <w:t>Comment</w:t>
            </w:r>
            <w:r>
              <w:rPr>
                <w:rFonts w:ascii="Arial" w:hAnsi="Arial" w:cs="Arial"/>
                <w:b/>
                <w:i/>
                <w:szCs w:val="22"/>
              </w:rPr>
              <w:t xml:space="preserve"> </w:t>
            </w:r>
            <w:r w:rsidR="0018164F">
              <w:rPr>
                <w:rFonts w:ascii="Arial" w:hAnsi="Arial" w:cs="Arial"/>
                <w:b/>
                <w:i/>
                <w:szCs w:val="22"/>
              </w:rPr>
              <w:t>8</w:t>
            </w:r>
          </w:p>
        </w:tc>
        <w:tc>
          <w:tcPr>
            <w:tcW w:w="7740" w:type="dxa"/>
            <w:tcBorders>
              <w:top w:val="single" w:sz="6" w:space="0" w:color="auto"/>
              <w:left w:val="single" w:sz="6" w:space="0" w:color="auto"/>
              <w:bottom w:val="single" w:sz="4" w:space="0" w:color="auto"/>
              <w:right w:val="single" w:sz="4" w:space="0" w:color="auto"/>
            </w:tcBorders>
          </w:tcPr>
          <w:p w:rsidR="0018164F" w:rsidRPr="009D37F0" w:rsidRDefault="0018164F" w:rsidP="003A2BC2">
            <w:pPr>
              <w:pStyle w:val="BlockText"/>
              <w:spacing w:after="120"/>
              <w:rPr>
                <w:sz w:val="22"/>
                <w:szCs w:val="22"/>
              </w:rPr>
            </w:pPr>
            <w:r w:rsidRPr="009D37F0">
              <w:rPr>
                <w:sz w:val="22"/>
                <w:szCs w:val="22"/>
              </w:rPr>
              <w:t>In the ranking criteria section, the advisory committee recommended doubling the point scale for 1C (addressing noncompliance with water quality standards). Why is that criteria’s value not doubled in the proposed rulemaking?</w:t>
            </w:r>
          </w:p>
          <w:p w:rsidR="00DD604D" w:rsidRPr="009D37F0" w:rsidRDefault="003F4E08" w:rsidP="00CF3177">
            <w:pPr>
              <w:spacing w:after="120"/>
              <w:rPr>
                <w:szCs w:val="22"/>
              </w:rPr>
            </w:pPr>
            <w:r>
              <w:rPr>
                <w:szCs w:val="22"/>
              </w:rPr>
              <w:t xml:space="preserve">Commenter </w:t>
            </w:r>
            <w:r w:rsidR="00CF3177">
              <w:rPr>
                <w:szCs w:val="22"/>
              </w:rPr>
              <w:t>2</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4" w:space="0" w:color="auto"/>
              <w:right w:val="single" w:sz="4" w:space="0" w:color="auto"/>
            </w:tcBorders>
          </w:tcPr>
          <w:p w:rsidR="00DD604D" w:rsidRPr="009D37F0" w:rsidRDefault="003F4E08" w:rsidP="00915343">
            <w:pPr>
              <w:spacing w:after="120"/>
              <w:rPr>
                <w:szCs w:val="22"/>
              </w:rPr>
            </w:pPr>
            <w:r>
              <w:rPr>
                <w:szCs w:val="22"/>
              </w:rPr>
              <w:t xml:space="preserve">DEQ inadvertently </w:t>
            </w:r>
            <w:r w:rsidR="006778CF">
              <w:rPr>
                <w:szCs w:val="22"/>
              </w:rPr>
              <w:t>did not double the point scale for the ranking criteri</w:t>
            </w:r>
            <w:r w:rsidR="00915343">
              <w:rPr>
                <w:szCs w:val="22"/>
              </w:rPr>
              <w:t>on</w:t>
            </w:r>
            <w:r w:rsidR="006778CF">
              <w:rPr>
                <w:szCs w:val="22"/>
              </w:rPr>
              <w:t xml:space="preserve"> noted </w:t>
            </w:r>
            <w:r w:rsidR="00915343">
              <w:rPr>
                <w:szCs w:val="22"/>
              </w:rPr>
              <w:t xml:space="preserve">(OAR 340-054-0026, Table 1, 1C) </w:t>
            </w:r>
            <w:r w:rsidR="006778CF">
              <w:rPr>
                <w:szCs w:val="22"/>
              </w:rPr>
              <w:t xml:space="preserve">and has made the suggested change </w:t>
            </w:r>
            <w:r w:rsidR="00915343">
              <w:rPr>
                <w:szCs w:val="22"/>
              </w:rPr>
              <w:t xml:space="preserve">to double the point scale and include criterion 1C </w:t>
            </w:r>
            <w:r w:rsidR="006778CF">
              <w:rPr>
                <w:szCs w:val="22"/>
              </w:rPr>
              <w:t>in OAR 340-054-0025(5</w:t>
            </w:r>
            <w:proofErr w:type="gramStart"/>
            <w:r w:rsidR="006778CF">
              <w:rPr>
                <w:szCs w:val="22"/>
              </w:rPr>
              <w:t>)(</w:t>
            </w:r>
            <w:proofErr w:type="gramEnd"/>
            <w:r w:rsidR="006778CF">
              <w:rPr>
                <w:szCs w:val="22"/>
              </w:rPr>
              <w:t>b).</w:t>
            </w:r>
          </w:p>
        </w:tc>
      </w:tr>
      <w:tr w:rsidR="00DD604D" w:rsidRPr="00185EA5" w:rsidTr="00DD604D">
        <w:tc>
          <w:tcPr>
            <w:tcW w:w="1728" w:type="dxa"/>
            <w:tcBorders>
              <w:top w:val="single" w:sz="6" w:space="0" w:color="auto"/>
              <w:left w:val="single" w:sz="4" w:space="0" w:color="auto"/>
              <w:bottom w:val="single" w:sz="4" w:space="0" w:color="auto"/>
              <w:right w:val="single" w:sz="6" w:space="0" w:color="auto"/>
            </w:tcBorders>
          </w:tcPr>
          <w:p w:rsidR="00DD604D" w:rsidRPr="007A65C5" w:rsidRDefault="00DD604D"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w:t>
            </w:r>
            <w:r w:rsidR="0018164F">
              <w:rPr>
                <w:rFonts w:ascii="Arial" w:hAnsi="Arial" w:cs="Arial"/>
                <w:b/>
                <w:i/>
                <w:szCs w:val="22"/>
              </w:rPr>
              <w:t>9</w:t>
            </w:r>
          </w:p>
        </w:tc>
        <w:tc>
          <w:tcPr>
            <w:tcW w:w="7740" w:type="dxa"/>
            <w:tcBorders>
              <w:top w:val="single" w:sz="6" w:space="0" w:color="auto"/>
              <w:left w:val="single" w:sz="6" w:space="0" w:color="auto"/>
              <w:bottom w:val="single" w:sz="4" w:space="0" w:color="auto"/>
              <w:right w:val="single" w:sz="4" w:space="0" w:color="auto"/>
            </w:tcBorders>
          </w:tcPr>
          <w:p w:rsidR="00DD604D" w:rsidRDefault="0018164F" w:rsidP="006778CF">
            <w:pPr>
              <w:pStyle w:val="BlockText"/>
              <w:spacing w:after="120"/>
              <w:rPr>
                <w:sz w:val="22"/>
                <w:szCs w:val="22"/>
              </w:rPr>
            </w:pPr>
            <w:r w:rsidRPr="009D37F0">
              <w:rPr>
                <w:sz w:val="22"/>
                <w:szCs w:val="22"/>
              </w:rPr>
              <w:t xml:space="preserve">We are pleased that </w:t>
            </w:r>
            <w:proofErr w:type="spellStart"/>
            <w:r w:rsidRPr="009D37F0">
              <w:rPr>
                <w:sz w:val="22"/>
                <w:szCs w:val="22"/>
              </w:rPr>
              <w:t>stormwater</w:t>
            </w:r>
            <w:proofErr w:type="spellEnd"/>
            <w:r w:rsidRPr="009D37F0">
              <w:rPr>
                <w:sz w:val="22"/>
                <w:szCs w:val="22"/>
              </w:rPr>
              <w:t xml:space="preserve"> facilities are included in the list of eligible projects, without the limitation to nonpoint source </w:t>
            </w:r>
            <w:proofErr w:type="spellStart"/>
            <w:r w:rsidRPr="009D37F0">
              <w:rPr>
                <w:sz w:val="22"/>
                <w:szCs w:val="22"/>
              </w:rPr>
              <w:t>stormwater</w:t>
            </w:r>
            <w:proofErr w:type="spellEnd"/>
            <w:r w:rsidRPr="009D37F0">
              <w:rPr>
                <w:sz w:val="22"/>
                <w:szCs w:val="22"/>
              </w:rPr>
              <w:t xml:space="preserve"> projects as the rules described before. We also support the language used to describe </w:t>
            </w:r>
            <w:proofErr w:type="spellStart"/>
            <w:r w:rsidRPr="009D37F0">
              <w:rPr>
                <w:sz w:val="22"/>
                <w:szCs w:val="22"/>
              </w:rPr>
              <w:t>stormwater</w:t>
            </w:r>
            <w:proofErr w:type="spellEnd"/>
            <w:r w:rsidRPr="009D37F0">
              <w:rPr>
                <w:sz w:val="22"/>
                <w:szCs w:val="22"/>
              </w:rPr>
              <w:t xml:space="preserve"> projects, which includes some flexibility to fund different types of </w:t>
            </w:r>
            <w:proofErr w:type="spellStart"/>
            <w:r w:rsidRPr="009D37F0">
              <w:rPr>
                <w:sz w:val="22"/>
                <w:szCs w:val="22"/>
              </w:rPr>
              <w:t>stormwater</w:t>
            </w:r>
            <w:proofErr w:type="spellEnd"/>
            <w:r w:rsidRPr="009D37F0">
              <w:rPr>
                <w:sz w:val="22"/>
                <w:szCs w:val="22"/>
              </w:rPr>
              <w:t xml:space="preserve"> facilities that could be developed in the future.</w:t>
            </w:r>
          </w:p>
          <w:p w:rsidR="006778CF" w:rsidRPr="009D37F0" w:rsidRDefault="006778CF" w:rsidP="00CF3177">
            <w:pPr>
              <w:pStyle w:val="BlockText"/>
              <w:spacing w:after="120"/>
              <w:rPr>
                <w:szCs w:val="22"/>
              </w:rPr>
            </w:pPr>
            <w:r>
              <w:rPr>
                <w:sz w:val="22"/>
                <w:szCs w:val="22"/>
              </w:rPr>
              <w:t xml:space="preserve">Commenter </w:t>
            </w:r>
            <w:r w:rsidR="00CF3177">
              <w:rPr>
                <w:sz w:val="22"/>
                <w:szCs w:val="22"/>
              </w:rPr>
              <w:t>2</w:t>
            </w:r>
          </w:p>
        </w:tc>
      </w:tr>
      <w:tr w:rsidR="006778CF" w:rsidRPr="00185EA5" w:rsidTr="00DD604D">
        <w:tc>
          <w:tcPr>
            <w:tcW w:w="1728" w:type="dxa"/>
            <w:tcBorders>
              <w:top w:val="single" w:sz="6" w:space="0" w:color="auto"/>
              <w:left w:val="single" w:sz="4" w:space="0" w:color="auto"/>
              <w:bottom w:val="single" w:sz="4" w:space="0" w:color="auto"/>
              <w:right w:val="single" w:sz="6" w:space="0" w:color="auto"/>
            </w:tcBorders>
          </w:tcPr>
          <w:p w:rsidR="006778CF" w:rsidRPr="007A65C5" w:rsidRDefault="006778CF"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4" w:space="0" w:color="auto"/>
              <w:right w:val="single" w:sz="4" w:space="0" w:color="auto"/>
            </w:tcBorders>
          </w:tcPr>
          <w:p w:rsidR="006778CF" w:rsidRPr="009D37F0" w:rsidRDefault="006778CF" w:rsidP="006778CF">
            <w:pPr>
              <w:spacing w:after="120"/>
              <w:rPr>
                <w:szCs w:val="22"/>
              </w:rPr>
            </w:pPr>
            <w:r w:rsidRPr="009D37F0">
              <w:rPr>
                <w:szCs w:val="22"/>
              </w:rPr>
              <w:t xml:space="preserve">DEQ acknowledges </w:t>
            </w:r>
            <w:r>
              <w:rPr>
                <w:szCs w:val="22"/>
              </w:rPr>
              <w:t xml:space="preserve">these comments in </w:t>
            </w:r>
            <w:r w:rsidRPr="009D37F0">
              <w:rPr>
                <w:szCs w:val="22"/>
              </w:rPr>
              <w:t xml:space="preserve">support </w:t>
            </w:r>
            <w:r>
              <w:rPr>
                <w:szCs w:val="22"/>
              </w:rPr>
              <w:t xml:space="preserve">of </w:t>
            </w:r>
            <w:r w:rsidRPr="009D37F0">
              <w:rPr>
                <w:szCs w:val="22"/>
              </w:rPr>
              <w:t xml:space="preserve">the </w:t>
            </w:r>
            <w:r>
              <w:rPr>
                <w:szCs w:val="22"/>
              </w:rPr>
              <w:t xml:space="preserve">proposed </w:t>
            </w:r>
            <w:r w:rsidRPr="009D37F0">
              <w:rPr>
                <w:szCs w:val="22"/>
              </w:rPr>
              <w:t>rule</w:t>
            </w:r>
            <w:r>
              <w:rPr>
                <w:szCs w:val="22"/>
              </w:rPr>
              <w:t xml:space="preserve"> language</w:t>
            </w:r>
            <w:r w:rsidRPr="009D37F0">
              <w:rPr>
                <w:szCs w:val="22"/>
              </w:rPr>
              <w:t xml:space="preserve">. </w:t>
            </w:r>
          </w:p>
        </w:tc>
      </w:tr>
      <w:tr w:rsidR="006778CF" w:rsidRPr="00185EA5" w:rsidTr="00DD604D">
        <w:tc>
          <w:tcPr>
            <w:tcW w:w="1728" w:type="dxa"/>
            <w:tcBorders>
              <w:top w:val="single" w:sz="6" w:space="0" w:color="auto"/>
              <w:left w:val="single" w:sz="4" w:space="0" w:color="auto"/>
              <w:bottom w:val="single" w:sz="4" w:space="0" w:color="auto"/>
              <w:right w:val="single" w:sz="6" w:space="0" w:color="auto"/>
            </w:tcBorders>
          </w:tcPr>
          <w:p w:rsidR="006778CF" w:rsidRPr="007A65C5" w:rsidRDefault="006778CF"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10</w:t>
            </w:r>
          </w:p>
        </w:tc>
        <w:tc>
          <w:tcPr>
            <w:tcW w:w="7740" w:type="dxa"/>
            <w:tcBorders>
              <w:top w:val="single" w:sz="6" w:space="0" w:color="auto"/>
              <w:left w:val="single" w:sz="6" w:space="0" w:color="auto"/>
              <w:bottom w:val="single" w:sz="4" w:space="0" w:color="auto"/>
              <w:right w:val="single" w:sz="4" w:space="0" w:color="auto"/>
            </w:tcBorders>
          </w:tcPr>
          <w:p w:rsidR="006778CF" w:rsidRDefault="006778CF" w:rsidP="00BF475D">
            <w:pPr>
              <w:pStyle w:val="BlockText"/>
              <w:spacing w:after="120"/>
              <w:rPr>
                <w:sz w:val="22"/>
                <w:szCs w:val="22"/>
              </w:rPr>
            </w:pPr>
            <w:r w:rsidRPr="009D37F0">
              <w:rPr>
                <w:sz w:val="22"/>
                <w:szCs w:val="22"/>
              </w:rPr>
              <w:t>Several improvements have been made to the project ranking criteria, ensuring that it is transparent and straightforward, that projects addressing our state’s greatest water quality challenges will be prioritized, and including ranking points for projects that advance sustainability and integrate grey and green infrastructure.  We believe it is appropriate for Oregon to include these criteria when ranking all projects, rather than relying solely on the green project reserve. Doing so will ensure limited funds are used for the most innovative, holistic projects that provide multiple, long-term benefits. This addition to the ranking criteria rightly extends to planning projects as well. We also support allocating points for projects that include a sponsorship option, which helps extend community and environmental benefits to nonpoint source projects beyond ratepayer supported utilities.</w:t>
            </w:r>
          </w:p>
          <w:p w:rsidR="00CF3177" w:rsidRPr="009D37F0" w:rsidRDefault="00CF3177" w:rsidP="00BF475D">
            <w:pPr>
              <w:pStyle w:val="BlockText"/>
              <w:spacing w:after="120"/>
              <w:rPr>
                <w:szCs w:val="22"/>
              </w:rPr>
            </w:pPr>
            <w:r>
              <w:rPr>
                <w:sz w:val="22"/>
                <w:szCs w:val="22"/>
              </w:rPr>
              <w:t>Commenter 2</w:t>
            </w:r>
          </w:p>
        </w:tc>
      </w:tr>
      <w:tr w:rsidR="00BF475D" w:rsidRPr="00185EA5" w:rsidTr="0018164F">
        <w:tc>
          <w:tcPr>
            <w:tcW w:w="1728" w:type="dxa"/>
            <w:tcBorders>
              <w:top w:val="single" w:sz="6" w:space="0" w:color="auto"/>
              <w:left w:val="single" w:sz="4" w:space="0" w:color="auto"/>
              <w:bottom w:val="single" w:sz="6" w:space="0" w:color="auto"/>
              <w:right w:val="single" w:sz="6" w:space="0" w:color="auto"/>
            </w:tcBorders>
          </w:tcPr>
          <w:p w:rsidR="00BF475D" w:rsidRPr="007A65C5" w:rsidRDefault="00BF475D" w:rsidP="0018164F">
            <w:pPr>
              <w:spacing w:after="120"/>
              <w:rPr>
                <w:rFonts w:ascii="Arial" w:hAnsi="Arial" w:cs="Arial"/>
                <w:b/>
                <w:i/>
                <w:szCs w:val="22"/>
              </w:rPr>
            </w:pPr>
            <w:r w:rsidRPr="007A65C5">
              <w:rPr>
                <w:rFonts w:ascii="Arial" w:hAnsi="Arial" w:cs="Arial"/>
                <w:b/>
                <w:i/>
                <w:szCs w:val="22"/>
              </w:rPr>
              <w:t>Response</w:t>
            </w:r>
          </w:p>
        </w:tc>
        <w:tc>
          <w:tcPr>
            <w:tcW w:w="7740" w:type="dxa"/>
            <w:tcBorders>
              <w:top w:val="single" w:sz="6" w:space="0" w:color="auto"/>
              <w:left w:val="single" w:sz="6" w:space="0" w:color="auto"/>
              <w:bottom w:val="single" w:sz="6" w:space="0" w:color="auto"/>
              <w:right w:val="single" w:sz="4" w:space="0" w:color="auto"/>
            </w:tcBorders>
          </w:tcPr>
          <w:p w:rsidR="00BF475D" w:rsidRPr="009D37F0" w:rsidRDefault="00BF475D" w:rsidP="00BF475D">
            <w:pPr>
              <w:spacing w:after="120"/>
              <w:rPr>
                <w:szCs w:val="22"/>
              </w:rPr>
            </w:pPr>
            <w:r w:rsidRPr="009D37F0">
              <w:rPr>
                <w:szCs w:val="22"/>
              </w:rPr>
              <w:t xml:space="preserve">DEQ acknowledges </w:t>
            </w:r>
            <w:r>
              <w:rPr>
                <w:szCs w:val="22"/>
              </w:rPr>
              <w:t xml:space="preserve">these comments in </w:t>
            </w:r>
            <w:r w:rsidRPr="009D37F0">
              <w:rPr>
                <w:szCs w:val="22"/>
              </w:rPr>
              <w:t xml:space="preserve">support </w:t>
            </w:r>
            <w:r>
              <w:rPr>
                <w:szCs w:val="22"/>
              </w:rPr>
              <w:t xml:space="preserve">of </w:t>
            </w:r>
            <w:r w:rsidRPr="009D37F0">
              <w:rPr>
                <w:szCs w:val="22"/>
              </w:rPr>
              <w:t xml:space="preserve">the </w:t>
            </w:r>
            <w:r>
              <w:rPr>
                <w:szCs w:val="22"/>
              </w:rPr>
              <w:t xml:space="preserve">proposed </w:t>
            </w:r>
            <w:r w:rsidRPr="009D37F0">
              <w:rPr>
                <w:szCs w:val="22"/>
              </w:rPr>
              <w:t>rule</w:t>
            </w:r>
            <w:r>
              <w:rPr>
                <w:szCs w:val="22"/>
              </w:rPr>
              <w:t xml:space="preserve"> language</w:t>
            </w:r>
            <w:r w:rsidRPr="009D37F0">
              <w:rPr>
                <w:szCs w:val="22"/>
              </w:rPr>
              <w:t xml:space="preserve">. </w:t>
            </w:r>
          </w:p>
        </w:tc>
      </w:tr>
      <w:tr w:rsidR="00BF475D" w:rsidRPr="00185EA5" w:rsidTr="0018164F">
        <w:tc>
          <w:tcPr>
            <w:tcW w:w="1728" w:type="dxa"/>
            <w:tcBorders>
              <w:top w:val="single" w:sz="6" w:space="0" w:color="auto"/>
              <w:left w:val="single" w:sz="4" w:space="0" w:color="auto"/>
              <w:bottom w:val="single" w:sz="6" w:space="0" w:color="auto"/>
              <w:right w:val="single" w:sz="6" w:space="0" w:color="auto"/>
            </w:tcBorders>
          </w:tcPr>
          <w:p w:rsidR="00BF475D" w:rsidRPr="007A65C5" w:rsidRDefault="00BF475D" w:rsidP="0018164F">
            <w:pPr>
              <w:spacing w:after="120"/>
              <w:rPr>
                <w:rFonts w:ascii="Arial" w:hAnsi="Arial" w:cs="Arial"/>
                <w:b/>
                <w:i/>
                <w:szCs w:val="22"/>
              </w:rPr>
            </w:pPr>
            <w:r w:rsidRPr="007A65C5">
              <w:rPr>
                <w:rFonts w:ascii="Arial" w:hAnsi="Arial" w:cs="Arial"/>
                <w:b/>
                <w:i/>
                <w:szCs w:val="22"/>
              </w:rPr>
              <w:t>Comment</w:t>
            </w:r>
            <w:r>
              <w:rPr>
                <w:rFonts w:ascii="Arial" w:hAnsi="Arial" w:cs="Arial"/>
                <w:b/>
                <w:i/>
                <w:szCs w:val="22"/>
              </w:rPr>
              <w:t xml:space="preserve"> 11</w:t>
            </w:r>
          </w:p>
        </w:tc>
        <w:tc>
          <w:tcPr>
            <w:tcW w:w="7740" w:type="dxa"/>
            <w:tcBorders>
              <w:top w:val="single" w:sz="6" w:space="0" w:color="auto"/>
              <w:left w:val="single" w:sz="6" w:space="0" w:color="auto"/>
              <w:bottom w:val="single" w:sz="6" w:space="0" w:color="auto"/>
              <w:right w:val="single" w:sz="4" w:space="0" w:color="auto"/>
            </w:tcBorders>
          </w:tcPr>
          <w:p w:rsidR="00BF475D" w:rsidRDefault="00BF475D" w:rsidP="003A2BC2">
            <w:pPr>
              <w:pStyle w:val="BlockText"/>
              <w:spacing w:after="120"/>
              <w:rPr>
                <w:sz w:val="22"/>
                <w:szCs w:val="22"/>
              </w:rPr>
            </w:pPr>
            <w:r w:rsidRPr="009D37F0">
              <w:rPr>
                <w:sz w:val="22"/>
                <w:szCs w:val="22"/>
              </w:rPr>
              <w:t xml:space="preserve">Even though municipalities work hard to find a system for their communities that works best for them, they may not be aware that there are often multiple technologies that can all accomplish the same treatment standards. Our concern is that communities may unknowingly choose a system that is either less technically efficient or costlier than necessary, placing a greater than necessary financial burden on their citizens and ratepayers. We believe it is prudent to approve loans to municipalities based on a financially competitive system </w:t>
            </w:r>
            <w:r w:rsidRPr="009D37F0">
              <w:rPr>
                <w:i/>
                <w:sz w:val="22"/>
                <w:szCs w:val="22"/>
              </w:rPr>
              <w:t>and</w:t>
            </w:r>
            <w:r w:rsidRPr="009D37F0">
              <w:rPr>
                <w:sz w:val="22"/>
                <w:szCs w:val="22"/>
              </w:rPr>
              <w:t xml:space="preserve"> to make sure that the municipality does not exceed a practical financial burden to its citizens.</w:t>
            </w:r>
          </w:p>
          <w:p w:rsidR="00BF475D" w:rsidRPr="009D37F0" w:rsidRDefault="00BF475D" w:rsidP="003A2BC2">
            <w:pPr>
              <w:pStyle w:val="BlockText"/>
              <w:spacing w:after="120"/>
              <w:rPr>
                <w:sz w:val="22"/>
                <w:szCs w:val="22"/>
              </w:rPr>
            </w:pPr>
            <w:r>
              <w:rPr>
                <w:sz w:val="22"/>
                <w:szCs w:val="22"/>
              </w:rPr>
              <w:t>We believe this rulemaking poses an opportunity for DEQ to reevaluate the SRF and make it and the communities it serves more technically and fiscally efficient.</w:t>
            </w:r>
          </w:p>
          <w:p w:rsidR="00BF475D" w:rsidRPr="009D37F0" w:rsidRDefault="00BF475D" w:rsidP="00CF3177">
            <w:pPr>
              <w:spacing w:after="120"/>
              <w:rPr>
                <w:szCs w:val="22"/>
              </w:rPr>
            </w:pPr>
            <w:r>
              <w:rPr>
                <w:szCs w:val="22"/>
              </w:rPr>
              <w:t xml:space="preserve">Commenter </w:t>
            </w:r>
            <w:r w:rsidR="00CF3177">
              <w:rPr>
                <w:szCs w:val="22"/>
              </w:rPr>
              <w:t>3</w:t>
            </w:r>
          </w:p>
        </w:tc>
      </w:tr>
    </w:tbl>
    <w:p w:rsidR="009D0F03" w:rsidRDefault="009D0F03">
      <w:r>
        <w:br w:type="page"/>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728"/>
        <w:gridCol w:w="7740"/>
      </w:tblGrid>
      <w:tr w:rsidR="00BF475D" w:rsidRPr="00185EA5" w:rsidTr="0018164F">
        <w:tc>
          <w:tcPr>
            <w:tcW w:w="1728" w:type="dxa"/>
            <w:tcBorders>
              <w:top w:val="single" w:sz="6" w:space="0" w:color="auto"/>
              <w:left w:val="single" w:sz="4" w:space="0" w:color="auto"/>
              <w:bottom w:val="single" w:sz="6" w:space="0" w:color="auto"/>
              <w:right w:val="single" w:sz="6" w:space="0" w:color="auto"/>
            </w:tcBorders>
          </w:tcPr>
          <w:p w:rsidR="00BF475D" w:rsidRPr="007A65C5" w:rsidRDefault="00BF475D" w:rsidP="0018164F">
            <w:pPr>
              <w:spacing w:after="120"/>
              <w:rPr>
                <w:rFonts w:ascii="Arial" w:hAnsi="Arial" w:cs="Arial"/>
                <w:b/>
                <w:i/>
                <w:szCs w:val="22"/>
              </w:rPr>
            </w:pPr>
            <w:r w:rsidRPr="007A65C5">
              <w:rPr>
                <w:rFonts w:ascii="Arial" w:hAnsi="Arial" w:cs="Arial"/>
                <w:b/>
                <w:i/>
                <w:szCs w:val="22"/>
              </w:rPr>
              <w:lastRenderedPageBreak/>
              <w:t>Response</w:t>
            </w:r>
          </w:p>
        </w:tc>
        <w:tc>
          <w:tcPr>
            <w:tcW w:w="7740" w:type="dxa"/>
            <w:tcBorders>
              <w:top w:val="single" w:sz="6" w:space="0" w:color="auto"/>
              <w:left w:val="single" w:sz="6" w:space="0" w:color="auto"/>
              <w:bottom w:val="single" w:sz="6" w:space="0" w:color="auto"/>
              <w:right w:val="single" w:sz="4" w:space="0" w:color="auto"/>
            </w:tcBorders>
          </w:tcPr>
          <w:p w:rsidR="00CB5695" w:rsidRDefault="000834D2" w:rsidP="000834D2">
            <w:pPr>
              <w:autoSpaceDE w:val="0"/>
              <w:autoSpaceDN w:val="0"/>
              <w:adjustRightInd w:val="0"/>
              <w:spacing w:after="120"/>
              <w:rPr>
                <w:szCs w:val="22"/>
              </w:rPr>
            </w:pPr>
            <w:r>
              <w:rPr>
                <w:szCs w:val="22"/>
              </w:rPr>
              <w:t xml:space="preserve">The proposed rules reflect </w:t>
            </w:r>
            <w:r w:rsidR="00CB5695">
              <w:rPr>
                <w:szCs w:val="22"/>
              </w:rPr>
              <w:t xml:space="preserve">the CWSRF Advisory Committee's discussions that focused on </w:t>
            </w:r>
            <w:r w:rsidR="008D40B9">
              <w:rPr>
                <w:szCs w:val="22"/>
              </w:rPr>
              <w:t xml:space="preserve">technical </w:t>
            </w:r>
            <w:r>
              <w:rPr>
                <w:szCs w:val="22"/>
              </w:rPr>
              <w:t xml:space="preserve">program topic areas </w:t>
            </w:r>
            <w:r w:rsidR="008D40B9">
              <w:rPr>
                <w:szCs w:val="22"/>
              </w:rPr>
              <w:t xml:space="preserve">and financial provisions </w:t>
            </w:r>
            <w:r w:rsidR="00CB5695">
              <w:rPr>
                <w:szCs w:val="22"/>
              </w:rPr>
              <w:t xml:space="preserve">that </w:t>
            </w:r>
            <w:r w:rsidR="008D40B9">
              <w:rPr>
                <w:szCs w:val="22"/>
              </w:rPr>
              <w:t>impact affordability</w:t>
            </w:r>
            <w:r w:rsidR="00CB5695">
              <w:rPr>
                <w:szCs w:val="22"/>
              </w:rPr>
              <w:t xml:space="preserve">. </w:t>
            </w:r>
          </w:p>
          <w:p w:rsidR="00CB5695" w:rsidRDefault="000834D2" w:rsidP="000834D2">
            <w:pPr>
              <w:autoSpaceDE w:val="0"/>
              <w:autoSpaceDN w:val="0"/>
              <w:adjustRightInd w:val="0"/>
              <w:spacing w:after="120"/>
              <w:rPr>
                <w:szCs w:val="22"/>
              </w:rPr>
            </w:pPr>
            <w:r>
              <w:rPr>
                <w:szCs w:val="22"/>
              </w:rPr>
              <w:t xml:space="preserve">DEQ acknowledges how critical it is to ensure the CWSRF program is implemented in a technical and fiscally efficient manner. Although the </w:t>
            </w:r>
            <w:r w:rsidR="003F51A7">
              <w:rPr>
                <w:szCs w:val="22"/>
              </w:rPr>
              <w:t xml:space="preserve">rules do not dictate the </w:t>
            </w:r>
            <w:r>
              <w:rPr>
                <w:szCs w:val="22"/>
              </w:rPr>
              <w:t>manner in which the program</w:t>
            </w:r>
            <w:r w:rsidR="00AD5243">
              <w:rPr>
                <w:szCs w:val="22"/>
              </w:rPr>
              <w:t xml:space="preserve"> operates</w:t>
            </w:r>
            <w:r w:rsidR="003F51A7">
              <w:rPr>
                <w:szCs w:val="22"/>
              </w:rPr>
              <w:t xml:space="preserve">, </w:t>
            </w:r>
            <w:r>
              <w:rPr>
                <w:szCs w:val="22"/>
              </w:rPr>
              <w:t xml:space="preserve">DEQ currently has six dedicated regional staff in the program to provide </w:t>
            </w:r>
            <w:r w:rsidR="00AD5243">
              <w:rPr>
                <w:szCs w:val="22"/>
              </w:rPr>
              <w:t xml:space="preserve">technical </w:t>
            </w:r>
            <w:r w:rsidR="003F51A7">
              <w:rPr>
                <w:szCs w:val="22"/>
              </w:rPr>
              <w:t xml:space="preserve">assistance to communities. </w:t>
            </w:r>
            <w:r w:rsidR="00C31FD0">
              <w:rPr>
                <w:szCs w:val="22"/>
              </w:rPr>
              <w:t xml:space="preserve">Regional </w:t>
            </w:r>
            <w:r w:rsidR="003F51A7">
              <w:rPr>
                <w:szCs w:val="22"/>
              </w:rPr>
              <w:t>staff work with communities to help them understand what decisions need to be made to address water quality concerns. DEQ's Regional Solutions Team</w:t>
            </w:r>
            <w:r w:rsidR="00C31FD0">
              <w:rPr>
                <w:szCs w:val="22"/>
              </w:rPr>
              <w:t xml:space="preserve"> </w:t>
            </w:r>
            <w:proofErr w:type="gramStart"/>
            <w:r w:rsidR="00C31FD0">
              <w:rPr>
                <w:szCs w:val="22"/>
              </w:rPr>
              <w:t xml:space="preserve">staff </w:t>
            </w:r>
            <w:r w:rsidR="003F51A7">
              <w:rPr>
                <w:szCs w:val="22"/>
              </w:rPr>
              <w:t>also provid</w:t>
            </w:r>
            <w:r w:rsidR="00C31FD0">
              <w:rPr>
                <w:szCs w:val="22"/>
              </w:rPr>
              <w:t>e</w:t>
            </w:r>
            <w:proofErr w:type="gramEnd"/>
            <w:r w:rsidR="003F51A7">
              <w:rPr>
                <w:szCs w:val="22"/>
              </w:rPr>
              <w:t xml:space="preserve"> CWSRF program assistance to communities.</w:t>
            </w:r>
            <w:r w:rsidR="008120A6">
              <w:rPr>
                <w:szCs w:val="22"/>
              </w:rPr>
              <w:t xml:space="preserve"> </w:t>
            </w:r>
          </w:p>
          <w:p w:rsidR="008150DC" w:rsidRDefault="008120A6" w:rsidP="000834D2">
            <w:pPr>
              <w:autoSpaceDE w:val="0"/>
              <w:autoSpaceDN w:val="0"/>
              <w:adjustRightInd w:val="0"/>
              <w:spacing w:after="120"/>
              <w:rPr>
                <w:szCs w:val="22"/>
              </w:rPr>
            </w:pPr>
            <w:r>
              <w:rPr>
                <w:szCs w:val="22"/>
              </w:rPr>
              <w:t>Communities are encouraged through the facility planning process to assess their options</w:t>
            </w:r>
            <w:r w:rsidR="00C31FD0">
              <w:rPr>
                <w:szCs w:val="22"/>
              </w:rPr>
              <w:t>, including cost considerations</w:t>
            </w:r>
            <w:r w:rsidR="00CB5695">
              <w:rPr>
                <w:szCs w:val="22"/>
              </w:rPr>
              <w:t xml:space="preserve">. DEQ will assist community officials and meet with those interested to help them </w:t>
            </w:r>
            <w:r w:rsidR="008150DC">
              <w:rPr>
                <w:szCs w:val="22"/>
              </w:rPr>
              <w:t>evaluate</w:t>
            </w:r>
            <w:r w:rsidR="00CB5695">
              <w:rPr>
                <w:szCs w:val="22"/>
              </w:rPr>
              <w:t xml:space="preserve"> their options</w:t>
            </w:r>
            <w:r>
              <w:rPr>
                <w:szCs w:val="22"/>
              </w:rPr>
              <w:t xml:space="preserve">. </w:t>
            </w:r>
            <w:r w:rsidR="00AD5243">
              <w:rPr>
                <w:szCs w:val="22"/>
              </w:rPr>
              <w:t xml:space="preserve">DEQ acknowledges </w:t>
            </w:r>
            <w:r w:rsidR="009D0F03">
              <w:rPr>
                <w:szCs w:val="22"/>
              </w:rPr>
              <w:t xml:space="preserve">some communities </w:t>
            </w:r>
            <w:r w:rsidR="0077403D">
              <w:rPr>
                <w:szCs w:val="22"/>
              </w:rPr>
              <w:t>could benefit from</w:t>
            </w:r>
            <w:r w:rsidR="009D0F03">
              <w:rPr>
                <w:szCs w:val="22"/>
              </w:rPr>
              <w:t xml:space="preserve"> more guidance on wastewater treatment options and financing strategies</w:t>
            </w:r>
            <w:r w:rsidR="0077403D">
              <w:rPr>
                <w:szCs w:val="22"/>
              </w:rPr>
              <w:t xml:space="preserve"> and continues to support efforts to help meet these needs</w:t>
            </w:r>
            <w:r w:rsidR="009D0F03">
              <w:rPr>
                <w:szCs w:val="22"/>
              </w:rPr>
              <w:t xml:space="preserve">. </w:t>
            </w:r>
          </w:p>
          <w:p w:rsidR="0053427C" w:rsidRDefault="00AD5243" w:rsidP="0053427C">
            <w:pPr>
              <w:autoSpaceDE w:val="0"/>
              <w:autoSpaceDN w:val="0"/>
              <w:adjustRightInd w:val="0"/>
              <w:spacing w:after="120"/>
              <w:rPr>
                <w:szCs w:val="22"/>
              </w:rPr>
            </w:pPr>
            <w:r>
              <w:rPr>
                <w:szCs w:val="22"/>
              </w:rPr>
              <w:t xml:space="preserve">DEQ </w:t>
            </w:r>
            <w:r w:rsidR="009D0F03">
              <w:rPr>
                <w:szCs w:val="22"/>
              </w:rPr>
              <w:t xml:space="preserve">intends to address these concerns with </w:t>
            </w:r>
            <w:r>
              <w:rPr>
                <w:szCs w:val="22"/>
              </w:rPr>
              <w:t xml:space="preserve">the CWSRF standing advisory committee to further discuss </w:t>
            </w:r>
            <w:r w:rsidR="009D0F03">
              <w:rPr>
                <w:szCs w:val="22"/>
              </w:rPr>
              <w:t>what role DEQ, as well as other entities, should take to improve the program to better assist communities in making sound financial decisions.</w:t>
            </w:r>
            <w:r w:rsidR="008051F6">
              <w:rPr>
                <w:szCs w:val="22"/>
              </w:rPr>
              <w:t xml:space="preserve"> DEQ anticipates convening the CWSRF standing advisory committee early next year. </w:t>
            </w:r>
            <w:r w:rsidR="008150DC">
              <w:rPr>
                <w:szCs w:val="22"/>
              </w:rPr>
              <w:t xml:space="preserve">DEQ has </w:t>
            </w:r>
            <w:r w:rsidR="0053427C">
              <w:rPr>
                <w:szCs w:val="22"/>
              </w:rPr>
              <w:t xml:space="preserve">also </w:t>
            </w:r>
            <w:r w:rsidR="008150DC">
              <w:rPr>
                <w:szCs w:val="22"/>
              </w:rPr>
              <w:t xml:space="preserve">offered to assist Co-speaker Hanna and Representative Freeman with convening relevant entities to </w:t>
            </w:r>
            <w:r w:rsidR="0053427C">
              <w:rPr>
                <w:szCs w:val="22"/>
              </w:rPr>
              <w:t>identify better</w:t>
            </w:r>
            <w:r w:rsidR="008150DC">
              <w:rPr>
                <w:szCs w:val="22"/>
              </w:rPr>
              <w:t xml:space="preserve"> ways </w:t>
            </w:r>
            <w:r w:rsidR="0053427C">
              <w:rPr>
                <w:szCs w:val="22"/>
              </w:rPr>
              <w:t>to advise</w:t>
            </w:r>
            <w:r w:rsidR="008150DC">
              <w:rPr>
                <w:szCs w:val="22"/>
              </w:rPr>
              <w:t xml:space="preserve"> communit</w:t>
            </w:r>
            <w:r w:rsidR="0053427C">
              <w:rPr>
                <w:szCs w:val="22"/>
              </w:rPr>
              <w:t xml:space="preserve">ies on the best cost effective solutions for their wastewater treatment needs. </w:t>
            </w:r>
            <w:r w:rsidR="008150DC">
              <w:rPr>
                <w:szCs w:val="22"/>
              </w:rPr>
              <w:t xml:space="preserve"> </w:t>
            </w:r>
          </w:p>
          <w:p w:rsidR="00BF475D" w:rsidRPr="009D37F0" w:rsidRDefault="00AD5243" w:rsidP="0053427C">
            <w:pPr>
              <w:autoSpaceDE w:val="0"/>
              <w:autoSpaceDN w:val="0"/>
              <w:adjustRightInd w:val="0"/>
              <w:spacing w:after="120"/>
              <w:rPr>
                <w:szCs w:val="22"/>
              </w:rPr>
            </w:pPr>
            <w:r>
              <w:rPr>
                <w:szCs w:val="22"/>
              </w:rPr>
              <w:t>No changes were made to the proposed rules in response to these comments.</w:t>
            </w:r>
          </w:p>
        </w:tc>
      </w:tr>
    </w:tbl>
    <w:p w:rsidR="00795E6B" w:rsidRDefault="00795E6B" w:rsidP="004C3021">
      <w:pPr>
        <w:ind w:right="864"/>
        <w:rPr>
          <w:rFonts w:ascii="Arial" w:hAnsi="Arial" w:cs="Arial"/>
          <w:b/>
          <w:bCs/>
          <w:szCs w:val="22"/>
          <w:u w:val="single"/>
        </w:rPr>
      </w:pPr>
    </w:p>
    <w:p w:rsidR="00DD604D" w:rsidRDefault="00DD604D" w:rsidP="004C3021">
      <w:pPr>
        <w:ind w:right="864"/>
        <w:rPr>
          <w:rFonts w:ascii="Arial" w:hAnsi="Arial" w:cs="Arial"/>
          <w:b/>
          <w:bCs/>
          <w:szCs w:val="22"/>
          <w:u w:val="single"/>
        </w:rPr>
      </w:pPr>
    </w:p>
    <w:p w:rsidR="00DD604D" w:rsidRPr="00D83DE0" w:rsidRDefault="00DD604D" w:rsidP="004C3021">
      <w:pPr>
        <w:ind w:right="864"/>
        <w:rPr>
          <w:rFonts w:ascii="Arial" w:hAnsi="Arial" w:cs="Arial"/>
          <w:b/>
          <w:bCs/>
          <w:szCs w:val="22"/>
          <w:u w:val="single"/>
        </w:rPr>
      </w:pPr>
    </w:p>
    <w:tbl>
      <w:tblPr>
        <w:tblW w:w="9450" w:type="dxa"/>
        <w:tblInd w:w="-85" w:type="dxa"/>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tblPr>
      <w:tblGrid>
        <w:gridCol w:w="1093"/>
        <w:gridCol w:w="1980"/>
        <w:gridCol w:w="2597"/>
        <w:gridCol w:w="2250"/>
        <w:gridCol w:w="1530"/>
      </w:tblGrid>
      <w:tr w:rsidR="00D97A58" w:rsidRPr="00D83DE0" w:rsidTr="008D40B9">
        <w:trPr>
          <w:cantSplit/>
          <w:tblHeader/>
        </w:trPr>
        <w:tc>
          <w:tcPr>
            <w:tcW w:w="9450" w:type="dxa"/>
            <w:gridSpan w:val="5"/>
            <w:tcBorders>
              <w:top w:val="single" w:sz="4" w:space="0" w:color="auto"/>
              <w:left w:val="single" w:sz="4" w:space="0" w:color="auto"/>
              <w:bottom w:val="single" w:sz="6" w:space="0" w:color="auto"/>
              <w:right w:val="single" w:sz="4" w:space="0" w:color="auto"/>
            </w:tcBorders>
            <w:vAlign w:val="center"/>
          </w:tcPr>
          <w:p w:rsidR="00D97A58" w:rsidRPr="00D83DE0" w:rsidRDefault="00D97A58" w:rsidP="008D40B9">
            <w:pPr>
              <w:spacing w:before="60" w:after="60"/>
              <w:jc w:val="center"/>
              <w:rPr>
                <w:rFonts w:ascii="Arial" w:hAnsi="Arial" w:cs="Arial"/>
                <w:b/>
                <w:sz w:val="20"/>
              </w:rPr>
            </w:pPr>
            <w:r>
              <w:rPr>
                <w:rFonts w:ascii="Arial" w:hAnsi="Arial" w:cs="Arial"/>
                <w:b/>
                <w:i/>
                <w:szCs w:val="22"/>
              </w:rPr>
              <w:t xml:space="preserve">List of </w:t>
            </w:r>
            <w:proofErr w:type="spellStart"/>
            <w:r w:rsidRPr="00D83DE0">
              <w:rPr>
                <w:rFonts w:ascii="Arial" w:hAnsi="Arial" w:cs="Arial"/>
                <w:b/>
                <w:i/>
                <w:szCs w:val="22"/>
              </w:rPr>
              <w:t>Commenters</w:t>
            </w:r>
            <w:proofErr w:type="spellEnd"/>
            <w:r w:rsidRPr="00D83DE0">
              <w:rPr>
                <w:rFonts w:ascii="Arial" w:hAnsi="Arial" w:cs="Arial"/>
                <w:b/>
                <w:i/>
                <w:szCs w:val="22"/>
              </w:rPr>
              <w:t xml:space="preserve"> and Reference Numbers</w:t>
            </w:r>
          </w:p>
        </w:tc>
      </w:tr>
      <w:tr w:rsidR="00D97A58" w:rsidRPr="00D83DE0" w:rsidTr="008D40B9">
        <w:trPr>
          <w:cantSplit/>
          <w:tblHeader/>
        </w:trPr>
        <w:tc>
          <w:tcPr>
            <w:tcW w:w="1093" w:type="dxa"/>
            <w:tcBorders>
              <w:top w:val="single" w:sz="6" w:space="0" w:color="auto"/>
              <w:left w:val="single" w:sz="4" w:space="0" w:color="auto"/>
              <w:bottom w:val="single" w:sz="6" w:space="0" w:color="auto"/>
              <w:right w:val="single" w:sz="6" w:space="0" w:color="auto"/>
            </w:tcBorders>
            <w:vAlign w:val="center"/>
          </w:tcPr>
          <w:p w:rsidR="00D97A58" w:rsidRDefault="00D97A58" w:rsidP="008D40B9">
            <w:pPr>
              <w:spacing w:before="60" w:after="60"/>
              <w:jc w:val="center"/>
              <w:rPr>
                <w:rFonts w:ascii="Arial" w:hAnsi="Arial" w:cs="Arial"/>
                <w:b/>
                <w:sz w:val="20"/>
              </w:rPr>
            </w:pPr>
            <w:r w:rsidRPr="00D83DE0">
              <w:rPr>
                <w:rFonts w:ascii="Arial" w:hAnsi="Arial" w:cs="Arial"/>
                <w:b/>
                <w:sz w:val="20"/>
              </w:rPr>
              <w:t>Reference</w:t>
            </w:r>
          </w:p>
          <w:p w:rsidR="00D97A58" w:rsidRPr="00D83DE0" w:rsidRDefault="00D97A58" w:rsidP="008D40B9">
            <w:pPr>
              <w:spacing w:before="60" w:after="60"/>
              <w:jc w:val="center"/>
              <w:rPr>
                <w:rFonts w:ascii="Arial" w:hAnsi="Arial" w:cs="Arial"/>
                <w:b/>
                <w:sz w:val="20"/>
              </w:rPr>
            </w:pPr>
            <w:r>
              <w:rPr>
                <w:rFonts w:ascii="Arial" w:hAnsi="Arial" w:cs="Arial"/>
                <w:b/>
                <w:sz w:val="20"/>
              </w:rPr>
              <w:t>Number</w:t>
            </w:r>
          </w:p>
        </w:tc>
        <w:tc>
          <w:tcPr>
            <w:tcW w:w="1980" w:type="dxa"/>
            <w:tcBorders>
              <w:top w:val="single" w:sz="6" w:space="0" w:color="auto"/>
              <w:left w:val="single" w:sz="6" w:space="0" w:color="auto"/>
              <w:bottom w:val="single" w:sz="6" w:space="0" w:color="auto"/>
              <w:right w:val="single" w:sz="6" w:space="0" w:color="auto"/>
            </w:tcBorders>
            <w:vAlign w:val="center"/>
          </w:tcPr>
          <w:p w:rsidR="00D97A58" w:rsidRPr="00D83DE0" w:rsidRDefault="00D97A58" w:rsidP="008D40B9">
            <w:pPr>
              <w:spacing w:before="60" w:after="60"/>
              <w:jc w:val="center"/>
              <w:rPr>
                <w:rFonts w:ascii="Arial" w:hAnsi="Arial" w:cs="Arial"/>
                <w:b/>
                <w:sz w:val="20"/>
              </w:rPr>
            </w:pPr>
            <w:r>
              <w:rPr>
                <w:rFonts w:ascii="Arial" w:hAnsi="Arial" w:cs="Arial"/>
                <w:b/>
                <w:sz w:val="20"/>
              </w:rPr>
              <w:t>Name</w:t>
            </w:r>
          </w:p>
        </w:tc>
        <w:tc>
          <w:tcPr>
            <w:tcW w:w="259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D97A58" w:rsidRPr="00D83DE0" w:rsidRDefault="00D97A58" w:rsidP="008D40B9">
            <w:pPr>
              <w:spacing w:before="60" w:after="60"/>
              <w:jc w:val="center"/>
              <w:rPr>
                <w:rFonts w:ascii="Arial" w:hAnsi="Arial" w:cs="Arial"/>
                <w:b/>
                <w:sz w:val="20"/>
              </w:rPr>
            </w:pPr>
            <w:r>
              <w:rPr>
                <w:rFonts w:ascii="Arial" w:hAnsi="Arial" w:cs="Arial"/>
                <w:b/>
                <w:sz w:val="20"/>
              </w:rPr>
              <w:t>Organization</w:t>
            </w:r>
          </w:p>
        </w:tc>
        <w:tc>
          <w:tcPr>
            <w:tcW w:w="225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rsidR="00D97A58" w:rsidRPr="00D83DE0" w:rsidRDefault="006E7C7A" w:rsidP="008D40B9">
            <w:pPr>
              <w:spacing w:before="60" w:after="60"/>
              <w:jc w:val="center"/>
              <w:rPr>
                <w:rFonts w:ascii="Arial" w:hAnsi="Arial" w:cs="Arial"/>
                <w:b/>
                <w:sz w:val="20"/>
              </w:rPr>
            </w:pPr>
            <w:r>
              <w:rPr>
                <w:rFonts w:ascii="Arial" w:hAnsi="Arial" w:cs="Arial"/>
                <w:b/>
                <w:sz w:val="20"/>
              </w:rPr>
              <w:t>City</w:t>
            </w:r>
          </w:p>
        </w:tc>
        <w:tc>
          <w:tcPr>
            <w:tcW w:w="1530"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vAlign w:val="center"/>
          </w:tcPr>
          <w:p w:rsidR="00D97A58" w:rsidRPr="00D83DE0" w:rsidRDefault="00D97A58" w:rsidP="008D40B9">
            <w:pPr>
              <w:spacing w:before="60" w:after="60"/>
              <w:jc w:val="center"/>
              <w:rPr>
                <w:rFonts w:ascii="Arial" w:hAnsi="Arial" w:cs="Arial"/>
                <w:b/>
                <w:sz w:val="20"/>
              </w:rPr>
            </w:pPr>
            <w:r w:rsidRPr="00D83DE0">
              <w:rPr>
                <w:rFonts w:ascii="Arial" w:hAnsi="Arial" w:cs="Arial"/>
                <w:b/>
                <w:sz w:val="20"/>
              </w:rPr>
              <w:t>Date on comments</w:t>
            </w:r>
          </w:p>
        </w:tc>
      </w:tr>
      <w:tr w:rsidR="00D97A58" w:rsidRPr="006E7C7A" w:rsidTr="008D40B9">
        <w:trPr>
          <w:cantSplit/>
        </w:trPr>
        <w:tc>
          <w:tcPr>
            <w:tcW w:w="1093" w:type="dxa"/>
            <w:tcBorders>
              <w:top w:val="single" w:sz="6" w:space="0" w:color="auto"/>
              <w:left w:val="single" w:sz="4" w:space="0" w:color="auto"/>
              <w:bottom w:val="single" w:sz="6" w:space="0" w:color="auto"/>
              <w:right w:val="single" w:sz="6" w:space="0" w:color="auto"/>
            </w:tcBorders>
          </w:tcPr>
          <w:p w:rsidR="00D97A58" w:rsidRPr="006E7C7A" w:rsidRDefault="00CF3177" w:rsidP="008D40B9">
            <w:pPr>
              <w:spacing w:before="60" w:after="60"/>
              <w:jc w:val="center"/>
              <w:rPr>
                <w:szCs w:val="22"/>
              </w:rPr>
            </w:pPr>
            <w:r w:rsidRPr="006E7C7A">
              <w:rPr>
                <w:szCs w:val="22"/>
              </w:rPr>
              <w:t>1</w:t>
            </w:r>
          </w:p>
        </w:tc>
        <w:tc>
          <w:tcPr>
            <w:tcW w:w="1980" w:type="dxa"/>
            <w:tcBorders>
              <w:top w:val="single" w:sz="6" w:space="0" w:color="auto"/>
              <w:left w:val="single" w:sz="6" w:space="0" w:color="auto"/>
              <w:bottom w:val="single" w:sz="6" w:space="0" w:color="auto"/>
              <w:right w:val="single" w:sz="6" w:space="0" w:color="auto"/>
            </w:tcBorders>
          </w:tcPr>
          <w:p w:rsidR="00D97A58" w:rsidRPr="006E7C7A" w:rsidRDefault="003848E5" w:rsidP="008D40B9">
            <w:pPr>
              <w:spacing w:before="60" w:after="60"/>
              <w:rPr>
                <w:szCs w:val="22"/>
              </w:rPr>
            </w:pPr>
            <w:proofErr w:type="spellStart"/>
            <w:r w:rsidRPr="006E7C7A">
              <w:rPr>
                <w:bCs/>
                <w:szCs w:val="22"/>
              </w:rPr>
              <w:t>Cheryle</w:t>
            </w:r>
            <w:proofErr w:type="spellEnd"/>
            <w:r w:rsidRPr="006E7C7A">
              <w:rPr>
                <w:bCs/>
                <w:szCs w:val="22"/>
              </w:rPr>
              <w:t xml:space="preserve"> Kennedy</w:t>
            </w:r>
          </w:p>
        </w:tc>
        <w:tc>
          <w:tcPr>
            <w:tcW w:w="259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6E7C7A" w:rsidRDefault="003848E5" w:rsidP="008D40B9">
            <w:pPr>
              <w:spacing w:before="60" w:after="60"/>
              <w:rPr>
                <w:szCs w:val="22"/>
              </w:rPr>
            </w:pPr>
            <w:r w:rsidRPr="006E7C7A">
              <w:rPr>
                <w:szCs w:val="22"/>
              </w:rPr>
              <w:t xml:space="preserve">The Confederated Tribes of the Grand </w:t>
            </w:r>
            <w:proofErr w:type="spellStart"/>
            <w:r w:rsidRPr="006E7C7A">
              <w:rPr>
                <w:szCs w:val="22"/>
              </w:rPr>
              <w:t>Ronde</w:t>
            </w:r>
            <w:proofErr w:type="spellEnd"/>
            <w:r w:rsidRPr="006E7C7A">
              <w:rPr>
                <w:szCs w:val="22"/>
              </w:rPr>
              <w:t xml:space="preserve"> Community of Oregon</w:t>
            </w:r>
          </w:p>
        </w:tc>
        <w:tc>
          <w:tcPr>
            <w:tcW w:w="225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6E7C7A" w:rsidRDefault="003848E5" w:rsidP="008D40B9">
            <w:pPr>
              <w:spacing w:before="60" w:after="60"/>
              <w:rPr>
                <w:szCs w:val="22"/>
              </w:rPr>
            </w:pPr>
            <w:r w:rsidRPr="006E7C7A">
              <w:rPr>
                <w:szCs w:val="22"/>
              </w:rPr>
              <w:t xml:space="preserve">Grand </w:t>
            </w:r>
            <w:proofErr w:type="spellStart"/>
            <w:r w:rsidRPr="006E7C7A">
              <w:rPr>
                <w:szCs w:val="22"/>
              </w:rPr>
              <w:t>Ronde</w:t>
            </w:r>
            <w:proofErr w:type="spellEnd"/>
            <w:r w:rsidRPr="006E7C7A">
              <w:rPr>
                <w:szCs w:val="22"/>
              </w:rPr>
              <w:t>, Oregon</w:t>
            </w:r>
          </w:p>
        </w:tc>
        <w:tc>
          <w:tcPr>
            <w:tcW w:w="1530"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sidRPr="006E7C7A">
              <w:rPr>
                <w:szCs w:val="22"/>
              </w:rPr>
              <w:t>Aug. 13, 2012</w:t>
            </w:r>
          </w:p>
        </w:tc>
      </w:tr>
      <w:tr w:rsidR="00D97A58" w:rsidRPr="006E7C7A" w:rsidTr="008D40B9">
        <w:trPr>
          <w:cantSplit/>
        </w:trPr>
        <w:tc>
          <w:tcPr>
            <w:tcW w:w="1093" w:type="dxa"/>
            <w:tcBorders>
              <w:top w:val="single" w:sz="6" w:space="0" w:color="auto"/>
              <w:left w:val="single" w:sz="4" w:space="0" w:color="auto"/>
              <w:bottom w:val="single" w:sz="6" w:space="0" w:color="auto"/>
              <w:right w:val="single" w:sz="6" w:space="0" w:color="auto"/>
            </w:tcBorders>
          </w:tcPr>
          <w:p w:rsidR="00D97A58" w:rsidRPr="006E7C7A" w:rsidRDefault="00CF3177" w:rsidP="008D40B9">
            <w:pPr>
              <w:spacing w:before="60" w:after="60"/>
              <w:jc w:val="center"/>
              <w:rPr>
                <w:szCs w:val="22"/>
              </w:rPr>
            </w:pPr>
            <w:r w:rsidRPr="006E7C7A">
              <w:rPr>
                <w:szCs w:val="22"/>
              </w:rPr>
              <w:t>2</w:t>
            </w:r>
          </w:p>
        </w:tc>
        <w:tc>
          <w:tcPr>
            <w:tcW w:w="1980" w:type="dxa"/>
            <w:tcBorders>
              <w:top w:val="single" w:sz="6" w:space="0" w:color="auto"/>
              <w:left w:val="single" w:sz="6" w:space="0" w:color="auto"/>
              <w:bottom w:val="single" w:sz="6" w:space="0" w:color="auto"/>
              <w:right w:val="single" w:sz="6" w:space="0" w:color="auto"/>
            </w:tcBorders>
          </w:tcPr>
          <w:p w:rsidR="00D97A58" w:rsidRPr="006E7C7A" w:rsidRDefault="006E7C7A" w:rsidP="008D40B9">
            <w:pPr>
              <w:spacing w:before="60" w:after="60"/>
              <w:rPr>
                <w:szCs w:val="22"/>
              </w:rPr>
            </w:pPr>
            <w:r w:rsidRPr="006E7C7A">
              <w:rPr>
                <w:bCs/>
                <w:szCs w:val="22"/>
              </w:rPr>
              <w:t>Teresa Huntsinger</w:t>
            </w:r>
          </w:p>
        </w:tc>
        <w:tc>
          <w:tcPr>
            <w:tcW w:w="259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sidRPr="006E7C7A">
              <w:rPr>
                <w:szCs w:val="22"/>
              </w:rPr>
              <w:t xml:space="preserve">Oregon Environmental Council </w:t>
            </w:r>
          </w:p>
        </w:tc>
        <w:tc>
          <w:tcPr>
            <w:tcW w:w="225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sidRPr="006E7C7A">
              <w:rPr>
                <w:szCs w:val="22"/>
              </w:rPr>
              <w:t>Portland, Oregon</w:t>
            </w:r>
          </w:p>
        </w:tc>
        <w:tc>
          <w:tcPr>
            <w:tcW w:w="1530"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sidRPr="006E7C7A">
              <w:rPr>
                <w:szCs w:val="22"/>
              </w:rPr>
              <w:t>Sept. 13, 2012</w:t>
            </w:r>
          </w:p>
        </w:tc>
      </w:tr>
      <w:tr w:rsidR="00D97A58" w:rsidRPr="006E7C7A" w:rsidTr="008D40B9">
        <w:trPr>
          <w:cantSplit/>
        </w:trPr>
        <w:tc>
          <w:tcPr>
            <w:tcW w:w="1093" w:type="dxa"/>
            <w:tcBorders>
              <w:top w:val="single" w:sz="6" w:space="0" w:color="auto"/>
              <w:left w:val="single" w:sz="4" w:space="0" w:color="auto"/>
              <w:bottom w:val="single" w:sz="6" w:space="0" w:color="auto"/>
              <w:right w:val="single" w:sz="6" w:space="0" w:color="auto"/>
            </w:tcBorders>
          </w:tcPr>
          <w:p w:rsidR="00D97A58" w:rsidRPr="006E7C7A" w:rsidRDefault="00CF3177" w:rsidP="008D40B9">
            <w:pPr>
              <w:spacing w:before="60" w:after="60"/>
              <w:jc w:val="center"/>
              <w:rPr>
                <w:szCs w:val="22"/>
              </w:rPr>
            </w:pPr>
            <w:r w:rsidRPr="006E7C7A">
              <w:rPr>
                <w:szCs w:val="22"/>
              </w:rPr>
              <w:t>3</w:t>
            </w:r>
          </w:p>
        </w:tc>
        <w:tc>
          <w:tcPr>
            <w:tcW w:w="1980" w:type="dxa"/>
            <w:tcBorders>
              <w:top w:val="single" w:sz="6" w:space="0" w:color="auto"/>
              <w:left w:val="single" w:sz="6" w:space="0" w:color="auto"/>
              <w:bottom w:val="single" w:sz="6" w:space="0" w:color="auto"/>
              <w:right w:val="single" w:sz="6" w:space="0" w:color="auto"/>
            </w:tcBorders>
          </w:tcPr>
          <w:p w:rsidR="00D97A58" w:rsidRPr="006E7C7A" w:rsidRDefault="006E7C7A" w:rsidP="008D40B9">
            <w:pPr>
              <w:spacing w:before="60" w:after="60"/>
              <w:rPr>
                <w:szCs w:val="22"/>
              </w:rPr>
            </w:pPr>
            <w:r>
              <w:rPr>
                <w:bCs/>
                <w:szCs w:val="22"/>
              </w:rPr>
              <w:t xml:space="preserve">Co-Speaker Bruce Hanna and </w:t>
            </w:r>
            <w:r w:rsidRPr="006E7C7A">
              <w:rPr>
                <w:bCs/>
                <w:szCs w:val="22"/>
              </w:rPr>
              <w:t>Representative Tim Freeman</w:t>
            </w:r>
          </w:p>
        </w:tc>
        <w:tc>
          <w:tcPr>
            <w:tcW w:w="2597"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Pr>
                <w:szCs w:val="22"/>
              </w:rPr>
              <w:t>Oregon Legislature -</w:t>
            </w:r>
            <w:r w:rsidRPr="006E7C7A">
              <w:rPr>
                <w:szCs w:val="22"/>
              </w:rPr>
              <w:t>House District 7 and House District 2</w:t>
            </w:r>
          </w:p>
        </w:tc>
        <w:tc>
          <w:tcPr>
            <w:tcW w:w="2250"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sidRPr="006E7C7A">
              <w:rPr>
                <w:szCs w:val="22"/>
              </w:rPr>
              <w:t>Salem, Oregon</w:t>
            </w:r>
          </w:p>
        </w:tc>
        <w:tc>
          <w:tcPr>
            <w:tcW w:w="1530" w:type="dxa"/>
            <w:tcBorders>
              <w:top w:val="single" w:sz="6" w:space="0" w:color="auto"/>
              <w:left w:val="single" w:sz="6" w:space="0" w:color="auto"/>
              <w:bottom w:val="single" w:sz="6" w:space="0" w:color="auto"/>
              <w:right w:val="single" w:sz="4" w:space="0" w:color="auto"/>
            </w:tcBorders>
            <w:shd w:val="clear" w:color="auto" w:fill="auto"/>
            <w:tcMar>
              <w:top w:w="0" w:type="dxa"/>
              <w:left w:w="108" w:type="dxa"/>
              <w:bottom w:w="0" w:type="dxa"/>
              <w:right w:w="108" w:type="dxa"/>
            </w:tcMar>
          </w:tcPr>
          <w:p w:rsidR="00D97A58" w:rsidRPr="006E7C7A" w:rsidRDefault="006E7C7A" w:rsidP="008D40B9">
            <w:pPr>
              <w:spacing w:before="60" w:after="60"/>
              <w:rPr>
                <w:szCs w:val="22"/>
              </w:rPr>
            </w:pPr>
            <w:r w:rsidRPr="006E7C7A">
              <w:rPr>
                <w:szCs w:val="22"/>
              </w:rPr>
              <w:t>Sept. 14, 2012</w:t>
            </w:r>
          </w:p>
        </w:tc>
      </w:tr>
    </w:tbl>
    <w:p w:rsidR="00795E6B" w:rsidRPr="00D83DE0" w:rsidRDefault="00795E6B" w:rsidP="00C468F7">
      <w:pPr>
        <w:ind w:right="864"/>
      </w:pPr>
    </w:p>
    <w:sectPr w:rsidR="00795E6B" w:rsidRPr="00D83DE0" w:rsidSect="009D0F03">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0DC" w:rsidRDefault="008150DC">
      <w:r>
        <w:separator/>
      </w:r>
    </w:p>
  </w:endnote>
  <w:endnote w:type="continuationSeparator" w:id="0">
    <w:p w:rsidR="008150DC" w:rsidRDefault="00815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8"/>
        <w:szCs w:val="18"/>
      </w:rPr>
      <w:id w:val="24627676"/>
      <w:docPartObj>
        <w:docPartGallery w:val="Page Numbers (Bottom of Page)"/>
        <w:docPartUnique/>
      </w:docPartObj>
    </w:sdtPr>
    <w:sdtContent>
      <w:p w:rsidR="008150DC" w:rsidRPr="009D0F03" w:rsidRDefault="008150DC">
        <w:pPr>
          <w:pStyle w:val="Footer"/>
          <w:rPr>
            <w:rFonts w:ascii="Arial" w:hAnsi="Arial" w:cs="Arial"/>
            <w:sz w:val="18"/>
            <w:szCs w:val="18"/>
          </w:rPr>
        </w:pPr>
        <w:r w:rsidRPr="009D0F03">
          <w:rPr>
            <w:rFonts w:ascii="Arial" w:hAnsi="Arial" w:cs="Arial"/>
            <w:sz w:val="18"/>
            <w:szCs w:val="18"/>
          </w:rPr>
          <w:t>CWSRF Summary of Public Comment and Agency Response</w:t>
        </w:r>
        <w:r>
          <w:rPr>
            <w:rFonts w:ascii="Arial" w:hAnsi="Arial" w:cs="Arial"/>
            <w:sz w:val="18"/>
            <w:szCs w:val="18"/>
          </w:rPr>
          <w:t>s</w:t>
        </w:r>
      </w:p>
      <w:p w:rsidR="008150DC" w:rsidRPr="009D0F03" w:rsidRDefault="008150DC">
        <w:pPr>
          <w:pStyle w:val="Footer"/>
          <w:rPr>
            <w:rFonts w:ascii="Arial" w:hAnsi="Arial" w:cs="Arial"/>
            <w:sz w:val="18"/>
            <w:szCs w:val="18"/>
          </w:rPr>
        </w:pPr>
        <w:r w:rsidRPr="009D0F03">
          <w:rPr>
            <w:rFonts w:ascii="Arial" w:hAnsi="Arial" w:cs="Arial"/>
            <w:sz w:val="18"/>
            <w:szCs w:val="18"/>
          </w:rPr>
          <w:t xml:space="preserve">Page </w:t>
        </w:r>
        <w:r w:rsidRPr="009D0F03">
          <w:rPr>
            <w:rFonts w:ascii="Arial" w:hAnsi="Arial" w:cs="Arial"/>
            <w:sz w:val="18"/>
            <w:szCs w:val="18"/>
          </w:rPr>
          <w:fldChar w:fldCharType="begin"/>
        </w:r>
        <w:r w:rsidRPr="009D0F03">
          <w:rPr>
            <w:rFonts w:ascii="Arial" w:hAnsi="Arial" w:cs="Arial"/>
            <w:sz w:val="18"/>
            <w:szCs w:val="18"/>
          </w:rPr>
          <w:instrText xml:space="preserve"> PAGE   \* MERGEFORMAT </w:instrText>
        </w:r>
        <w:r w:rsidRPr="009D0F03">
          <w:rPr>
            <w:rFonts w:ascii="Arial" w:hAnsi="Arial" w:cs="Arial"/>
            <w:sz w:val="18"/>
            <w:szCs w:val="18"/>
          </w:rPr>
          <w:fldChar w:fldCharType="separate"/>
        </w:r>
        <w:r w:rsidR="0053427C">
          <w:rPr>
            <w:rFonts w:ascii="Arial" w:hAnsi="Arial" w:cs="Arial"/>
            <w:noProof/>
            <w:sz w:val="18"/>
            <w:szCs w:val="18"/>
          </w:rPr>
          <w:t>5</w:t>
        </w:r>
        <w:r w:rsidRPr="009D0F03">
          <w:rPr>
            <w:rFonts w:ascii="Arial" w:hAnsi="Arial" w:cs="Arial"/>
            <w:sz w:val="18"/>
            <w:szCs w:val="18"/>
          </w:rPr>
          <w:fldChar w:fldCharType="end"/>
        </w:r>
        <w:r w:rsidRPr="009D0F03">
          <w:rPr>
            <w:rFonts w:ascii="Arial" w:hAnsi="Arial" w:cs="Arial"/>
            <w:sz w:val="18"/>
            <w:szCs w:val="18"/>
          </w:rPr>
          <w:t xml:space="preserve"> of 5</w:t>
        </w:r>
      </w:p>
    </w:sdtContent>
  </w:sdt>
  <w:p w:rsidR="008150DC" w:rsidRPr="009D0F03" w:rsidRDefault="008150DC">
    <w:pPr>
      <w:pStyle w:val="Foo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0DC" w:rsidRDefault="008150DC">
      <w:r>
        <w:separator/>
      </w:r>
    </w:p>
  </w:footnote>
  <w:footnote w:type="continuationSeparator" w:id="0">
    <w:p w:rsidR="008150DC" w:rsidRDefault="00815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45AF"/>
    <w:multiLevelType w:val="hybridMultilevel"/>
    <w:tmpl w:val="19427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9257B9F"/>
    <w:multiLevelType w:val="hybridMultilevel"/>
    <w:tmpl w:val="96466C0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4E641FDA"/>
    <w:multiLevelType w:val="hybridMultilevel"/>
    <w:tmpl w:val="E6ECB1B4"/>
    <w:lvl w:ilvl="0" w:tplc="91E21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B1531C"/>
    <w:multiLevelType w:val="singleLevel"/>
    <w:tmpl w:val="7486C424"/>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54D06"/>
    <w:rsid w:val="00054D06"/>
    <w:rsid w:val="000834D2"/>
    <w:rsid w:val="000D31D7"/>
    <w:rsid w:val="001578C8"/>
    <w:rsid w:val="0018164F"/>
    <w:rsid w:val="00185EA5"/>
    <w:rsid w:val="001D1639"/>
    <w:rsid w:val="00223F6C"/>
    <w:rsid w:val="00247E25"/>
    <w:rsid w:val="00253680"/>
    <w:rsid w:val="00344BA5"/>
    <w:rsid w:val="003474C8"/>
    <w:rsid w:val="003848E5"/>
    <w:rsid w:val="00397CE5"/>
    <w:rsid w:val="003A2BC2"/>
    <w:rsid w:val="003F4E08"/>
    <w:rsid w:val="003F51A7"/>
    <w:rsid w:val="00426C92"/>
    <w:rsid w:val="004471AA"/>
    <w:rsid w:val="004719FF"/>
    <w:rsid w:val="00483FAA"/>
    <w:rsid w:val="004C3021"/>
    <w:rsid w:val="004E6985"/>
    <w:rsid w:val="0053427C"/>
    <w:rsid w:val="005D34DD"/>
    <w:rsid w:val="005E1EA2"/>
    <w:rsid w:val="006778CF"/>
    <w:rsid w:val="006B7F3C"/>
    <w:rsid w:val="006E7C7A"/>
    <w:rsid w:val="00721450"/>
    <w:rsid w:val="00767304"/>
    <w:rsid w:val="0077403D"/>
    <w:rsid w:val="00795E6B"/>
    <w:rsid w:val="007A65C5"/>
    <w:rsid w:val="008051F6"/>
    <w:rsid w:val="008120A6"/>
    <w:rsid w:val="008150DC"/>
    <w:rsid w:val="00852A87"/>
    <w:rsid w:val="008940BD"/>
    <w:rsid w:val="008A2402"/>
    <w:rsid w:val="008C1230"/>
    <w:rsid w:val="008D40B9"/>
    <w:rsid w:val="008F5ABF"/>
    <w:rsid w:val="00915343"/>
    <w:rsid w:val="00945A2C"/>
    <w:rsid w:val="009C3A39"/>
    <w:rsid w:val="009D0F03"/>
    <w:rsid w:val="009D37F0"/>
    <w:rsid w:val="00A50C0E"/>
    <w:rsid w:val="00AD5243"/>
    <w:rsid w:val="00AF3F91"/>
    <w:rsid w:val="00BC77F4"/>
    <w:rsid w:val="00BF475D"/>
    <w:rsid w:val="00BF57C6"/>
    <w:rsid w:val="00C047B5"/>
    <w:rsid w:val="00C31FD0"/>
    <w:rsid w:val="00C468F7"/>
    <w:rsid w:val="00C85795"/>
    <w:rsid w:val="00CB5695"/>
    <w:rsid w:val="00CF3177"/>
    <w:rsid w:val="00D1241E"/>
    <w:rsid w:val="00D14C01"/>
    <w:rsid w:val="00D83DE0"/>
    <w:rsid w:val="00D97A58"/>
    <w:rsid w:val="00DD604D"/>
    <w:rsid w:val="00E23E60"/>
    <w:rsid w:val="00E27D6C"/>
    <w:rsid w:val="00E3630C"/>
    <w:rsid w:val="00F04C69"/>
    <w:rsid w:val="00F91DFA"/>
    <w:rsid w:val="00F95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8C8"/>
    <w:rPr>
      <w:sz w:val="22"/>
    </w:rPr>
  </w:style>
  <w:style w:type="paragraph" w:styleId="Heading2">
    <w:name w:val="heading 2"/>
    <w:basedOn w:val="Normal"/>
    <w:qFormat/>
    <w:rsid w:val="001578C8"/>
    <w:pPr>
      <w:keepNext/>
      <w:outlineLvl w:val="1"/>
    </w:pPr>
    <w:rPr>
      <w:sz w:val="24"/>
      <w:szCs w:val="24"/>
    </w:rPr>
  </w:style>
  <w:style w:type="paragraph" w:styleId="Heading4">
    <w:name w:val="heading 4"/>
    <w:basedOn w:val="Normal"/>
    <w:next w:val="Normal"/>
    <w:qFormat/>
    <w:rsid w:val="00BC77F4"/>
    <w:pPr>
      <w:keepNext/>
      <w:spacing w:before="240" w:after="60"/>
      <w:outlineLvl w:val="3"/>
    </w:pPr>
    <w:rPr>
      <w:b/>
      <w:bCs/>
      <w:sz w:val="28"/>
      <w:szCs w:val="28"/>
    </w:rPr>
  </w:style>
  <w:style w:type="paragraph" w:styleId="Heading5">
    <w:name w:val="heading 5"/>
    <w:basedOn w:val="Normal"/>
    <w:next w:val="Normal"/>
    <w:qFormat/>
    <w:rsid w:val="00BC77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78C8"/>
    <w:rPr>
      <w:sz w:val="20"/>
    </w:rPr>
  </w:style>
  <w:style w:type="paragraph" w:styleId="BodyText">
    <w:name w:val="Body Text"/>
    <w:basedOn w:val="Normal"/>
    <w:rsid w:val="001578C8"/>
    <w:rPr>
      <w:sz w:val="24"/>
      <w:szCs w:val="24"/>
    </w:rPr>
  </w:style>
  <w:style w:type="paragraph" w:customStyle="1" w:styleId="BlockLine">
    <w:name w:val="Block Line"/>
    <w:basedOn w:val="Normal"/>
    <w:next w:val="Normal"/>
    <w:rsid w:val="00BC77F4"/>
    <w:pPr>
      <w:pBdr>
        <w:top w:val="single" w:sz="6" w:space="1" w:color="auto"/>
        <w:between w:val="single" w:sz="6" w:space="1" w:color="auto"/>
      </w:pBdr>
      <w:spacing w:before="240"/>
      <w:ind w:left="1700"/>
    </w:pPr>
    <w:rPr>
      <w:sz w:val="24"/>
    </w:rPr>
  </w:style>
  <w:style w:type="paragraph" w:styleId="BlockText">
    <w:name w:val="Block Text"/>
    <w:basedOn w:val="Normal"/>
    <w:rsid w:val="00BC77F4"/>
    <w:rPr>
      <w:sz w:val="24"/>
    </w:rPr>
  </w:style>
  <w:style w:type="table" w:styleId="TableGrid">
    <w:name w:val="Table Grid"/>
    <w:basedOn w:val="TableNormal"/>
    <w:rsid w:val="007A6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21450"/>
    <w:pPr>
      <w:tabs>
        <w:tab w:val="center" w:pos="4320"/>
        <w:tab w:val="right" w:pos="8640"/>
      </w:tabs>
    </w:pPr>
  </w:style>
  <w:style w:type="paragraph" w:styleId="BalloonText">
    <w:name w:val="Balloon Text"/>
    <w:basedOn w:val="Normal"/>
    <w:link w:val="BalloonTextChar"/>
    <w:uiPriority w:val="99"/>
    <w:semiHidden/>
    <w:unhideWhenUsed/>
    <w:rsid w:val="00F91DFA"/>
    <w:rPr>
      <w:rFonts w:ascii="Tahoma" w:hAnsi="Tahoma" w:cs="Tahoma"/>
      <w:sz w:val="16"/>
      <w:szCs w:val="16"/>
    </w:rPr>
  </w:style>
  <w:style w:type="character" w:customStyle="1" w:styleId="BalloonTextChar">
    <w:name w:val="Balloon Text Char"/>
    <w:basedOn w:val="DefaultParagraphFont"/>
    <w:link w:val="BalloonText"/>
    <w:uiPriority w:val="99"/>
    <w:semiHidden/>
    <w:rsid w:val="00F91DFA"/>
    <w:rPr>
      <w:rFonts w:ascii="Tahoma" w:hAnsi="Tahoma" w:cs="Tahoma"/>
      <w:sz w:val="16"/>
      <w:szCs w:val="16"/>
    </w:rPr>
  </w:style>
  <w:style w:type="character" w:customStyle="1" w:styleId="FooterChar">
    <w:name w:val="Footer Char"/>
    <w:basedOn w:val="DefaultParagraphFont"/>
    <w:link w:val="Footer"/>
    <w:uiPriority w:val="99"/>
    <w:rsid w:val="009D0F03"/>
    <w:rPr>
      <w:sz w:val="22"/>
    </w:rPr>
  </w:style>
</w:styles>
</file>

<file path=word/webSettings.xml><?xml version="1.0" encoding="utf-8"?>
<w:webSettings xmlns:r="http://schemas.openxmlformats.org/officeDocument/2006/relationships" xmlns:w="http://schemas.openxmlformats.org/wordprocessingml/2006/main">
  <w:divs>
    <w:div w:id="25336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2073</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State  Of Oregon</vt:lpstr>
    </vt:vector>
  </TitlesOfParts>
  <Company>Department of Environmental Quality</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Oregon</dc:title>
  <dc:creator>Loretta Pickerell</dc:creator>
  <cp:lastModifiedBy>Judy Johndohl</cp:lastModifiedBy>
  <cp:revision>5</cp:revision>
  <cp:lastPrinted>2002-08-07T23:10:00Z</cp:lastPrinted>
  <dcterms:created xsi:type="dcterms:W3CDTF">2012-10-24T19:00:00Z</dcterms:created>
  <dcterms:modified xsi:type="dcterms:W3CDTF">2012-11-01T18:43:00Z</dcterms:modified>
</cp:coreProperties>
</file>