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874016"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F32315" w:rsidRDefault="00893D1B" w:rsidP="003672C0">
      <w:pPr>
        <w:tabs>
          <w:tab w:val="left" w:pos="-1440"/>
          <w:tab w:val="left" w:pos="-720"/>
          <w:tab w:val="left" w:pos="126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061620">
        <w:rPr>
          <w:rFonts w:ascii="Times New Roman" w:hAnsi="Times New Roman"/>
        </w:rPr>
        <w:t>July 16, 2012</w:t>
      </w:r>
    </w:p>
    <w:p w:rsidR="00F32315" w:rsidRPr="00D1171D" w:rsidRDefault="00F32315" w:rsidP="00F32315">
      <w:pPr>
        <w:tabs>
          <w:tab w:val="left" w:pos="-1440"/>
          <w:tab w:val="left" w:pos="-720"/>
          <w:tab w:val="left" w:pos="1440"/>
          <w:tab w:val="right" w:pos="9360"/>
        </w:tabs>
        <w:suppressAutoHyphens/>
        <w:rPr>
          <w:rFonts w:ascii="Times New Roman" w:hAnsi="Times New Roman"/>
        </w:rPr>
      </w:pPr>
    </w:p>
    <w:p w:rsidR="00893D1B" w:rsidRPr="00D1171D" w:rsidRDefault="00893D1B" w:rsidP="003672C0">
      <w:pPr>
        <w:tabs>
          <w:tab w:val="left" w:pos="-1440"/>
          <w:tab w:val="left" w:pos="-720"/>
          <w:tab w:val="left" w:pos="0"/>
          <w:tab w:val="left" w:pos="720"/>
        </w:tabs>
        <w:suppressAutoHyphens/>
        <w:ind w:left="1260" w:hanging="126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3672C0">
      <w:pPr>
        <w:tabs>
          <w:tab w:val="left" w:pos="-1440"/>
          <w:tab w:val="left" w:pos="-720"/>
          <w:tab w:val="left" w:pos="0"/>
          <w:tab w:val="left" w:pos="720"/>
        </w:tabs>
        <w:suppressAutoHyphens/>
        <w:ind w:left="1260" w:hanging="126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3672C0">
      <w:pPr>
        <w:tabs>
          <w:tab w:val="left" w:pos="-1440"/>
          <w:tab w:val="left" w:pos="-720"/>
          <w:tab w:val="left" w:pos="0"/>
          <w:tab w:val="left" w:pos="720"/>
        </w:tabs>
        <w:suppressAutoHyphens/>
        <w:ind w:left="1260" w:hanging="126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156EF5">
        <w:rPr>
          <w:rFonts w:ascii="Times New Roman" w:hAnsi="Times New Roman"/>
        </w:rPr>
        <w:t>Informational</w:t>
      </w:r>
      <w:r w:rsidR="00C07BC5">
        <w:rPr>
          <w:rFonts w:ascii="Times New Roman" w:hAnsi="Times New Roman"/>
        </w:rPr>
        <w:t xml:space="preserve"> item</w:t>
      </w:r>
      <w:r w:rsidR="00120648" w:rsidRPr="00D1171D">
        <w:rPr>
          <w:rFonts w:ascii="Times New Roman" w:hAnsi="Times New Roman"/>
        </w:rPr>
        <w:t>:</w:t>
      </w:r>
      <w:r w:rsidR="00B26126">
        <w:rPr>
          <w:rFonts w:ascii="Times New Roman" w:hAnsi="Times New Roman"/>
        </w:rPr>
        <w:t xml:space="preserve"> </w:t>
      </w:r>
      <w:r w:rsidR="00061620">
        <w:rPr>
          <w:rFonts w:ascii="Times New Roman" w:hAnsi="Times New Roman"/>
        </w:rPr>
        <w:t>Proposed Oregon Clean Fuels Program</w:t>
      </w:r>
    </w:p>
    <w:p w:rsidR="00893D1B" w:rsidRPr="006E7804" w:rsidRDefault="00893D1B" w:rsidP="003672C0">
      <w:pPr>
        <w:tabs>
          <w:tab w:val="left" w:pos="-1440"/>
          <w:tab w:val="left" w:pos="-720"/>
          <w:tab w:val="left" w:pos="0"/>
          <w:tab w:val="left" w:pos="720"/>
        </w:tabs>
        <w:suppressAutoHyphens/>
        <w:ind w:left="1260" w:hanging="90"/>
        <w:rPr>
          <w:rFonts w:ascii="Times New Roman" w:hAnsi="Times New Roman"/>
          <w:i/>
        </w:rPr>
      </w:pPr>
      <w:r w:rsidRPr="00D1171D">
        <w:rPr>
          <w:rFonts w:ascii="Times New Roman" w:hAnsi="Times New Roman"/>
          <w:b/>
        </w:rPr>
        <w:tab/>
      </w:r>
      <w:r w:rsidR="00061620">
        <w:rPr>
          <w:rFonts w:ascii="Times New Roman" w:hAnsi="Times New Roman"/>
        </w:rPr>
        <w:t>August 24</w:t>
      </w:r>
      <w:r w:rsidR="00F32315">
        <w:rPr>
          <w:rFonts w:ascii="Times New Roman" w:hAnsi="Times New Roman"/>
        </w:rPr>
        <w:t>,</w:t>
      </w:r>
      <w:r w:rsidR="00B26126" w:rsidRPr="00B26126">
        <w:rPr>
          <w:rFonts w:ascii="Times New Roman" w:hAnsi="Times New Roman"/>
        </w:rPr>
        <w:t xml:space="preserve"> 2012</w:t>
      </w:r>
      <w:r w:rsidR="00120648" w:rsidRPr="00D1171D">
        <w:rPr>
          <w:rFonts w:ascii="Times New Roman" w:hAnsi="Times New Roman"/>
        </w:rPr>
        <w:t xml:space="preserve">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433"/>
        <w:gridCol w:w="7295"/>
      </w:tblGrid>
      <w:tr w:rsidR="00893D1B" w:rsidRPr="00D1171D" w:rsidTr="003109A4">
        <w:tc>
          <w:tcPr>
            <w:tcW w:w="1381"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295" w:type="dxa"/>
          </w:tcPr>
          <w:p w:rsidR="00DE019F" w:rsidRDefault="00B26126" w:rsidP="00393250">
            <w:pPr>
              <w:tabs>
                <w:tab w:val="left" w:pos="-1440"/>
                <w:tab w:val="left" w:pos="-720"/>
                <w:tab w:val="left" w:pos="4050"/>
              </w:tabs>
              <w:suppressAutoHyphens/>
              <w:ind w:left="-108"/>
              <w:rPr>
                <w:rFonts w:ascii="Times New Roman" w:hAnsi="Times New Roman"/>
                <w:spacing w:val="-3"/>
              </w:rPr>
            </w:pPr>
            <w:r>
              <w:rPr>
                <w:rFonts w:ascii="Times New Roman" w:hAnsi="Times New Roman"/>
                <w:spacing w:val="-3"/>
              </w:rPr>
              <w:t xml:space="preserve">DEQ has </w:t>
            </w:r>
            <w:r w:rsidR="00F32315">
              <w:rPr>
                <w:rFonts w:ascii="Times New Roman" w:hAnsi="Times New Roman"/>
                <w:spacing w:val="-3"/>
              </w:rPr>
              <w:t xml:space="preserve">opened </w:t>
            </w:r>
            <w:r w:rsidR="00AD31E3">
              <w:rPr>
                <w:rFonts w:ascii="Times New Roman" w:hAnsi="Times New Roman"/>
                <w:spacing w:val="-3"/>
              </w:rPr>
              <w:t>the</w:t>
            </w:r>
            <w:r w:rsidR="00F32315">
              <w:rPr>
                <w:rFonts w:ascii="Times New Roman" w:hAnsi="Times New Roman"/>
                <w:spacing w:val="-3"/>
              </w:rPr>
              <w:t xml:space="preserve"> public comment period to gather input on DEQ</w:t>
            </w:r>
            <w:r w:rsidR="00AD31E3">
              <w:rPr>
                <w:rFonts w:ascii="Times New Roman" w:hAnsi="Times New Roman"/>
                <w:spacing w:val="-3"/>
              </w:rPr>
              <w:t>’s proposed rules for the Oregon Clean Fuels Program.</w:t>
            </w:r>
            <w:r w:rsidR="00F32315">
              <w:rPr>
                <w:rFonts w:ascii="Times New Roman" w:hAnsi="Times New Roman"/>
                <w:spacing w:val="-3"/>
              </w:rPr>
              <w:t xml:space="preserve"> The </w:t>
            </w:r>
            <w:r w:rsidR="003672C0">
              <w:rPr>
                <w:rFonts w:ascii="Times New Roman" w:hAnsi="Times New Roman"/>
                <w:spacing w:val="-3"/>
              </w:rPr>
              <w:t>comment period</w:t>
            </w:r>
            <w:r w:rsidR="00F32315">
              <w:rPr>
                <w:rFonts w:ascii="Times New Roman" w:hAnsi="Times New Roman"/>
                <w:spacing w:val="-3"/>
              </w:rPr>
              <w:t xml:space="preserve"> opened on </w:t>
            </w:r>
            <w:r w:rsidR="00AD31E3">
              <w:rPr>
                <w:rFonts w:ascii="Times New Roman" w:hAnsi="Times New Roman"/>
                <w:spacing w:val="-3"/>
              </w:rPr>
              <w:t xml:space="preserve">July </w:t>
            </w:r>
            <w:r w:rsidR="002D2DF4">
              <w:rPr>
                <w:rFonts w:ascii="Times New Roman" w:hAnsi="Times New Roman"/>
                <w:spacing w:val="-3"/>
              </w:rPr>
              <w:t>1</w:t>
            </w:r>
            <w:r w:rsidR="00AD31E3">
              <w:rPr>
                <w:rFonts w:ascii="Times New Roman" w:hAnsi="Times New Roman"/>
                <w:spacing w:val="-3"/>
              </w:rPr>
              <w:t>8,</w:t>
            </w:r>
            <w:r w:rsidR="003672C0">
              <w:rPr>
                <w:rFonts w:ascii="Times New Roman" w:hAnsi="Times New Roman"/>
                <w:spacing w:val="-3"/>
              </w:rPr>
              <w:t xml:space="preserve"> 2012</w:t>
            </w:r>
            <w:r w:rsidR="002D2DF4">
              <w:rPr>
                <w:rFonts w:ascii="Times New Roman" w:hAnsi="Times New Roman"/>
                <w:spacing w:val="-3"/>
              </w:rPr>
              <w:t xml:space="preserve"> and will close on </w:t>
            </w:r>
            <w:r w:rsidR="00AD31E3">
              <w:rPr>
                <w:rFonts w:ascii="Times New Roman" w:hAnsi="Times New Roman"/>
                <w:spacing w:val="-3"/>
              </w:rPr>
              <w:t>August</w:t>
            </w:r>
            <w:r w:rsidR="002D2DF4">
              <w:rPr>
                <w:rFonts w:ascii="Times New Roman" w:hAnsi="Times New Roman"/>
                <w:spacing w:val="-3"/>
              </w:rPr>
              <w:t xml:space="preserve"> </w:t>
            </w:r>
            <w:r w:rsidR="00AD31E3">
              <w:rPr>
                <w:rFonts w:ascii="Times New Roman" w:hAnsi="Times New Roman"/>
                <w:spacing w:val="-3"/>
              </w:rPr>
              <w:t>31,</w:t>
            </w:r>
            <w:r w:rsidR="003672C0">
              <w:rPr>
                <w:rFonts w:ascii="Times New Roman" w:hAnsi="Times New Roman"/>
                <w:spacing w:val="-3"/>
              </w:rPr>
              <w:t xml:space="preserve"> 2012</w:t>
            </w:r>
            <w:r w:rsidR="002D2DF4">
              <w:rPr>
                <w:rFonts w:ascii="Times New Roman" w:hAnsi="Times New Roman"/>
                <w:spacing w:val="-3"/>
              </w:rPr>
              <w:t xml:space="preserve">. </w:t>
            </w:r>
            <w:r>
              <w:rPr>
                <w:rFonts w:ascii="Times New Roman" w:hAnsi="Times New Roman"/>
                <w:spacing w:val="-3"/>
              </w:rPr>
              <w:t xml:space="preserve">The </w:t>
            </w:r>
            <w:r w:rsidR="00393250">
              <w:rPr>
                <w:rFonts w:ascii="Times New Roman" w:hAnsi="Times New Roman"/>
                <w:spacing w:val="-3"/>
              </w:rPr>
              <w:t>c</w:t>
            </w:r>
            <w:r w:rsidR="00393250">
              <w:rPr>
                <w:rFonts w:ascii="Times New Roman" w:hAnsi="Times New Roman"/>
                <w:spacing w:val="-3"/>
              </w:rPr>
              <w:t xml:space="preserve">ommission </w:t>
            </w:r>
            <w:r>
              <w:rPr>
                <w:rFonts w:ascii="Times New Roman" w:hAnsi="Times New Roman"/>
                <w:spacing w:val="-3"/>
              </w:rPr>
              <w:t xml:space="preserve">will have an opportunity to </w:t>
            </w:r>
            <w:r w:rsidR="00AD31E3">
              <w:rPr>
                <w:rFonts w:ascii="Times New Roman" w:hAnsi="Times New Roman"/>
                <w:spacing w:val="-3"/>
              </w:rPr>
              <w:t xml:space="preserve">receive oral and written testimony </w:t>
            </w:r>
            <w:r>
              <w:rPr>
                <w:rFonts w:ascii="Times New Roman" w:hAnsi="Times New Roman"/>
                <w:spacing w:val="-3"/>
              </w:rPr>
              <w:t xml:space="preserve">from </w:t>
            </w:r>
            <w:r w:rsidR="00AD31E3">
              <w:rPr>
                <w:rFonts w:ascii="Times New Roman" w:hAnsi="Times New Roman"/>
                <w:spacing w:val="-3"/>
              </w:rPr>
              <w:t xml:space="preserve">the public </w:t>
            </w:r>
            <w:r w:rsidR="003672C0">
              <w:rPr>
                <w:rFonts w:ascii="Times New Roman" w:hAnsi="Times New Roman"/>
                <w:spacing w:val="-3"/>
              </w:rPr>
              <w:t xml:space="preserve">at the </w:t>
            </w:r>
            <w:r w:rsidR="00AD31E3">
              <w:rPr>
                <w:rFonts w:ascii="Times New Roman" w:hAnsi="Times New Roman"/>
                <w:spacing w:val="-3"/>
              </w:rPr>
              <w:t xml:space="preserve">August 2012 </w:t>
            </w:r>
            <w:r w:rsidR="003672C0">
              <w:rPr>
                <w:rFonts w:ascii="Times New Roman" w:hAnsi="Times New Roman"/>
                <w:spacing w:val="-3"/>
              </w:rPr>
              <w:t>meeting</w:t>
            </w:r>
            <w:r w:rsidR="00AD31E3">
              <w:rPr>
                <w:rFonts w:ascii="Times New Roman" w:hAnsi="Times New Roman"/>
                <w:spacing w:val="-3"/>
              </w:rPr>
              <w:t xml:space="preserve">. </w:t>
            </w:r>
            <w:r w:rsidR="00244507">
              <w:rPr>
                <w:rFonts w:ascii="Times New Roman" w:hAnsi="Times New Roman"/>
                <w:spacing w:val="-3"/>
              </w:rPr>
              <w:t xml:space="preserve">Along with attending the public hearing in Portland, members of the public can also visit DEQ’s regional offices in Eugene, Medford, Bend and Pendleton to provide the </w:t>
            </w:r>
            <w:r w:rsidR="00167C99">
              <w:rPr>
                <w:rFonts w:ascii="Times New Roman" w:hAnsi="Times New Roman"/>
                <w:spacing w:val="-3"/>
              </w:rPr>
              <w:t xml:space="preserve">commission </w:t>
            </w:r>
            <w:r w:rsidR="00244507">
              <w:rPr>
                <w:rFonts w:ascii="Times New Roman" w:hAnsi="Times New Roman"/>
                <w:spacing w:val="-3"/>
              </w:rPr>
              <w:t xml:space="preserve">with testimony via teleconference. </w:t>
            </w:r>
            <w:r w:rsidR="00AD31E3">
              <w:rPr>
                <w:rFonts w:ascii="Times New Roman" w:hAnsi="Times New Roman"/>
                <w:spacing w:val="-3"/>
              </w:rPr>
              <w:t xml:space="preserve">The </w:t>
            </w:r>
            <w:r w:rsidR="00167C99">
              <w:rPr>
                <w:rFonts w:ascii="Times New Roman" w:hAnsi="Times New Roman"/>
                <w:spacing w:val="-3"/>
              </w:rPr>
              <w:t>c</w:t>
            </w:r>
            <w:r w:rsidR="00AD31E3">
              <w:rPr>
                <w:rFonts w:ascii="Times New Roman" w:hAnsi="Times New Roman"/>
                <w:spacing w:val="-3"/>
              </w:rPr>
              <w:t>ommission will consider the proposed rules for adoption at the</w:t>
            </w:r>
            <w:r w:rsidR="002D2DF4">
              <w:rPr>
                <w:rFonts w:ascii="Times New Roman" w:hAnsi="Times New Roman"/>
                <w:spacing w:val="-3"/>
              </w:rPr>
              <w:t xml:space="preserve"> </w:t>
            </w:r>
            <w:r w:rsidR="00AD31E3">
              <w:rPr>
                <w:rFonts w:ascii="Times New Roman" w:hAnsi="Times New Roman"/>
                <w:spacing w:val="-3"/>
              </w:rPr>
              <w:t>December 2012 meeting</w:t>
            </w:r>
            <w:r w:rsidR="002D2DF4">
              <w:rPr>
                <w:rFonts w:ascii="Times New Roman" w:hAnsi="Times New Roman"/>
                <w:spacing w:val="-3"/>
              </w:rPr>
              <w:t>.</w:t>
            </w:r>
            <w:r>
              <w:rPr>
                <w:rFonts w:ascii="Times New Roman" w:hAnsi="Times New Roman"/>
                <w:spacing w:val="-3"/>
              </w:rPr>
              <w:t xml:space="preserve"> </w:t>
            </w:r>
          </w:p>
        </w:tc>
      </w:tr>
      <w:tr w:rsidR="00630AAC" w:rsidRPr="00D1171D" w:rsidTr="003109A4">
        <w:trPr>
          <w:trHeight w:val="333"/>
        </w:trPr>
        <w:tc>
          <w:tcPr>
            <w:tcW w:w="1381"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295" w:type="dxa"/>
          </w:tcPr>
          <w:p w:rsidR="00630AAC" w:rsidRDefault="00630AAC" w:rsidP="00F8329D">
            <w:pPr>
              <w:tabs>
                <w:tab w:val="left" w:pos="-1440"/>
                <w:tab w:val="left" w:pos="-720"/>
                <w:tab w:val="left" w:pos="4050"/>
              </w:tabs>
              <w:suppressAutoHyphens/>
              <w:rPr>
                <w:rFonts w:ascii="Times New Roman" w:hAnsi="Times New Roman"/>
                <w:spacing w:val="-3"/>
              </w:rPr>
            </w:pPr>
          </w:p>
        </w:tc>
      </w:tr>
      <w:tr w:rsidR="00893D1B" w:rsidRPr="00D1171D" w:rsidTr="003109A4">
        <w:tc>
          <w:tcPr>
            <w:tcW w:w="1381" w:type="dxa"/>
          </w:tcPr>
          <w:p w:rsidR="00893D1B" w:rsidRPr="00D1171D" w:rsidRDefault="00893D1B" w:rsidP="003672C0">
            <w:pPr>
              <w:tabs>
                <w:tab w:val="left" w:pos="-1440"/>
                <w:tab w:val="left" w:pos="-720"/>
                <w:tab w:val="left" w:pos="4050"/>
              </w:tabs>
              <w:suppressAutoHyphens/>
              <w:ind w:right="85"/>
              <w:rPr>
                <w:rFonts w:ascii="Times New Roman" w:hAnsi="Times New Roman"/>
                <w:b/>
                <w:spacing w:val="-3"/>
                <w:sz w:val="22"/>
              </w:rPr>
            </w:pPr>
            <w:r w:rsidRPr="00D1171D">
              <w:rPr>
                <w:rFonts w:ascii="Times New Roman" w:hAnsi="Times New Roman"/>
                <w:b/>
                <w:spacing w:val="-3"/>
                <w:sz w:val="22"/>
              </w:rPr>
              <w:t xml:space="preserve">Background </w:t>
            </w:r>
            <w:r w:rsidR="00825E7B">
              <w:rPr>
                <w:rFonts w:ascii="Times New Roman" w:hAnsi="Times New Roman"/>
                <w:b/>
                <w:spacing w:val="-3"/>
                <w:sz w:val="22"/>
              </w:rPr>
              <w:t>and other information</w:t>
            </w:r>
          </w:p>
          <w:p w:rsidR="00893D1B" w:rsidRPr="001616B5" w:rsidRDefault="00893D1B" w:rsidP="001616B5">
            <w:pPr>
              <w:pStyle w:val="ListParagraph"/>
              <w:tabs>
                <w:tab w:val="left" w:pos="-1440"/>
                <w:tab w:val="left" w:pos="-720"/>
                <w:tab w:val="left" w:pos="4050"/>
              </w:tabs>
              <w:suppressAutoHyphens/>
              <w:rPr>
                <w:rFonts w:ascii="Times New Roman" w:hAnsi="Times New Roman"/>
                <w:b/>
                <w:spacing w:val="-3"/>
              </w:rPr>
            </w:pPr>
          </w:p>
        </w:tc>
        <w:tc>
          <w:tcPr>
            <w:tcW w:w="7295" w:type="dxa"/>
          </w:tcPr>
          <w:p w:rsidR="005778FB" w:rsidRDefault="005778FB" w:rsidP="005778FB">
            <w:pPr>
              <w:ind w:left="-83"/>
              <w:rPr>
                <w:rFonts w:ascii="Times New Roman" w:hAnsi="Times New Roman"/>
                <w:szCs w:val="24"/>
              </w:rPr>
            </w:pPr>
            <w:r w:rsidRPr="00AD31E3">
              <w:rPr>
                <w:rFonts w:ascii="Times New Roman" w:hAnsi="Times New Roman"/>
                <w:szCs w:val="24"/>
              </w:rPr>
              <w:t>The Oregon Clean Fuels Program is a component for several important Oregon initiatives including Oregon's energy, transportation and climate protection action plans. Approximately one-third of Oregon’s greenhouse gases come from transportation sources and providing cleaner fuels will help reduce these emissions.</w:t>
            </w:r>
          </w:p>
          <w:p w:rsidR="00244507" w:rsidRPr="00AD31E3" w:rsidRDefault="00244507" w:rsidP="005778FB">
            <w:pPr>
              <w:ind w:left="-83"/>
              <w:rPr>
                <w:rFonts w:ascii="Times New Roman" w:hAnsi="Times New Roman"/>
                <w:szCs w:val="24"/>
              </w:rPr>
            </w:pPr>
          </w:p>
          <w:p w:rsidR="00B26126" w:rsidRPr="00AD31E3" w:rsidRDefault="00AD31E3" w:rsidP="00B26126">
            <w:pPr>
              <w:tabs>
                <w:tab w:val="left" w:pos="-1440"/>
                <w:tab w:val="left" w:pos="-720"/>
                <w:tab w:val="left" w:pos="4050"/>
              </w:tabs>
              <w:suppressAutoHyphens/>
              <w:ind w:left="-108"/>
              <w:rPr>
                <w:rFonts w:ascii="Times New Roman" w:hAnsi="Times New Roman"/>
                <w:szCs w:val="24"/>
              </w:rPr>
            </w:pPr>
            <w:r w:rsidRPr="00AD31E3">
              <w:rPr>
                <w:rFonts w:ascii="Times New Roman" w:hAnsi="Times New Roman"/>
                <w:szCs w:val="24"/>
              </w:rPr>
              <w:t xml:space="preserve">The 2009 Oregon Legislature authorized the </w:t>
            </w:r>
            <w:r w:rsidR="00167C99">
              <w:rPr>
                <w:rFonts w:ascii="Times New Roman" w:hAnsi="Times New Roman"/>
                <w:szCs w:val="24"/>
              </w:rPr>
              <w:t>c</w:t>
            </w:r>
            <w:r w:rsidRPr="00AD31E3">
              <w:rPr>
                <w:rFonts w:ascii="Times New Roman" w:hAnsi="Times New Roman"/>
                <w:szCs w:val="24"/>
              </w:rPr>
              <w:t>ommission to adopt a low carbon fuel standard</w:t>
            </w:r>
            <w:r w:rsidR="00244507">
              <w:rPr>
                <w:rFonts w:ascii="Times New Roman" w:hAnsi="Times New Roman"/>
                <w:szCs w:val="24"/>
              </w:rPr>
              <w:t>, now known as the Oregon Clean Fuels Program</w:t>
            </w:r>
            <w:r w:rsidRPr="00AD31E3">
              <w:rPr>
                <w:rFonts w:ascii="Times New Roman" w:hAnsi="Times New Roman"/>
                <w:szCs w:val="24"/>
              </w:rPr>
              <w:t xml:space="preserve">. In </w:t>
            </w:r>
            <w:r w:rsidRPr="00AD31E3">
              <w:rPr>
                <w:rFonts w:ascii="Times New Roman" w:hAnsi="Times New Roman"/>
                <w:color w:val="000000" w:themeColor="text1"/>
                <w:szCs w:val="24"/>
              </w:rPr>
              <w:t xml:space="preserve">April 2012, </w:t>
            </w:r>
            <w:hyperlink r:id="rId7" w:tgtFrame="_blank" w:history="1">
              <w:r w:rsidRPr="00AD31E3">
                <w:rPr>
                  <w:rFonts w:ascii="Times New Roman" w:hAnsi="Times New Roman"/>
                  <w:color w:val="000000" w:themeColor="text1"/>
                  <w:szCs w:val="24"/>
                </w:rPr>
                <w:t>Governor Kitzhaber asked DEQ</w:t>
              </w:r>
            </w:hyperlink>
            <w:r w:rsidRPr="00AD31E3">
              <w:rPr>
                <w:rFonts w:ascii="Times New Roman" w:hAnsi="Times New Roman"/>
                <w:color w:val="000000" w:themeColor="text1"/>
                <w:szCs w:val="24"/>
              </w:rPr>
              <w:t xml:space="preserve"> to begin the rulemaking process.</w:t>
            </w:r>
            <w:r w:rsidRPr="00AD31E3">
              <w:rPr>
                <w:rFonts w:ascii="Times New Roman" w:hAnsi="Times New Roman"/>
                <w:szCs w:val="24"/>
              </w:rPr>
              <w:t xml:space="preserve"> </w:t>
            </w:r>
          </w:p>
          <w:p w:rsidR="00AD31E3" w:rsidRPr="00AD31E3" w:rsidRDefault="00AD31E3" w:rsidP="00B26126">
            <w:pPr>
              <w:tabs>
                <w:tab w:val="left" w:pos="-1440"/>
                <w:tab w:val="left" w:pos="-720"/>
                <w:tab w:val="left" w:pos="4050"/>
              </w:tabs>
              <w:suppressAutoHyphens/>
              <w:ind w:left="-108"/>
              <w:rPr>
                <w:rFonts w:ascii="Times New Roman" w:hAnsi="Times New Roman"/>
                <w:spacing w:val="-3"/>
                <w:szCs w:val="24"/>
              </w:rPr>
            </w:pPr>
          </w:p>
          <w:p w:rsidR="00AD31E3" w:rsidRPr="00AD31E3" w:rsidRDefault="00AD31E3" w:rsidP="005778FB">
            <w:pPr>
              <w:pStyle w:val="DEQTEXTforFACTSHEET"/>
              <w:ind w:left="-83"/>
              <w:rPr>
                <w:sz w:val="24"/>
                <w:szCs w:val="24"/>
              </w:rPr>
            </w:pPr>
            <w:r w:rsidRPr="00AD31E3">
              <w:rPr>
                <w:sz w:val="24"/>
                <w:szCs w:val="24"/>
              </w:rPr>
              <w:t xml:space="preserve">The goal of this proposed rulemaking is to adopt the Oregon Clean Fuels Program rules for fuel suppliers and producers of transportation fuels. The proposal is for a complete program that would be implemented in two phases: an initial reporting phase and a later greenhouse gas reduction phase. The second phase would be deferred pending additional legislative and </w:t>
            </w:r>
            <w:r w:rsidR="00393250">
              <w:rPr>
                <w:sz w:val="24"/>
                <w:szCs w:val="24"/>
              </w:rPr>
              <w:t>c</w:t>
            </w:r>
            <w:r w:rsidRPr="00AD31E3">
              <w:rPr>
                <w:sz w:val="24"/>
                <w:szCs w:val="24"/>
              </w:rPr>
              <w:t xml:space="preserve">ommission action. </w:t>
            </w:r>
          </w:p>
          <w:p w:rsidR="00AD31E3" w:rsidRPr="00AD31E3" w:rsidRDefault="00AD31E3" w:rsidP="005778FB">
            <w:pPr>
              <w:pStyle w:val="DEQTEXTforFACTSHEET"/>
              <w:ind w:left="-83"/>
              <w:rPr>
                <w:sz w:val="24"/>
                <w:szCs w:val="24"/>
              </w:rPr>
            </w:pPr>
          </w:p>
          <w:p w:rsidR="00AD31E3" w:rsidRPr="00AD31E3" w:rsidRDefault="00AD31E3" w:rsidP="005778FB">
            <w:pPr>
              <w:pStyle w:val="DEQTEXTforFACTSHEET"/>
              <w:ind w:left="-83"/>
              <w:rPr>
                <w:sz w:val="24"/>
                <w:szCs w:val="24"/>
              </w:rPr>
            </w:pPr>
            <w:r w:rsidRPr="00AD31E3">
              <w:rPr>
                <w:sz w:val="24"/>
                <w:szCs w:val="24"/>
              </w:rPr>
              <w:t xml:space="preserve">Phase 1 is proposed to begin Jan. 1, 2013, and would require Oregon fuel producers and importers to register, keep records and report to DEQ the volumes and carbon intensities of the fuels they provide in Oregon. Phase 1 is intended to provide DEQ and regulated parties time to fully develop record-keeping and reporting protocols and systems. It would also allow DEQ to gather valuable data about Oregon’s transportation fuels that will </w:t>
            </w:r>
            <w:r w:rsidRPr="00AD31E3">
              <w:rPr>
                <w:sz w:val="24"/>
                <w:szCs w:val="24"/>
              </w:rPr>
              <w:lastRenderedPageBreak/>
              <w:t xml:space="preserve">help inform DEQ and decision makers about the feasibility of moving ahead with the next phase of the program. </w:t>
            </w:r>
          </w:p>
          <w:p w:rsidR="005778FB" w:rsidRDefault="00AD31E3" w:rsidP="005778FB">
            <w:pPr>
              <w:pStyle w:val="DEQTEXTforFACTSHEET"/>
              <w:ind w:left="-83"/>
              <w:rPr>
                <w:sz w:val="24"/>
                <w:szCs w:val="24"/>
              </w:rPr>
            </w:pPr>
            <w:r w:rsidRPr="00AD31E3">
              <w:rPr>
                <w:sz w:val="24"/>
                <w:szCs w:val="24"/>
              </w:rPr>
              <w:br w:type="column"/>
            </w:r>
          </w:p>
          <w:p w:rsidR="00AD31E3" w:rsidRPr="00AD31E3" w:rsidRDefault="00AD31E3" w:rsidP="00244507">
            <w:pPr>
              <w:pStyle w:val="DEQTEXTforFACTSHEET"/>
              <w:ind w:left="-83"/>
              <w:rPr>
                <w:spacing w:val="-3"/>
                <w:sz w:val="24"/>
                <w:szCs w:val="24"/>
              </w:rPr>
            </w:pPr>
            <w:r w:rsidRPr="00AD31E3">
              <w:rPr>
                <w:sz w:val="24"/>
                <w:szCs w:val="24"/>
              </w:rPr>
              <w:t>Phase 2, if adopted, would require regulated parties to reduce the average carbon intensity of fuels they provide in Oregon each year.</w:t>
            </w:r>
            <w:r w:rsidR="005778FB">
              <w:rPr>
                <w:sz w:val="24"/>
                <w:szCs w:val="24"/>
              </w:rPr>
              <w:t xml:space="preserve"> </w:t>
            </w:r>
            <w:r w:rsidRPr="00AD31E3">
              <w:rPr>
                <w:sz w:val="24"/>
                <w:szCs w:val="24"/>
              </w:rPr>
              <w:t xml:space="preserve">If DEQ recommends moving forward with Phase 2 of the program, DEQ would initiate a new rulemaking process, including new advisory committees to gather new input on the design of the Phase 2 rules and it’s fiscal and economic impact. Phase 2 can only be implemented if the Oregon Legislature adopts a bill to remove the statutory 2015 sunset that currently applies to the Oregon Clean Fuels Program. In addition, Phase 2 could only be implemented if the </w:t>
            </w:r>
            <w:r w:rsidR="00167C99">
              <w:rPr>
                <w:sz w:val="24"/>
                <w:szCs w:val="24"/>
              </w:rPr>
              <w:t>c</w:t>
            </w:r>
            <w:r w:rsidRPr="00AD31E3">
              <w:rPr>
                <w:sz w:val="24"/>
                <w:szCs w:val="24"/>
              </w:rPr>
              <w:t>ommission adopts rules to remove the regulatory deferral of Phase 2 of the Oregon Clean Fuels Program.</w:t>
            </w:r>
          </w:p>
        </w:tc>
      </w:tr>
      <w:tr w:rsidR="00630AAC" w:rsidRPr="00D1171D" w:rsidTr="003109A4">
        <w:tc>
          <w:tcPr>
            <w:tcW w:w="1381"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295" w:type="dxa"/>
          </w:tcPr>
          <w:p w:rsidR="00630AAC" w:rsidRPr="00AD31E3" w:rsidRDefault="00630AAC" w:rsidP="00F55AEC">
            <w:pPr>
              <w:tabs>
                <w:tab w:val="left" w:pos="450"/>
                <w:tab w:val="left" w:pos="810"/>
              </w:tabs>
              <w:autoSpaceDE w:val="0"/>
              <w:autoSpaceDN w:val="0"/>
              <w:adjustRightInd w:val="0"/>
              <w:rPr>
                <w:rFonts w:ascii="Times New Roman" w:hAnsi="Times New Roman"/>
                <w:szCs w:val="24"/>
              </w:rPr>
            </w:pPr>
          </w:p>
        </w:tc>
      </w:tr>
      <w:tr w:rsidR="00C07BC5" w:rsidRPr="00D1171D" w:rsidTr="003109A4">
        <w:tc>
          <w:tcPr>
            <w:tcW w:w="1381" w:type="dxa"/>
          </w:tcPr>
          <w:p w:rsidR="00A51F4E" w:rsidRDefault="00C07BC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A51F4E" w:rsidRPr="00A51F4E" w:rsidRDefault="00A51F4E" w:rsidP="00A51F4E">
            <w:pPr>
              <w:rPr>
                <w:rFonts w:ascii="Times New Roman" w:hAnsi="Times New Roman"/>
                <w:sz w:val="22"/>
              </w:rPr>
            </w:pPr>
          </w:p>
          <w:p w:rsidR="00A51F4E" w:rsidRPr="00A51F4E" w:rsidRDefault="00A51F4E" w:rsidP="00A51F4E">
            <w:pPr>
              <w:rPr>
                <w:rFonts w:ascii="Times New Roman" w:hAnsi="Times New Roman"/>
                <w:sz w:val="22"/>
              </w:rPr>
            </w:pPr>
          </w:p>
          <w:p w:rsidR="00A51F4E" w:rsidRDefault="00A51F4E" w:rsidP="00A51F4E">
            <w:pPr>
              <w:rPr>
                <w:rFonts w:ascii="Times New Roman" w:hAnsi="Times New Roman"/>
                <w:sz w:val="22"/>
              </w:rPr>
            </w:pPr>
          </w:p>
          <w:p w:rsidR="00C07BC5" w:rsidRPr="00A51F4E" w:rsidRDefault="00C07BC5" w:rsidP="00A51F4E">
            <w:pPr>
              <w:jc w:val="center"/>
              <w:rPr>
                <w:rFonts w:ascii="Times New Roman" w:hAnsi="Times New Roman"/>
                <w:sz w:val="22"/>
              </w:rPr>
            </w:pPr>
          </w:p>
        </w:tc>
        <w:tc>
          <w:tcPr>
            <w:tcW w:w="7295" w:type="dxa"/>
          </w:tcPr>
          <w:p w:rsidR="00AD31E3" w:rsidRPr="00AD31E3" w:rsidRDefault="00AD31E3" w:rsidP="00AD31E3">
            <w:pPr>
              <w:pStyle w:val="DEQSMALLHEADLINES"/>
              <w:outlineLvl w:val="0"/>
              <w:rPr>
                <w:rFonts w:ascii="Times New Roman" w:hAnsi="Times New Roman"/>
                <w:b w:val="0"/>
                <w:sz w:val="24"/>
                <w:szCs w:val="24"/>
              </w:rPr>
            </w:pPr>
            <w:r w:rsidRPr="00AD31E3">
              <w:rPr>
                <w:rFonts w:ascii="Times New Roman" w:hAnsi="Times New Roman"/>
                <w:b w:val="0"/>
                <w:sz w:val="24"/>
                <w:szCs w:val="24"/>
              </w:rPr>
              <w:t xml:space="preserve">DEQ developed the proposed rules based on discussions and recommendations from a </w:t>
            </w:r>
            <w:hyperlink r:id="rId8" w:history="1">
              <w:r w:rsidRPr="00AD31E3">
                <w:rPr>
                  <w:rStyle w:val="Hyperlink"/>
                  <w:rFonts w:ascii="Times New Roman" w:hAnsi="Times New Roman"/>
                  <w:b w:val="0"/>
                  <w:sz w:val="24"/>
                  <w:szCs w:val="24"/>
                </w:rPr>
                <w:t>29-member advisory committee</w:t>
              </w:r>
            </w:hyperlink>
            <w:r w:rsidRPr="00AD31E3">
              <w:rPr>
                <w:rFonts w:ascii="Times New Roman" w:hAnsi="Times New Roman"/>
                <w:b w:val="0"/>
                <w:sz w:val="24"/>
                <w:szCs w:val="24"/>
              </w:rPr>
              <w:t xml:space="preserve"> that helped DEQ explore technical issues and policy choices for designing the </w:t>
            </w:r>
            <w:r w:rsidR="00244507">
              <w:rPr>
                <w:rFonts w:ascii="Times New Roman" w:hAnsi="Times New Roman"/>
                <w:b w:val="0"/>
                <w:sz w:val="24"/>
                <w:szCs w:val="24"/>
              </w:rPr>
              <w:t>p</w:t>
            </w:r>
            <w:r w:rsidRPr="00AD31E3">
              <w:rPr>
                <w:rFonts w:ascii="Times New Roman" w:hAnsi="Times New Roman"/>
                <w:b w:val="0"/>
                <w:sz w:val="24"/>
                <w:szCs w:val="24"/>
              </w:rPr>
              <w:t xml:space="preserve">rogram. The committee included representatives of many areas of expertise, including petroleum fuel, low carbon fuel, environment, labor, farm, construction, trucking and rail. </w:t>
            </w:r>
          </w:p>
          <w:p w:rsidR="00AD31E3" w:rsidRPr="00AD31E3" w:rsidRDefault="00AD31E3" w:rsidP="00AD31E3">
            <w:pPr>
              <w:pStyle w:val="DEQSMALLHEADLINES"/>
              <w:outlineLvl w:val="0"/>
              <w:rPr>
                <w:rFonts w:ascii="Times New Roman" w:hAnsi="Times New Roman"/>
                <w:b w:val="0"/>
                <w:sz w:val="24"/>
                <w:szCs w:val="24"/>
              </w:rPr>
            </w:pPr>
          </w:p>
          <w:p w:rsidR="00C07BC5" w:rsidRPr="00AD31E3" w:rsidRDefault="00AD31E3" w:rsidP="005778FB">
            <w:pPr>
              <w:pStyle w:val="DEQSMALLHEADLINES"/>
              <w:outlineLvl w:val="0"/>
              <w:rPr>
                <w:rFonts w:ascii="Times New Roman" w:hAnsi="Times New Roman"/>
                <w:sz w:val="24"/>
                <w:szCs w:val="24"/>
              </w:rPr>
            </w:pPr>
            <w:r w:rsidRPr="00AD31E3">
              <w:rPr>
                <w:rFonts w:ascii="Times New Roman" w:hAnsi="Times New Roman"/>
                <w:b w:val="0"/>
                <w:sz w:val="24"/>
                <w:szCs w:val="24"/>
              </w:rPr>
              <w:t xml:space="preserve">DEQ also convened an advisory committee to gather input on the fiscal impact of complying with the Phase 1 requirements of the proposed rules. Eleven people from the business and environmental communities were invited to participate on the committee and, with members of the public, were provided an opportunity to comment on the draft Statement of Need and Fiscal </w:t>
            </w:r>
            <w:r w:rsidR="00167C99">
              <w:rPr>
                <w:rFonts w:ascii="Times New Roman" w:hAnsi="Times New Roman"/>
                <w:b w:val="0"/>
                <w:sz w:val="24"/>
                <w:szCs w:val="24"/>
              </w:rPr>
              <w:t xml:space="preserve">and Economic </w:t>
            </w:r>
            <w:r w:rsidRPr="00AD31E3">
              <w:rPr>
                <w:rFonts w:ascii="Times New Roman" w:hAnsi="Times New Roman"/>
                <w:b w:val="0"/>
                <w:sz w:val="24"/>
                <w:szCs w:val="24"/>
              </w:rPr>
              <w:t>Impact.</w:t>
            </w:r>
          </w:p>
        </w:tc>
      </w:tr>
      <w:tr w:rsidR="00630AAC" w:rsidRPr="00D1171D" w:rsidTr="003109A4">
        <w:tc>
          <w:tcPr>
            <w:tcW w:w="1381"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295" w:type="dxa"/>
          </w:tcPr>
          <w:p w:rsidR="00630AAC" w:rsidRDefault="00630AAC" w:rsidP="00F55AEC">
            <w:pPr>
              <w:tabs>
                <w:tab w:val="left" w:pos="450"/>
                <w:tab w:val="left" w:pos="810"/>
              </w:tabs>
              <w:autoSpaceDE w:val="0"/>
              <w:autoSpaceDN w:val="0"/>
              <w:adjustRightInd w:val="0"/>
              <w:rPr>
                <w:rFonts w:ascii="Times New Roman" w:hAnsi="Times New Roman"/>
                <w:i/>
              </w:rPr>
            </w:pPr>
          </w:p>
        </w:tc>
      </w:tr>
      <w:tr w:rsidR="00893D1B" w:rsidRPr="00D1171D" w:rsidTr="003109A4">
        <w:tc>
          <w:tcPr>
            <w:tcW w:w="1381"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Next </w:t>
            </w:r>
            <w:r w:rsidR="00F8329D">
              <w:rPr>
                <w:rFonts w:ascii="Times New Roman" w:hAnsi="Times New Roman"/>
                <w:b/>
                <w:spacing w:val="-3"/>
                <w:sz w:val="22"/>
              </w:rPr>
              <w:t>s</w:t>
            </w:r>
            <w:r w:rsidRPr="00D1171D">
              <w:rPr>
                <w:rFonts w:ascii="Times New Roman" w:hAnsi="Times New Roman"/>
                <w:b/>
                <w:spacing w:val="-3"/>
                <w:sz w:val="22"/>
              </w:rPr>
              <w:t>teps</w:t>
            </w:r>
            <w:r w:rsidR="00825E7B">
              <w:rPr>
                <w:rFonts w:ascii="Times New Roman" w:hAnsi="Times New Roman"/>
                <w:b/>
                <w:spacing w:val="-3"/>
                <w:sz w:val="22"/>
              </w:rPr>
              <w:t xml:space="preserve"> and commission involvement</w:t>
            </w:r>
          </w:p>
        </w:tc>
        <w:tc>
          <w:tcPr>
            <w:tcW w:w="7295" w:type="dxa"/>
          </w:tcPr>
          <w:p w:rsidR="00893D1B" w:rsidRPr="00C96391" w:rsidRDefault="00244507" w:rsidP="00A80D8F">
            <w:pPr>
              <w:tabs>
                <w:tab w:val="left" w:pos="-1440"/>
                <w:tab w:val="left" w:pos="-720"/>
              </w:tabs>
              <w:suppressAutoHyphens/>
              <w:rPr>
                <w:rFonts w:ascii="Times New Roman" w:hAnsi="Times New Roman"/>
                <w:i/>
              </w:rPr>
            </w:pPr>
            <w:r>
              <w:rPr>
                <w:rFonts w:ascii="Times" w:hAnsi="Times"/>
              </w:rPr>
              <w:t xml:space="preserve">The public comment period will close on August 31, 2012. </w:t>
            </w:r>
            <w:r w:rsidR="00A80D8F">
              <w:rPr>
                <w:rFonts w:ascii="Times" w:hAnsi="Times"/>
              </w:rPr>
              <w:t xml:space="preserve">DEQ will prepare a response to all comments received during the public comment period and may modify the proposed rules. DEQ plans to recommend adoption of the rules at the </w:t>
            </w:r>
            <w:r w:rsidR="00167C99">
              <w:rPr>
                <w:rFonts w:ascii="Times" w:hAnsi="Times"/>
              </w:rPr>
              <w:t>c</w:t>
            </w:r>
            <w:r w:rsidR="00A80D8F">
              <w:rPr>
                <w:rFonts w:ascii="Times" w:hAnsi="Times"/>
              </w:rPr>
              <w:t xml:space="preserve">ommission’s December 2012 meeting. </w:t>
            </w:r>
            <w:r w:rsidR="00C96391">
              <w:rPr>
                <w:rFonts w:ascii="Times New Roman" w:hAnsi="Times New Roman"/>
              </w:rPr>
              <w:t xml:space="preserve"> </w:t>
            </w:r>
          </w:p>
        </w:tc>
      </w:tr>
      <w:tr w:rsidR="00893D1B" w:rsidRPr="00D1171D" w:rsidTr="003109A4">
        <w:tc>
          <w:tcPr>
            <w:tcW w:w="1381"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295"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rsidTr="003109A4">
        <w:tc>
          <w:tcPr>
            <w:tcW w:w="1381"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295" w:type="dxa"/>
          </w:tcPr>
          <w:p w:rsidR="00893D1B" w:rsidRPr="00D1171D" w:rsidRDefault="00244507" w:rsidP="00A80D8F">
            <w:pPr>
              <w:pStyle w:val="EndnoteText"/>
              <w:keepNext/>
              <w:keepLines/>
              <w:numPr>
                <w:ilvl w:val="0"/>
                <w:numId w:val="16"/>
              </w:numPr>
              <w:tabs>
                <w:tab w:val="left" w:pos="-1440"/>
                <w:tab w:val="left" w:pos="-720"/>
                <w:tab w:val="left" w:pos="342"/>
                <w:tab w:val="left" w:pos="4050"/>
              </w:tabs>
              <w:suppressAutoHyphens/>
              <w:ind w:left="367"/>
              <w:rPr>
                <w:rFonts w:ascii="Times New Roman" w:hAnsi="Times New Roman"/>
                <w:spacing w:val="-3"/>
              </w:rPr>
            </w:pPr>
            <w:r>
              <w:rPr>
                <w:rFonts w:ascii="Times New Roman" w:hAnsi="Times New Roman"/>
                <w:spacing w:val="-3"/>
              </w:rPr>
              <w:t>Rulemaking Announcement</w:t>
            </w:r>
          </w:p>
        </w:tc>
      </w:tr>
      <w:tr w:rsidR="00630AAC" w:rsidRPr="00D1171D" w:rsidTr="003109A4">
        <w:tc>
          <w:tcPr>
            <w:tcW w:w="1381" w:type="dxa"/>
          </w:tcPr>
          <w:p w:rsidR="00630AAC" w:rsidRPr="00D1171D" w:rsidRDefault="00630AAC" w:rsidP="00893D1B">
            <w:pPr>
              <w:tabs>
                <w:tab w:val="left" w:pos="-1440"/>
                <w:tab w:val="left" w:pos="-720"/>
                <w:tab w:val="left" w:pos="4050"/>
              </w:tabs>
              <w:suppressAutoHyphens/>
              <w:rPr>
                <w:rFonts w:ascii="Times New Roman" w:hAnsi="Times New Roman"/>
                <w:b/>
                <w:spacing w:val="-3"/>
                <w:sz w:val="22"/>
              </w:rPr>
            </w:pPr>
          </w:p>
        </w:tc>
        <w:tc>
          <w:tcPr>
            <w:tcW w:w="7295" w:type="dxa"/>
          </w:tcPr>
          <w:p w:rsidR="00630AAC" w:rsidRPr="003E1D1D" w:rsidRDefault="00630AAC" w:rsidP="00630AAC">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893D1B" w:rsidRPr="00A80D8F" w:rsidTr="003109A4">
        <w:tc>
          <w:tcPr>
            <w:tcW w:w="1381"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 xml:space="preserve">Available </w:t>
            </w:r>
            <w:r w:rsidR="00C07BC5">
              <w:rPr>
                <w:rFonts w:ascii="Times New Roman" w:hAnsi="Times New Roman"/>
                <w:b/>
                <w:spacing w:val="-3"/>
                <w:sz w:val="22"/>
              </w:rPr>
              <w:t xml:space="preserve">online (or Available </w:t>
            </w:r>
            <w:r>
              <w:rPr>
                <w:rFonts w:ascii="Times New Roman" w:hAnsi="Times New Roman"/>
                <w:b/>
                <w:spacing w:val="-3"/>
                <w:sz w:val="22"/>
              </w:rPr>
              <w:t>upon r</w:t>
            </w:r>
            <w:r w:rsidR="00893D1B" w:rsidRPr="00D1171D">
              <w:rPr>
                <w:rFonts w:ascii="Times New Roman" w:hAnsi="Times New Roman"/>
                <w:b/>
                <w:spacing w:val="-3"/>
                <w:sz w:val="22"/>
              </w:rPr>
              <w:t>equest</w:t>
            </w:r>
            <w:r w:rsidR="00C07BC5">
              <w:rPr>
                <w:rFonts w:ascii="Times New Roman" w:hAnsi="Times New Roman"/>
                <w:b/>
                <w:spacing w:val="-3"/>
                <w:sz w:val="22"/>
              </w:rPr>
              <w:t>)</w:t>
            </w:r>
          </w:p>
        </w:tc>
        <w:tc>
          <w:tcPr>
            <w:tcW w:w="7295" w:type="dxa"/>
          </w:tcPr>
          <w:p w:rsidR="00A80D8F" w:rsidRPr="00A80D8F" w:rsidRDefault="00A80D8F" w:rsidP="00A80D8F">
            <w:pPr>
              <w:pStyle w:val="ListParagraph"/>
              <w:numPr>
                <w:ilvl w:val="0"/>
                <w:numId w:val="15"/>
              </w:numPr>
              <w:tabs>
                <w:tab w:val="clear" w:pos="720"/>
                <w:tab w:val="num" w:pos="367"/>
              </w:tabs>
              <w:autoSpaceDE w:val="0"/>
              <w:autoSpaceDN w:val="0"/>
              <w:adjustRightInd w:val="0"/>
              <w:spacing w:after="0" w:line="240" w:lineRule="auto"/>
              <w:ind w:left="360" w:hanging="353"/>
              <w:rPr>
                <w:rFonts w:ascii="Times New Roman" w:hAnsi="Times New Roman" w:cs="Times New Roman"/>
                <w:iCs/>
                <w:sz w:val="24"/>
                <w:szCs w:val="24"/>
              </w:rPr>
            </w:pPr>
            <w:r w:rsidRPr="00A80D8F">
              <w:rPr>
                <w:rFonts w:ascii="Times New Roman" w:hAnsi="Times New Roman" w:cs="Times New Roman"/>
                <w:iCs/>
                <w:sz w:val="24"/>
                <w:szCs w:val="24"/>
              </w:rPr>
              <w:t>Oregon Low Carbon Fuel Standards Advisory Committee Process and Program Design Final Report (including the economic analysis)</w:t>
            </w:r>
          </w:p>
          <w:p w:rsidR="00893D1B" w:rsidRPr="00A80D8F" w:rsidRDefault="00893D1B" w:rsidP="001F07B5">
            <w:pPr>
              <w:pStyle w:val="EndnoteText"/>
              <w:tabs>
                <w:tab w:val="left" w:pos="-1440"/>
                <w:tab w:val="left" w:pos="-720"/>
                <w:tab w:val="left" w:pos="342"/>
                <w:tab w:val="left" w:pos="4050"/>
              </w:tabs>
              <w:suppressAutoHyphens/>
              <w:rPr>
                <w:rFonts w:ascii="Times New Roman" w:hAnsi="Times New Roman"/>
                <w:szCs w:val="24"/>
              </w:rPr>
            </w:pPr>
          </w:p>
        </w:tc>
      </w:tr>
      <w:tr w:rsidR="00893D1B" w:rsidRPr="00D1171D" w:rsidTr="003109A4">
        <w:tc>
          <w:tcPr>
            <w:tcW w:w="1381"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295"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A80D8F">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D2DF4">
        <w:rPr>
          <w:rFonts w:ascii="Times New Roman" w:hAnsi="Times New Roman"/>
        </w:rPr>
        <w:t>229-5</w:t>
      </w:r>
      <w:r w:rsidR="00A80D8F">
        <w:rPr>
          <w:rFonts w:ascii="Times New Roman" w:hAnsi="Times New Roman"/>
        </w:rPr>
        <w:t>388</w:t>
      </w:r>
    </w:p>
    <w:p w:rsidR="00893D1B" w:rsidRPr="00D1171D" w:rsidRDefault="00893D1B">
      <w:pPr>
        <w:rPr>
          <w:rFonts w:ascii="Times New Roman" w:hAnsi="Times New Roman"/>
        </w:rPr>
      </w:pPr>
    </w:p>
    <w:sectPr w:rsidR="00893D1B" w:rsidRPr="00D1171D" w:rsidSect="00893D1B">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07" w:rsidRDefault="00244507" w:rsidP="00893D1B">
      <w:r>
        <w:separator/>
      </w:r>
    </w:p>
  </w:endnote>
  <w:endnote w:type="continuationSeparator" w:id="0">
    <w:p w:rsidR="00244507" w:rsidRDefault="00244507"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07" w:rsidRDefault="00244507" w:rsidP="00893D1B">
      <w:r>
        <w:separator/>
      </w:r>
    </w:p>
  </w:footnote>
  <w:footnote w:type="continuationSeparator" w:id="0">
    <w:p w:rsidR="00244507" w:rsidRDefault="00244507"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507" w:rsidRPr="00B821B5" w:rsidRDefault="00244507"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Informational i</w:t>
    </w:r>
    <w:r w:rsidRPr="00B821B5">
      <w:rPr>
        <w:rFonts w:ascii="Arial" w:hAnsi="Arial" w:cs="Arial"/>
        <w:sz w:val="20"/>
      </w:rPr>
      <w:t xml:space="preserve">tem: </w:t>
    </w:r>
    <w:r>
      <w:rPr>
        <w:rFonts w:ascii="Arial" w:hAnsi="Arial" w:cs="Arial"/>
        <w:sz w:val="20"/>
      </w:rPr>
      <w:t xml:space="preserve">(same caption as from title of first page) </w:t>
    </w:r>
  </w:p>
  <w:p w:rsidR="00244507" w:rsidRPr="00B821B5" w:rsidRDefault="00244507"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244507" w:rsidRPr="00B821B5" w:rsidRDefault="00244507"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874016"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874016" w:rsidRPr="00B821B5">
      <w:rPr>
        <w:rStyle w:val="PageNumber"/>
        <w:rFonts w:ascii="Arial" w:hAnsi="Arial" w:cs="Arial"/>
        <w:sz w:val="20"/>
      </w:rPr>
      <w:fldChar w:fldCharType="separate"/>
    </w:r>
    <w:r w:rsidR="00393250">
      <w:rPr>
        <w:rStyle w:val="PageNumber"/>
        <w:rFonts w:ascii="Arial" w:hAnsi="Arial" w:cs="Arial"/>
        <w:noProof/>
        <w:sz w:val="20"/>
      </w:rPr>
      <w:t>3</w:t>
    </w:r>
    <w:r w:rsidR="00874016" w:rsidRPr="00B821B5">
      <w:rPr>
        <w:rStyle w:val="PageNumber"/>
        <w:rFonts w:ascii="Arial" w:hAnsi="Arial" w:cs="Arial"/>
        <w:sz w:val="20"/>
      </w:rPr>
      <w:fldChar w:fldCharType="end"/>
    </w:r>
    <w:r>
      <w:rPr>
        <w:rFonts w:ascii="Arial" w:hAnsi="Arial" w:cs="Arial"/>
        <w:sz w:val="20"/>
      </w:rPr>
      <w:t xml:space="preserve"> of 2</w:t>
    </w:r>
  </w:p>
  <w:p w:rsidR="00244507" w:rsidRPr="00D849B9" w:rsidRDefault="00244507"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43E55"/>
    <w:multiLevelType w:val="hybridMultilevel"/>
    <w:tmpl w:val="2732FC7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1B2459"/>
    <w:multiLevelType w:val="hybridMultilevel"/>
    <w:tmpl w:val="28C0BA0A"/>
    <w:lvl w:ilvl="0" w:tplc="F9969666">
      <w:numFmt w:val="bullet"/>
      <w:lvlText w:val="-"/>
      <w:lvlJc w:val="left"/>
      <w:pPr>
        <w:ind w:left="144"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nsid w:val="47E67BBB"/>
    <w:multiLevelType w:val="hybridMultilevel"/>
    <w:tmpl w:val="30C2D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983F0C"/>
    <w:multiLevelType w:val="hybridMultilevel"/>
    <w:tmpl w:val="55C6E754"/>
    <w:lvl w:ilvl="0" w:tplc="F9969666">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nsid w:val="56A41479"/>
    <w:multiLevelType w:val="hybridMultilevel"/>
    <w:tmpl w:val="FE3837E4"/>
    <w:lvl w:ilvl="0" w:tplc="B7DC13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52D05"/>
    <w:multiLevelType w:val="hybridMultilevel"/>
    <w:tmpl w:val="89840BFC"/>
    <w:lvl w:ilvl="0" w:tplc="F9969666">
      <w:numFmt w:val="bullet"/>
      <w:lvlText w:val="-"/>
      <w:lvlJc w:val="left"/>
      <w:pPr>
        <w:ind w:left="144"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nsid w:val="6AE231BC"/>
    <w:multiLevelType w:val="hybridMultilevel"/>
    <w:tmpl w:val="8BA271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566762"/>
    <w:multiLevelType w:val="hybridMultilevel"/>
    <w:tmpl w:val="BA54C0EE"/>
    <w:lvl w:ilvl="0" w:tplc="F9969666">
      <w:numFmt w:val="bullet"/>
      <w:lvlText w:val="-"/>
      <w:lvlJc w:val="left"/>
      <w:pPr>
        <w:ind w:left="144"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nsid w:val="78C457FA"/>
    <w:multiLevelType w:val="hybridMultilevel"/>
    <w:tmpl w:val="AE6CE1BE"/>
    <w:lvl w:ilvl="0" w:tplc="7D8833EA">
      <w:start w:val="1"/>
      <w:numFmt w:val="bullet"/>
      <w:lvlText w:val="–"/>
      <w:lvlJc w:val="left"/>
      <w:pPr>
        <w:ind w:left="144" w:hanging="360"/>
      </w:pPr>
      <w:rPr>
        <w:rFonts w:ascii="Times New Roman" w:hAnsi="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5">
    <w:nsid w:val="7E624FC1"/>
    <w:multiLevelType w:val="hybridMultilevel"/>
    <w:tmpl w:val="87A2E0E0"/>
    <w:lvl w:ilvl="0" w:tplc="3B22DBB6">
      <w:numFmt w:val="bullet"/>
      <w:lvlText w:val="-"/>
      <w:lvlJc w:val="left"/>
      <w:pPr>
        <w:ind w:left="504" w:hanging="360"/>
      </w:pPr>
      <w:rPr>
        <w:rFonts w:ascii="Times New Roman" w:eastAsiaTheme="minorHAnsi" w:hAnsi="Times New Roman" w:cs="Times New Roman" w:hint="default"/>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3"/>
  </w:num>
  <w:num w:numId="11">
    <w:abstractNumId w:val="11"/>
  </w:num>
  <w:num w:numId="12">
    <w:abstractNumId w:val="7"/>
  </w:num>
  <w:num w:numId="13">
    <w:abstractNumId w:val="14"/>
  </w:num>
  <w:num w:numId="14">
    <w:abstractNumId w:val="15"/>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451596"/>
    <w:rsid w:val="00061620"/>
    <w:rsid w:val="000728DC"/>
    <w:rsid w:val="000C3D56"/>
    <w:rsid w:val="00100984"/>
    <w:rsid w:val="0011753D"/>
    <w:rsid w:val="00120648"/>
    <w:rsid w:val="00155F02"/>
    <w:rsid w:val="00156EF5"/>
    <w:rsid w:val="001616B5"/>
    <w:rsid w:val="00167C99"/>
    <w:rsid w:val="001A5616"/>
    <w:rsid w:val="001B5BFD"/>
    <w:rsid w:val="001D08CB"/>
    <w:rsid w:val="001F07B5"/>
    <w:rsid w:val="00216D26"/>
    <w:rsid w:val="00244507"/>
    <w:rsid w:val="00294020"/>
    <w:rsid w:val="002D2DF4"/>
    <w:rsid w:val="002F4761"/>
    <w:rsid w:val="002F5653"/>
    <w:rsid w:val="003109A4"/>
    <w:rsid w:val="00344CC9"/>
    <w:rsid w:val="003672C0"/>
    <w:rsid w:val="00393250"/>
    <w:rsid w:val="003E1D1D"/>
    <w:rsid w:val="003E7951"/>
    <w:rsid w:val="00421996"/>
    <w:rsid w:val="00433965"/>
    <w:rsid w:val="00451596"/>
    <w:rsid w:val="004D50A5"/>
    <w:rsid w:val="00500175"/>
    <w:rsid w:val="00500D2E"/>
    <w:rsid w:val="005523A3"/>
    <w:rsid w:val="005778FB"/>
    <w:rsid w:val="005856B9"/>
    <w:rsid w:val="005B469C"/>
    <w:rsid w:val="00630A9B"/>
    <w:rsid w:val="00630AAC"/>
    <w:rsid w:val="006670D6"/>
    <w:rsid w:val="00672D10"/>
    <w:rsid w:val="006E7804"/>
    <w:rsid w:val="00705EC7"/>
    <w:rsid w:val="007577ED"/>
    <w:rsid w:val="007D3C85"/>
    <w:rsid w:val="007F3E92"/>
    <w:rsid w:val="00825E7B"/>
    <w:rsid w:val="00874016"/>
    <w:rsid w:val="00891F7B"/>
    <w:rsid w:val="00893D1B"/>
    <w:rsid w:val="0097347D"/>
    <w:rsid w:val="00981542"/>
    <w:rsid w:val="009B490A"/>
    <w:rsid w:val="009B53E0"/>
    <w:rsid w:val="009E027C"/>
    <w:rsid w:val="009E66B5"/>
    <w:rsid w:val="00A04B7E"/>
    <w:rsid w:val="00A500A1"/>
    <w:rsid w:val="00A51F4E"/>
    <w:rsid w:val="00A80D8F"/>
    <w:rsid w:val="00AB3D7E"/>
    <w:rsid w:val="00AD31E3"/>
    <w:rsid w:val="00B215A9"/>
    <w:rsid w:val="00B26126"/>
    <w:rsid w:val="00B55799"/>
    <w:rsid w:val="00B75AC4"/>
    <w:rsid w:val="00B821B5"/>
    <w:rsid w:val="00BD1AD8"/>
    <w:rsid w:val="00C07BC5"/>
    <w:rsid w:val="00C96391"/>
    <w:rsid w:val="00CC4875"/>
    <w:rsid w:val="00CF6CFC"/>
    <w:rsid w:val="00D1171D"/>
    <w:rsid w:val="00D40909"/>
    <w:rsid w:val="00DE019F"/>
    <w:rsid w:val="00DF03A6"/>
    <w:rsid w:val="00E36FDC"/>
    <w:rsid w:val="00E57B03"/>
    <w:rsid w:val="00E61697"/>
    <w:rsid w:val="00EA568B"/>
    <w:rsid w:val="00EA7E92"/>
    <w:rsid w:val="00F11ACD"/>
    <w:rsid w:val="00F120F6"/>
    <w:rsid w:val="00F17503"/>
    <w:rsid w:val="00F32315"/>
    <w:rsid w:val="00F43DDC"/>
    <w:rsid w:val="00F55AEC"/>
    <w:rsid w:val="00F8329D"/>
    <w:rsid w:val="00F91223"/>
    <w:rsid w:val="00FA3464"/>
    <w:rsid w:val="00FC7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1">
    <w:name w:val="heading 1"/>
    <w:basedOn w:val="Normal"/>
    <w:next w:val="Normal"/>
    <w:link w:val="Heading1Char"/>
    <w:uiPriority w:val="9"/>
    <w:qFormat/>
    <w:rsid w:val="00B2612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2612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character" w:customStyle="1" w:styleId="Heading1Char">
    <w:name w:val="Heading 1 Char"/>
    <w:basedOn w:val="DefaultParagraphFont"/>
    <w:link w:val="Heading1"/>
    <w:uiPriority w:val="9"/>
    <w:rsid w:val="00B261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B2612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2612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26126"/>
    <w:pPr>
      <w:autoSpaceDE w:val="0"/>
      <w:autoSpaceDN w:val="0"/>
      <w:adjustRightInd w:val="0"/>
    </w:pPr>
    <w:rPr>
      <w:rFonts w:eastAsiaTheme="minorHAnsi"/>
      <w:color w:val="000000"/>
      <w:sz w:val="24"/>
      <w:szCs w:val="24"/>
    </w:rPr>
  </w:style>
  <w:style w:type="paragraph" w:customStyle="1" w:styleId="DEQSMALLHEADLINES">
    <w:name w:val="(DEQ)SMALL HEADLINES"/>
    <w:basedOn w:val="Normal"/>
    <w:rsid w:val="00AD31E3"/>
    <w:rPr>
      <w:rFonts w:ascii="Arial" w:eastAsia="Times" w:hAnsi="Arial"/>
      <w:b/>
      <w:sz w:val="20"/>
    </w:rPr>
  </w:style>
  <w:style w:type="paragraph" w:customStyle="1" w:styleId="DEQTEXTforFACTSHEET">
    <w:name w:val="(DEQ)TEXT for FACT SHEET"/>
    <w:basedOn w:val="Normal"/>
    <w:rsid w:val="00AD31E3"/>
    <w:rPr>
      <w:rFonts w:ascii="Times New Roman" w:eastAsia="Times" w:hAnsi="Times New Roman"/>
      <w:sz w:val="20"/>
    </w:rPr>
  </w:style>
</w:styles>
</file>

<file path=word/webSettings.xml><?xml version="1.0" encoding="utf-8"?>
<w:webSettings xmlns:r="http://schemas.openxmlformats.org/officeDocument/2006/relationships" xmlns:w="http://schemas.openxmlformats.org/wordprocessingml/2006/main">
  <w:divs>
    <w:div w:id="423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aq/committees/advcomLowCarbonFuel.htm" TargetMode="External"/><Relationship Id="rId3" Type="http://schemas.openxmlformats.org/officeDocument/2006/relationships/settings" Target="settings.xml"/><Relationship Id="rId7" Type="http://schemas.openxmlformats.org/officeDocument/2006/relationships/hyperlink" Target="http://www.deq.state.or.us/aq/cleanFuel/docs/LowCarbonStandards0417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henin\AppData\Local\Temp\PATS%20Info%20I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PATS Info Item</Template>
  <TotalTime>3</TotalTime>
  <Pages>3</Pages>
  <Words>691</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4749</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jrhenin</dc:creator>
  <cp:lastModifiedBy>cwind</cp:lastModifiedBy>
  <cp:revision>3</cp:revision>
  <cp:lastPrinted>2010-11-12T17:16:00Z</cp:lastPrinted>
  <dcterms:created xsi:type="dcterms:W3CDTF">2012-07-16T21:44:00Z</dcterms:created>
  <dcterms:modified xsi:type="dcterms:W3CDTF">2012-07-16T21:59:00Z</dcterms:modified>
</cp:coreProperties>
</file>