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85" w:type="dxa"/>
        <w:tblInd w:w="95" w:type="dxa"/>
        <w:tblLook w:val="04A0"/>
      </w:tblPr>
      <w:tblGrid>
        <w:gridCol w:w="818"/>
        <w:gridCol w:w="5920"/>
        <w:gridCol w:w="1173"/>
        <w:gridCol w:w="1138"/>
        <w:gridCol w:w="1138"/>
        <w:gridCol w:w="1278"/>
        <w:gridCol w:w="1720"/>
      </w:tblGrid>
      <w:tr w:rsidR="00667666" w:rsidRPr="00667666" w:rsidTr="00EC4B81">
        <w:trPr>
          <w:trHeight w:val="360"/>
        </w:trPr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B1:H42"/>
            <w:r w:rsidRPr="00667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2011 EQC Rulemaking Involvement Worksheet</w:t>
            </w:r>
            <w:bookmarkEnd w:id="0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D5F96" w:rsidRPr="00667666" w:rsidTr="00C72009">
        <w:trPr>
          <w:trHeight w:val="540"/>
        </w:trPr>
        <w:tc>
          <w:tcPr>
            <w:tcW w:w="1318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FD5F96" w:rsidRPr="001E43F0" w:rsidRDefault="00FD5F96" w:rsidP="00F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 columns 1-4, green shading indicates EQC majority vote for involvement prior to decision-making meeting.</w:t>
            </w:r>
          </w:p>
        </w:tc>
      </w:tr>
      <w:tr w:rsidR="00667666" w:rsidRPr="00667666" w:rsidTr="00C72009">
        <w:trPr>
          <w:trHeight w:val="405"/>
        </w:trPr>
        <w:tc>
          <w:tcPr>
            <w:tcW w:w="8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1. No involvement before EQC hears rule</w:t>
            </w:r>
          </w:p>
        </w:tc>
        <w:tc>
          <w:tcPr>
            <w:tcW w:w="22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  <w:t>Provide Information</w:t>
            </w:r>
          </w:p>
        </w:tc>
        <w:tc>
          <w:tcPr>
            <w:tcW w:w="12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4. EQC facilitated hearing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5. Add to advisory committee and notification lists. Call to invite to hearings.</w:t>
            </w:r>
          </w:p>
        </w:tc>
      </w:tr>
      <w:tr w:rsidR="00667666" w:rsidRPr="00667666" w:rsidTr="00C72009">
        <w:trPr>
          <w:trHeight w:val="666"/>
        </w:trPr>
        <w:tc>
          <w:tcPr>
            <w:tcW w:w="673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  <w:t>Program</w:t>
            </w:r>
          </w:p>
        </w:tc>
        <w:tc>
          <w:tcPr>
            <w:tcW w:w="11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2. Item on EQC Agenda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3. In Director's Dialogue</w:t>
            </w:r>
          </w:p>
        </w:tc>
        <w:tc>
          <w:tcPr>
            <w:tcW w:w="12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</w:p>
        </w:tc>
      </w:tr>
      <w:tr w:rsidR="00667666" w:rsidRPr="00667666" w:rsidTr="00C72009">
        <w:trPr>
          <w:trHeight w:val="414"/>
        </w:trPr>
        <w:tc>
          <w:tcPr>
            <w:tcW w:w="11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 xml:space="preserve">2010 agenda carried over to 2011  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 (17)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Low Carbon Fuel Standard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12/10</w:t>
            </w:r>
          </w:p>
        </w:tc>
        <w:tc>
          <w:tcPr>
            <w:tcW w:w="11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  <w:r w:rsidR="00C273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2/10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JU, WB,KW,JO,DD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Heat Smart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4/10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Lane Regional Air Protection Agency Rule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Klamath Falls Fine Particulate Attainment Plan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2010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Low Emission Vehicle</w:t>
            </w:r>
            <w:r w:rsidR="008A69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Standard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  <w:r w:rsidR="00B849A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4/10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Federal Air Quality Regulations </w:t>
            </w:r>
            <w:r w:rsidR="008A69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–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8A69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2010-2011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PM2.5/G</w:t>
            </w:r>
            <w:r w:rsidR="0067146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reenhouse Gas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8A69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Permitting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2/10</w:t>
            </w:r>
            <w:r w:rsidR="00B849A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 4/10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KW,DD*</w:t>
            </w:r>
            <w:r w:rsidR="006C5A4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 JU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Ballast Water Exchange Requirements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Electronic Waste Product Stewardship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Solid Waste Conversion Technology Permits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</w:t>
            </w:r>
          </w:p>
        </w:tc>
        <w:tc>
          <w:tcPr>
            <w:tcW w:w="5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Penalty Matrix Update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288"/>
        </w:trPr>
        <w:tc>
          <w:tcPr>
            <w:tcW w:w="8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Human Health Criteria Standards and Revisions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2/10,</w:t>
            </w:r>
            <w:r w:rsidR="00C273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4/10,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12/10</w:t>
            </w:r>
            <w:r w:rsidR="001D31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 8/10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B849A0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4/10</w:t>
            </w:r>
            <w:r w:rsidR="00EC4B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 10/10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  <w:r w:rsidR="00F03CE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JO**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JU, WB,KW,JO,DD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B849A0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Graywater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Treatment, Disposal and Reuse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12/</w:t>
            </w:r>
            <w:r w:rsidR="00667666"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2/10</w:t>
            </w:r>
            <w:r w:rsidR="00EC4B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</w:t>
            </w:r>
            <w:r w:rsidR="00B849A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4/10</w:t>
            </w:r>
            <w:r w:rsidR="001D31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,10/10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JU, DD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State Revolving Fund Program Revisions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Underground Injection Control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2/10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Turbidity Standards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C273AA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2/10</w:t>
            </w:r>
            <w:r w:rsidR="001D31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 10/10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JU, WB</w:t>
            </w:r>
          </w:p>
        </w:tc>
      </w:tr>
      <w:tr w:rsidR="00C72009" w:rsidRPr="00667666" w:rsidTr="000A75F1">
        <w:trPr>
          <w:trHeight w:val="317"/>
        </w:trPr>
        <w:tc>
          <w:tcPr>
            <w:tcW w:w="8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C72009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C72009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 Certification Fee Increase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hideMark/>
          </w:tcPr>
          <w:p w:rsidR="00C72009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C72009" w:rsidRPr="00667666" w:rsidRDefault="001D3183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10/10,</w:t>
            </w:r>
            <w:r w:rsidR="00C7200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12/10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C72009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C72009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C72009" w:rsidRPr="00667666" w:rsidRDefault="00C72009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</w:tr>
      <w:tr w:rsidR="00667666" w:rsidRPr="00667666" w:rsidTr="000A75F1">
        <w:trPr>
          <w:trHeight w:val="317"/>
        </w:trPr>
        <w:tc>
          <w:tcPr>
            <w:tcW w:w="8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2011 WQ Permit Fee Increase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67666" w:rsidRPr="00667666" w:rsidRDefault="00667666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6C5A4B" w:rsidRPr="00667666" w:rsidTr="000A75F1">
        <w:trPr>
          <w:trHeight w:val="317"/>
        </w:trPr>
        <w:tc>
          <w:tcPr>
            <w:tcW w:w="8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5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C5A4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Amendments to Water Quality Standards: Arsenic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C5A4B" w:rsidRPr="00667666" w:rsidRDefault="006C5A4B" w:rsidP="000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</w:tr>
    </w:tbl>
    <w:p w:rsidR="00C72009" w:rsidRPr="000A75F1" w:rsidRDefault="00C72009" w:rsidP="00EC4B81">
      <w:pPr>
        <w:pStyle w:val="ListParagraph"/>
        <w:widowControl w:val="0"/>
        <w:tabs>
          <w:tab w:val="left" w:pos="10440"/>
        </w:tabs>
        <w:spacing w:after="0" w:line="240" w:lineRule="auto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</w:pPr>
      <w:r w:rsidRPr="00EC4B81">
        <w:rPr>
          <w:rFonts w:ascii="Times New Roman" w:eastAsia="Times New Roman" w:hAnsi="Times New Roman" w:cs="Times New Roman"/>
          <w:color w:val="000000"/>
          <w:vertAlign w:val="superscript"/>
        </w:rPr>
        <w:t xml:space="preserve">* </w:t>
      </w:r>
      <w:proofErr w:type="gramStart"/>
      <w:r w:rsidRPr="000A75F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  <w:t>when</w:t>
      </w:r>
      <w:proofErr w:type="gramEnd"/>
      <w:r w:rsidRPr="000A75F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  <w:t xml:space="preserve"> staff feels advisable </w:t>
      </w:r>
    </w:p>
    <w:p w:rsidR="00C72009" w:rsidRPr="000A75F1" w:rsidRDefault="00C72009" w:rsidP="00EC4B81">
      <w:pPr>
        <w:widowControl w:val="0"/>
        <w:spacing w:after="0" w:line="240" w:lineRule="auto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</w:pPr>
      <w:r w:rsidRPr="000A75F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  <w:t xml:space="preserve">** </w:t>
      </w:r>
      <w:proofErr w:type="gramStart"/>
      <w:r w:rsidRPr="000A75F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  <w:t>if</w:t>
      </w:r>
      <w:proofErr w:type="gramEnd"/>
      <w:r w:rsidRPr="000A75F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</w:rPr>
        <w:t xml:space="preserve"> possible at this late date</w:t>
      </w:r>
    </w:p>
    <w:p w:rsidR="00C72009" w:rsidRPr="00FD5F96" w:rsidRDefault="00C72009" w:rsidP="00667666">
      <w:pPr>
        <w:tabs>
          <w:tab w:val="left" w:pos="2258"/>
          <w:tab w:val="left" w:pos="8278"/>
          <w:tab w:val="left" w:pos="9579"/>
          <w:tab w:val="left" w:pos="10654"/>
          <w:tab w:val="left" w:pos="1192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vertAlign w:val="superscript"/>
        </w:rPr>
      </w:pPr>
    </w:p>
    <w:tbl>
      <w:tblPr>
        <w:tblW w:w="14530" w:type="dxa"/>
        <w:tblInd w:w="-787" w:type="dxa"/>
        <w:tblLook w:val="04A0"/>
      </w:tblPr>
      <w:tblGrid>
        <w:gridCol w:w="902"/>
        <w:gridCol w:w="6524"/>
        <w:gridCol w:w="1293"/>
        <w:gridCol w:w="1254"/>
        <w:gridCol w:w="1254"/>
        <w:gridCol w:w="1408"/>
        <w:gridCol w:w="1895"/>
      </w:tblGrid>
      <w:tr w:rsidR="00667666" w:rsidRPr="00667666" w:rsidTr="00EC4B81">
        <w:trPr>
          <w:trHeight w:val="360"/>
        </w:trPr>
        <w:tc>
          <w:tcPr>
            <w:tcW w:w="7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2011 EQC Rulemaking Involvement Worksheet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57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D456D5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667666" w:rsidRPr="00667666" w:rsidTr="00EC4B81">
        <w:trPr>
          <w:trHeight w:val="540"/>
        </w:trPr>
        <w:tc>
          <w:tcPr>
            <w:tcW w:w="1453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667666" w:rsidRPr="001E43F0" w:rsidRDefault="00FD5F96" w:rsidP="00F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 columns 1-4, green shading indicates EQC majority vote for involvement prior to decision-making meeting.</w:t>
            </w:r>
          </w:p>
        </w:tc>
      </w:tr>
      <w:tr w:rsidR="00667666" w:rsidRPr="00667666" w:rsidTr="00EC4B81">
        <w:trPr>
          <w:trHeight w:val="405"/>
        </w:trPr>
        <w:tc>
          <w:tcPr>
            <w:tcW w:w="90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 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1. No involvement before EQC hears rule</w:t>
            </w:r>
          </w:p>
        </w:tc>
        <w:tc>
          <w:tcPr>
            <w:tcW w:w="250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  <w:t>Provide Information</w:t>
            </w:r>
          </w:p>
        </w:tc>
        <w:tc>
          <w:tcPr>
            <w:tcW w:w="140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4. EQC facilitated hearing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5. Add to advisory committee and notification lists. Call to invite to hearings.</w:t>
            </w:r>
          </w:p>
        </w:tc>
      </w:tr>
      <w:tr w:rsidR="00667666" w:rsidRPr="00667666" w:rsidTr="00EC4B81">
        <w:trPr>
          <w:trHeight w:val="885"/>
        </w:trPr>
        <w:tc>
          <w:tcPr>
            <w:tcW w:w="74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2F2F2"/>
            <w:noWrap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</w:rPr>
              <w:t>Program</w:t>
            </w:r>
          </w:p>
        </w:tc>
        <w:tc>
          <w:tcPr>
            <w:tcW w:w="12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2. Item on EQC Agenda</w:t>
            </w:r>
          </w:p>
        </w:tc>
        <w:tc>
          <w:tcPr>
            <w:tcW w:w="12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667666" w:rsidRPr="00667666" w:rsidRDefault="00667666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3. In Director's Dialogue</w:t>
            </w:r>
          </w:p>
        </w:tc>
        <w:tc>
          <w:tcPr>
            <w:tcW w:w="140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</w:p>
        </w:tc>
      </w:tr>
      <w:tr w:rsidR="00667666" w:rsidRPr="00667666" w:rsidTr="00EC4B81">
        <w:trPr>
          <w:trHeight w:val="600"/>
        </w:trPr>
        <w:tc>
          <w:tcPr>
            <w:tcW w:w="7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666" w:rsidRPr="00667666" w:rsidRDefault="00667666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2010 midyear addition to agenda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  (</w:t>
            </w:r>
            <w:r w:rsidR="0067146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666" w:rsidRPr="00667666" w:rsidRDefault="00667666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A20" w:rsidRPr="00667666" w:rsidTr="00EC4B81">
        <w:trPr>
          <w:trHeight w:val="317"/>
        </w:trPr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C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65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C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Limited Scope Exemption for Ecological Restoration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6C5A4B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JU,WB</w:t>
            </w:r>
          </w:p>
        </w:tc>
      </w:tr>
      <w:tr w:rsidR="007A1A20" w:rsidRPr="00667666" w:rsidTr="00EC4B81">
        <w:trPr>
          <w:trHeight w:val="317"/>
        </w:trPr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C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65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C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Repeal UST Soil Matrix Registration and Licensing Rules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FD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600"/>
        </w:trPr>
        <w:tc>
          <w:tcPr>
            <w:tcW w:w="7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2011 additions to agenda 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 w:rsidR="0067146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A20" w:rsidRPr="00667666" w:rsidTr="00EC4B81">
        <w:trPr>
          <w:trHeight w:val="390"/>
        </w:trPr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652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8A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Federal Air Quality Regulations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–</w:t>
            </w: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2011-2012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390"/>
        </w:trPr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65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8A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Title V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2012-2013 Fees</w:t>
            </w: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390"/>
        </w:trPr>
        <w:tc>
          <w:tcPr>
            <w:tcW w:w="90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65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2012 WQ Permit Fee Increases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FD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  <w:r w:rsidR="00CA4FFC">
              <w:rPr>
                <w:rFonts w:ascii="Calibri" w:eastAsia="Times New Roman" w:hAnsi="Calibri" w:cs="Times New Roman"/>
                <w:color w:val="000000"/>
                <w:vertAlign w:val="superscript"/>
              </w:rPr>
              <w:t>KW</w:t>
            </w:r>
          </w:p>
        </w:tc>
        <w:tc>
          <w:tcPr>
            <w:tcW w:w="12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360"/>
        </w:trPr>
        <w:tc>
          <w:tcPr>
            <w:tcW w:w="7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D0D0D"/>
              </w:rPr>
            </w:pPr>
            <w:r w:rsidRPr="00667666">
              <w:rPr>
                <w:rFonts w:ascii="Verdana" w:eastAsia="Times New Roman" w:hAnsi="Verdana" w:cs="Times New Roman"/>
                <w:b/>
                <w:bCs/>
                <w:color w:val="0D0D0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A20" w:rsidRPr="00667666" w:rsidTr="00EC4B81">
        <w:trPr>
          <w:trHeight w:val="465"/>
        </w:trPr>
        <w:tc>
          <w:tcPr>
            <w:tcW w:w="7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D0D0D"/>
              </w:rPr>
            </w:pPr>
            <w:r w:rsidRPr="00667666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Legislative concepts requiring rules if approved  </w:t>
            </w:r>
            <w:r w:rsidRPr="0067146B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(4)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A20" w:rsidRPr="00667666" w:rsidTr="00EC4B81">
        <w:trPr>
          <w:trHeight w:val="317"/>
        </w:trPr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65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8A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Truck Efficiency and Idling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  <w:r w:rsidR="006C5A4B">
              <w:rPr>
                <w:rFonts w:ascii="Calibri" w:eastAsia="Times New Roman" w:hAnsi="Calibri" w:cs="Times New Roman"/>
                <w:color w:val="000000"/>
                <w:vertAlign w:val="superscript"/>
              </w:rPr>
              <w:t>JU,DD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317"/>
        </w:trPr>
        <w:tc>
          <w:tcPr>
            <w:tcW w:w="90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65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 w:rsidR="00671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reenhouse Gas </w:t>
            </w: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Update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  <w:r w:rsidR="006C5A4B">
              <w:rPr>
                <w:rFonts w:ascii="Calibri" w:eastAsia="Times New Roman" w:hAnsi="Calibri" w:cs="Times New Roman"/>
                <w:color w:val="000000"/>
                <w:vertAlign w:val="superscript"/>
              </w:rPr>
              <w:t>JU*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  <w:r w:rsidR="006C5A4B">
              <w:rPr>
                <w:rFonts w:ascii="Calibri" w:eastAsia="Times New Roman" w:hAnsi="Calibri" w:cs="Times New Roman"/>
                <w:color w:val="000000"/>
                <w:vertAlign w:val="superscript"/>
              </w:rPr>
              <w:t>DD,KW</w:t>
            </w: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317"/>
        </w:trPr>
        <w:tc>
          <w:tcPr>
            <w:tcW w:w="90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V G</w:t>
            </w:r>
            <w:r w:rsidR="00671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reenhouse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 w:rsidR="00671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  <w:r w:rsidR="006C5A4B">
              <w:rPr>
                <w:rFonts w:ascii="Calibri" w:eastAsia="Times New Roman" w:hAnsi="Calibri" w:cs="Times New Roman"/>
                <w:color w:val="000000"/>
                <w:vertAlign w:val="superscript"/>
              </w:rPr>
              <w:t>JU*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  <w:r w:rsidR="0099363F">
              <w:rPr>
                <w:rFonts w:ascii="Calibri" w:eastAsia="Times New Roman" w:hAnsi="Calibri" w:cs="Times New Roman"/>
                <w:color w:val="000000"/>
                <w:vertAlign w:val="superscript"/>
              </w:rPr>
              <w:t>KW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</w:tr>
      <w:tr w:rsidR="007A1A20" w:rsidRPr="00667666" w:rsidTr="00EC4B81">
        <w:trPr>
          <w:trHeight w:val="317"/>
        </w:trPr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65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Improve Onsite Septic System Program (Clean Stream)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8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A1A20" w:rsidRPr="00667666" w:rsidRDefault="007A1A20" w:rsidP="0066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66">
              <w:rPr>
                <w:rFonts w:ascii="Calibri" w:eastAsia="Times New Roman" w:hAnsi="Calibri" w:cs="Times New Roman"/>
                <w:color w:val="000000"/>
                <w:vertAlign w:val="superscript"/>
              </w:rPr>
              <w:t> </w:t>
            </w:r>
          </w:p>
        </w:tc>
      </w:tr>
    </w:tbl>
    <w:p w:rsidR="006C5A4B" w:rsidRDefault="006C5A4B" w:rsidP="006C5A4B">
      <w:pPr>
        <w:spacing w:after="0" w:line="240" w:lineRule="auto"/>
      </w:pPr>
    </w:p>
    <w:p w:rsidR="006C5A4B" w:rsidRDefault="006C5A4B" w:rsidP="006C5A4B">
      <w:pPr>
        <w:spacing w:after="0" w:line="240" w:lineRule="auto"/>
        <w:rPr>
          <w:sz w:val="18"/>
          <w:szCs w:val="18"/>
        </w:rPr>
      </w:pPr>
      <w:r>
        <w:t>*</w:t>
      </w:r>
      <w:r w:rsidRPr="006C5A4B">
        <w:rPr>
          <w:sz w:val="18"/>
          <w:szCs w:val="18"/>
        </w:rPr>
        <w:t>status of legal actions and issues raised at hearings</w:t>
      </w:r>
    </w:p>
    <w:p w:rsidR="006C5A4B" w:rsidRPr="006C5A4B" w:rsidRDefault="006C5A4B" w:rsidP="006C5A4B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proofErr w:type="gramStart"/>
      <w:r>
        <w:rPr>
          <w:sz w:val="18"/>
          <w:szCs w:val="18"/>
        </w:rPr>
        <w:t>when</w:t>
      </w:r>
      <w:proofErr w:type="gramEnd"/>
      <w:r>
        <w:rPr>
          <w:sz w:val="18"/>
          <w:szCs w:val="18"/>
        </w:rPr>
        <w:t xml:space="preserve"> held in her area</w:t>
      </w:r>
    </w:p>
    <w:sectPr w:rsidR="006C5A4B" w:rsidRPr="006C5A4B" w:rsidSect="00C72009">
      <w:footerReference w:type="default" r:id="rId7"/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D8" w:rsidRDefault="00873BD8" w:rsidP="00D456D5">
      <w:pPr>
        <w:spacing w:after="0" w:line="240" w:lineRule="auto"/>
      </w:pPr>
      <w:r>
        <w:separator/>
      </w:r>
    </w:p>
  </w:endnote>
  <w:endnote w:type="continuationSeparator" w:id="0">
    <w:p w:rsidR="00873BD8" w:rsidRDefault="00873BD8" w:rsidP="00D4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110"/>
      <w:docPartObj>
        <w:docPartGallery w:val="Page Numbers (Bottom of Page)"/>
        <w:docPartUnique/>
      </w:docPartObj>
    </w:sdtPr>
    <w:sdtContent>
      <w:p w:rsidR="00EC4B81" w:rsidRDefault="001B3288">
        <w:pPr>
          <w:pStyle w:val="Footer"/>
        </w:pPr>
        <w:fldSimple w:instr=" PAGE   \* MERGEFORMAT ">
          <w:r w:rsidR="00F82814">
            <w:rPr>
              <w:noProof/>
            </w:rPr>
            <w:t>1</w:t>
          </w:r>
        </w:fldSimple>
      </w:p>
    </w:sdtContent>
  </w:sdt>
  <w:p w:rsidR="00EC4B81" w:rsidRDefault="00EC4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D8" w:rsidRDefault="00873BD8" w:rsidP="00D456D5">
      <w:pPr>
        <w:spacing w:after="0" w:line="240" w:lineRule="auto"/>
      </w:pPr>
      <w:r>
        <w:separator/>
      </w:r>
    </w:p>
  </w:footnote>
  <w:footnote w:type="continuationSeparator" w:id="0">
    <w:p w:rsidR="00873BD8" w:rsidRDefault="00873BD8" w:rsidP="00D45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36188"/>
    <w:multiLevelType w:val="hybridMultilevel"/>
    <w:tmpl w:val="7C985C18"/>
    <w:lvl w:ilvl="0" w:tplc="FF667686">
      <w:start w:val="401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666"/>
    <w:rsid w:val="00007015"/>
    <w:rsid w:val="00011250"/>
    <w:rsid w:val="00023790"/>
    <w:rsid w:val="000238F8"/>
    <w:rsid w:val="0003358E"/>
    <w:rsid w:val="000372AD"/>
    <w:rsid w:val="0003760B"/>
    <w:rsid w:val="00040FE3"/>
    <w:rsid w:val="00043B9A"/>
    <w:rsid w:val="0005169C"/>
    <w:rsid w:val="00062C17"/>
    <w:rsid w:val="00074FD7"/>
    <w:rsid w:val="00086A46"/>
    <w:rsid w:val="000A75F1"/>
    <w:rsid w:val="000B1D28"/>
    <w:rsid w:val="000C7E3E"/>
    <w:rsid w:val="000E4191"/>
    <w:rsid w:val="000E5882"/>
    <w:rsid w:val="000F0A83"/>
    <w:rsid w:val="000F5765"/>
    <w:rsid w:val="001139AE"/>
    <w:rsid w:val="00115DFC"/>
    <w:rsid w:val="001310C2"/>
    <w:rsid w:val="00144845"/>
    <w:rsid w:val="0016210F"/>
    <w:rsid w:val="00164821"/>
    <w:rsid w:val="00165E02"/>
    <w:rsid w:val="00182F18"/>
    <w:rsid w:val="0019745A"/>
    <w:rsid w:val="00197CDD"/>
    <w:rsid w:val="001A03BA"/>
    <w:rsid w:val="001A56C7"/>
    <w:rsid w:val="001B3288"/>
    <w:rsid w:val="001B7BA7"/>
    <w:rsid w:val="001C022C"/>
    <w:rsid w:val="001D3183"/>
    <w:rsid w:val="001D40B9"/>
    <w:rsid w:val="001D4497"/>
    <w:rsid w:val="001D48F9"/>
    <w:rsid w:val="001E248B"/>
    <w:rsid w:val="001E43F0"/>
    <w:rsid w:val="00235EE7"/>
    <w:rsid w:val="00252A0F"/>
    <w:rsid w:val="0026792D"/>
    <w:rsid w:val="00267C44"/>
    <w:rsid w:val="00273520"/>
    <w:rsid w:val="002766A4"/>
    <w:rsid w:val="00285749"/>
    <w:rsid w:val="00293406"/>
    <w:rsid w:val="002D5853"/>
    <w:rsid w:val="002E5B36"/>
    <w:rsid w:val="002F16B4"/>
    <w:rsid w:val="00331A71"/>
    <w:rsid w:val="00331E1B"/>
    <w:rsid w:val="00333F83"/>
    <w:rsid w:val="00342894"/>
    <w:rsid w:val="0034315F"/>
    <w:rsid w:val="00346BD8"/>
    <w:rsid w:val="003540C5"/>
    <w:rsid w:val="00355687"/>
    <w:rsid w:val="00390AD3"/>
    <w:rsid w:val="0039321E"/>
    <w:rsid w:val="003960BF"/>
    <w:rsid w:val="003976ED"/>
    <w:rsid w:val="003D42B5"/>
    <w:rsid w:val="003E4AA4"/>
    <w:rsid w:val="003F3C2B"/>
    <w:rsid w:val="00406188"/>
    <w:rsid w:val="004130DC"/>
    <w:rsid w:val="00440E31"/>
    <w:rsid w:val="00442FF8"/>
    <w:rsid w:val="00465514"/>
    <w:rsid w:val="00486615"/>
    <w:rsid w:val="004B53CC"/>
    <w:rsid w:val="004C5629"/>
    <w:rsid w:val="004D05C7"/>
    <w:rsid w:val="004E6D69"/>
    <w:rsid w:val="004F42E8"/>
    <w:rsid w:val="0050316F"/>
    <w:rsid w:val="00530794"/>
    <w:rsid w:val="00550B9E"/>
    <w:rsid w:val="005532CB"/>
    <w:rsid w:val="00565CBB"/>
    <w:rsid w:val="00567043"/>
    <w:rsid w:val="00567185"/>
    <w:rsid w:val="00573001"/>
    <w:rsid w:val="0057377C"/>
    <w:rsid w:val="00573CCD"/>
    <w:rsid w:val="00596F05"/>
    <w:rsid w:val="005A20ED"/>
    <w:rsid w:val="005D06AF"/>
    <w:rsid w:val="005D0B2C"/>
    <w:rsid w:val="005D2DA7"/>
    <w:rsid w:val="005E7168"/>
    <w:rsid w:val="005F0AF7"/>
    <w:rsid w:val="005F436E"/>
    <w:rsid w:val="0060020D"/>
    <w:rsid w:val="00600F18"/>
    <w:rsid w:val="006176F0"/>
    <w:rsid w:val="0064192A"/>
    <w:rsid w:val="00651AFF"/>
    <w:rsid w:val="0066197F"/>
    <w:rsid w:val="0066392E"/>
    <w:rsid w:val="00665918"/>
    <w:rsid w:val="00667666"/>
    <w:rsid w:val="0067146B"/>
    <w:rsid w:val="006768A5"/>
    <w:rsid w:val="00684FC2"/>
    <w:rsid w:val="00693203"/>
    <w:rsid w:val="0069541E"/>
    <w:rsid w:val="0069544F"/>
    <w:rsid w:val="00696034"/>
    <w:rsid w:val="006A6B0F"/>
    <w:rsid w:val="006B4FCD"/>
    <w:rsid w:val="006C0B0E"/>
    <w:rsid w:val="006C5A4B"/>
    <w:rsid w:val="006D4FE6"/>
    <w:rsid w:val="006F6C10"/>
    <w:rsid w:val="007061C0"/>
    <w:rsid w:val="0071609C"/>
    <w:rsid w:val="00750A23"/>
    <w:rsid w:val="00750AE3"/>
    <w:rsid w:val="00756497"/>
    <w:rsid w:val="00784733"/>
    <w:rsid w:val="00792971"/>
    <w:rsid w:val="00796D2C"/>
    <w:rsid w:val="00796F33"/>
    <w:rsid w:val="007A1A20"/>
    <w:rsid w:val="007A7E47"/>
    <w:rsid w:val="007B0EB0"/>
    <w:rsid w:val="007B18B4"/>
    <w:rsid w:val="007C47D9"/>
    <w:rsid w:val="007E7917"/>
    <w:rsid w:val="007F25AC"/>
    <w:rsid w:val="00811506"/>
    <w:rsid w:val="00813A33"/>
    <w:rsid w:val="00815B00"/>
    <w:rsid w:val="0082028C"/>
    <w:rsid w:val="0085251E"/>
    <w:rsid w:val="00856126"/>
    <w:rsid w:val="00860233"/>
    <w:rsid w:val="0086185A"/>
    <w:rsid w:val="00866DCC"/>
    <w:rsid w:val="0087066B"/>
    <w:rsid w:val="00873BD8"/>
    <w:rsid w:val="008746A7"/>
    <w:rsid w:val="00884526"/>
    <w:rsid w:val="008969BF"/>
    <w:rsid w:val="008A69C1"/>
    <w:rsid w:val="008B3684"/>
    <w:rsid w:val="008D666D"/>
    <w:rsid w:val="008D6AD3"/>
    <w:rsid w:val="008D7D55"/>
    <w:rsid w:val="008F4C47"/>
    <w:rsid w:val="00901C2F"/>
    <w:rsid w:val="009163AE"/>
    <w:rsid w:val="009225E4"/>
    <w:rsid w:val="00925646"/>
    <w:rsid w:val="0092587C"/>
    <w:rsid w:val="009331D6"/>
    <w:rsid w:val="00937D42"/>
    <w:rsid w:val="00957D2C"/>
    <w:rsid w:val="00960ED7"/>
    <w:rsid w:val="00962AE3"/>
    <w:rsid w:val="0096435B"/>
    <w:rsid w:val="00965820"/>
    <w:rsid w:val="0097541A"/>
    <w:rsid w:val="0097658A"/>
    <w:rsid w:val="00976E7B"/>
    <w:rsid w:val="00984ACD"/>
    <w:rsid w:val="009922B0"/>
    <w:rsid w:val="0099363F"/>
    <w:rsid w:val="009A2118"/>
    <w:rsid w:val="009B10E3"/>
    <w:rsid w:val="009C54F2"/>
    <w:rsid w:val="009D3F45"/>
    <w:rsid w:val="009D4BBB"/>
    <w:rsid w:val="009D5148"/>
    <w:rsid w:val="009E73E0"/>
    <w:rsid w:val="009F2A40"/>
    <w:rsid w:val="009F59FA"/>
    <w:rsid w:val="009F662F"/>
    <w:rsid w:val="009F6923"/>
    <w:rsid w:val="00A0797C"/>
    <w:rsid w:val="00A1162F"/>
    <w:rsid w:val="00A26D62"/>
    <w:rsid w:val="00A55831"/>
    <w:rsid w:val="00A629A3"/>
    <w:rsid w:val="00A731FA"/>
    <w:rsid w:val="00A74860"/>
    <w:rsid w:val="00A93EA5"/>
    <w:rsid w:val="00AE54DF"/>
    <w:rsid w:val="00B14115"/>
    <w:rsid w:val="00B45D68"/>
    <w:rsid w:val="00B57B45"/>
    <w:rsid w:val="00B601FC"/>
    <w:rsid w:val="00B6597F"/>
    <w:rsid w:val="00B66D22"/>
    <w:rsid w:val="00B82D9F"/>
    <w:rsid w:val="00B849A0"/>
    <w:rsid w:val="00B9194B"/>
    <w:rsid w:val="00B928B5"/>
    <w:rsid w:val="00BB17C2"/>
    <w:rsid w:val="00BB6E05"/>
    <w:rsid w:val="00BD1E2D"/>
    <w:rsid w:val="00BE48EE"/>
    <w:rsid w:val="00BE79D8"/>
    <w:rsid w:val="00C045D7"/>
    <w:rsid w:val="00C067DC"/>
    <w:rsid w:val="00C23E39"/>
    <w:rsid w:val="00C273AA"/>
    <w:rsid w:val="00C5147C"/>
    <w:rsid w:val="00C5182B"/>
    <w:rsid w:val="00C61AF5"/>
    <w:rsid w:val="00C65DCD"/>
    <w:rsid w:val="00C72009"/>
    <w:rsid w:val="00CA4FFC"/>
    <w:rsid w:val="00CB5178"/>
    <w:rsid w:val="00CC0AB3"/>
    <w:rsid w:val="00CE7505"/>
    <w:rsid w:val="00CE7930"/>
    <w:rsid w:val="00CF2632"/>
    <w:rsid w:val="00CF2FAA"/>
    <w:rsid w:val="00D0014C"/>
    <w:rsid w:val="00D00F65"/>
    <w:rsid w:val="00D0114F"/>
    <w:rsid w:val="00D13953"/>
    <w:rsid w:val="00D2597A"/>
    <w:rsid w:val="00D3343C"/>
    <w:rsid w:val="00D43276"/>
    <w:rsid w:val="00D456D5"/>
    <w:rsid w:val="00D46D21"/>
    <w:rsid w:val="00D54FE8"/>
    <w:rsid w:val="00D813E8"/>
    <w:rsid w:val="00D900DA"/>
    <w:rsid w:val="00D90F10"/>
    <w:rsid w:val="00DC0326"/>
    <w:rsid w:val="00DC2DD2"/>
    <w:rsid w:val="00DD6A12"/>
    <w:rsid w:val="00DE7EBA"/>
    <w:rsid w:val="00DF3DC7"/>
    <w:rsid w:val="00DF4481"/>
    <w:rsid w:val="00E02011"/>
    <w:rsid w:val="00E51B7A"/>
    <w:rsid w:val="00E5488C"/>
    <w:rsid w:val="00E95959"/>
    <w:rsid w:val="00EA4677"/>
    <w:rsid w:val="00EA6099"/>
    <w:rsid w:val="00EB715F"/>
    <w:rsid w:val="00EC4B81"/>
    <w:rsid w:val="00ED2F0B"/>
    <w:rsid w:val="00EF34D5"/>
    <w:rsid w:val="00F03CE5"/>
    <w:rsid w:val="00F31218"/>
    <w:rsid w:val="00F52104"/>
    <w:rsid w:val="00F56AC4"/>
    <w:rsid w:val="00F74F81"/>
    <w:rsid w:val="00F77F11"/>
    <w:rsid w:val="00F82814"/>
    <w:rsid w:val="00F86457"/>
    <w:rsid w:val="00F932EF"/>
    <w:rsid w:val="00FB1DE2"/>
    <w:rsid w:val="00FD5F96"/>
    <w:rsid w:val="00FE6624"/>
    <w:rsid w:val="00FF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6D5"/>
  </w:style>
  <w:style w:type="paragraph" w:styleId="Footer">
    <w:name w:val="footer"/>
    <w:basedOn w:val="Normal"/>
    <w:link w:val="FooterChar"/>
    <w:uiPriority w:val="99"/>
    <w:unhideWhenUsed/>
    <w:rsid w:val="00D4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D5"/>
  </w:style>
  <w:style w:type="paragraph" w:styleId="ListParagraph">
    <w:name w:val="List Paragraph"/>
    <w:basedOn w:val="Normal"/>
    <w:uiPriority w:val="34"/>
    <w:qFormat/>
    <w:rsid w:val="00C72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Kathy Kiwala</cp:lastModifiedBy>
  <cp:revision>2</cp:revision>
  <cp:lastPrinted>2010-12-20T23:34:00Z</cp:lastPrinted>
  <dcterms:created xsi:type="dcterms:W3CDTF">2011-04-21T20:40:00Z</dcterms:created>
  <dcterms:modified xsi:type="dcterms:W3CDTF">2011-04-21T20:40:00Z</dcterms:modified>
</cp:coreProperties>
</file>