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81B" w:rsidRPr="00B15DF7" w:rsidRDefault="006C681B" w:rsidP="006C681B"/>
    <w:tbl>
      <w:tblPr>
        <w:tblW w:w="11430" w:type="dxa"/>
        <w:tblInd w:w="108" w:type="dxa"/>
        <w:tblLook w:val="04A0"/>
      </w:tblPr>
      <w:tblGrid>
        <w:gridCol w:w="11430"/>
      </w:tblGrid>
      <w:tr w:rsidR="006C681B" w:rsidRPr="00B15DF7" w:rsidTr="00612DAA">
        <w:trPr>
          <w:trHeight w:val="600"/>
        </w:trPr>
        <w:tc>
          <w:tcPr>
            <w:tcW w:w="11430" w:type="dxa"/>
            <w:tcBorders>
              <w:top w:val="nil"/>
              <w:left w:val="nil"/>
              <w:bottom w:val="double" w:sz="6" w:space="0" w:color="7F7F7F"/>
              <w:right w:val="nil"/>
            </w:tcBorders>
            <w:shd w:val="clear" w:color="000000" w:fill="D8D3C6"/>
            <w:noWrap/>
            <w:vAlign w:val="bottom"/>
          </w:tcPr>
          <w:p w:rsidR="006C681B" w:rsidRPr="00B15DF7" w:rsidRDefault="006C681B" w:rsidP="00612DAA">
            <w:pPr>
              <w:outlineLvl w:val="0"/>
              <w:rPr>
                <w:rFonts w:eastAsia="Times New Roman"/>
                <w:bCs/>
                <w:color w:val="32525C"/>
                <w:sz w:val="28"/>
                <w:szCs w:val="28"/>
              </w:rPr>
            </w:pPr>
          </w:p>
          <w:p w:rsidR="006C681B" w:rsidRPr="00B15DF7" w:rsidRDefault="006C681B" w:rsidP="00612DAA">
            <w:pPr>
              <w:outlineLvl w:val="0"/>
              <w:rPr>
                <w:rFonts w:eastAsia="Times New Roman"/>
                <w:bCs/>
                <w:color w:val="32525C"/>
                <w:sz w:val="28"/>
                <w:szCs w:val="28"/>
              </w:rPr>
            </w:pPr>
            <w:r w:rsidRPr="00B15DF7">
              <w:rPr>
                <w:rFonts w:eastAsia="Times New Roman"/>
                <w:bCs/>
                <w:color w:val="32525C"/>
                <w:sz w:val="28"/>
                <w:szCs w:val="28"/>
              </w:rPr>
              <w:t>Rules affected, authorities, supporting documents</w:t>
            </w:r>
          </w:p>
        </w:tc>
      </w:tr>
    </w:tbl>
    <w:p w:rsidR="006C681B" w:rsidRPr="00B15DF7" w:rsidRDefault="006C681B" w:rsidP="006C681B"/>
    <w:p w:rsidR="006C681B" w:rsidRPr="004F673A" w:rsidRDefault="006C681B" w:rsidP="006C681B">
      <w:pPr>
        <w:spacing w:after="120"/>
        <w:ind w:left="720"/>
        <w:rPr>
          <w:rFonts w:asciiTheme="majorHAnsi" w:eastAsia="Times New Roman" w:hAnsiTheme="majorHAnsi" w:cstheme="majorHAnsi"/>
          <w:b/>
          <w:bCs/>
          <w:color w:val="215868"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15868" w:themeColor="accent5" w:themeShade="80"/>
          <w:sz w:val="22"/>
          <w:szCs w:val="22"/>
        </w:rPr>
        <w:t xml:space="preserve"> </w:t>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6C681B" w:rsidRPr="00B15DF7" w:rsidRDefault="006C681B" w:rsidP="006C681B">
      <w:pPr>
        <w:tabs>
          <w:tab w:val="left" w:pos="6840"/>
        </w:tabs>
        <w:ind w:left="1080" w:right="634"/>
        <w:rPr>
          <w:rFonts w:ascii="Times New Roman" w:hAnsi="Times New Roman" w:cs="Times New Roman"/>
          <w:color w:val="000000" w:themeColor="text1"/>
        </w:rPr>
      </w:pPr>
      <w:r>
        <w:rPr>
          <w:rFonts w:ascii="Times New Roman" w:eastAsia="Times New Roman" w:hAnsi="Times New Roman" w:cs="Times New Roman"/>
          <w:bCs/>
        </w:rPr>
        <w:t>Land Quality</w:t>
      </w:r>
      <w:r w:rsidRPr="00B15DF7">
        <w:rPr>
          <w:rFonts w:ascii="Times New Roman" w:eastAsia="Times New Roman" w:hAnsi="Times New Roman" w:cs="Times New Roman"/>
          <w:bCs/>
        </w:rPr>
        <w:tab/>
      </w:r>
      <w:r>
        <w:rPr>
          <w:rFonts w:ascii="Times New Roman" w:eastAsia="Times New Roman" w:hAnsi="Times New Roman" w:cs="Times New Roman"/>
          <w:bCs/>
        </w:rPr>
        <w:t>SW PPD, Oregon E-Cycles</w:t>
      </w:r>
    </w:p>
    <w:p w:rsidR="006C681B" w:rsidRPr="00B15DF7" w:rsidRDefault="006C681B" w:rsidP="006C681B">
      <w:pPr>
        <w:tabs>
          <w:tab w:val="left" w:pos="7020"/>
        </w:tabs>
        <w:ind w:right="630"/>
      </w:pPr>
    </w:p>
    <w:p w:rsidR="006C681B" w:rsidRPr="004F673A" w:rsidRDefault="006C681B" w:rsidP="006C681B">
      <w:pPr>
        <w:spacing w:after="120"/>
        <w:outlineLvl w:val="0"/>
        <w:rPr>
          <w:rFonts w:ascii="Times New Roman" w:eastAsia="Times New Roman" w:hAnsi="Times New Roman" w:cs="Times New Roman"/>
          <w:b/>
          <w:bCs/>
          <w:color w:val="215868" w:themeColor="accent5" w:themeShade="80"/>
        </w:rPr>
      </w:pPr>
      <w:r w:rsidRPr="00B15DF7">
        <w:rPr>
          <w:rFonts w:ascii="Times New Roman" w:eastAsia="Times New Roman" w:hAnsi="Times New Roman" w:cs="Times New Roman"/>
          <w:bCs/>
          <w:color w:val="504938"/>
        </w:rPr>
        <w:t xml:space="preserve"> </w:t>
      </w:r>
      <w:r w:rsidRPr="00B15DF7">
        <w:rPr>
          <w:rFonts w:ascii="Times New Roman" w:eastAsia="Times New Roman" w:hAnsi="Times New Roman" w:cs="Times New Roman"/>
          <w:bCs/>
          <w:color w:val="504938"/>
        </w:rPr>
        <w:tab/>
      </w:r>
      <w:r w:rsidRPr="000D07CA">
        <w:rPr>
          <w:rFonts w:asciiTheme="majorHAnsi" w:eastAsia="Times New Roman" w:hAnsiTheme="majorHAnsi" w:cstheme="majorHAnsi"/>
          <w:bCs/>
          <w:color w:val="504938"/>
          <w:sz w:val="22"/>
          <w:szCs w:val="22"/>
        </w:rPr>
        <w:t>Chapter 340 action</w:t>
      </w:r>
      <w:hyperlink r:id="rId7" w:history="1">
        <w:r w:rsidRPr="007667BF">
          <w:rPr>
            <w:rStyle w:val="Hyperlink"/>
            <w:rFonts w:asciiTheme="majorHAnsi" w:eastAsia="Times New Roman" w:hAnsiTheme="majorHAnsi" w:cstheme="majorHAnsi"/>
            <w:bCs/>
            <w:color w:val="BFBFBF" w:themeColor="background1" w:themeShade="BF"/>
            <w:sz w:val="22"/>
            <w:szCs w:val="22"/>
            <w:u w:val="none"/>
          </w:rPr>
          <w:sym w:font="Wingdings 3" w:char="F07D"/>
        </w:r>
      </w:hyperlink>
      <w:r w:rsidRPr="004F673A">
        <w:rPr>
          <w:rFonts w:ascii="Times New Roman" w:eastAsia="Times New Roman" w:hAnsi="Times New Roman" w:cs="Times New Roman"/>
          <w:b/>
          <w:bCs/>
          <w:color w:val="215868" w:themeColor="accent5" w:themeShade="80"/>
        </w:rPr>
        <w:tab/>
      </w:r>
      <w:r w:rsidRPr="004F673A">
        <w:rPr>
          <w:rFonts w:ascii="Times New Roman" w:eastAsia="Times New Roman" w:hAnsi="Times New Roman" w:cs="Times New Roman"/>
          <w:b/>
          <w:bCs/>
          <w:color w:val="215868" w:themeColor="accent5" w:themeShade="80"/>
        </w:rPr>
        <w:tab/>
      </w:r>
      <w:r w:rsidRPr="004F673A">
        <w:rPr>
          <w:rFonts w:ascii="Times New Roman" w:eastAsia="Times New Roman" w:hAnsi="Times New Roman" w:cs="Times New Roman"/>
          <w:b/>
          <w:bCs/>
          <w:color w:val="215868" w:themeColor="accent5" w:themeShade="80"/>
        </w:rPr>
        <w:tab/>
      </w:r>
    </w:p>
    <w:p w:rsidR="006C681B" w:rsidRPr="000D07CA" w:rsidRDefault="006C681B" w:rsidP="006C681B">
      <w:pPr>
        <w:pBdr>
          <w:bottom w:val="single" w:sz="4" w:space="1" w:color="auto"/>
        </w:pBdr>
        <w:tabs>
          <w:tab w:val="left" w:pos="1080"/>
          <w:tab w:val="left" w:pos="2880"/>
          <w:tab w:val="left" w:pos="3870"/>
          <w:tab w:val="left" w:pos="4680"/>
          <w:tab w:val="left" w:pos="9630"/>
        </w:tabs>
        <w:ind w:left="720" w:right="180"/>
        <w:outlineLvl w:val="0"/>
        <w:rPr>
          <w:rFonts w:ascii="Times New Roman" w:eastAsia="Times New Roman" w:hAnsi="Times New Roman" w:cs="Times New Roman"/>
          <w:color w:val="403152" w:themeColor="accent4" w:themeShade="80"/>
          <w:sz w:val="20"/>
        </w:rPr>
      </w:pPr>
      <w:r w:rsidRPr="00B15DF7">
        <w:rPr>
          <w:rFonts w:ascii="Times New Roman" w:eastAsia="Times New Roman" w:hAnsi="Times New Roman" w:cs="Times New Roman"/>
          <w:bCs/>
          <w:color w:val="504938"/>
        </w:rPr>
        <w:tab/>
      </w:r>
      <w:r w:rsidRPr="000D07CA">
        <w:rPr>
          <w:rFonts w:ascii="Times New Roman" w:eastAsia="Times New Roman" w:hAnsi="Times New Roman" w:cs="Times New Roman"/>
          <w:color w:val="403152" w:themeColor="accent4" w:themeShade="80"/>
          <w:sz w:val="20"/>
        </w:rPr>
        <w:t>Recommendation</w:t>
      </w:r>
      <w:hyperlink r:id="rId8" w:history="1">
        <w:r w:rsidRPr="007667BF">
          <w:rPr>
            <w:rStyle w:val="Hyperlink"/>
            <w:rFonts w:ascii="Times New Roman" w:eastAsia="Times New Roman" w:hAnsi="Times New Roman" w:cs="Times New Roman"/>
            <w:color w:val="BFBFBF" w:themeColor="background1" w:themeShade="BF"/>
            <w:sz w:val="20"/>
            <w:u w:val="none"/>
          </w:rPr>
          <w:sym w:font="Wingdings 3" w:char="F07D"/>
        </w:r>
      </w:hyperlink>
      <w:r w:rsidRPr="000D07CA">
        <w:rPr>
          <w:rFonts w:ascii="Times New Roman" w:eastAsia="Times New Roman" w:hAnsi="Times New Roman" w:cs="Times New Roman"/>
          <w:bCs/>
          <w:color w:val="403152" w:themeColor="accent4" w:themeShade="80"/>
        </w:rPr>
        <w:tab/>
      </w:r>
      <w:r w:rsidRPr="000D07CA">
        <w:rPr>
          <w:rFonts w:ascii="Times New Roman" w:eastAsia="Times New Roman" w:hAnsi="Times New Roman" w:cs="Times New Roman"/>
          <w:color w:val="403152" w:themeColor="accent4" w:themeShade="80"/>
          <w:sz w:val="20"/>
        </w:rPr>
        <w:t>Division</w:t>
      </w:r>
      <w:r w:rsidRPr="000D07CA">
        <w:rPr>
          <w:rFonts w:ascii="Times New Roman" w:eastAsia="Times New Roman" w:hAnsi="Times New Roman" w:cs="Times New Roman"/>
          <w:color w:val="403152" w:themeColor="accent4" w:themeShade="80"/>
          <w:sz w:val="20"/>
        </w:rPr>
        <w:tab/>
        <w:t>Rule</w:t>
      </w:r>
      <w:r w:rsidRPr="000D07CA">
        <w:rPr>
          <w:rFonts w:ascii="Times New Roman" w:eastAsia="Times New Roman" w:hAnsi="Times New Roman" w:cs="Times New Roman"/>
          <w:color w:val="403152" w:themeColor="accent4" w:themeShade="80"/>
          <w:sz w:val="20"/>
        </w:rPr>
        <w:tab/>
        <w:t>Title</w:t>
      </w:r>
      <w:r w:rsidRPr="000D07CA">
        <w:rPr>
          <w:rFonts w:ascii="Times New Roman" w:eastAsia="Times New Roman" w:hAnsi="Times New Roman" w:cs="Times New Roman"/>
          <w:color w:val="403152" w:themeColor="accent4" w:themeShade="80"/>
          <w:sz w:val="20"/>
        </w:rPr>
        <w:tab/>
      </w:r>
    </w:p>
    <w:p w:rsidR="006C681B" w:rsidRPr="00B15DF7" w:rsidRDefault="006C681B" w:rsidP="006C681B">
      <w:pPr>
        <w:tabs>
          <w:tab w:val="left" w:pos="1080"/>
          <w:tab w:val="left" w:pos="2880"/>
          <w:tab w:val="left" w:pos="3870"/>
          <w:tab w:val="left" w:pos="4680"/>
          <w:tab w:val="left" w:pos="9630"/>
        </w:tabs>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30361547"/>
          <w:placeholder>
            <w:docPart w:val="8EA7E318B6384F24AFDC2C6D6CEE0F4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098</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r>
      <w:r w:rsidRPr="0009694C">
        <w:rPr>
          <w:rFonts w:ascii="Times New Roman" w:hAnsi="Times New Roman" w:cs="Times New Roman"/>
          <w:color w:val="000000" w:themeColor="text1"/>
        </w:rPr>
        <w:t>Applicability</w:t>
      </w:r>
      <w:r w:rsidRPr="00B15DF7">
        <w:rPr>
          <w:rFonts w:ascii="Times New Roman" w:hAnsi="Times New Roman" w:cs="Times New Roman"/>
          <w:color w:val="000000" w:themeColor="text1"/>
        </w:rPr>
        <w:tab/>
      </w:r>
    </w:p>
    <w:p w:rsidR="006C681B" w:rsidRPr="00B15DF7" w:rsidRDefault="006C681B" w:rsidP="006C681B">
      <w:pPr>
        <w:tabs>
          <w:tab w:val="left" w:pos="1080"/>
          <w:tab w:val="left" w:pos="2880"/>
          <w:tab w:val="left" w:pos="3870"/>
          <w:tab w:val="left" w:pos="4680"/>
          <w:tab w:val="left" w:pos="9630"/>
        </w:tabs>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0"/>
          <w:placeholder>
            <w:docPart w:val="1FC2F60F428445E48C9A3864AFCA8D4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Pr>
          <w:rFonts w:ascii="Times New Roman" w:hAnsi="Times New Roman" w:cs="Times New Roman"/>
          <w:color w:val="000000" w:themeColor="text1"/>
        </w:rPr>
        <w:tab/>
        <w:t>098</w:t>
      </w:r>
      <w:r w:rsidRPr="00B15DF7">
        <w:rPr>
          <w:rFonts w:ascii="Times New Roman" w:hAnsi="Times New Roman" w:cs="Times New Roman"/>
          <w:color w:val="000000" w:themeColor="text1"/>
        </w:rPr>
        <w:tab/>
        <w:t>00</w:t>
      </w:r>
      <w:r>
        <w:rPr>
          <w:rFonts w:ascii="Times New Roman" w:hAnsi="Times New Roman" w:cs="Times New Roman"/>
          <w:color w:val="000000" w:themeColor="text1"/>
        </w:rPr>
        <w:t>1</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Pr="0009694C">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6C681B" w:rsidRPr="00B15DF7" w:rsidRDefault="006C681B" w:rsidP="006C681B">
      <w:pPr>
        <w:tabs>
          <w:tab w:val="left" w:pos="1080"/>
          <w:tab w:val="left" w:pos="2880"/>
          <w:tab w:val="left" w:pos="3870"/>
          <w:tab w:val="left" w:pos="4680"/>
          <w:tab w:val="left" w:pos="9630"/>
        </w:tabs>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2"/>
          <w:placeholder>
            <w:docPart w:val="002F06489429415EB174E71C87D44DC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Pr>
          <w:rFonts w:ascii="Times New Roman" w:hAnsi="Times New Roman" w:cs="Times New Roman"/>
          <w:color w:val="000000" w:themeColor="text1"/>
        </w:rPr>
        <w:tab/>
        <w:t>098</w:t>
      </w:r>
      <w:r w:rsidRPr="00B15DF7">
        <w:rPr>
          <w:rFonts w:ascii="Times New Roman" w:hAnsi="Times New Roman" w:cs="Times New Roman"/>
          <w:color w:val="000000" w:themeColor="text1"/>
        </w:rPr>
        <w:tab/>
        <w:t>0</w:t>
      </w:r>
      <w:r>
        <w:rPr>
          <w:rFonts w:ascii="Times New Roman" w:hAnsi="Times New Roman" w:cs="Times New Roman"/>
          <w:color w:val="000000" w:themeColor="text1"/>
        </w:rPr>
        <w:t>1</w:t>
      </w:r>
      <w:r w:rsidRPr="00B15DF7">
        <w:rPr>
          <w:rFonts w:ascii="Times New Roman" w:hAnsi="Times New Roman" w:cs="Times New Roman"/>
          <w:color w:val="000000" w:themeColor="text1"/>
        </w:rPr>
        <w:t>00</w:t>
      </w:r>
      <w:r w:rsidRPr="00B15DF7">
        <w:rPr>
          <w:rFonts w:ascii="Times New Roman" w:hAnsi="Times New Roman" w:cs="Times New Roman"/>
          <w:color w:val="000000" w:themeColor="text1"/>
        </w:rPr>
        <w:tab/>
      </w:r>
      <w:r w:rsidRPr="0009694C">
        <w:rPr>
          <w:rFonts w:ascii="Times New Roman" w:hAnsi="Times New Roman" w:cs="Times New Roman"/>
          <w:color w:val="000000" w:themeColor="text1"/>
        </w:rPr>
        <w:t>Revenue need</w:t>
      </w:r>
      <w:r w:rsidRPr="00B15DF7">
        <w:rPr>
          <w:rFonts w:ascii="Times New Roman" w:hAnsi="Times New Roman" w:cs="Times New Roman"/>
          <w:color w:val="000000" w:themeColor="text1"/>
        </w:rPr>
        <w:tab/>
      </w:r>
    </w:p>
    <w:p w:rsidR="006C681B" w:rsidRPr="00B15DF7" w:rsidRDefault="006C681B" w:rsidP="006C681B">
      <w:pPr>
        <w:tabs>
          <w:tab w:val="left" w:pos="1080"/>
          <w:tab w:val="left" w:pos="2880"/>
          <w:tab w:val="left" w:pos="3870"/>
          <w:tab w:val="left" w:pos="4680"/>
          <w:tab w:val="left" w:pos="9630"/>
        </w:tabs>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4"/>
          <w:placeholder>
            <w:docPart w:val="CA9816755968443EB1864EBF94F3858C"/>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Pr>
          <w:rFonts w:ascii="Times New Roman" w:hAnsi="Times New Roman" w:cs="Times New Roman"/>
          <w:color w:val="000000" w:themeColor="text1"/>
        </w:rPr>
        <w:tab/>
        <w:t>098</w:t>
      </w:r>
      <w:r w:rsidRPr="00B15DF7">
        <w:rPr>
          <w:rFonts w:ascii="Times New Roman" w:hAnsi="Times New Roman" w:cs="Times New Roman"/>
          <w:color w:val="000000" w:themeColor="text1"/>
        </w:rPr>
        <w:tab/>
        <w:t>0</w:t>
      </w:r>
      <w:r>
        <w:rPr>
          <w:rFonts w:ascii="Times New Roman" w:hAnsi="Times New Roman" w:cs="Times New Roman"/>
          <w:color w:val="000000" w:themeColor="text1"/>
        </w:rPr>
        <w:t>15</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Pr="0009694C">
        <w:rPr>
          <w:rFonts w:ascii="Times New Roman" w:hAnsi="Times New Roman" w:cs="Times New Roman"/>
          <w:color w:val="000000" w:themeColor="text1"/>
        </w:rPr>
        <w:t>Registration fees</w:t>
      </w:r>
      <w:r w:rsidRPr="00B15DF7">
        <w:rPr>
          <w:rFonts w:ascii="Times New Roman" w:hAnsi="Times New Roman" w:cs="Times New Roman"/>
          <w:color w:val="000000" w:themeColor="text1"/>
        </w:rPr>
        <w:tab/>
      </w:r>
    </w:p>
    <w:p w:rsidR="006C681B" w:rsidRPr="00B15DF7" w:rsidRDefault="006C681B" w:rsidP="006C681B">
      <w:pPr>
        <w:tabs>
          <w:tab w:val="left" w:pos="1080"/>
          <w:tab w:val="left" w:pos="2880"/>
          <w:tab w:val="left" w:pos="3870"/>
          <w:tab w:val="left" w:pos="4680"/>
          <w:tab w:val="left" w:pos="9630"/>
        </w:tabs>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6"/>
          <w:placeholder>
            <w:docPart w:val="1ED7E9FBA6CC4E82B42A2348B0C7BA42"/>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098</w:t>
      </w:r>
      <w:r w:rsidRPr="00B15DF7">
        <w:rPr>
          <w:rFonts w:ascii="Times New Roman" w:hAnsi="Times New Roman" w:cs="Times New Roman"/>
          <w:color w:val="000000" w:themeColor="text1"/>
        </w:rPr>
        <w:tab/>
        <w:t>0</w:t>
      </w:r>
      <w:r>
        <w:rPr>
          <w:rFonts w:ascii="Times New Roman" w:hAnsi="Times New Roman" w:cs="Times New Roman"/>
          <w:color w:val="000000" w:themeColor="text1"/>
        </w:rPr>
        <w:t>2</w:t>
      </w:r>
      <w:r w:rsidRPr="00B15DF7">
        <w:rPr>
          <w:rFonts w:ascii="Times New Roman" w:hAnsi="Times New Roman" w:cs="Times New Roman"/>
          <w:color w:val="000000" w:themeColor="text1"/>
        </w:rPr>
        <w:t>00</w:t>
      </w:r>
      <w:r w:rsidRPr="00B15DF7">
        <w:rPr>
          <w:rFonts w:ascii="Times New Roman" w:hAnsi="Times New Roman" w:cs="Times New Roman"/>
          <w:color w:val="000000" w:themeColor="text1"/>
        </w:rPr>
        <w:tab/>
      </w:r>
      <w:r w:rsidRPr="0009694C">
        <w:rPr>
          <w:rFonts w:ascii="Times New Roman" w:hAnsi="Times New Roman" w:cs="Times New Roman"/>
          <w:color w:val="000000" w:themeColor="text1"/>
        </w:rPr>
        <w:t>Notifications</w:t>
      </w:r>
      <w:r w:rsidRPr="00B15DF7">
        <w:rPr>
          <w:rFonts w:ascii="Times New Roman" w:hAnsi="Times New Roman" w:cs="Times New Roman"/>
          <w:color w:val="000000" w:themeColor="text1"/>
        </w:rPr>
        <w:tab/>
      </w:r>
    </w:p>
    <w:p w:rsidR="006C681B" w:rsidRPr="00B15DF7" w:rsidRDefault="006C681B" w:rsidP="006C681B">
      <w:pPr>
        <w:tabs>
          <w:tab w:val="left" w:pos="1080"/>
          <w:tab w:val="left" w:pos="2880"/>
          <w:tab w:val="left" w:pos="3870"/>
          <w:tab w:val="left" w:pos="4680"/>
          <w:tab w:val="left" w:pos="9630"/>
        </w:tabs>
        <w:rPr>
          <w:rFonts w:ascii="Times New Roman" w:hAnsi="Times New Roman" w:cs="Times New Roman"/>
          <w:color w:val="000000" w:themeColor="text1"/>
        </w:rPr>
      </w:pPr>
    </w:p>
    <w:p w:rsidR="006C681B" w:rsidRPr="00CB54E6" w:rsidRDefault="006C681B" w:rsidP="006C681B">
      <w:pPr>
        <w:tabs>
          <w:tab w:val="left" w:pos="6480"/>
          <w:tab w:val="left" w:pos="9180"/>
        </w:tabs>
        <w:spacing w:after="120"/>
        <w:ind w:left="72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Pr="00540AFE">
        <w:rPr>
          <w:rFonts w:asciiTheme="majorHAnsi" w:eastAsia="Times New Roman" w:hAnsiTheme="majorHAnsi" w:cstheme="majorHAnsi"/>
          <w:bCs/>
          <w:color w:val="BFBFBF" w:themeColor="background1" w:themeShade="BF"/>
          <w:sz w:val="22"/>
          <w:szCs w:val="22"/>
        </w:rPr>
        <w:sym w:font="Wingdings 3" w:char="F07D"/>
      </w:r>
      <w:r>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t>Year</w:t>
      </w:r>
    </w:p>
    <w:p w:rsidR="006C681B" w:rsidRDefault="006C681B" w:rsidP="006C681B">
      <w:pPr>
        <w:tabs>
          <w:tab w:val="left" w:pos="6480"/>
          <w:tab w:val="left" w:pos="9180"/>
        </w:tabs>
        <w:ind w:left="108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ORS 459A.305, ORS 459A.315</w:t>
      </w:r>
      <w:r>
        <w:rPr>
          <w:rFonts w:ascii="Times New Roman" w:eastAsia="Times New Roman" w:hAnsi="Times New Roman" w:cs="Times New Roman"/>
          <w:bCs/>
          <w:color w:val="000000" w:themeColor="text1"/>
        </w:rPr>
        <w:tab/>
        <w:t>HB 2626</w:t>
      </w:r>
      <w:r>
        <w:rPr>
          <w:rFonts w:ascii="Times New Roman" w:eastAsia="Times New Roman" w:hAnsi="Times New Roman" w:cs="Times New Roman"/>
          <w:bCs/>
          <w:color w:val="000000" w:themeColor="text1"/>
        </w:rPr>
        <w:tab/>
        <w:t>2007</w:t>
      </w:r>
    </w:p>
    <w:p w:rsidR="006C681B" w:rsidRPr="000D07CA" w:rsidRDefault="006C681B" w:rsidP="006C681B">
      <w:pPr>
        <w:ind w:left="1080"/>
        <w:rPr>
          <w:rFonts w:ascii="Times New Roman" w:eastAsia="Times New Roman" w:hAnsi="Times New Roman" w:cs="Times New Roman"/>
          <w:bCs/>
          <w:color w:val="000000" w:themeColor="text1"/>
        </w:rPr>
      </w:pPr>
    </w:p>
    <w:p w:rsidR="006C681B" w:rsidRPr="000D07CA" w:rsidRDefault="006C681B" w:rsidP="006C681B">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or other legal authority </w:t>
      </w:r>
    </w:p>
    <w:p w:rsidR="006C681B" w:rsidRDefault="006C681B" w:rsidP="006C681B">
      <w:pPr>
        <w:ind w:left="108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ORS 468.020, 468.065, 459A.345</w:t>
      </w:r>
    </w:p>
    <w:p w:rsidR="006C681B" w:rsidRPr="000D07CA" w:rsidRDefault="006C681B" w:rsidP="006C681B">
      <w:pPr>
        <w:ind w:left="1080"/>
        <w:rPr>
          <w:rFonts w:ascii="Times New Roman" w:eastAsia="Times New Roman" w:hAnsi="Times New Roman" w:cs="Times New Roman"/>
          <w:bCs/>
          <w:color w:val="000000" w:themeColor="text1"/>
        </w:rPr>
      </w:pPr>
    </w:p>
    <w:p w:rsidR="006C681B" w:rsidRPr="00B15DF7" w:rsidRDefault="006C681B" w:rsidP="006C681B">
      <w:pPr>
        <w:ind w:left="1080"/>
        <w:rPr>
          <w:rFonts w:ascii="Times New Roman" w:eastAsia="Times New Roman" w:hAnsi="Times New Roman" w:cs="Times New Roman"/>
          <w:bCs/>
          <w:color w:val="000000" w:themeColor="text1"/>
        </w:rPr>
      </w:pPr>
    </w:p>
    <w:tbl>
      <w:tblPr>
        <w:tblW w:w="11430" w:type="dxa"/>
        <w:tblInd w:w="108" w:type="dxa"/>
        <w:tblLook w:val="04A0"/>
      </w:tblPr>
      <w:tblGrid>
        <w:gridCol w:w="11430"/>
      </w:tblGrid>
      <w:tr w:rsidR="006C681B" w:rsidRPr="00B15DF7" w:rsidTr="00612DAA">
        <w:trPr>
          <w:trHeight w:val="600"/>
        </w:trPr>
        <w:tc>
          <w:tcPr>
            <w:tcW w:w="11430" w:type="dxa"/>
            <w:tcBorders>
              <w:top w:val="nil"/>
              <w:left w:val="nil"/>
              <w:bottom w:val="double" w:sz="6" w:space="0" w:color="7F7F7F"/>
              <w:right w:val="nil"/>
            </w:tcBorders>
            <w:shd w:val="clear" w:color="000000" w:fill="D8D3C6"/>
            <w:noWrap/>
            <w:vAlign w:val="bottom"/>
          </w:tcPr>
          <w:p w:rsidR="006C681B" w:rsidRPr="004F673A" w:rsidRDefault="006C681B" w:rsidP="00612DAA">
            <w:pPr>
              <w:outlineLvl w:val="0"/>
              <w:rPr>
                <w:rFonts w:eastAsia="Times New Roman"/>
                <w:bCs/>
                <w:color w:val="32525C"/>
                <w:sz w:val="28"/>
                <w:szCs w:val="28"/>
              </w:rPr>
            </w:pPr>
            <w:r>
              <w:rPr>
                <w:rFonts w:eastAsia="Times New Roman"/>
                <w:bCs/>
                <w:color w:val="32525C"/>
                <w:sz w:val="28"/>
                <w:szCs w:val="28"/>
              </w:rPr>
              <w:t>Stakeholder involvement</w:t>
            </w:r>
          </w:p>
        </w:tc>
      </w:tr>
    </w:tbl>
    <w:p w:rsidR="006C681B" w:rsidRPr="00B15DF7" w:rsidRDefault="006C681B" w:rsidP="006C681B">
      <w:pPr>
        <w:rPr>
          <w:rFonts w:ascii="Times New Roman" w:eastAsia="Times New Roman" w:hAnsi="Times New Roman" w:cs="Times New Roman"/>
          <w:color w:val="32525C"/>
        </w:rPr>
      </w:pPr>
    </w:p>
    <w:p w:rsidR="006C681B" w:rsidRPr="00126135" w:rsidRDefault="006C681B" w:rsidP="006C681B">
      <w:pPr>
        <w:spacing w:after="120"/>
        <w:ind w:left="360"/>
        <w:outlineLvl w:val="0"/>
        <w:rPr>
          <w:rFonts w:asciiTheme="minorHAnsi" w:eastAsia="Times New Roman" w:hAnsiTheme="minorHAnsi" w:cstheme="minorHAnsi"/>
          <w:bCs/>
        </w:rPr>
      </w:pPr>
      <w:r>
        <w:rPr>
          <w:rFonts w:asciiTheme="majorHAnsi" w:eastAsia="Times New Roman" w:hAnsiTheme="majorHAnsi" w:cstheme="majorHAnsi"/>
          <w:bCs/>
          <w:color w:val="504938"/>
          <w:sz w:val="22"/>
          <w:szCs w:val="22"/>
        </w:rPr>
        <w:t>Advisory committee</w:t>
      </w:r>
    </w:p>
    <w:p w:rsidR="006006F7" w:rsidRPr="001F2D3C" w:rsidRDefault="006006F7" w:rsidP="006006F7">
      <w:pPr>
        <w:ind w:left="720"/>
        <w:outlineLvl w:val="0"/>
        <w:rPr>
          <w:rFonts w:asciiTheme="minorHAnsi" w:eastAsia="Times New Roman" w:hAnsiTheme="minorHAnsi" w:cstheme="minorHAnsi"/>
          <w:color w:val="000000"/>
        </w:rPr>
      </w:pPr>
      <w:r>
        <w:rPr>
          <w:rFonts w:asciiTheme="minorHAnsi" w:eastAsia="Times New Roman" w:hAnsiTheme="minorHAnsi" w:cstheme="minorHAnsi"/>
        </w:rPr>
        <w:t xml:space="preserve">A 12-member Oregon E-Cycles advisory work group met from 2007 to 2010 to help develop the Oregon E-Cycles program. In 2010, that work group provided input on the E-Cycles’ budget and fee structure  in preparation for this rulemaking. </w:t>
      </w:r>
      <w:r w:rsidRPr="00126135">
        <w:rPr>
          <w:rFonts w:asciiTheme="minorHAnsi" w:eastAsia="Times New Roman" w:hAnsiTheme="minorHAnsi" w:cstheme="minorHAnsi"/>
        </w:rPr>
        <w:t>DEQ convened the Oregon E-Cycles Registration Fee adviso</w:t>
      </w:r>
      <w:r>
        <w:rPr>
          <w:rFonts w:asciiTheme="minorHAnsi" w:eastAsia="Times New Roman" w:hAnsiTheme="minorHAnsi" w:cstheme="minorHAnsi"/>
        </w:rPr>
        <w:t>ry committee in November 2011</w:t>
      </w:r>
      <w:r w:rsidRPr="00FF2CB9">
        <w:rPr>
          <w:rFonts w:asciiTheme="minorHAnsi" w:eastAsia="Times New Roman" w:hAnsiTheme="minorHAnsi" w:cstheme="minorHAnsi"/>
          <w:color w:val="76923C" w:themeColor="accent3" w:themeShade="BF"/>
        </w:rPr>
        <w:t>.</w:t>
      </w:r>
      <w:r w:rsidRPr="00C9239E">
        <w:rPr>
          <w:rFonts w:asciiTheme="minorHAnsi" w:eastAsia="Times New Roman" w:hAnsiTheme="minorHAnsi" w:cstheme="minorHAnsi"/>
        </w:rPr>
        <w:t xml:space="preserve"> </w:t>
      </w:r>
      <w:r>
        <w:rPr>
          <w:rFonts w:asciiTheme="minorHAnsi" w:eastAsia="Times New Roman" w:hAnsiTheme="minorHAnsi" w:cstheme="minorHAnsi"/>
        </w:rPr>
        <w:t>This advisory committee met three times between November and February  to discuss E-Cycles revenue needs, alternative fee models, and other related issues.</w:t>
      </w:r>
    </w:p>
    <w:p w:rsidR="006C681B" w:rsidRDefault="006C681B" w:rsidP="006C681B">
      <w:pPr>
        <w:ind w:left="720" w:right="630"/>
        <w:outlineLvl w:val="0"/>
        <w:rPr>
          <w:rFonts w:asciiTheme="minorHAnsi" w:eastAsia="Times New Roman" w:hAnsiTheme="minorHAnsi" w:cstheme="minorHAnsi"/>
        </w:rPr>
      </w:pPr>
    </w:p>
    <w:p w:rsidR="006C681B" w:rsidRDefault="006C681B" w:rsidP="006C681B">
      <w:pPr>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rPr>
        <w:t xml:space="preserve">The 15-member committee included representatives </w:t>
      </w:r>
      <w:r w:rsidRPr="007D2CA0">
        <w:rPr>
          <w:rFonts w:asciiTheme="minorHAnsi" w:eastAsia="Times New Roman" w:hAnsiTheme="minorHAnsi" w:cstheme="minorHAnsi"/>
        </w:rPr>
        <w:t xml:space="preserve">from </w:t>
      </w:r>
      <w:r w:rsidR="000A2578">
        <w:rPr>
          <w:rFonts w:ascii="Times New Roman" w:hAnsi="Times New Roman" w:cs="Times New Roman"/>
        </w:rPr>
        <w:t>s</w:t>
      </w:r>
      <w:r w:rsidR="000A2578" w:rsidRPr="00485E75">
        <w:rPr>
          <w:rFonts w:ascii="Times New Roman" w:hAnsi="Times New Roman" w:cs="Times New Roman"/>
        </w:rPr>
        <w:t xml:space="preserve">even </w:t>
      </w:r>
      <w:r w:rsidRPr="00485E75">
        <w:rPr>
          <w:rFonts w:ascii="Times New Roman" w:hAnsi="Times New Roman" w:cs="Times New Roman"/>
        </w:rPr>
        <w:t xml:space="preserve">electronics manufacturers, </w:t>
      </w:r>
      <w:r w:rsidR="000A2578">
        <w:rPr>
          <w:rFonts w:ascii="Times New Roman" w:hAnsi="Times New Roman" w:cs="Times New Roman"/>
        </w:rPr>
        <w:t>including</w:t>
      </w:r>
      <w:r w:rsidR="00D1580C">
        <w:rPr>
          <w:rFonts w:ascii="Times New Roman" w:hAnsi="Times New Roman" w:cs="Times New Roman"/>
        </w:rPr>
        <w:t xml:space="preserve"> </w:t>
      </w:r>
      <w:r w:rsidRPr="00485E75">
        <w:rPr>
          <w:rFonts w:ascii="Times New Roman" w:hAnsi="Times New Roman" w:cs="Times New Roman"/>
        </w:rPr>
        <w:t>three smaller companies with fewer than fifty employees</w:t>
      </w:r>
      <w:r w:rsidR="000A2578">
        <w:rPr>
          <w:rFonts w:ascii="Times New Roman" w:hAnsi="Times New Roman" w:cs="Times New Roman"/>
        </w:rPr>
        <w:t>;</w:t>
      </w:r>
      <w:r w:rsidR="009A3DEB">
        <w:rPr>
          <w:rFonts w:ascii="Times New Roman" w:hAnsi="Times New Roman" w:cs="Times New Roman"/>
        </w:rPr>
        <w:t xml:space="preserve"> </w:t>
      </w:r>
      <w:r w:rsidR="000A2578">
        <w:rPr>
          <w:rFonts w:ascii="Times New Roman" w:hAnsi="Times New Roman" w:cs="Times New Roman"/>
        </w:rPr>
        <w:t>t</w:t>
      </w:r>
      <w:r w:rsidRPr="00485E75">
        <w:rPr>
          <w:rFonts w:ascii="Times New Roman" w:hAnsi="Times New Roman" w:cs="Times New Roman"/>
        </w:rPr>
        <w:t xml:space="preserve">wo local governments; </w:t>
      </w:r>
      <w:r w:rsidR="000A2578">
        <w:rPr>
          <w:rFonts w:ascii="Times New Roman" w:hAnsi="Times New Roman" w:cs="Times New Roman"/>
        </w:rPr>
        <w:t>t</w:t>
      </w:r>
      <w:r w:rsidRPr="00485E75">
        <w:rPr>
          <w:rFonts w:ascii="Times New Roman" w:hAnsi="Times New Roman" w:cs="Times New Roman"/>
        </w:rPr>
        <w:t xml:space="preserve">wo electronics recyclers; </w:t>
      </w:r>
      <w:r w:rsidR="000A2578">
        <w:rPr>
          <w:rFonts w:ascii="Times New Roman" w:hAnsi="Times New Roman" w:cs="Times New Roman"/>
        </w:rPr>
        <w:t>t</w:t>
      </w:r>
      <w:r w:rsidRPr="00485E75">
        <w:rPr>
          <w:rFonts w:ascii="Times New Roman" w:hAnsi="Times New Roman" w:cs="Times New Roman"/>
        </w:rPr>
        <w:t>wo recycling plan</w:t>
      </w:r>
      <w:r w:rsidR="00D1580C">
        <w:rPr>
          <w:rFonts w:ascii="Times New Roman" w:hAnsi="Times New Roman" w:cs="Times New Roman"/>
        </w:rPr>
        <w:t>s</w:t>
      </w:r>
      <w:proofErr w:type="gramStart"/>
      <w:r w:rsidRPr="00485E75">
        <w:rPr>
          <w:rFonts w:ascii="Times New Roman" w:hAnsi="Times New Roman" w:cs="Times New Roman"/>
        </w:rPr>
        <w:t>;</w:t>
      </w:r>
      <w:proofErr w:type="gramEnd"/>
      <w:r w:rsidRPr="00485E75">
        <w:rPr>
          <w:rFonts w:ascii="Times New Roman" w:hAnsi="Times New Roman" w:cs="Times New Roman"/>
        </w:rPr>
        <w:t xml:space="preserve"> and </w:t>
      </w:r>
      <w:r w:rsidR="000A2578">
        <w:rPr>
          <w:rFonts w:ascii="Times New Roman" w:hAnsi="Times New Roman" w:cs="Times New Roman"/>
        </w:rPr>
        <w:t>t</w:t>
      </w:r>
      <w:r w:rsidRPr="00485E75">
        <w:rPr>
          <w:rFonts w:ascii="Times New Roman" w:hAnsi="Times New Roman" w:cs="Times New Roman"/>
        </w:rPr>
        <w:t xml:space="preserve">wo </w:t>
      </w:r>
      <w:r w:rsidR="00D1580C">
        <w:rPr>
          <w:rFonts w:ascii="Times New Roman" w:hAnsi="Times New Roman" w:cs="Times New Roman"/>
        </w:rPr>
        <w:t xml:space="preserve">electronics </w:t>
      </w:r>
      <w:r w:rsidRPr="00485E75">
        <w:rPr>
          <w:rFonts w:ascii="Times New Roman" w:hAnsi="Times New Roman" w:cs="Times New Roman"/>
        </w:rPr>
        <w:t xml:space="preserve">industry </w:t>
      </w:r>
      <w:r w:rsidR="00D1580C">
        <w:rPr>
          <w:rFonts w:ascii="Times New Roman" w:hAnsi="Times New Roman" w:cs="Times New Roman"/>
        </w:rPr>
        <w:t>organizations</w:t>
      </w:r>
      <w:r>
        <w:rPr>
          <w:rFonts w:ascii="Times New Roman" w:hAnsi="Times New Roman" w:cs="Times New Roman"/>
        </w:rPr>
        <w:t>.</w:t>
      </w:r>
      <w:r w:rsidR="000A2578">
        <w:rPr>
          <w:rFonts w:asciiTheme="minorHAnsi" w:eastAsia="Times New Roman" w:hAnsiTheme="minorHAnsi" w:cstheme="minorHAnsi"/>
          <w:color w:val="000000" w:themeColor="text1"/>
        </w:rPr>
        <w:t xml:space="preserve"> A list of advisory committee members </w:t>
      </w:r>
      <w:proofErr w:type="gramStart"/>
      <w:r w:rsidR="000A2578">
        <w:rPr>
          <w:rFonts w:asciiTheme="minorHAnsi" w:eastAsia="Times New Roman" w:hAnsiTheme="minorHAnsi" w:cstheme="minorHAnsi"/>
          <w:color w:val="000000" w:themeColor="text1"/>
        </w:rPr>
        <w:t>is provide</w:t>
      </w:r>
      <w:r w:rsidR="009A3DEB">
        <w:rPr>
          <w:rFonts w:asciiTheme="minorHAnsi" w:eastAsia="Times New Roman" w:hAnsiTheme="minorHAnsi" w:cstheme="minorHAnsi"/>
          <w:color w:val="000000" w:themeColor="text1"/>
        </w:rPr>
        <w:t>d</w:t>
      </w:r>
      <w:proofErr w:type="gramEnd"/>
      <w:r w:rsidR="000A2578">
        <w:rPr>
          <w:rFonts w:asciiTheme="minorHAnsi" w:eastAsia="Times New Roman" w:hAnsiTheme="minorHAnsi" w:cstheme="minorHAnsi"/>
          <w:color w:val="000000" w:themeColor="text1"/>
        </w:rPr>
        <w:t xml:space="preserve"> </w:t>
      </w:r>
      <w:r w:rsidR="000A2578" w:rsidRPr="009A3DEB">
        <w:rPr>
          <w:rFonts w:asciiTheme="minorHAnsi" w:eastAsia="Times New Roman" w:hAnsiTheme="minorHAnsi" w:cstheme="minorHAnsi"/>
          <w:color w:val="000000" w:themeColor="text1"/>
          <w:highlight w:val="yellow"/>
        </w:rPr>
        <w:t>[where].</w:t>
      </w:r>
    </w:p>
    <w:p w:rsidR="006C681B" w:rsidRDefault="006C681B" w:rsidP="006C681B">
      <w:pPr>
        <w:ind w:left="720" w:right="630"/>
        <w:outlineLvl w:val="0"/>
        <w:rPr>
          <w:rFonts w:asciiTheme="minorHAnsi" w:eastAsia="Times New Roman" w:hAnsiTheme="minorHAnsi" w:cstheme="minorHAnsi"/>
          <w:color w:val="000000" w:themeColor="text1"/>
        </w:rPr>
      </w:pPr>
    </w:p>
    <w:p w:rsidR="006C681B" w:rsidRDefault="006C681B" w:rsidP="006C681B">
      <w:pPr>
        <w:ind w:left="720" w:right="630"/>
        <w:outlineLvl w:val="0"/>
        <w:rPr>
          <w:rFonts w:asciiTheme="minorHAnsi" w:eastAsia="Times New Roman" w:hAnsiTheme="minorHAnsi" w:cstheme="minorHAnsi"/>
        </w:rPr>
      </w:pPr>
      <w:r>
        <w:rPr>
          <w:rFonts w:asciiTheme="minorHAnsi" w:eastAsia="Times New Roman" w:hAnsiTheme="minorHAnsi" w:cstheme="minorHAnsi"/>
        </w:rPr>
        <w:t xml:space="preserve">The committee reviewed the </w:t>
      </w:r>
      <w:r w:rsidR="00690EC8">
        <w:rPr>
          <w:rFonts w:asciiTheme="minorHAnsi" w:eastAsia="Times New Roman" w:hAnsiTheme="minorHAnsi" w:cstheme="minorHAnsi"/>
        </w:rPr>
        <w:t xml:space="preserve">information required for the </w:t>
      </w:r>
      <w:r>
        <w:rPr>
          <w:rFonts w:asciiTheme="minorHAnsi" w:eastAsia="Times New Roman" w:hAnsiTheme="minorHAnsi" w:cstheme="minorHAnsi"/>
        </w:rPr>
        <w:t>fiscal impact statement, specifically the impact on small businesses.</w:t>
      </w:r>
    </w:p>
    <w:p w:rsidR="006C681B" w:rsidRPr="00C9239E" w:rsidRDefault="006C681B" w:rsidP="006C681B">
      <w:pPr>
        <w:ind w:left="720" w:right="630"/>
        <w:outlineLvl w:val="0"/>
        <w:rPr>
          <w:rFonts w:asciiTheme="minorHAnsi" w:eastAsia="Times New Roman" w:hAnsiTheme="minorHAnsi" w:cstheme="minorHAnsi"/>
          <w:color w:val="000000"/>
        </w:rPr>
      </w:pPr>
    </w:p>
    <w:p w:rsidR="006C681B" w:rsidRPr="00DC04D1" w:rsidRDefault="006C681B" w:rsidP="006C681B">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6C681B" w:rsidRPr="00A74227" w:rsidRDefault="006C681B" w:rsidP="006C681B">
      <w:pPr>
        <w:spacing w:after="120"/>
        <w:ind w:left="720" w:right="630"/>
        <w:outlineLvl w:val="0"/>
        <w:rPr>
          <w:rFonts w:ascii="Times New Roman" w:eastAsia="Times New Roman" w:hAnsi="Times New Roman" w:cs="Times New Roman"/>
          <w:color w:val="000000" w:themeColor="text1"/>
        </w:rPr>
      </w:pPr>
      <w:r>
        <w:rPr>
          <w:rFonts w:asciiTheme="minorHAnsi" w:eastAsia="Times New Roman" w:hAnsiTheme="minorHAnsi" w:cstheme="minorHAnsi"/>
          <w:bCs/>
          <w:color w:val="000000" w:themeColor="text1"/>
        </w:rPr>
        <w:t xml:space="preserve">The Secretary of State published notice of the proposed rulemaking in the </w:t>
      </w:r>
      <w:r w:rsidRPr="00866F57">
        <w:rPr>
          <w:rFonts w:asciiTheme="minorHAnsi" w:eastAsia="Times New Roman" w:hAnsiTheme="minorHAnsi" w:cstheme="minorHAnsi"/>
          <w:bCs/>
          <w:i/>
          <w:color w:val="000000" w:themeColor="text1"/>
        </w:rPr>
        <w:t>Bulletin</w:t>
      </w:r>
      <w:r>
        <w:rPr>
          <w:rFonts w:asciiTheme="minorHAnsi" w:eastAsia="Times New Roman" w:hAnsiTheme="minorHAnsi" w:cstheme="minorHAnsi"/>
          <w:bCs/>
          <w:color w:val="000000" w:themeColor="text1"/>
        </w:rPr>
        <w:t xml:space="preserve"> on April 1, 2012. DEQ also</w:t>
      </w:r>
      <w:r w:rsidRPr="00A74227">
        <w:rPr>
          <w:rFonts w:asciiTheme="minorHAnsi" w:eastAsia="Times New Roman" w:hAnsiTheme="minorHAnsi" w:cstheme="minorHAnsi"/>
          <w:bCs/>
          <w:color w:val="000000" w:themeColor="text1"/>
        </w:rPr>
        <w:t>:</w:t>
      </w:r>
      <w:r w:rsidRPr="00A74227">
        <w:rPr>
          <w:rFonts w:ascii="Times New Roman" w:eastAsia="Times New Roman" w:hAnsi="Times New Roman" w:cs="Times New Roman"/>
          <w:color w:val="000000" w:themeColor="text1"/>
        </w:rPr>
        <w:t xml:space="preserve"> </w:t>
      </w:r>
    </w:p>
    <w:p w:rsidR="006C681B" w:rsidRPr="00A74227" w:rsidRDefault="006C681B" w:rsidP="006C681B">
      <w:pPr>
        <w:pStyle w:val="ListParagraph"/>
        <w:numPr>
          <w:ilvl w:val="0"/>
          <w:numId w:val="1"/>
        </w:numPr>
        <w:spacing w:after="120"/>
        <w:ind w:left="1440" w:right="630"/>
        <w:contextualSpacing w:val="0"/>
        <w:outlineLvl w:val="0"/>
        <w:rPr>
          <w:rFonts w:ascii="Times New Roman" w:eastAsia="Times New Roman" w:hAnsi="Times New Roman" w:cs="Times New Roman"/>
        </w:rPr>
      </w:pPr>
      <w:proofErr w:type="gramStart"/>
      <w:r w:rsidRPr="00A74227">
        <w:rPr>
          <w:rFonts w:ascii="Times New Roman" w:eastAsia="Times New Roman" w:hAnsi="Times New Roman" w:cs="Times New Roman"/>
          <w:color w:val="000000" w:themeColor="text1"/>
        </w:rPr>
        <w:t xml:space="preserve">Posted the </w:t>
      </w:r>
      <w:r>
        <w:rPr>
          <w:rFonts w:ascii="Times New Roman" w:eastAsia="Times New Roman" w:hAnsi="Times New Roman" w:cs="Times New Roman"/>
          <w:color w:val="000000" w:themeColor="text1"/>
        </w:rPr>
        <w:t xml:space="preserve">notice on </w:t>
      </w:r>
      <w:r w:rsidRPr="00A74227">
        <w:rPr>
          <w:rFonts w:ascii="Times New Roman" w:eastAsia="Times New Roman" w:hAnsi="Times New Roman" w:cs="Times New Roman"/>
          <w:color w:val="000000" w:themeColor="text1"/>
        </w:rPr>
        <w:t>DEQ</w:t>
      </w:r>
      <w:r>
        <w:rPr>
          <w:rFonts w:ascii="Times New Roman" w:eastAsia="Times New Roman" w:hAnsi="Times New Roman" w:cs="Times New Roman"/>
          <w:color w:val="000000" w:themeColor="text1"/>
        </w:rPr>
        <w:t xml:space="preserve">’s </w:t>
      </w:r>
      <w:r w:rsidRPr="00A74227">
        <w:rPr>
          <w:rFonts w:ascii="Times New Roman" w:eastAsia="Times New Roman" w:hAnsi="Times New Roman" w:cs="Times New Roman"/>
          <w:color w:val="000000" w:themeColor="text1"/>
        </w:rPr>
        <w:t xml:space="preserve">webpage </w:t>
      </w:r>
      <w:hyperlink r:id="rId9" w:history="1">
        <w:r w:rsidRPr="00A74227">
          <w:rPr>
            <w:rFonts w:ascii="Calibri" w:eastAsia="Times New Roman" w:hAnsi="Calibri" w:cs="Calibri"/>
            <w:color w:val="000000"/>
            <w:sz w:val="22"/>
            <w:u w:val="single"/>
          </w:rPr>
          <w:t>http://www.deq.state.or.us/regulations/proposedrules.htm</w:t>
        </w:r>
      </w:hyperlink>
      <w:r>
        <w:t xml:space="preserve"> </w:t>
      </w:r>
      <w:r w:rsidRPr="00A74227">
        <w:rPr>
          <w:rFonts w:ascii="Times New Roman" w:eastAsia="Times New Roman" w:hAnsi="Times New Roman" w:cs="Times New Roman"/>
          <w:color w:val="000000" w:themeColor="text1"/>
        </w:rPr>
        <w:t xml:space="preserve">on </w:t>
      </w:r>
      <w:r>
        <w:rPr>
          <w:rFonts w:ascii="Times New Roman" w:eastAsia="Times New Roman" w:hAnsi="Times New Roman" w:cs="Times New Roman"/>
          <w:color w:val="000000" w:themeColor="text1"/>
        </w:rPr>
        <w:t>March 30, 2012.</w:t>
      </w:r>
      <w:proofErr w:type="gramEnd"/>
    </w:p>
    <w:p w:rsidR="006C681B" w:rsidRPr="00C22E0C" w:rsidRDefault="006C681B" w:rsidP="006C681B">
      <w:pPr>
        <w:pStyle w:val="ListParagraph"/>
        <w:numPr>
          <w:ilvl w:val="0"/>
          <w:numId w:val="1"/>
        </w:numPr>
        <w:spacing w:after="120"/>
        <w:ind w:left="1440" w:right="63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Emailed the notice to:</w:t>
      </w:r>
    </w:p>
    <w:p w:rsidR="006C681B" w:rsidRPr="00FB1F92" w:rsidRDefault="006C681B" w:rsidP="006C681B">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proofErr w:type="gramStart"/>
      <w:r>
        <w:rPr>
          <w:rFonts w:ascii="Times New Roman" w:eastAsia="Times New Roman" w:hAnsi="Times New Roman" w:cs="Times New Roman"/>
          <w:color w:val="000000" w:themeColor="text1"/>
        </w:rPr>
        <w:t>7,068</w:t>
      </w:r>
      <w:proofErr w:type="gramEnd"/>
      <w:r w:rsidRPr="00FB1F92">
        <w:rPr>
          <w:rFonts w:ascii="Times New Roman" w:eastAsia="Times New Roman" w:hAnsi="Times New Roman" w:cs="Times New Roman"/>
          <w:color w:val="000000" w:themeColor="text1"/>
        </w:rPr>
        <w:t xml:space="preserve"> interested parties through GovDelivery </w:t>
      </w:r>
      <w:r w:rsidRPr="006D2DC2">
        <w:rPr>
          <w:rFonts w:ascii="Times New Roman" w:eastAsia="Times New Roman" w:hAnsi="Times New Roman" w:cs="Times New Roman"/>
          <w:color w:val="000000" w:themeColor="text1"/>
        </w:rPr>
        <w:t xml:space="preserve">on </w:t>
      </w:r>
      <w:r w:rsidR="00D44C7A">
        <w:rPr>
          <w:rFonts w:ascii="Times New Roman" w:eastAsia="Times New Roman" w:hAnsi="Times New Roman" w:cs="Times New Roman"/>
          <w:color w:val="000000" w:themeColor="text1"/>
        </w:rPr>
        <w:t>March</w:t>
      </w:r>
      <w:r w:rsidRPr="006D2DC2">
        <w:rPr>
          <w:rFonts w:ascii="Times New Roman" w:eastAsia="Times New Roman" w:hAnsi="Times New Roman" w:cs="Times New Roman"/>
          <w:color w:val="000000" w:themeColor="text1"/>
        </w:rPr>
        <w:t xml:space="preserve"> 30, 2012</w:t>
      </w:r>
      <w:r w:rsidRPr="00FB1F92">
        <w:rPr>
          <w:rFonts w:ascii="Times New Roman" w:eastAsia="Times New Roman" w:hAnsi="Times New Roman" w:cs="Times New Roman"/>
          <w:color w:val="000000" w:themeColor="text1"/>
        </w:rPr>
        <w:t>.</w:t>
      </w:r>
    </w:p>
    <w:p w:rsidR="006C681B" w:rsidRPr="00FB1F92" w:rsidRDefault="006C681B" w:rsidP="006C681B">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proofErr w:type="gramStart"/>
      <w:r>
        <w:rPr>
          <w:rFonts w:ascii="Times New Roman" w:eastAsia="Times New Roman" w:hAnsi="Times New Roman" w:cs="Times New Roman"/>
          <w:color w:val="000000" w:themeColor="text1"/>
        </w:rPr>
        <w:t>159</w:t>
      </w:r>
      <w:proofErr w:type="gramEnd"/>
      <w:r>
        <w:rPr>
          <w:rFonts w:ascii="Times New Roman" w:eastAsia="Times New Roman" w:hAnsi="Times New Roman" w:cs="Times New Roman"/>
          <w:color w:val="000000" w:themeColor="text1"/>
        </w:rPr>
        <w:t xml:space="preserve"> registered</w:t>
      </w:r>
      <w:r w:rsidRPr="00FB1F9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electronic</w:t>
      </w:r>
      <w:r w:rsidRPr="00FB1F9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manufacturers in</w:t>
      </w:r>
      <w:r w:rsidRPr="00FB1F92">
        <w:rPr>
          <w:rFonts w:ascii="Times New Roman" w:eastAsia="Times New Roman" w:hAnsi="Times New Roman" w:cs="Times New Roman"/>
          <w:color w:val="000000" w:themeColor="text1"/>
        </w:rPr>
        <w:t xml:space="preserve"> the </w:t>
      </w:r>
      <w:r>
        <w:rPr>
          <w:rFonts w:ascii="Times New Roman" w:eastAsia="Times New Roman" w:hAnsi="Times New Roman" w:cs="Times New Roman"/>
          <w:color w:val="000000" w:themeColor="text1"/>
        </w:rPr>
        <w:t>Oregon E-Cycles program</w:t>
      </w:r>
      <w:r w:rsidR="00457200">
        <w:rPr>
          <w:rFonts w:ascii="Times New Roman" w:eastAsia="Times New Roman" w:hAnsi="Times New Roman" w:cs="Times New Roman"/>
          <w:color w:val="000000" w:themeColor="text1"/>
        </w:rPr>
        <w:t xml:space="preserve"> on March 30, 2012</w:t>
      </w:r>
      <w:r w:rsidRPr="00FB1F92">
        <w:rPr>
          <w:rFonts w:asciiTheme="minorHAnsi" w:eastAsia="Times New Roman" w:hAnsiTheme="minorHAnsi" w:cstheme="minorHAnsi"/>
          <w:color w:val="000000" w:themeColor="text1"/>
        </w:rPr>
        <w:t>.</w:t>
      </w:r>
    </w:p>
    <w:p w:rsidR="00D162C2" w:rsidRPr="00D162C2" w:rsidRDefault="006C681B" w:rsidP="00D162C2">
      <w:pPr>
        <w:pStyle w:val="ListParagraph"/>
        <w:numPr>
          <w:ilvl w:val="0"/>
          <w:numId w:val="2"/>
        </w:numPr>
        <w:spacing w:after="120"/>
        <w:ind w:left="216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Three</w:t>
      </w:r>
      <w:r w:rsidRPr="00FB1F92">
        <w:rPr>
          <w:rFonts w:ascii="Times New Roman" w:eastAsia="Times New Roman" w:hAnsi="Times New Roman" w:cs="Times New Roman"/>
          <w:color w:val="000000" w:themeColor="text1"/>
        </w:rPr>
        <w:t xml:space="preserve"> legislators</w:t>
      </w:r>
      <w:r w:rsidR="00D1580C">
        <w:rPr>
          <w:rFonts w:ascii="Times New Roman" w:eastAsia="Times New Roman" w:hAnsi="Times New Roman" w:cs="Times New Roman"/>
          <w:color w:val="000000" w:themeColor="text1"/>
        </w:rPr>
        <w:t xml:space="preserve"> as</w:t>
      </w:r>
      <w:r w:rsidRPr="00FB1F92">
        <w:rPr>
          <w:rFonts w:ascii="Times New Roman" w:eastAsia="Times New Roman" w:hAnsi="Times New Roman" w:cs="Times New Roman"/>
          <w:color w:val="000000" w:themeColor="text1"/>
        </w:rPr>
        <w:t xml:space="preserve"> required under </w:t>
      </w:r>
      <w:hyperlink r:id="rId10" w:history="1">
        <w:r w:rsidRPr="00FB1F92">
          <w:rPr>
            <w:rFonts w:asciiTheme="minorHAnsi" w:eastAsia="Times New Roman" w:hAnsiTheme="minorHAnsi" w:cstheme="minorHAnsi"/>
            <w:color w:val="000000" w:themeColor="text1"/>
            <w:u w:val="single"/>
          </w:rPr>
          <w:t>ORS 183.335</w:t>
        </w:r>
      </w:hyperlink>
      <w:r w:rsidRPr="00FB1F92">
        <w:rPr>
          <w:rFonts w:asciiTheme="minorHAnsi" w:hAnsiTheme="minorHAnsi" w:cstheme="minorHAnsi"/>
          <w:color w:val="000000" w:themeColor="text1"/>
        </w:rPr>
        <w:t xml:space="preserve"> </w:t>
      </w:r>
      <w:r w:rsidRPr="00FB1F92">
        <w:rPr>
          <w:rFonts w:ascii="Times New Roman" w:eastAsia="Times New Roman" w:hAnsi="Times New Roman" w:cs="Times New Roman"/>
          <w:color w:val="000000" w:themeColor="text1"/>
        </w:rPr>
        <w:t xml:space="preserve">on </w:t>
      </w:r>
      <w:r>
        <w:rPr>
          <w:rFonts w:ascii="Times New Roman" w:eastAsia="Times New Roman" w:hAnsi="Times New Roman" w:cs="Times New Roman"/>
          <w:color w:val="000000" w:themeColor="text1"/>
        </w:rPr>
        <w:t>April</w:t>
      </w:r>
      <w:r w:rsidRPr="00FB1F9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5</w:t>
      </w:r>
      <w:r w:rsidRPr="00FB1F9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2012</w:t>
      </w:r>
      <w:r w:rsidR="00D1580C">
        <w:rPr>
          <w:rFonts w:ascii="Times New Roman" w:eastAsia="Times New Roman" w:hAnsi="Times New Roman" w:cs="Times New Roman"/>
          <w:color w:val="000000" w:themeColor="text1"/>
        </w:rPr>
        <w:t>:</w:t>
      </w:r>
      <w:r w:rsidR="00457200">
        <w:rPr>
          <w:rFonts w:ascii="Times New Roman" w:eastAsia="Times New Roman" w:hAnsi="Times New Roman" w:cs="Times New Roman"/>
          <w:color w:val="000000" w:themeColor="text1"/>
        </w:rPr>
        <w:t xml:space="preserve"> </w:t>
      </w:r>
      <w:r w:rsidR="00D162C2" w:rsidRPr="00D162C2">
        <w:rPr>
          <w:rFonts w:ascii="Times New Roman" w:eastAsia="Times New Roman" w:hAnsi="Times New Roman" w:cs="Times New Roman"/>
          <w:color w:val="000000" w:themeColor="text1"/>
        </w:rPr>
        <w:t xml:space="preserve">Senator Dingfelder, Chair, </w:t>
      </w:r>
      <w:bookmarkStart w:id="0" w:name="SENR"/>
      <w:r w:rsidR="00D162C2" w:rsidRPr="00D162C2">
        <w:rPr>
          <w:rFonts w:ascii="Times New Roman" w:eastAsia="Times New Roman" w:hAnsi="Times New Roman" w:cs="Times New Roman"/>
          <w:color w:val="000000" w:themeColor="text1"/>
        </w:rPr>
        <w:t>Environment and Natural Resources</w:t>
      </w:r>
      <w:bookmarkEnd w:id="0"/>
      <w:r w:rsidR="00457200">
        <w:rPr>
          <w:rFonts w:ascii="Times New Roman" w:eastAsia="Times New Roman" w:hAnsi="Times New Roman" w:cs="Times New Roman"/>
          <w:color w:val="000000" w:themeColor="text1"/>
        </w:rPr>
        <w:t xml:space="preserve">; </w:t>
      </w:r>
      <w:r w:rsidR="00D162C2" w:rsidRPr="00D162C2">
        <w:rPr>
          <w:rFonts w:ascii="Times New Roman" w:eastAsia="Times New Roman" w:hAnsi="Times New Roman" w:cs="Times New Roman"/>
          <w:color w:val="000000" w:themeColor="text1"/>
        </w:rPr>
        <w:t>Representative Bailey, Co-Chair</w:t>
      </w:r>
      <w:r w:rsidR="00D162C2" w:rsidRPr="00D162C2">
        <w:rPr>
          <w:rFonts w:ascii="Times New Roman" w:eastAsia="Times New Roman" w:hAnsi="Times New Roman" w:cs="Times New Roman"/>
          <w:color w:val="000000" w:themeColor="text1"/>
          <w:u w:val="single"/>
        </w:rPr>
        <w:t xml:space="preserve">, </w:t>
      </w:r>
      <w:bookmarkStart w:id="1" w:name="HEEW"/>
      <w:r w:rsidR="00D162C2" w:rsidRPr="00D162C2">
        <w:rPr>
          <w:rFonts w:ascii="Times New Roman" w:eastAsia="Times New Roman" w:hAnsi="Times New Roman" w:cs="Times New Roman"/>
          <w:color w:val="000000" w:themeColor="text1"/>
          <w:u w:val="single"/>
        </w:rPr>
        <w:t>Energy, E</w:t>
      </w:r>
      <w:r w:rsidR="00D162C2" w:rsidRPr="00D162C2">
        <w:rPr>
          <w:rFonts w:ascii="Times New Roman" w:eastAsia="Times New Roman" w:hAnsi="Times New Roman" w:cs="Times New Roman"/>
          <w:color w:val="000000" w:themeColor="text1"/>
        </w:rPr>
        <w:t>nvironment and Water</w:t>
      </w:r>
      <w:bookmarkEnd w:id="1"/>
      <w:r w:rsidR="00457200">
        <w:rPr>
          <w:rFonts w:ascii="Times New Roman" w:eastAsia="Times New Roman" w:hAnsi="Times New Roman" w:cs="Times New Roman"/>
          <w:color w:val="000000" w:themeColor="text1"/>
        </w:rPr>
        <w:t xml:space="preserve">, </w:t>
      </w:r>
      <w:r w:rsidR="00D162C2" w:rsidRPr="00D162C2">
        <w:rPr>
          <w:rFonts w:ascii="Times New Roman" w:eastAsia="Times New Roman" w:hAnsi="Times New Roman" w:cs="Times New Roman"/>
          <w:color w:val="000000" w:themeColor="text1"/>
        </w:rPr>
        <w:t>Representative Gilliam</w:t>
      </w:r>
      <w:r w:rsidR="00457200">
        <w:rPr>
          <w:rFonts w:ascii="Times New Roman" w:eastAsia="Times New Roman" w:hAnsi="Times New Roman" w:cs="Times New Roman"/>
          <w:color w:val="000000" w:themeColor="text1"/>
        </w:rPr>
        <w:t>; and</w:t>
      </w:r>
      <w:r w:rsidR="00D162C2" w:rsidRPr="00D162C2">
        <w:rPr>
          <w:rFonts w:ascii="Times New Roman" w:eastAsia="Times New Roman" w:hAnsi="Times New Roman" w:cs="Times New Roman"/>
          <w:color w:val="000000" w:themeColor="text1"/>
        </w:rPr>
        <w:t xml:space="preserve"> Co-Chai</w:t>
      </w:r>
      <w:r w:rsidR="00D162C2" w:rsidRPr="00D162C2">
        <w:rPr>
          <w:rFonts w:ascii="Times New Roman" w:eastAsia="Times New Roman" w:hAnsi="Times New Roman" w:cs="Times New Roman"/>
          <w:color w:val="000000" w:themeColor="text1"/>
          <w:u w:val="single"/>
        </w:rPr>
        <w:t xml:space="preserve">r, Energy, </w:t>
      </w:r>
      <w:r w:rsidR="00D162C2" w:rsidRPr="00D162C2">
        <w:rPr>
          <w:rFonts w:ascii="Times New Roman" w:eastAsia="Times New Roman" w:hAnsi="Times New Roman" w:cs="Times New Roman"/>
          <w:color w:val="000000" w:themeColor="text1"/>
        </w:rPr>
        <w:t>Environment and Water</w:t>
      </w:r>
      <w:r w:rsidR="00457200">
        <w:rPr>
          <w:rFonts w:ascii="Times New Roman" w:eastAsia="Times New Roman" w:hAnsi="Times New Roman" w:cs="Times New Roman"/>
          <w:color w:val="000000" w:themeColor="text1"/>
        </w:rPr>
        <w:t>.</w:t>
      </w:r>
    </w:p>
    <w:p w:rsidR="006C681B" w:rsidRPr="00457200" w:rsidRDefault="006C681B" w:rsidP="006C681B">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proofErr w:type="gramStart"/>
      <w:r w:rsidRPr="00457200">
        <w:rPr>
          <w:rFonts w:ascii="Times New Roman" w:eastAsia="Times New Roman" w:hAnsi="Times New Roman" w:cs="Times New Roman"/>
          <w:color w:val="000000" w:themeColor="text1"/>
        </w:rPr>
        <w:t>Members of the advisory committ</w:t>
      </w:r>
      <w:r w:rsidR="00D162C2" w:rsidRPr="00D162C2">
        <w:rPr>
          <w:rFonts w:asciiTheme="minorHAnsi" w:eastAsia="Times New Roman" w:hAnsiTheme="minorHAnsi" w:cstheme="minorHAnsi"/>
          <w:color w:val="000000" w:themeColor="text1"/>
          <w:u w:val="single"/>
        </w:rPr>
        <w:t xml:space="preserve">ee on </w:t>
      </w:r>
      <w:r w:rsidR="00D44C7A" w:rsidRPr="00457200">
        <w:rPr>
          <w:rFonts w:ascii="Times New Roman" w:eastAsia="Times New Roman" w:hAnsi="Times New Roman" w:cs="Times New Roman"/>
          <w:color w:val="000000" w:themeColor="text1"/>
        </w:rPr>
        <w:t>M</w:t>
      </w:r>
      <w:r w:rsidR="00D162C2" w:rsidRPr="00D162C2">
        <w:rPr>
          <w:rFonts w:asciiTheme="minorHAnsi" w:eastAsia="Times New Roman" w:hAnsiTheme="minorHAnsi" w:cstheme="minorHAnsi"/>
          <w:color w:val="000000" w:themeColor="text1"/>
        </w:rPr>
        <w:t>a</w:t>
      </w:r>
      <w:r w:rsidR="00D44C7A" w:rsidRPr="00457200">
        <w:rPr>
          <w:rFonts w:ascii="Times New Roman" w:eastAsia="Times New Roman" w:hAnsi="Times New Roman" w:cs="Times New Roman"/>
          <w:color w:val="000000" w:themeColor="text1"/>
        </w:rPr>
        <w:t>rch</w:t>
      </w:r>
      <w:r w:rsidRPr="00457200">
        <w:rPr>
          <w:rFonts w:ascii="Times New Roman" w:eastAsia="Times New Roman" w:hAnsi="Times New Roman" w:cs="Times New Roman"/>
          <w:color w:val="000000" w:themeColor="text1"/>
        </w:rPr>
        <w:t xml:space="preserve"> 30, 2012.</w:t>
      </w:r>
      <w:proofErr w:type="gramEnd"/>
    </w:p>
    <w:p w:rsidR="006C681B" w:rsidRPr="00457200" w:rsidRDefault="006C681B" w:rsidP="006C681B">
      <w:pPr>
        <w:pStyle w:val="ListParagraph"/>
        <w:spacing w:after="120"/>
        <w:ind w:left="1440" w:right="630"/>
        <w:outlineLvl w:val="0"/>
        <w:rPr>
          <w:rFonts w:ascii="Times New Roman" w:eastAsia="Times New Roman" w:hAnsi="Times New Roman" w:cs="Times New Roman"/>
          <w:color w:val="000000" w:themeColor="text1"/>
        </w:rPr>
      </w:pPr>
    </w:p>
    <w:p w:rsidR="006C681B" w:rsidRPr="00DC04D1" w:rsidRDefault="00D162C2" w:rsidP="006C681B">
      <w:pPr>
        <w:spacing w:after="120"/>
        <w:ind w:left="360"/>
        <w:outlineLvl w:val="0"/>
        <w:rPr>
          <w:rFonts w:asciiTheme="minorHAnsi" w:eastAsia="Times New Roman" w:hAnsiTheme="minorHAnsi" w:cstheme="minorHAnsi"/>
          <w:bCs/>
          <w:color w:val="504938"/>
        </w:rPr>
      </w:pPr>
      <w:r w:rsidRPr="00D162C2">
        <w:rPr>
          <w:rFonts w:ascii="Times New Roman" w:eastAsia="Times New Roman" w:hAnsi="Times New Roman" w:cs="Times New Roman"/>
          <w:bCs/>
          <w:color w:val="000000" w:themeColor="text1"/>
          <w:sz w:val="22"/>
          <w:szCs w:val="22"/>
        </w:rPr>
        <w:t>Publ</w:t>
      </w:r>
      <w:r w:rsidR="006C681B">
        <w:rPr>
          <w:rFonts w:asciiTheme="majorHAnsi" w:eastAsia="Times New Roman" w:hAnsiTheme="majorHAnsi" w:cstheme="majorHAnsi"/>
          <w:bCs/>
          <w:color w:val="504938"/>
          <w:sz w:val="22"/>
          <w:szCs w:val="22"/>
        </w:rPr>
        <w:t>ic hearings</w:t>
      </w:r>
    </w:p>
    <w:p w:rsidR="00D162C2" w:rsidRDefault="006C681B" w:rsidP="00D162C2">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During the comment period, DEQ held one public hearing </w:t>
      </w:r>
      <w:r w:rsidR="00D1580C">
        <w:rPr>
          <w:rFonts w:asciiTheme="minorHAnsi" w:eastAsia="Times New Roman" w:hAnsiTheme="minorHAnsi" w:cstheme="minorHAnsi"/>
          <w:bCs/>
          <w:color w:val="000000" w:themeColor="text1"/>
        </w:rPr>
        <w:t xml:space="preserve">in Portland </w:t>
      </w:r>
      <w:r>
        <w:rPr>
          <w:rFonts w:asciiTheme="minorHAnsi" w:eastAsia="Times New Roman" w:hAnsiTheme="minorHAnsi" w:cstheme="minorHAnsi"/>
          <w:bCs/>
          <w:color w:val="000000" w:themeColor="text1"/>
        </w:rPr>
        <w:t xml:space="preserve">that </w:t>
      </w:r>
      <w:r w:rsidR="00D1580C">
        <w:rPr>
          <w:rFonts w:asciiTheme="minorHAnsi" w:eastAsia="Times New Roman" w:hAnsiTheme="minorHAnsi" w:cstheme="minorHAnsi"/>
          <w:bCs/>
          <w:color w:val="000000" w:themeColor="text1"/>
        </w:rPr>
        <w:t xml:space="preserve">was also </w:t>
      </w:r>
      <w:r>
        <w:rPr>
          <w:rFonts w:asciiTheme="minorHAnsi" w:eastAsia="Times New Roman" w:hAnsiTheme="minorHAnsi" w:cstheme="minorHAnsi"/>
          <w:bCs/>
          <w:color w:val="000000" w:themeColor="text1"/>
        </w:rPr>
        <w:t xml:space="preserve">accessible by phone and through iLinc. </w:t>
      </w:r>
      <w:r w:rsidR="00D1580C">
        <w:rPr>
          <w:rFonts w:asciiTheme="minorHAnsi" w:eastAsia="Times New Roman" w:hAnsiTheme="minorHAnsi" w:cstheme="minorHAnsi"/>
          <w:bCs/>
          <w:color w:val="000000" w:themeColor="text1"/>
        </w:rPr>
        <w:t>No one attended in person or called in to provide comments.</w:t>
      </w:r>
      <w:r w:rsidR="003E42FC">
        <w:rPr>
          <w:rFonts w:asciiTheme="minorHAnsi" w:eastAsia="Times New Roman" w:hAnsiTheme="minorHAnsi" w:cstheme="minorHAnsi"/>
          <w:bCs/>
          <w:color w:val="000000" w:themeColor="text1"/>
        </w:rPr>
        <w:t xml:space="preserve"> </w:t>
      </w:r>
    </w:p>
    <w:p w:rsidR="006C681B" w:rsidRDefault="006C681B" w:rsidP="006C681B">
      <w:pPr>
        <w:tabs>
          <w:tab w:val="left" w:pos="1440"/>
          <w:tab w:val="center" w:pos="4500"/>
          <w:tab w:val="center" w:pos="7380"/>
        </w:tabs>
        <w:ind w:left="720" w:right="634"/>
        <w:outlineLvl w:val="0"/>
        <w:rPr>
          <w:rFonts w:asciiTheme="minorHAnsi" w:eastAsia="Times New Roman" w:hAnsiTheme="minorHAnsi" w:cstheme="minorHAnsi"/>
          <w:bCs/>
          <w:color w:val="000000" w:themeColor="text1"/>
        </w:rPr>
      </w:pPr>
    </w:p>
    <w:p w:rsidR="006C681B" w:rsidRPr="00DC04D1" w:rsidRDefault="006C681B" w:rsidP="006C681B">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comment</w:t>
      </w:r>
    </w:p>
    <w:p w:rsidR="006C681B" w:rsidRDefault="006C681B" w:rsidP="006C681B">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received eight </w:t>
      </w:r>
      <w:r w:rsidR="00326CC2">
        <w:rPr>
          <w:rFonts w:asciiTheme="minorHAnsi" w:eastAsia="Times New Roman" w:hAnsiTheme="minorHAnsi" w:cstheme="minorHAnsi"/>
          <w:bCs/>
          <w:color w:val="000000" w:themeColor="text1"/>
        </w:rPr>
        <w:t xml:space="preserve">written </w:t>
      </w:r>
      <w:r>
        <w:rPr>
          <w:rFonts w:asciiTheme="minorHAnsi" w:eastAsia="Times New Roman" w:hAnsiTheme="minorHAnsi" w:cstheme="minorHAnsi"/>
          <w:bCs/>
          <w:color w:val="000000" w:themeColor="text1"/>
        </w:rPr>
        <w:t>comments. See the Summary of comments and DEQ responses below.</w:t>
      </w:r>
    </w:p>
    <w:p w:rsidR="006C681B" w:rsidRDefault="006C681B" w:rsidP="006C681B">
      <w:pPr>
        <w:spacing w:after="120"/>
        <w:ind w:left="720" w:right="630"/>
        <w:outlineLvl w:val="0"/>
        <w:rPr>
          <w:rFonts w:asciiTheme="minorHAnsi" w:eastAsia="Times New Roman" w:hAnsiTheme="minorHAnsi" w:cstheme="minorHAnsi"/>
          <w:bCs/>
          <w:color w:val="000000" w:themeColor="text1"/>
        </w:rPr>
      </w:pPr>
    </w:p>
    <w:p w:rsidR="006C681B" w:rsidRPr="00DC04D1" w:rsidRDefault="006C681B" w:rsidP="006C681B">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6C681B" w:rsidRPr="001F2D3C" w:rsidRDefault="006C681B" w:rsidP="006C681B">
      <w:pPr>
        <w:spacing w:after="120"/>
        <w:ind w:left="720" w:right="630"/>
        <w:outlineLvl w:val="0"/>
        <w:rPr>
          <w:rFonts w:asciiTheme="minorHAnsi" w:eastAsia="Times New Roman" w:hAnsiTheme="minorHAnsi" w:cstheme="minorHAnsi"/>
          <w:color w:val="000000"/>
        </w:rPr>
      </w:pPr>
      <w:r>
        <w:rPr>
          <w:rFonts w:asciiTheme="minorHAnsi" w:eastAsia="Times New Roman" w:hAnsiTheme="minorHAnsi" w:cstheme="minorHAnsi"/>
          <w:bCs/>
          <w:color w:val="000000" w:themeColor="text1"/>
        </w:rPr>
        <w:t>The comment period closed on April 27, 2012 at 5 p.m.</w:t>
      </w:r>
      <w:r w:rsidRPr="00643871">
        <w:rPr>
          <w:sz w:val="20"/>
          <w:szCs w:val="20"/>
        </w:rPr>
        <w:t xml:space="preserve"> </w:t>
      </w:r>
    </w:p>
    <w:tbl>
      <w:tblPr>
        <w:tblW w:w="11430" w:type="dxa"/>
        <w:tblInd w:w="108" w:type="dxa"/>
        <w:tblLook w:val="04A0"/>
      </w:tblPr>
      <w:tblGrid>
        <w:gridCol w:w="11430"/>
      </w:tblGrid>
      <w:tr w:rsidR="006C681B" w:rsidRPr="00B15DF7" w:rsidTr="00612DAA">
        <w:trPr>
          <w:trHeight w:val="600"/>
        </w:trPr>
        <w:tc>
          <w:tcPr>
            <w:tcW w:w="11430" w:type="dxa"/>
            <w:tcBorders>
              <w:top w:val="nil"/>
              <w:left w:val="nil"/>
              <w:bottom w:val="double" w:sz="6" w:space="0" w:color="7F7F7F"/>
              <w:right w:val="nil"/>
            </w:tcBorders>
            <w:shd w:val="clear" w:color="000000" w:fill="D8D3C6"/>
            <w:noWrap/>
            <w:vAlign w:val="bottom"/>
          </w:tcPr>
          <w:p w:rsidR="006C681B" w:rsidRPr="00823C9D" w:rsidRDefault="006C681B" w:rsidP="00612DAA">
            <w:pPr>
              <w:outlineLvl w:val="0"/>
              <w:rPr>
                <w:rFonts w:eastAsia="Times New Roman"/>
                <w:b/>
                <w:bCs/>
                <w:color w:val="32525C"/>
                <w:sz w:val="28"/>
                <w:szCs w:val="28"/>
              </w:rPr>
            </w:pPr>
          </w:p>
          <w:p w:rsidR="006C681B" w:rsidRPr="004F673A" w:rsidRDefault="006C681B" w:rsidP="00612DAA">
            <w:pPr>
              <w:outlineLvl w:val="0"/>
              <w:rPr>
                <w:rFonts w:eastAsia="Times New Roman"/>
                <w:bCs/>
                <w:color w:val="32525C"/>
                <w:sz w:val="28"/>
                <w:szCs w:val="28"/>
              </w:rPr>
            </w:pPr>
            <w:r>
              <w:rPr>
                <w:rFonts w:eastAsia="Times New Roman"/>
                <w:bCs/>
                <w:color w:val="32525C"/>
                <w:sz w:val="28"/>
                <w:szCs w:val="28"/>
              </w:rPr>
              <w:t>Summary of comments and DEQ responses</w:t>
            </w:r>
          </w:p>
        </w:tc>
      </w:tr>
    </w:tbl>
    <w:p w:rsidR="006C681B" w:rsidRPr="00B15DF7" w:rsidRDefault="006C681B" w:rsidP="006C681B">
      <w:pPr>
        <w:rPr>
          <w:rFonts w:ascii="Times New Roman" w:eastAsia="Times New Roman" w:hAnsi="Times New Roman" w:cs="Times New Roman"/>
          <w:color w:val="32525C"/>
        </w:rPr>
      </w:pPr>
    </w:p>
    <w:p w:rsidR="006C681B" w:rsidRDefault="00326CC2" w:rsidP="006C681B">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Following is a summary of the</w:t>
      </w:r>
      <w:r w:rsidR="006C681B">
        <w:rPr>
          <w:rFonts w:asciiTheme="minorHAnsi" w:eastAsia="Times New Roman" w:hAnsiTheme="minorHAnsi" w:cstheme="minorHAnsi"/>
          <w:bCs/>
          <w:color w:val="000000" w:themeColor="text1"/>
        </w:rPr>
        <w:t xml:space="preserve"> public comments received </w:t>
      </w:r>
      <w:r>
        <w:rPr>
          <w:rFonts w:asciiTheme="minorHAnsi" w:eastAsia="Times New Roman" w:hAnsiTheme="minorHAnsi" w:cstheme="minorHAnsi"/>
          <w:bCs/>
          <w:color w:val="000000" w:themeColor="text1"/>
        </w:rPr>
        <w:t>during the</w:t>
      </w:r>
      <w:r w:rsidR="006C681B">
        <w:rPr>
          <w:rFonts w:asciiTheme="minorHAnsi" w:eastAsia="Times New Roman" w:hAnsiTheme="minorHAnsi" w:cstheme="minorHAnsi"/>
          <w:bCs/>
          <w:color w:val="000000" w:themeColor="text1"/>
        </w:rPr>
        <w:t xml:space="preserve"> public comment</w:t>
      </w:r>
      <w:r>
        <w:rPr>
          <w:rFonts w:asciiTheme="minorHAnsi" w:eastAsia="Times New Roman" w:hAnsiTheme="minorHAnsi" w:cstheme="minorHAnsi"/>
          <w:bCs/>
          <w:color w:val="000000" w:themeColor="text1"/>
        </w:rPr>
        <w:t xml:space="preserve"> period.</w:t>
      </w:r>
      <w:r w:rsidR="006C681B">
        <w:rPr>
          <w:rFonts w:asciiTheme="minorHAnsi" w:eastAsia="Times New Roman" w:hAnsiTheme="minorHAnsi" w:cstheme="minorHAnsi"/>
          <w:bCs/>
          <w:color w:val="000000" w:themeColor="text1"/>
        </w:rPr>
        <w:t xml:space="preserve"> </w:t>
      </w:r>
      <w:r w:rsidR="006C681B" w:rsidRPr="00BD3CBE">
        <w:rPr>
          <w:rFonts w:asciiTheme="minorHAnsi" w:eastAsia="Times New Roman" w:hAnsiTheme="minorHAnsi" w:cstheme="minorHAnsi"/>
          <w:bCs/>
          <w:color w:val="000000" w:themeColor="text1"/>
        </w:rPr>
        <w:t xml:space="preserve">DEQ’s response </w:t>
      </w:r>
      <w:r w:rsidR="006C681B">
        <w:rPr>
          <w:rFonts w:asciiTheme="minorHAnsi" w:eastAsia="Times New Roman" w:hAnsiTheme="minorHAnsi" w:cstheme="minorHAnsi"/>
          <w:bCs/>
          <w:color w:val="000000" w:themeColor="text1"/>
        </w:rPr>
        <w:t xml:space="preserve">follows </w:t>
      </w:r>
      <w:r>
        <w:rPr>
          <w:rFonts w:asciiTheme="minorHAnsi" w:eastAsia="Times New Roman" w:hAnsiTheme="minorHAnsi" w:cstheme="minorHAnsi"/>
          <w:bCs/>
          <w:color w:val="000000" w:themeColor="text1"/>
        </w:rPr>
        <w:t xml:space="preserve">each comment </w:t>
      </w:r>
      <w:r w:rsidR="006C681B">
        <w:rPr>
          <w:rFonts w:asciiTheme="minorHAnsi" w:eastAsia="Times New Roman" w:hAnsiTheme="minorHAnsi" w:cstheme="minorHAnsi"/>
          <w:bCs/>
          <w:color w:val="000000" w:themeColor="text1"/>
        </w:rPr>
        <w:t>summary. The original comments are on file with DEQ.</w:t>
      </w:r>
    </w:p>
    <w:p w:rsidR="002C24C1" w:rsidRDefault="002C24C1" w:rsidP="006C681B">
      <w:pPr>
        <w:spacing w:after="120"/>
        <w:ind w:left="720" w:right="630"/>
        <w:outlineLvl w:val="0"/>
        <w:rPr>
          <w:rFonts w:asciiTheme="minorHAnsi" w:eastAsia="Times New Roman" w:hAnsiTheme="minorHAnsi" w:cstheme="minorHAnsi"/>
          <w:bCs/>
          <w:color w:val="000000" w:themeColor="text1"/>
        </w:rPr>
      </w:pPr>
    </w:p>
    <w:p w:rsidR="002C24C1" w:rsidRDefault="002C24C1" w:rsidP="002C24C1">
      <w:pPr>
        <w:rPr>
          <w:b/>
        </w:rPr>
      </w:pPr>
    </w:p>
    <w:p w:rsidR="002C24C1" w:rsidRPr="00173A1F" w:rsidRDefault="002C24C1" w:rsidP="002C24C1">
      <w:pPr>
        <w:pStyle w:val="ListParagraph"/>
        <w:numPr>
          <w:ilvl w:val="0"/>
          <w:numId w:val="19"/>
        </w:numPr>
        <w:rPr>
          <w:b/>
        </w:rPr>
      </w:pPr>
      <w:r w:rsidRPr="00173A1F">
        <w:rPr>
          <w:b/>
        </w:rPr>
        <w:t>Appreciate stakeholder involvement (</w:t>
      </w:r>
      <w:r>
        <w:t>Commenters #6, 7, &amp; 8</w:t>
      </w:r>
      <w:r w:rsidRPr="007D3C35">
        <w:t>)</w:t>
      </w:r>
    </w:p>
    <w:p w:rsidR="002C24C1" w:rsidRDefault="002C24C1" w:rsidP="002C24C1">
      <w:pPr>
        <w:pStyle w:val="ListParagraph"/>
        <w:numPr>
          <w:ilvl w:val="0"/>
          <w:numId w:val="11"/>
        </w:numPr>
      </w:pPr>
      <w:r>
        <w:t>Commenter appreciates the opportunity to participate in advisory committee meetings and conference calls to obtain stakeholder input before proposing rules. (6, 7)</w:t>
      </w:r>
      <w:r w:rsidR="006006F7">
        <w:t xml:space="preserve"> This input has improved the rule making proposal. (6)</w:t>
      </w:r>
    </w:p>
    <w:p w:rsidR="002C24C1" w:rsidRDefault="002C24C1" w:rsidP="002C24C1">
      <w:pPr>
        <w:pStyle w:val="ListParagraph"/>
        <w:numPr>
          <w:ilvl w:val="0"/>
          <w:numId w:val="11"/>
        </w:numPr>
      </w:pPr>
      <w:r>
        <w:t>DEQ has made a great effort to involve the regulated community to develop an effective program fair to the regulated community. (8)</w:t>
      </w:r>
    </w:p>
    <w:p w:rsidR="002C24C1" w:rsidRDefault="00D3707E" w:rsidP="002C24C1">
      <w:pPr>
        <w:pStyle w:val="ListParagraph"/>
        <w:numPr>
          <w:ilvl w:val="0"/>
          <w:numId w:val="11"/>
        </w:numPr>
      </w:pPr>
      <w:r>
        <w:t>This input has improved the rule making proposal. (6)</w:t>
      </w:r>
    </w:p>
    <w:p w:rsidR="002C24C1" w:rsidRDefault="002C24C1" w:rsidP="002C24C1">
      <w:pPr>
        <w:ind w:left="360"/>
      </w:pPr>
    </w:p>
    <w:p w:rsidR="002C24C1" w:rsidRPr="00F37B5E" w:rsidRDefault="002C24C1" w:rsidP="002C24C1">
      <w:pPr>
        <w:ind w:left="360"/>
        <w:rPr>
          <w:b/>
        </w:rPr>
      </w:pPr>
      <w:r w:rsidRPr="00F37B5E">
        <w:rPr>
          <w:b/>
        </w:rPr>
        <w:t>Response:</w:t>
      </w:r>
    </w:p>
    <w:p w:rsidR="002C24C1" w:rsidRDefault="002C24C1" w:rsidP="002C24C1">
      <w:pPr>
        <w:pStyle w:val="ListParagraph"/>
        <w:numPr>
          <w:ilvl w:val="0"/>
          <w:numId w:val="8"/>
        </w:numPr>
        <w:ind w:left="1080"/>
      </w:pPr>
      <w:r>
        <w:t xml:space="preserve">DEQ appreciates the advice and perspectives interested persons have provided for this rulemaking and implementation of the E-Cycles program. </w:t>
      </w:r>
    </w:p>
    <w:p w:rsidR="002C24C1" w:rsidRDefault="002C24C1" w:rsidP="002C24C1">
      <w:pPr>
        <w:ind w:left="720"/>
      </w:pPr>
    </w:p>
    <w:p w:rsidR="002C24C1" w:rsidRDefault="002C24C1" w:rsidP="002C24C1">
      <w:pPr>
        <w:ind w:left="720"/>
      </w:pPr>
    </w:p>
    <w:p w:rsidR="002C24C1" w:rsidRPr="006A3FFC" w:rsidRDefault="002C24C1" w:rsidP="002C24C1">
      <w:pPr>
        <w:pStyle w:val="ListParagraph"/>
        <w:numPr>
          <w:ilvl w:val="0"/>
          <w:numId w:val="19"/>
        </w:numPr>
        <w:rPr>
          <w:b/>
        </w:rPr>
      </w:pPr>
      <w:r w:rsidRPr="006A3FFC">
        <w:rPr>
          <w:b/>
        </w:rPr>
        <w:t xml:space="preserve">Proposed fee changes sustain the program </w:t>
      </w:r>
      <w:r w:rsidRPr="00173A1F">
        <w:rPr>
          <w:b/>
        </w:rPr>
        <w:t>(</w:t>
      </w:r>
      <w:r>
        <w:t>Commenter #1</w:t>
      </w:r>
      <w:r w:rsidRPr="007D3C35">
        <w:t>)</w:t>
      </w:r>
    </w:p>
    <w:p w:rsidR="002C24C1" w:rsidRDefault="002C24C1" w:rsidP="002C24C1">
      <w:pPr>
        <w:ind w:left="360"/>
      </w:pPr>
      <w:r w:rsidRPr="00F51DC5">
        <w:t>The proposed fee change is a good idea to sustain the program.</w:t>
      </w:r>
      <w:r>
        <w:t xml:space="preserve"> (1)</w:t>
      </w:r>
    </w:p>
    <w:p w:rsidR="002C24C1" w:rsidRDefault="002C24C1" w:rsidP="002C24C1">
      <w:pPr>
        <w:ind w:left="360"/>
      </w:pPr>
    </w:p>
    <w:p w:rsidR="002C24C1" w:rsidRDefault="002C24C1" w:rsidP="002C24C1">
      <w:pPr>
        <w:ind w:left="360"/>
      </w:pPr>
      <w:r w:rsidRPr="006A3FFC">
        <w:rPr>
          <w:b/>
        </w:rPr>
        <w:t>Response:</w:t>
      </w:r>
    </w:p>
    <w:p w:rsidR="002C24C1" w:rsidRDefault="004A1220" w:rsidP="002C24C1">
      <w:pPr>
        <w:ind w:left="360"/>
      </w:pPr>
      <w:r>
        <w:lastRenderedPageBreak/>
        <w:t xml:space="preserve"> DEQ appreciates the review and feedback.</w:t>
      </w:r>
    </w:p>
    <w:p w:rsidR="002C24C1" w:rsidRPr="00F51DC5" w:rsidRDefault="002C24C1" w:rsidP="002C24C1">
      <w:pPr>
        <w:ind w:left="360"/>
      </w:pPr>
    </w:p>
    <w:p w:rsidR="002C24C1" w:rsidRPr="00173A1F" w:rsidRDefault="002C24C1" w:rsidP="002C24C1">
      <w:pPr>
        <w:pStyle w:val="ListParagraph"/>
        <w:numPr>
          <w:ilvl w:val="0"/>
          <w:numId w:val="19"/>
        </w:numPr>
        <w:rPr>
          <w:b/>
        </w:rPr>
      </w:pPr>
      <w:r w:rsidRPr="00173A1F">
        <w:rPr>
          <w:b/>
        </w:rPr>
        <w:t>Exempt or reduce fees for small manufacturers</w:t>
      </w:r>
      <w:r>
        <w:rPr>
          <w:b/>
        </w:rPr>
        <w:t xml:space="preserve"> </w:t>
      </w:r>
      <w:r w:rsidRPr="00173A1F">
        <w:rPr>
          <w:b/>
        </w:rPr>
        <w:t>(</w:t>
      </w:r>
      <w:r>
        <w:t>Commenters #2, 3, &amp; 4</w:t>
      </w:r>
      <w:r w:rsidRPr="007D3C35">
        <w:t>)</w:t>
      </w:r>
    </w:p>
    <w:p w:rsidR="002C24C1" w:rsidRPr="00CF796B" w:rsidRDefault="002C24C1" w:rsidP="002C24C1">
      <w:pPr>
        <w:pStyle w:val="ListParagraph"/>
        <w:numPr>
          <w:ilvl w:val="0"/>
          <w:numId w:val="10"/>
        </w:numPr>
      </w:pPr>
      <w:r>
        <w:t xml:space="preserve">The fee </w:t>
      </w:r>
      <w:r w:rsidRPr="00CF796B">
        <w:t>increase for small</w:t>
      </w:r>
      <w:r>
        <w:t>, T</w:t>
      </w:r>
      <w:r w:rsidRPr="00CF796B">
        <w:t>ier 6</w:t>
      </w:r>
      <w:r>
        <w:t>,</w:t>
      </w:r>
      <w:r w:rsidRPr="00CF796B">
        <w:t xml:space="preserve"> manufacturers is too high, from $40 to $200 a year. (2, 4) </w:t>
      </w:r>
      <w:r>
        <w:t>The $40 fee is acceptable, but f</w:t>
      </w:r>
      <w:r w:rsidRPr="00CF796B">
        <w:t>or a small manufacturer building 12 computers a year, $200</w:t>
      </w:r>
      <w:r>
        <w:t>/year</w:t>
      </w:r>
      <w:r w:rsidRPr="00CF796B">
        <w:t xml:space="preserve"> is $17 per computer. (4)</w:t>
      </w:r>
      <w:r>
        <w:t xml:space="preserve"> This</w:t>
      </w:r>
      <w:r w:rsidRPr="00CF796B">
        <w:t xml:space="preserve"> </w:t>
      </w:r>
      <w:r>
        <w:t>increase is not</w:t>
      </w:r>
      <w:r w:rsidRPr="00CF796B">
        <w:t xml:space="preserve"> equitable</w:t>
      </w:r>
      <w:r>
        <w:t xml:space="preserve"> u</w:t>
      </w:r>
      <w:r w:rsidRPr="00CF796B">
        <w:t xml:space="preserve">nless fees for all tiers will </w:t>
      </w:r>
      <w:r>
        <w:t xml:space="preserve">also increase by 500 percent. </w:t>
      </w:r>
      <w:r w:rsidRPr="00CF796B">
        <w:t>(2)</w:t>
      </w:r>
    </w:p>
    <w:p w:rsidR="002C24C1" w:rsidRPr="00CF796B" w:rsidRDefault="002C24C1" w:rsidP="002C24C1">
      <w:pPr>
        <w:pStyle w:val="ListParagraph"/>
        <w:numPr>
          <w:ilvl w:val="0"/>
          <w:numId w:val="10"/>
        </w:numPr>
      </w:pPr>
      <w:proofErr w:type="gramStart"/>
      <w:r w:rsidRPr="002362D0">
        <w:t xml:space="preserve">Exempt </w:t>
      </w:r>
      <w:r w:rsidRPr="00CF796B">
        <w:t>small computer stores that build and sell few computers, e.g., below twenty computers a year.</w:t>
      </w:r>
      <w:proofErr w:type="gramEnd"/>
      <w:r w:rsidRPr="00CF796B">
        <w:t xml:space="preserve"> Computer stores seldom build computers anymore; individuals assemble far more of their own computers from parts bought online. (3)</w:t>
      </w:r>
    </w:p>
    <w:p w:rsidR="002C24C1" w:rsidRDefault="002C24C1" w:rsidP="002C24C1">
      <w:pPr>
        <w:pStyle w:val="ListParagraph"/>
        <w:numPr>
          <w:ilvl w:val="0"/>
          <w:numId w:val="10"/>
        </w:numPr>
      </w:pPr>
      <w:r w:rsidRPr="00CF796B">
        <w:t>Businesses need a way to exit the program after they no longer assemble computers. (3)</w:t>
      </w:r>
    </w:p>
    <w:p w:rsidR="002C24C1" w:rsidRPr="00CF796B" w:rsidRDefault="002C24C1" w:rsidP="002C24C1">
      <w:pPr>
        <w:pStyle w:val="ListParagraph"/>
        <w:numPr>
          <w:ilvl w:val="0"/>
          <w:numId w:val="10"/>
        </w:numPr>
      </w:pPr>
      <w:r w:rsidRPr="002362D0">
        <w:t>DEQ may</w:t>
      </w:r>
      <w:r w:rsidRPr="00CF796B">
        <w:t xml:space="preserve"> not be assessing fees on all small computer stores.  The number of small manufacturers registered, 109 with 50 or fewer employees, seems low. (2)</w:t>
      </w:r>
    </w:p>
    <w:p w:rsidR="002C24C1" w:rsidRDefault="002C24C1" w:rsidP="002C24C1">
      <w:pPr>
        <w:ind w:left="360"/>
        <w:rPr>
          <w:b/>
        </w:rPr>
      </w:pPr>
    </w:p>
    <w:p w:rsidR="002C24C1" w:rsidRPr="00CF796B" w:rsidRDefault="002C24C1" w:rsidP="002C24C1">
      <w:pPr>
        <w:ind w:left="360"/>
        <w:rPr>
          <w:b/>
        </w:rPr>
      </w:pPr>
      <w:r w:rsidRPr="00CF796B">
        <w:rPr>
          <w:b/>
        </w:rPr>
        <w:t>Response:</w:t>
      </w:r>
    </w:p>
    <w:p w:rsidR="002C24C1" w:rsidRPr="002362D0" w:rsidRDefault="002C24C1" w:rsidP="002C24C1">
      <w:pPr>
        <w:pStyle w:val="ListParagraph"/>
        <w:numPr>
          <w:ilvl w:val="0"/>
          <w:numId w:val="8"/>
        </w:numPr>
        <w:ind w:left="1080"/>
        <w:rPr>
          <w:b/>
        </w:rPr>
      </w:pPr>
      <w:r>
        <w:t>DEQ has revised the proposed rules to retain the $40 fee for manufacturers who make fewer than 50 computers a year. DEQ has not proposed to exempt these manufacturers from registering or paying a registration fee.</w:t>
      </w:r>
      <w:r w:rsidR="006006F7">
        <w:t xml:space="preserve"> Advisory committee members did not support exempting these manufacturers from registering and paying a registration fee, and DEQ has not proposed an exemption for this rulemaking.</w:t>
      </w:r>
    </w:p>
    <w:p w:rsidR="002C24C1" w:rsidRPr="002362D0" w:rsidRDefault="002C24C1" w:rsidP="002C24C1">
      <w:pPr>
        <w:pStyle w:val="ListParagraph"/>
        <w:numPr>
          <w:ilvl w:val="0"/>
          <w:numId w:val="8"/>
        </w:numPr>
        <w:ind w:left="1080"/>
        <w:rPr>
          <w:b/>
        </w:rPr>
      </w:pPr>
      <w:r>
        <w:t xml:space="preserve">Oregon’s electronics recycling law already provides an exit from registration for manufacturers who no longer sell covered devices. The law does not require the manufacturer of a covered device to continue to register its brand/device each year if it, or another entity, no longer sells that brand. It does provide, however, that DEQ may notify and require a manufacturer to register if its device </w:t>
      </w:r>
      <w:proofErr w:type="gramStart"/>
      <w:r>
        <w:t>is returned</w:t>
      </w:r>
      <w:proofErr w:type="gramEnd"/>
      <w:r>
        <w:t xml:space="preserve"> for recycling through E-Cycles (determined through sampling returns).</w:t>
      </w:r>
    </w:p>
    <w:p w:rsidR="002C24C1" w:rsidRPr="006A3FFC" w:rsidRDefault="002C24C1" w:rsidP="002C24C1">
      <w:pPr>
        <w:pStyle w:val="ListParagraph"/>
        <w:numPr>
          <w:ilvl w:val="0"/>
          <w:numId w:val="8"/>
        </w:numPr>
        <w:ind w:left="1080"/>
        <w:rPr>
          <w:b/>
        </w:rPr>
      </w:pPr>
      <w:r>
        <w:t>DEQ acknowledges that not all small computer stores have registered and paid registration fees. DEQ attempts to identify and follows up on reports of unregistered manufacturers but to date has not focused compliance oversight on small manufacturers.</w:t>
      </w:r>
    </w:p>
    <w:p w:rsidR="002C24C1" w:rsidRPr="006A3FFC" w:rsidRDefault="002C24C1" w:rsidP="002C24C1">
      <w:pPr>
        <w:ind w:left="720"/>
        <w:rPr>
          <w:b/>
        </w:rPr>
      </w:pPr>
    </w:p>
    <w:p w:rsidR="002C24C1" w:rsidRPr="00173A1F" w:rsidRDefault="002C24C1" w:rsidP="002C24C1">
      <w:pPr>
        <w:pStyle w:val="ListParagraph"/>
        <w:numPr>
          <w:ilvl w:val="0"/>
          <w:numId w:val="19"/>
        </w:numPr>
        <w:rPr>
          <w:b/>
        </w:rPr>
      </w:pPr>
      <w:r w:rsidRPr="00173A1F">
        <w:rPr>
          <w:b/>
        </w:rPr>
        <w:t>Six-tier fee structure causes unstable revenue and unpredictable fees</w:t>
      </w:r>
      <w:r>
        <w:rPr>
          <w:b/>
        </w:rPr>
        <w:t xml:space="preserve"> </w:t>
      </w:r>
      <w:r w:rsidRPr="00173A1F">
        <w:rPr>
          <w:b/>
        </w:rPr>
        <w:t>(</w:t>
      </w:r>
      <w:r>
        <w:t>Commenters #5, 7, &amp; 8</w:t>
      </w:r>
      <w:r w:rsidRPr="007D3C35">
        <w:t>)</w:t>
      </w:r>
    </w:p>
    <w:p w:rsidR="0046784C" w:rsidRDefault="0046784C" w:rsidP="0046784C">
      <w:pPr>
        <w:pStyle w:val="ListParagraph"/>
        <w:numPr>
          <w:ilvl w:val="0"/>
          <w:numId w:val="12"/>
        </w:numPr>
      </w:pPr>
      <w:r>
        <w:t>Revenue is unstable under the proposed multi-tier fee because it does not minimize the revenue impact from changes in the number of manufacturers in higher tiers. (8)</w:t>
      </w:r>
    </w:p>
    <w:p w:rsidR="0046784C" w:rsidRDefault="0046784C" w:rsidP="0046784C">
      <w:pPr>
        <w:pStyle w:val="ListParagraph"/>
        <w:numPr>
          <w:ilvl w:val="0"/>
          <w:numId w:val="12"/>
        </w:numPr>
      </w:pPr>
      <w:r>
        <w:t>Fees are unpredictable under the proposed multi-tier fee structure because most of the revenue comes from manufacturers with large market shares in the higher tiers. Market volatility and consolidation that reduces the numbers of manufacturers in the higher tiers causes great fluctuation in the registration fees. (8)</w:t>
      </w:r>
    </w:p>
    <w:p w:rsidR="0046784C" w:rsidRDefault="0046784C" w:rsidP="0046784C">
      <w:pPr>
        <w:pStyle w:val="ListParagraph"/>
        <w:numPr>
          <w:ilvl w:val="0"/>
          <w:numId w:val="12"/>
        </w:numPr>
      </w:pPr>
      <w:r>
        <w:t>The more tiers, the more impact a company leaving an upper tier has on the revenue stream and the more volatile fee assessments will be. (5)</w:t>
      </w:r>
    </w:p>
    <w:p w:rsidR="0046784C" w:rsidRDefault="0046784C" w:rsidP="0046784C">
      <w:pPr>
        <w:pStyle w:val="ListParagraph"/>
        <w:numPr>
          <w:ilvl w:val="0"/>
          <w:numId w:val="12"/>
        </w:numPr>
      </w:pPr>
      <w:r>
        <w:t>The significant steps in fees from tier to tier contribute to volatility. Manufacturers will shift between tiers based on a single year’s market share, making their fees difficult to predict. (5)</w:t>
      </w:r>
    </w:p>
    <w:p w:rsidR="0046784C" w:rsidRDefault="0046784C" w:rsidP="0046784C">
      <w:pPr>
        <w:pStyle w:val="ListParagraph"/>
        <w:numPr>
          <w:ilvl w:val="0"/>
          <w:numId w:val="12"/>
        </w:numPr>
      </w:pPr>
      <w:r>
        <w:t>The complicated fee structure makes it difficult for a manufacturer to predict and budget for its fees from year to year. (5, 7)</w:t>
      </w:r>
    </w:p>
    <w:p w:rsidR="0046784C" w:rsidRDefault="0046784C" w:rsidP="0046784C">
      <w:pPr>
        <w:pStyle w:val="ListParagraph"/>
        <w:numPr>
          <w:ilvl w:val="0"/>
          <w:numId w:val="12"/>
        </w:numPr>
      </w:pPr>
      <w:r>
        <w:t>DEQ should clarify exactly when mfrs will receive market share and fee determinations each year; companies need to adequate lead time to budget. (7)</w:t>
      </w:r>
    </w:p>
    <w:p w:rsidR="002C24C1" w:rsidRDefault="002C24C1" w:rsidP="002C24C1">
      <w:pPr>
        <w:ind w:left="360"/>
        <w:rPr>
          <w:b/>
        </w:rPr>
      </w:pPr>
    </w:p>
    <w:p w:rsidR="002C24C1" w:rsidRPr="00CF796B" w:rsidRDefault="002C24C1" w:rsidP="002C24C1">
      <w:pPr>
        <w:ind w:left="360"/>
        <w:rPr>
          <w:b/>
        </w:rPr>
      </w:pPr>
      <w:r w:rsidRPr="00CF796B">
        <w:rPr>
          <w:b/>
        </w:rPr>
        <w:t>Response:</w:t>
      </w:r>
    </w:p>
    <w:p w:rsidR="007F1BAE" w:rsidRDefault="007F1BAE" w:rsidP="007F1BAE">
      <w:pPr>
        <w:pStyle w:val="ListParagraph"/>
        <w:numPr>
          <w:ilvl w:val="0"/>
          <w:numId w:val="9"/>
        </w:numPr>
      </w:pPr>
      <w:r>
        <w:t xml:space="preserve">DEQ only considered fee structures that </w:t>
      </w:r>
      <w:proofErr w:type="gramStart"/>
      <w:r>
        <w:t>are designed</w:t>
      </w:r>
      <w:proofErr w:type="gramEnd"/>
      <w:r>
        <w:t xml:space="preserve"> to meet our annual revenue need. The proposed structure will not result in fluctuating revenue caused by manufacturers switching between tiers. Instead, the proposed fee structure consistently generates the established revenue need each year by allocating that revenue amount among the registered manufacturers.</w:t>
      </w:r>
    </w:p>
    <w:p w:rsidR="002C24C1" w:rsidRDefault="002C24C1" w:rsidP="002C24C1">
      <w:pPr>
        <w:pStyle w:val="ListParagraph"/>
        <w:numPr>
          <w:ilvl w:val="1"/>
          <w:numId w:val="18"/>
        </w:numPr>
        <w:ind w:left="1170"/>
        <w:rPr>
          <w:i/>
        </w:rPr>
      </w:pPr>
      <w:r>
        <w:t>In the proposed fee structure, factors that affect variability include annual revenue need, a manufacturer’s market share, the number of manufacturers in any given tier, and fees in excess of the 35K cap. Although there a number of factors that affect variability, five years of historical data run against the proposed fee structure show that, on the average, 76 percent of manufacturers had certain fees. (Tiers 1, 5, 6 and 7)</w:t>
      </w:r>
    </w:p>
    <w:tbl>
      <w:tblPr>
        <w:tblpPr w:leftFromText="180" w:rightFromText="180" w:vertAnchor="page" w:horzAnchor="margin" w:tblpY="2971"/>
        <w:tblW w:w="11111" w:type="dxa"/>
        <w:tblLook w:val="04A0"/>
      </w:tblPr>
      <w:tblGrid>
        <w:gridCol w:w="661"/>
        <w:gridCol w:w="662"/>
        <w:gridCol w:w="939"/>
        <w:gridCol w:w="649"/>
        <w:gridCol w:w="939"/>
        <w:gridCol w:w="639"/>
        <w:gridCol w:w="828"/>
        <w:gridCol w:w="639"/>
        <w:gridCol w:w="661"/>
        <w:gridCol w:w="639"/>
        <w:gridCol w:w="661"/>
        <w:gridCol w:w="639"/>
        <w:gridCol w:w="661"/>
        <w:gridCol w:w="639"/>
        <w:gridCol w:w="561"/>
        <w:gridCol w:w="694"/>
      </w:tblGrid>
      <w:tr w:rsidR="006006F7" w:rsidRPr="00D553CA" w:rsidTr="009A3DEB">
        <w:trPr>
          <w:trHeight w:val="300"/>
        </w:trPr>
        <w:tc>
          <w:tcPr>
            <w:tcW w:w="11111" w:type="dxa"/>
            <w:gridSpan w:val="16"/>
            <w:tcBorders>
              <w:top w:val="single" w:sz="8" w:space="0" w:color="auto"/>
              <w:left w:val="single" w:sz="8" w:space="0" w:color="000000"/>
              <w:bottom w:val="single" w:sz="4" w:space="0" w:color="auto"/>
              <w:right w:val="single" w:sz="8" w:space="0" w:color="000000"/>
            </w:tcBorders>
            <w:shd w:val="clear" w:color="000000" w:fill="9BBB59"/>
            <w:noWrap/>
            <w:vAlign w:val="bottom"/>
            <w:hideMark/>
          </w:tcPr>
          <w:p w:rsidR="006006F7" w:rsidRPr="009B2AE9" w:rsidRDefault="006006F7" w:rsidP="009A3DEB">
            <w:pPr>
              <w:jc w:val="center"/>
              <w:rPr>
                <w:rFonts w:eastAsia="Times New Roman" w:cstheme="minorHAnsi"/>
                <w:b/>
                <w:bCs/>
                <w:color w:val="000000"/>
              </w:rPr>
            </w:pPr>
            <w:r w:rsidRPr="00D553CA">
              <w:rPr>
                <w:rFonts w:eastAsia="Times New Roman" w:cstheme="minorHAnsi"/>
                <w:b/>
                <w:bCs/>
                <w:color w:val="000000"/>
              </w:rPr>
              <w:t>V</w:t>
            </w:r>
            <w:r w:rsidRPr="009B2AE9">
              <w:rPr>
                <w:rFonts w:eastAsia="Times New Roman" w:cstheme="minorHAnsi"/>
                <w:b/>
                <w:bCs/>
                <w:color w:val="000000"/>
              </w:rPr>
              <w:t>ariability</w:t>
            </w:r>
            <w:r w:rsidRPr="00D553CA">
              <w:rPr>
                <w:rFonts w:eastAsia="Times New Roman" w:cstheme="minorHAnsi"/>
                <w:b/>
                <w:bCs/>
                <w:color w:val="000000"/>
              </w:rPr>
              <w:t xml:space="preserve"> of Proposed </w:t>
            </w:r>
            <w:r w:rsidRPr="009B2AE9">
              <w:rPr>
                <w:rFonts w:eastAsia="Times New Roman" w:cstheme="minorHAnsi"/>
                <w:b/>
                <w:bCs/>
                <w:color w:val="000000"/>
              </w:rPr>
              <w:t xml:space="preserve">Registration </w:t>
            </w:r>
            <w:r w:rsidRPr="00D553CA">
              <w:rPr>
                <w:rFonts w:eastAsia="Times New Roman" w:cstheme="minorHAnsi"/>
                <w:b/>
                <w:bCs/>
                <w:color w:val="000000"/>
              </w:rPr>
              <w:t>Fees</w:t>
            </w:r>
          </w:p>
          <w:p w:rsidR="006006F7" w:rsidRPr="009B2AE9" w:rsidRDefault="006006F7" w:rsidP="009A3DEB">
            <w:pPr>
              <w:jc w:val="center"/>
              <w:rPr>
                <w:rFonts w:eastAsia="Times New Roman" w:cstheme="minorHAnsi"/>
                <w:color w:val="000000"/>
                <w:sz w:val="20"/>
                <w:szCs w:val="20"/>
              </w:rPr>
            </w:pPr>
            <w:r w:rsidRPr="009B2AE9">
              <w:rPr>
                <w:rFonts w:eastAsia="Times New Roman" w:cstheme="minorHAnsi"/>
                <w:b/>
                <w:bCs/>
                <w:color w:val="000000"/>
              </w:rPr>
              <w:t>U</w:t>
            </w:r>
            <w:r w:rsidRPr="00D553CA">
              <w:rPr>
                <w:rFonts w:eastAsia="Times New Roman" w:cstheme="minorHAnsi"/>
                <w:b/>
                <w:bCs/>
                <w:color w:val="000000"/>
              </w:rPr>
              <w:t xml:space="preserve">sing </w:t>
            </w:r>
            <w:r w:rsidRPr="009B2AE9">
              <w:rPr>
                <w:rFonts w:eastAsia="Times New Roman" w:cstheme="minorHAnsi"/>
                <w:b/>
                <w:bCs/>
                <w:color w:val="000000"/>
              </w:rPr>
              <w:t>E-Cycles Manufacturer Data, 2008 - 2012</w:t>
            </w:r>
          </w:p>
        </w:tc>
      </w:tr>
      <w:tr w:rsidR="006006F7" w:rsidRPr="00D553CA" w:rsidTr="009A3DEB">
        <w:trPr>
          <w:trHeight w:val="300"/>
        </w:trPr>
        <w:tc>
          <w:tcPr>
            <w:tcW w:w="661" w:type="dxa"/>
            <w:tcBorders>
              <w:top w:val="single" w:sz="8" w:space="0" w:color="auto"/>
              <w:left w:val="single" w:sz="8" w:space="0" w:color="000000"/>
              <w:bottom w:val="single" w:sz="4" w:space="0" w:color="auto"/>
              <w:right w:val="nil"/>
            </w:tcBorders>
            <w:shd w:val="clear" w:color="000000" w:fill="9BBB59"/>
            <w:noWrap/>
            <w:vAlign w:val="bottom"/>
            <w:hideMark/>
          </w:tcPr>
          <w:p w:rsidR="006006F7" w:rsidRPr="00D553CA" w:rsidRDefault="006006F7" w:rsidP="009A3DEB">
            <w:pPr>
              <w:rPr>
                <w:rFonts w:eastAsia="Times New Roman" w:cstheme="minorHAnsi"/>
                <w:color w:val="000000"/>
                <w:sz w:val="20"/>
                <w:szCs w:val="20"/>
              </w:rPr>
            </w:pPr>
          </w:p>
        </w:tc>
        <w:tc>
          <w:tcPr>
            <w:tcW w:w="1601" w:type="dxa"/>
            <w:gridSpan w:val="2"/>
            <w:tcBorders>
              <w:top w:val="single" w:sz="8" w:space="0" w:color="auto"/>
              <w:left w:val="single" w:sz="8" w:space="0" w:color="auto"/>
              <w:bottom w:val="single" w:sz="4" w:space="0" w:color="auto"/>
              <w:right w:val="single" w:sz="8" w:space="0" w:color="000000"/>
            </w:tcBorders>
            <w:shd w:val="clear" w:color="000000" w:fill="9BBB59"/>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Tier 1</w:t>
            </w:r>
          </w:p>
        </w:tc>
        <w:tc>
          <w:tcPr>
            <w:tcW w:w="1588" w:type="dxa"/>
            <w:gridSpan w:val="2"/>
            <w:tcBorders>
              <w:top w:val="single" w:sz="8" w:space="0" w:color="auto"/>
              <w:left w:val="nil"/>
              <w:bottom w:val="single" w:sz="4" w:space="0" w:color="auto"/>
              <w:right w:val="single" w:sz="8" w:space="0" w:color="000000"/>
            </w:tcBorders>
            <w:shd w:val="clear" w:color="000000" w:fill="9BBB59"/>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Tier 2</w:t>
            </w:r>
          </w:p>
        </w:tc>
        <w:tc>
          <w:tcPr>
            <w:tcW w:w="1467" w:type="dxa"/>
            <w:gridSpan w:val="2"/>
            <w:tcBorders>
              <w:top w:val="single" w:sz="8" w:space="0" w:color="auto"/>
              <w:left w:val="nil"/>
              <w:bottom w:val="single" w:sz="4" w:space="0" w:color="auto"/>
              <w:right w:val="single" w:sz="8" w:space="0" w:color="000000"/>
            </w:tcBorders>
            <w:shd w:val="clear" w:color="000000" w:fill="9BBB59"/>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Tier 3</w:t>
            </w:r>
          </w:p>
        </w:tc>
        <w:tc>
          <w:tcPr>
            <w:tcW w:w="1300" w:type="dxa"/>
            <w:gridSpan w:val="2"/>
            <w:tcBorders>
              <w:top w:val="single" w:sz="8" w:space="0" w:color="auto"/>
              <w:left w:val="nil"/>
              <w:bottom w:val="single" w:sz="4" w:space="0" w:color="auto"/>
              <w:right w:val="single" w:sz="8" w:space="0" w:color="000000"/>
            </w:tcBorders>
            <w:shd w:val="clear" w:color="000000" w:fill="9BBB59"/>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Tier 4</w:t>
            </w:r>
          </w:p>
        </w:tc>
        <w:tc>
          <w:tcPr>
            <w:tcW w:w="1300" w:type="dxa"/>
            <w:gridSpan w:val="2"/>
            <w:tcBorders>
              <w:top w:val="single" w:sz="8" w:space="0" w:color="auto"/>
              <w:left w:val="nil"/>
              <w:bottom w:val="single" w:sz="4" w:space="0" w:color="auto"/>
              <w:right w:val="single" w:sz="8" w:space="0" w:color="000000"/>
            </w:tcBorders>
            <w:shd w:val="clear" w:color="000000" w:fill="9BBB59"/>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Tier 5</w:t>
            </w:r>
          </w:p>
        </w:tc>
        <w:tc>
          <w:tcPr>
            <w:tcW w:w="1300" w:type="dxa"/>
            <w:gridSpan w:val="2"/>
            <w:tcBorders>
              <w:top w:val="single" w:sz="8" w:space="0" w:color="auto"/>
              <w:left w:val="nil"/>
              <w:bottom w:val="single" w:sz="4" w:space="0" w:color="auto"/>
              <w:right w:val="single" w:sz="8" w:space="0" w:color="000000"/>
            </w:tcBorders>
            <w:shd w:val="clear" w:color="000000" w:fill="9BBB59"/>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Tier 6</w:t>
            </w:r>
          </w:p>
        </w:tc>
        <w:tc>
          <w:tcPr>
            <w:tcW w:w="1200" w:type="dxa"/>
            <w:gridSpan w:val="2"/>
            <w:tcBorders>
              <w:top w:val="single" w:sz="8" w:space="0" w:color="auto"/>
              <w:left w:val="nil"/>
              <w:bottom w:val="single" w:sz="4" w:space="0" w:color="auto"/>
              <w:right w:val="single" w:sz="8" w:space="0" w:color="000000"/>
            </w:tcBorders>
            <w:shd w:val="clear" w:color="000000" w:fill="9BBB59"/>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Tier 7</w:t>
            </w:r>
          </w:p>
        </w:tc>
        <w:tc>
          <w:tcPr>
            <w:tcW w:w="694" w:type="dxa"/>
            <w:tcBorders>
              <w:top w:val="single" w:sz="8" w:space="0" w:color="auto"/>
              <w:left w:val="nil"/>
              <w:bottom w:val="single" w:sz="4" w:space="0" w:color="auto"/>
              <w:right w:val="single" w:sz="8" w:space="0" w:color="000000"/>
            </w:tcBorders>
            <w:shd w:val="clear" w:color="000000" w:fill="9BBB59"/>
            <w:noWrap/>
            <w:vAlign w:val="bottom"/>
            <w:hideMark/>
          </w:tcPr>
          <w:p w:rsidR="006006F7" w:rsidRPr="00D553CA" w:rsidRDefault="006006F7" w:rsidP="009A3DEB">
            <w:pPr>
              <w:rPr>
                <w:rFonts w:eastAsia="Times New Roman" w:cstheme="minorHAnsi"/>
                <w:color w:val="000000"/>
                <w:sz w:val="20"/>
                <w:szCs w:val="20"/>
              </w:rPr>
            </w:pPr>
            <w:r w:rsidRPr="00D553CA">
              <w:rPr>
                <w:rFonts w:eastAsia="Times New Roman" w:cstheme="minorHAnsi"/>
                <w:color w:val="000000"/>
                <w:sz w:val="20"/>
                <w:szCs w:val="20"/>
              </w:rPr>
              <w:t> </w:t>
            </w:r>
          </w:p>
        </w:tc>
      </w:tr>
      <w:tr w:rsidR="006006F7" w:rsidRPr="00D553CA" w:rsidTr="009A3DEB">
        <w:trPr>
          <w:trHeight w:val="432"/>
        </w:trPr>
        <w:tc>
          <w:tcPr>
            <w:tcW w:w="661" w:type="dxa"/>
            <w:tcBorders>
              <w:top w:val="nil"/>
              <w:left w:val="single" w:sz="8" w:space="0" w:color="000000"/>
              <w:bottom w:val="single" w:sz="4" w:space="0" w:color="auto"/>
              <w:right w:val="nil"/>
            </w:tcBorders>
            <w:shd w:val="clear" w:color="000000" w:fill="9BBB59"/>
            <w:noWrap/>
            <w:vAlign w:val="bottom"/>
            <w:hideMark/>
          </w:tcPr>
          <w:p w:rsidR="006006F7" w:rsidRPr="00D553CA" w:rsidRDefault="006006F7" w:rsidP="009A3DEB">
            <w:pPr>
              <w:jc w:val="center"/>
              <w:rPr>
                <w:rFonts w:eastAsia="Times New Roman" w:cstheme="minorHAnsi"/>
                <w:b/>
                <w:bCs/>
                <w:color w:val="FFFFFF"/>
                <w:sz w:val="20"/>
                <w:szCs w:val="20"/>
              </w:rPr>
            </w:pPr>
            <w:r w:rsidRPr="00D553CA">
              <w:rPr>
                <w:rFonts w:eastAsia="Times New Roman" w:cstheme="minorHAnsi"/>
                <w:b/>
                <w:bCs/>
                <w:color w:val="FFFFFF"/>
                <w:sz w:val="20"/>
                <w:szCs w:val="20"/>
              </w:rPr>
              <w:t>Year</w:t>
            </w:r>
          </w:p>
        </w:tc>
        <w:tc>
          <w:tcPr>
            <w:tcW w:w="662" w:type="dxa"/>
            <w:tcBorders>
              <w:top w:val="nil"/>
              <w:left w:val="single" w:sz="8" w:space="0" w:color="auto"/>
              <w:bottom w:val="single" w:sz="4" w:space="0" w:color="auto"/>
              <w:right w:val="single" w:sz="4" w:space="0" w:color="auto"/>
            </w:tcBorders>
            <w:shd w:val="clear" w:color="000000" w:fill="9BBB59"/>
            <w:vAlign w:val="bottom"/>
            <w:hideMark/>
          </w:tcPr>
          <w:p w:rsidR="006006F7" w:rsidRPr="00D553CA" w:rsidRDefault="006006F7" w:rsidP="009A3DEB">
            <w:pPr>
              <w:jc w:val="center"/>
              <w:rPr>
                <w:rFonts w:eastAsia="Times New Roman" w:cstheme="minorHAnsi"/>
                <w:b/>
                <w:bCs/>
                <w:color w:val="FFFFFF"/>
                <w:sz w:val="20"/>
                <w:szCs w:val="20"/>
              </w:rPr>
            </w:pPr>
            <w:r w:rsidRPr="009B2AE9">
              <w:rPr>
                <w:rFonts w:eastAsia="Times New Roman" w:cstheme="minorHAnsi"/>
                <w:b/>
                <w:bCs/>
                <w:color w:val="FFFFFF"/>
                <w:sz w:val="20"/>
                <w:szCs w:val="20"/>
              </w:rPr>
              <w:t>Mfrs</w:t>
            </w:r>
          </w:p>
        </w:tc>
        <w:tc>
          <w:tcPr>
            <w:tcW w:w="939" w:type="dxa"/>
            <w:tcBorders>
              <w:top w:val="nil"/>
              <w:left w:val="nil"/>
              <w:bottom w:val="single" w:sz="4" w:space="0" w:color="auto"/>
              <w:right w:val="single" w:sz="8" w:space="0" w:color="auto"/>
            </w:tcBorders>
            <w:shd w:val="clear" w:color="000000" w:fill="9BBB59"/>
            <w:noWrap/>
            <w:vAlign w:val="bottom"/>
            <w:hideMark/>
          </w:tcPr>
          <w:p w:rsidR="006006F7" w:rsidRPr="00D553CA" w:rsidRDefault="006006F7" w:rsidP="009A3DEB">
            <w:pPr>
              <w:jc w:val="center"/>
              <w:rPr>
                <w:rFonts w:eastAsia="Times New Roman" w:cstheme="minorHAnsi"/>
                <w:b/>
                <w:bCs/>
                <w:color w:val="FFFFFF"/>
                <w:sz w:val="20"/>
                <w:szCs w:val="20"/>
              </w:rPr>
            </w:pPr>
            <w:r w:rsidRPr="00D553CA">
              <w:rPr>
                <w:rFonts w:eastAsia="Times New Roman" w:cstheme="minorHAnsi"/>
                <w:b/>
                <w:bCs/>
                <w:color w:val="FFFFFF"/>
                <w:sz w:val="20"/>
                <w:szCs w:val="20"/>
              </w:rPr>
              <w:t>Fee</w:t>
            </w:r>
          </w:p>
        </w:tc>
        <w:tc>
          <w:tcPr>
            <w:tcW w:w="649" w:type="dxa"/>
            <w:tcBorders>
              <w:top w:val="nil"/>
              <w:left w:val="nil"/>
              <w:bottom w:val="single" w:sz="4" w:space="0" w:color="auto"/>
              <w:right w:val="single" w:sz="4" w:space="0" w:color="auto"/>
            </w:tcBorders>
            <w:shd w:val="clear" w:color="000000" w:fill="9BBB59"/>
            <w:vAlign w:val="bottom"/>
            <w:hideMark/>
          </w:tcPr>
          <w:p w:rsidR="006006F7" w:rsidRPr="00D553CA" w:rsidRDefault="006006F7" w:rsidP="009A3DEB">
            <w:pPr>
              <w:jc w:val="center"/>
              <w:rPr>
                <w:rFonts w:eastAsia="Times New Roman" w:cstheme="minorHAnsi"/>
                <w:b/>
                <w:bCs/>
                <w:color w:val="FFFFFF"/>
                <w:sz w:val="20"/>
                <w:szCs w:val="20"/>
              </w:rPr>
            </w:pPr>
            <w:r w:rsidRPr="009B2AE9">
              <w:rPr>
                <w:rFonts w:eastAsia="Times New Roman" w:cstheme="minorHAnsi"/>
                <w:b/>
                <w:bCs/>
                <w:color w:val="FFFFFF"/>
                <w:sz w:val="20"/>
                <w:szCs w:val="20"/>
              </w:rPr>
              <w:t>Mfrs</w:t>
            </w:r>
          </w:p>
        </w:tc>
        <w:tc>
          <w:tcPr>
            <w:tcW w:w="939" w:type="dxa"/>
            <w:tcBorders>
              <w:top w:val="nil"/>
              <w:left w:val="nil"/>
              <w:bottom w:val="single" w:sz="4" w:space="0" w:color="auto"/>
              <w:right w:val="single" w:sz="8" w:space="0" w:color="auto"/>
            </w:tcBorders>
            <w:shd w:val="clear" w:color="000000" w:fill="9BBB59"/>
            <w:noWrap/>
            <w:vAlign w:val="bottom"/>
            <w:hideMark/>
          </w:tcPr>
          <w:p w:rsidR="006006F7" w:rsidRPr="00D553CA" w:rsidRDefault="006006F7" w:rsidP="009A3DEB">
            <w:pPr>
              <w:jc w:val="center"/>
              <w:rPr>
                <w:rFonts w:eastAsia="Times New Roman" w:cstheme="minorHAnsi"/>
                <w:b/>
                <w:bCs/>
                <w:color w:val="FFFFFF"/>
                <w:sz w:val="20"/>
                <w:szCs w:val="20"/>
              </w:rPr>
            </w:pPr>
            <w:r w:rsidRPr="00D553CA">
              <w:rPr>
                <w:rFonts w:eastAsia="Times New Roman" w:cstheme="minorHAnsi"/>
                <w:b/>
                <w:bCs/>
                <w:color w:val="FFFFFF"/>
                <w:sz w:val="20"/>
                <w:szCs w:val="20"/>
              </w:rPr>
              <w:t>Fee</w:t>
            </w:r>
          </w:p>
        </w:tc>
        <w:tc>
          <w:tcPr>
            <w:tcW w:w="639" w:type="dxa"/>
            <w:tcBorders>
              <w:top w:val="nil"/>
              <w:left w:val="nil"/>
              <w:bottom w:val="single" w:sz="4" w:space="0" w:color="auto"/>
              <w:right w:val="single" w:sz="4" w:space="0" w:color="auto"/>
            </w:tcBorders>
            <w:shd w:val="clear" w:color="000000" w:fill="9BBB59"/>
            <w:vAlign w:val="bottom"/>
            <w:hideMark/>
          </w:tcPr>
          <w:p w:rsidR="006006F7" w:rsidRPr="00D553CA" w:rsidRDefault="006006F7" w:rsidP="009A3DEB">
            <w:pPr>
              <w:jc w:val="center"/>
              <w:rPr>
                <w:rFonts w:eastAsia="Times New Roman" w:cstheme="minorHAnsi"/>
                <w:b/>
                <w:bCs/>
                <w:color w:val="FFFFFF"/>
                <w:sz w:val="20"/>
                <w:szCs w:val="20"/>
              </w:rPr>
            </w:pPr>
            <w:r w:rsidRPr="009B2AE9">
              <w:rPr>
                <w:rFonts w:eastAsia="Times New Roman" w:cstheme="minorHAnsi"/>
                <w:b/>
                <w:bCs/>
                <w:color w:val="FFFFFF"/>
                <w:sz w:val="20"/>
                <w:szCs w:val="20"/>
              </w:rPr>
              <w:t>Mfrs</w:t>
            </w:r>
          </w:p>
        </w:tc>
        <w:tc>
          <w:tcPr>
            <w:tcW w:w="828" w:type="dxa"/>
            <w:tcBorders>
              <w:top w:val="nil"/>
              <w:left w:val="nil"/>
              <w:bottom w:val="single" w:sz="4" w:space="0" w:color="auto"/>
              <w:right w:val="single" w:sz="8" w:space="0" w:color="auto"/>
            </w:tcBorders>
            <w:shd w:val="clear" w:color="000000" w:fill="9BBB59"/>
            <w:noWrap/>
            <w:vAlign w:val="bottom"/>
            <w:hideMark/>
          </w:tcPr>
          <w:p w:rsidR="006006F7" w:rsidRPr="00D553CA" w:rsidRDefault="006006F7" w:rsidP="009A3DEB">
            <w:pPr>
              <w:jc w:val="center"/>
              <w:rPr>
                <w:rFonts w:eastAsia="Times New Roman" w:cstheme="minorHAnsi"/>
                <w:b/>
                <w:bCs/>
                <w:color w:val="FFFFFF"/>
                <w:sz w:val="20"/>
                <w:szCs w:val="20"/>
              </w:rPr>
            </w:pPr>
            <w:r w:rsidRPr="00D553CA">
              <w:rPr>
                <w:rFonts w:eastAsia="Times New Roman" w:cstheme="minorHAnsi"/>
                <w:b/>
                <w:bCs/>
                <w:color w:val="FFFFFF"/>
                <w:sz w:val="20"/>
                <w:szCs w:val="20"/>
              </w:rPr>
              <w:t>Fee</w:t>
            </w:r>
          </w:p>
        </w:tc>
        <w:tc>
          <w:tcPr>
            <w:tcW w:w="639" w:type="dxa"/>
            <w:tcBorders>
              <w:top w:val="nil"/>
              <w:left w:val="nil"/>
              <w:bottom w:val="single" w:sz="4" w:space="0" w:color="auto"/>
              <w:right w:val="single" w:sz="4" w:space="0" w:color="auto"/>
            </w:tcBorders>
            <w:shd w:val="clear" w:color="000000" w:fill="9BBB59"/>
            <w:vAlign w:val="bottom"/>
            <w:hideMark/>
          </w:tcPr>
          <w:p w:rsidR="006006F7" w:rsidRPr="00D553CA" w:rsidRDefault="006006F7" w:rsidP="009A3DEB">
            <w:pPr>
              <w:jc w:val="center"/>
              <w:rPr>
                <w:rFonts w:eastAsia="Times New Roman" w:cstheme="minorHAnsi"/>
                <w:b/>
                <w:bCs/>
                <w:color w:val="FFFFFF"/>
                <w:sz w:val="20"/>
                <w:szCs w:val="20"/>
              </w:rPr>
            </w:pPr>
            <w:r w:rsidRPr="009B2AE9">
              <w:rPr>
                <w:rFonts w:eastAsia="Times New Roman" w:cstheme="minorHAnsi"/>
                <w:b/>
                <w:bCs/>
                <w:color w:val="FFFFFF"/>
                <w:sz w:val="20"/>
                <w:szCs w:val="20"/>
              </w:rPr>
              <w:t>Mfrs</w:t>
            </w:r>
          </w:p>
        </w:tc>
        <w:tc>
          <w:tcPr>
            <w:tcW w:w="661" w:type="dxa"/>
            <w:tcBorders>
              <w:top w:val="nil"/>
              <w:left w:val="nil"/>
              <w:bottom w:val="single" w:sz="4" w:space="0" w:color="auto"/>
              <w:right w:val="single" w:sz="8" w:space="0" w:color="auto"/>
            </w:tcBorders>
            <w:shd w:val="clear" w:color="000000" w:fill="9BBB59"/>
            <w:noWrap/>
            <w:vAlign w:val="bottom"/>
            <w:hideMark/>
          </w:tcPr>
          <w:p w:rsidR="006006F7" w:rsidRPr="00D553CA" w:rsidRDefault="006006F7" w:rsidP="009A3DEB">
            <w:pPr>
              <w:jc w:val="center"/>
              <w:rPr>
                <w:rFonts w:eastAsia="Times New Roman" w:cstheme="minorHAnsi"/>
                <w:b/>
                <w:bCs/>
                <w:color w:val="FFFFFF"/>
                <w:sz w:val="20"/>
                <w:szCs w:val="20"/>
              </w:rPr>
            </w:pPr>
            <w:r w:rsidRPr="00D553CA">
              <w:rPr>
                <w:rFonts w:eastAsia="Times New Roman" w:cstheme="minorHAnsi"/>
                <w:b/>
                <w:bCs/>
                <w:color w:val="FFFFFF"/>
                <w:sz w:val="20"/>
                <w:szCs w:val="20"/>
              </w:rPr>
              <w:t>Fee</w:t>
            </w:r>
          </w:p>
        </w:tc>
        <w:tc>
          <w:tcPr>
            <w:tcW w:w="639" w:type="dxa"/>
            <w:tcBorders>
              <w:top w:val="nil"/>
              <w:left w:val="nil"/>
              <w:bottom w:val="single" w:sz="4" w:space="0" w:color="auto"/>
              <w:right w:val="single" w:sz="4" w:space="0" w:color="auto"/>
            </w:tcBorders>
            <w:shd w:val="clear" w:color="000000" w:fill="9BBB59"/>
            <w:vAlign w:val="bottom"/>
            <w:hideMark/>
          </w:tcPr>
          <w:p w:rsidR="006006F7" w:rsidRPr="00D553CA" w:rsidRDefault="006006F7" w:rsidP="009A3DEB">
            <w:pPr>
              <w:jc w:val="center"/>
              <w:rPr>
                <w:rFonts w:eastAsia="Times New Roman" w:cstheme="minorHAnsi"/>
                <w:b/>
                <w:bCs/>
                <w:color w:val="FFFFFF"/>
                <w:sz w:val="20"/>
                <w:szCs w:val="20"/>
              </w:rPr>
            </w:pPr>
            <w:r w:rsidRPr="009B2AE9">
              <w:rPr>
                <w:rFonts w:eastAsia="Times New Roman" w:cstheme="minorHAnsi"/>
                <w:b/>
                <w:bCs/>
                <w:color w:val="FFFFFF"/>
                <w:sz w:val="20"/>
                <w:szCs w:val="20"/>
              </w:rPr>
              <w:t>Mfrs</w:t>
            </w:r>
          </w:p>
        </w:tc>
        <w:tc>
          <w:tcPr>
            <w:tcW w:w="661" w:type="dxa"/>
            <w:tcBorders>
              <w:top w:val="nil"/>
              <w:left w:val="nil"/>
              <w:bottom w:val="single" w:sz="4" w:space="0" w:color="auto"/>
              <w:right w:val="single" w:sz="8" w:space="0" w:color="auto"/>
            </w:tcBorders>
            <w:shd w:val="clear" w:color="000000" w:fill="9BBB59"/>
            <w:noWrap/>
            <w:vAlign w:val="bottom"/>
            <w:hideMark/>
          </w:tcPr>
          <w:p w:rsidR="006006F7" w:rsidRPr="00D553CA" w:rsidRDefault="006006F7" w:rsidP="009A3DEB">
            <w:pPr>
              <w:jc w:val="center"/>
              <w:rPr>
                <w:rFonts w:eastAsia="Times New Roman" w:cstheme="minorHAnsi"/>
                <w:b/>
                <w:bCs/>
                <w:color w:val="FFFFFF"/>
                <w:sz w:val="20"/>
                <w:szCs w:val="20"/>
              </w:rPr>
            </w:pPr>
            <w:r w:rsidRPr="00D553CA">
              <w:rPr>
                <w:rFonts w:eastAsia="Times New Roman" w:cstheme="minorHAnsi"/>
                <w:b/>
                <w:bCs/>
                <w:color w:val="FFFFFF"/>
                <w:sz w:val="20"/>
                <w:szCs w:val="20"/>
              </w:rPr>
              <w:t>Fee</w:t>
            </w:r>
          </w:p>
        </w:tc>
        <w:tc>
          <w:tcPr>
            <w:tcW w:w="639" w:type="dxa"/>
            <w:tcBorders>
              <w:top w:val="nil"/>
              <w:left w:val="nil"/>
              <w:bottom w:val="single" w:sz="4" w:space="0" w:color="auto"/>
              <w:right w:val="single" w:sz="4" w:space="0" w:color="auto"/>
            </w:tcBorders>
            <w:shd w:val="clear" w:color="000000" w:fill="9BBB59"/>
            <w:vAlign w:val="bottom"/>
            <w:hideMark/>
          </w:tcPr>
          <w:p w:rsidR="006006F7" w:rsidRPr="00D553CA" w:rsidRDefault="006006F7" w:rsidP="009A3DEB">
            <w:pPr>
              <w:jc w:val="center"/>
              <w:rPr>
                <w:rFonts w:eastAsia="Times New Roman" w:cstheme="minorHAnsi"/>
                <w:b/>
                <w:bCs/>
                <w:color w:val="FFFFFF"/>
                <w:sz w:val="20"/>
                <w:szCs w:val="20"/>
              </w:rPr>
            </w:pPr>
            <w:r w:rsidRPr="009B2AE9">
              <w:rPr>
                <w:rFonts w:eastAsia="Times New Roman" w:cstheme="minorHAnsi"/>
                <w:b/>
                <w:bCs/>
                <w:color w:val="FFFFFF"/>
                <w:sz w:val="20"/>
                <w:szCs w:val="20"/>
              </w:rPr>
              <w:t>Mfrs</w:t>
            </w:r>
          </w:p>
        </w:tc>
        <w:tc>
          <w:tcPr>
            <w:tcW w:w="661" w:type="dxa"/>
            <w:tcBorders>
              <w:top w:val="nil"/>
              <w:left w:val="nil"/>
              <w:bottom w:val="single" w:sz="4" w:space="0" w:color="auto"/>
              <w:right w:val="single" w:sz="8" w:space="0" w:color="auto"/>
            </w:tcBorders>
            <w:shd w:val="clear" w:color="000000" w:fill="9BBB59"/>
            <w:noWrap/>
            <w:vAlign w:val="bottom"/>
            <w:hideMark/>
          </w:tcPr>
          <w:p w:rsidR="006006F7" w:rsidRPr="00D553CA" w:rsidRDefault="006006F7" w:rsidP="009A3DEB">
            <w:pPr>
              <w:jc w:val="center"/>
              <w:rPr>
                <w:rFonts w:eastAsia="Times New Roman" w:cstheme="minorHAnsi"/>
                <w:b/>
                <w:bCs/>
                <w:color w:val="FFFFFF"/>
                <w:sz w:val="20"/>
                <w:szCs w:val="20"/>
              </w:rPr>
            </w:pPr>
            <w:r w:rsidRPr="00D553CA">
              <w:rPr>
                <w:rFonts w:eastAsia="Times New Roman" w:cstheme="minorHAnsi"/>
                <w:b/>
                <w:bCs/>
                <w:color w:val="FFFFFF"/>
                <w:sz w:val="20"/>
                <w:szCs w:val="20"/>
              </w:rPr>
              <w:t>Fee</w:t>
            </w:r>
          </w:p>
        </w:tc>
        <w:tc>
          <w:tcPr>
            <w:tcW w:w="639" w:type="dxa"/>
            <w:tcBorders>
              <w:top w:val="nil"/>
              <w:left w:val="nil"/>
              <w:bottom w:val="single" w:sz="4" w:space="0" w:color="auto"/>
              <w:right w:val="single" w:sz="4" w:space="0" w:color="auto"/>
            </w:tcBorders>
            <w:shd w:val="clear" w:color="000000" w:fill="9BBB59"/>
            <w:vAlign w:val="bottom"/>
            <w:hideMark/>
          </w:tcPr>
          <w:p w:rsidR="006006F7" w:rsidRPr="00D553CA" w:rsidRDefault="006006F7" w:rsidP="009A3DEB">
            <w:pPr>
              <w:jc w:val="center"/>
              <w:rPr>
                <w:rFonts w:eastAsia="Times New Roman" w:cstheme="minorHAnsi"/>
                <w:b/>
                <w:bCs/>
                <w:color w:val="FFFFFF"/>
                <w:sz w:val="20"/>
                <w:szCs w:val="20"/>
              </w:rPr>
            </w:pPr>
            <w:r w:rsidRPr="009B2AE9">
              <w:rPr>
                <w:rFonts w:eastAsia="Times New Roman" w:cstheme="minorHAnsi"/>
                <w:b/>
                <w:bCs/>
                <w:color w:val="FFFFFF"/>
                <w:sz w:val="20"/>
                <w:szCs w:val="20"/>
              </w:rPr>
              <w:t>Mfrs</w:t>
            </w:r>
          </w:p>
        </w:tc>
        <w:tc>
          <w:tcPr>
            <w:tcW w:w="561" w:type="dxa"/>
            <w:tcBorders>
              <w:top w:val="nil"/>
              <w:left w:val="nil"/>
              <w:bottom w:val="single" w:sz="4" w:space="0" w:color="auto"/>
              <w:right w:val="single" w:sz="8" w:space="0" w:color="auto"/>
            </w:tcBorders>
            <w:shd w:val="clear" w:color="000000" w:fill="9BBB59"/>
            <w:noWrap/>
            <w:vAlign w:val="bottom"/>
            <w:hideMark/>
          </w:tcPr>
          <w:p w:rsidR="006006F7" w:rsidRPr="00D553CA" w:rsidRDefault="006006F7" w:rsidP="009A3DEB">
            <w:pPr>
              <w:jc w:val="center"/>
              <w:rPr>
                <w:rFonts w:eastAsia="Times New Roman" w:cstheme="minorHAnsi"/>
                <w:b/>
                <w:bCs/>
                <w:color w:val="FFFFFF"/>
                <w:sz w:val="20"/>
                <w:szCs w:val="20"/>
              </w:rPr>
            </w:pPr>
            <w:r w:rsidRPr="00D553CA">
              <w:rPr>
                <w:rFonts w:eastAsia="Times New Roman" w:cstheme="minorHAnsi"/>
                <w:b/>
                <w:bCs/>
                <w:color w:val="FFFFFF"/>
                <w:sz w:val="20"/>
                <w:szCs w:val="20"/>
              </w:rPr>
              <w:t>Fee</w:t>
            </w:r>
          </w:p>
        </w:tc>
        <w:tc>
          <w:tcPr>
            <w:tcW w:w="694" w:type="dxa"/>
            <w:tcBorders>
              <w:top w:val="nil"/>
              <w:left w:val="nil"/>
              <w:bottom w:val="single" w:sz="4" w:space="0" w:color="auto"/>
              <w:right w:val="single" w:sz="8" w:space="0" w:color="000000"/>
            </w:tcBorders>
            <w:shd w:val="clear" w:color="9BBB59" w:fill="9BBB59"/>
            <w:vAlign w:val="bottom"/>
            <w:hideMark/>
          </w:tcPr>
          <w:p w:rsidR="006006F7" w:rsidRPr="00D553CA" w:rsidRDefault="006006F7" w:rsidP="009A3DEB">
            <w:pPr>
              <w:jc w:val="center"/>
              <w:rPr>
                <w:rFonts w:eastAsia="Times New Roman" w:cstheme="minorHAnsi"/>
                <w:b/>
                <w:bCs/>
                <w:color w:val="FFFFFF"/>
                <w:sz w:val="20"/>
                <w:szCs w:val="20"/>
              </w:rPr>
            </w:pPr>
            <w:r w:rsidRPr="00D553CA">
              <w:rPr>
                <w:rFonts w:eastAsia="Times New Roman" w:cstheme="minorHAnsi"/>
                <w:b/>
                <w:bCs/>
                <w:color w:val="FFFFFF"/>
                <w:sz w:val="20"/>
                <w:szCs w:val="20"/>
              </w:rPr>
              <w:t>Total Mfr</w:t>
            </w:r>
          </w:p>
        </w:tc>
      </w:tr>
      <w:tr w:rsidR="006006F7" w:rsidRPr="00D553CA" w:rsidTr="009A3DEB">
        <w:trPr>
          <w:trHeight w:val="300"/>
        </w:trPr>
        <w:tc>
          <w:tcPr>
            <w:tcW w:w="661" w:type="dxa"/>
            <w:tcBorders>
              <w:top w:val="single" w:sz="4" w:space="0" w:color="auto"/>
              <w:left w:val="single" w:sz="8" w:space="0" w:color="000000"/>
              <w:bottom w:val="single" w:sz="4" w:space="0" w:color="auto"/>
              <w:right w:val="nil"/>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2008</w:t>
            </w:r>
          </w:p>
        </w:tc>
        <w:tc>
          <w:tcPr>
            <w:tcW w:w="662"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8</w:t>
            </w:r>
          </w:p>
        </w:tc>
        <w:tc>
          <w:tcPr>
            <w:tcW w:w="939"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$30,917 </w:t>
            </w:r>
          </w:p>
        </w:tc>
        <w:tc>
          <w:tcPr>
            <w:tcW w:w="649"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14</w:t>
            </w:r>
          </w:p>
        </w:tc>
        <w:tc>
          <w:tcPr>
            <w:tcW w:w="939"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$9,717 </w:t>
            </w:r>
          </w:p>
        </w:tc>
        <w:tc>
          <w:tcPr>
            <w:tcW w:w="639"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17</w:t>
            </w:r>
          </w:p>
        </w:tc>
        <w:tc>
          <w:tcPr>
            <w:tcW w:w="82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$1,327 </w:t>
            </w:r>
          </w:p>
        </w:tc>
        <w:tc>
          <w:tcPr>
            <w:tcW w:w="639"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7</w:t>
            </w:r>
          </w:p>
        </w:tc>
        <w:tc>
          <w:tcPr>
            <w:tcW w:w="661"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$211 </w:t>
            </w:r>
          </w:p>
        </w:tc>
        <w:tc>
          <w:tcPr>
            <w:tcW w:w="639"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7</w:t>
            </w:r>
          </w:p>
        </w:tc>
        <w:tc>
          <w:tcPr>
            <w:tcW w:w="661"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$200 </w:t>
            </w:r>
          </w:p>
        </w:tc>
        <w:tc>
          <w:tcPr>
            <w:tcW w:w="639"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1</w:t>
            </w:r>
          </w:p>
        </w:tc>
        <w:tc>
          <w:tcPr>
            <w:tcW w:w="661"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$200 </w:t>
            </w:r>
          </w:p>
        </w:tc>
        <w:tc>
          <w:tcPr>
            <w:tcW w:w="639"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107</w:t>
            </w:r>
          </w:p>
        </w:tc>
        <w:tc>
          <w:tcPr>
            <w:tcW w:w="561"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$40 </w:t>
            </w:r>
          </w:p>
        </w:tc>
        <w:tc>
          <w:tcPr>
            <w:tcW w:w="694" w:type="dxa"/>
            <w:tcBorders>
              <w:top w:val="single" w:sz="4" w:space="0" w:color="auto"/>
              <w:left w:val="nil"/>
              <w:bottom w:val="single" w:sz="4" w:space="0" w:color="auto"/>
              <w:right w:val="single" w:sz="8" w:space="0" w:color="000000"/>
            </w:tcBorders>
            <w:shd w:val="clear" w:color="D8D8D8" w:fill="D8D8D8"/>
            <w:noWrap/>
            <w:vAlign w:val="bottom"/>
            <w:hideMark/>
          </w:tcPr>
          <w:p w:rsidR="006006F7" w:rsidRPr="00D553CA" w:rsidRDefault="006006F7" w:rsidP="009A3DEB">
            <w:pPr>
              <w:jc w:val="center"/>
              <w:rPr>
                <w:rFonts w:eastAsia="Times New Roman" w:cstheme="minorHAnsi"/>
                <w:color w:val="000000"/>
                <w:sz w:val="20"/>
                <w:szCs w:val="20"/>
              </w:rPr>
            </w:pPr>
            <w:r w:rsidRPr="00D553CA">
              <w:rPr>
                <w:rFonts w:eastAsia="Times New Roman" w:cstheme="minorHAnsi"/>
                <w:color w:val="000000"/>
                <w:sz w:val="20"/>
                <w:szCs w:val="20"/>
              </w:rPr>
              <w:t>161</w:t>
            </w:r>
          </w:p>
        </w:tc>
      </w:tr>
      <w:tr w:rsidR="006006F7" w:rsidRPr="00D553CA" w:rsidTr="009A3DEB">
        <w:trPr>
          <w:trHeight w:val="300"/>
        </w:trPr>
        <w:tc>
          <w:tcPr>
            <w:tcW w:w="661" w:type="dxa"/>
            <w:tcBorders>
              <w:top w:val="single" w:sz="4" w:space="0" w:color="auto"/>
              <w:left w:val="single" w:sz="8" w:space="0" w:color="000000"/>
              <w:bottom w:val="single" w:sz="4" w:space="0" w:color="auto"/>
              <w:right w:val="nil"/>
            </w:tcBorders>
            <w:shd w:val="clear" w:color="auto" w:fill="auto"/>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2009</w:t>
            </w:r>
          </w:p>
        </w:tc>
        <w:tc>
          <w:tcPr>
            <w:tcW w:w="662" w:type="dxa"/>
            <w:tcBorders>
              <w:top w:val="nil"/>
              <w:left w:val="single" w:sz="8" w:space="0" w:color="auto"/>
              <w:bottom w:val="single" w:sz="4" w:space="0" w:color="auto"/>
              <w:right w:val="single" w:sz="4" w:space="0" w:color="auto"/>
            </w:tcBorders>
            <w:shd w:val="clear" w:color="auto" w:fill="auto"/>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6</w:t>
            </w:r>
          </w:p>
        </w:tc>
        <w:tc>
          <w:tcPr>
            <w:tcW w:w="939" w:type="dxa"/>
            <w:tcBorders>
              <w:top w:val="nil"/>
              <w:left w:val="nil"/>
              <w:bottom w:val="single" w:sz="4" w:space="0" w:color="auto"/>
              <w:right w:val="single" w:sz="8" w:space="0" w:color="auto"/>
            </w:tcBorders>
            <w:shd w:val="clear" w:color="auto" w:fill="auto"/>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$35,000 </w:t>
            </w:r>
          </w:p>
        </w:tc>
        <w:tc>
          <w:tcPr>
            <w:tcW w:w="649" w:type="dxa"/>
            <w:tcBorders>
              <w:top w:val="nil"/>
              <w:left w:val="nil"/>
              <w:bottom w:val="single" w:sz="4" w:space="0" w:color="auto"/>
              <w:right w:val="single" w:sz="4" w:space="0" w:color="auto"/>
            </w:tcBorders>
            <w:shd w:val="clear" w:color="auto" w:fill="auto"/>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13</w:t>
            </w:r>
          </w:p>
        </w:tc>
        <w:tc>
          <w:tcPr>
            <w:tcW w:w="939" w:type="dxa"/>
            <w:tcBorders>
              <w:top w:val="nil"/>
              <w:left w:val="nil"/>
              <w:bottom w:val="single" w:sz="4" w:space="0" w:color="auto"/>
              <w:right w:val="single" w:sz="8" w:space="0" w:color="auto"/>
            </w:tcBorders>
            <w:shd w:val="clear" w:color="auto" w:fill="auto"/>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$12,678 </w:t>
            </w:r>
          </w:p>
        </w:tc>
        <w:tc>
          <w:tcPr>
            <w:tcW w:w="639" w:type="dxa"/>
            <w:tcBorders>
              <w:top w:val="nil"/>
              <w:left w:val="nil"/>
              <w:bottom w:val="single" w:sz="4" w:space="0" w:color="auto"/>
              <w:right w:val="single" w:sz="4" w:space="0" w:color="auto"/>
            </w:tcBorders>
            <w:shd w:val="clear" w:color="auto" w:fill="auto"/>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16</w:t>
            </w:r>
          </w:p>
        </w:tc>
        <w:tc>
          <w:tcPr>
            <w:tcW w:w="828" w:type="dxa"/>
            <w:tcBorders>
              <w:top w:val="nil"/>
              <w:left w:val="nil"/>
              <w:bottom w:val="single" w:sz="4" w:space="0" w:color="auto"/>
              <w:right w:val="single" w:sz="8" w:space="0" w:color="auto"/>
            </w:tcBorders>
            <w:shd w:val="clear" w:color="auto" w:fill="auto"/>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$2,073 </w:t>
            </w:r>
          </w:p>
        </w:tc>
        <w:tc>
          <w:tcPr>
            <w:tcW w:w="639" w:type="dxa"/>
            <w:tcBorders>
              <w:top w:val="nil"/>
              <w:left w:val="nil"/>
              <w:bottom w:val="single" w:sz="4" w:space="0" w:color="auto"/>
              <w:right w:val="single" w:sz="4" w:space="0" w:color="auto"/>
            </w:tcBorders>
            <w:shd w:val="clear" w:color="auto" w:fill="auto"/>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15</w:t>
            </w:r>
          </w:p>
        </w:tc>
        <w:tc>
          <w:tcPr>
            <w:tcW w:w="661" w:type="dxa"/>
            <w:tcBorders>
              <w:top w:val="nil"/>
              <w:left w:val="nil"/>
              <w:bottom w:val="single" w:sz="4" w:space="0" w:color="auto"/>
              <w:right w:val="single" w:sz="8" w:space="0" w:color="auto"/>
            </w:tcBorders>
            <w:shd w:val="clear" w:color="auto" w:fill="auto"/>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$274 </w:t>
            </w:r>
          </w:p>
        </w:tc>
        <w:tc>
          <w:tcPr>
            <w:tcW w:w="639" w:type="dxa"/>
            <w:tcBorders>
              <w:top w:val="nil"/>
              <w:left w:val="nil"/>
              <w:bottom w:val="single" w:sz="4" w:space="0" w:color="auto"/>
              <w:right w:val="single" w:sz="4" w:space="0" w:color="auto"/>
            </w:tcBorders>
            <w:shd w:val="clear" w:color="auto" w:fill="auto"/>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5</w:t>
            </w:r>
          </w:p>
        </w:tc>
        <w:tc>
          <w:tcPr>
            <w:tcW w:w="661" w:type="dxa"/>
            <w:tcBorders>
              <w:top w:val="nil"/>
              <w:left w:val="nil"/>
              <w:bottom w:val="single" w:sz="4" w:space="0" w:color="auto"/>
              <w:right w:val="single" w:sz="8" w:space="0" w:color="auto"/>
            </w:tcBorders>
            <w:shd w:val="clear" w:color="auto" w:fill="auto"/>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$200 </w:t>
            </w:r>
          </w:p>
        </w:tc>
        <w:tc>
          <w:tcPr>
            <w:tcW w:w="639" w:type="dxa"/>
            <w:tcBorders>
              <w:top w:val="nil"/>
              <w:left w:val="nil"/>
              <w:bottom w:val="single" w:sz="4" w:space="0" w:color="auto"/>
              <w:right w:val="single" w:sz="4" w:space="0" w:color="auto"/>
            </w:tcBorders>
            <w:shd w:val="clear" w:color="auto" w:fill="auto"/>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1</w:t>
            </w:r>
          </w:p>
        </w:tc>
        <w:tc>
          <w:tcPr>
            <w:tcW w:w="661" w:type="dxa"/>
            <w:tcBorders>
              <w:top w:val="nil"/>
              <w:left w:val="nil"/>
              <w:bottom w:val="single" w:sz="4" w:space="0" w:color="auto"/>
              <w:right w:val="single" w:sz="8" w:space="0" w:color="auto"/>
            </w:tcBorders>
            <w:shd w:val="clear" w:color="auto" w:fill="auto"/>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$200 </w:t>
            </w:r>
          </w:p>
        </w:tc>
        <w:tc>
          <w:tcPr>
            <w:tcW w:w="639" w:type="dxa"/>
            <w:tcBorders>
              <w:top w:val="nil"/>
              <w:left w:val="nil"/>
              <w:bottom w:val="single" w:sz="4" w:space="0" w:color="auto"/>
              <w:right w:val="single" w:sz="4" w:space="0" w:color="auto"/>
            </w:tcBorders>
            <w:shd w:val="clear" w:color="auto" w:fill="auto"/>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111</w:t>
            </w:r>
          </w:p>
        </w:tc>
        <w:tc>
          <w:tcPr>
            <w:tcW w:w="561" w:type="dxa"/>
            <w:tcBorders>
              <w:top w:val="nil"/>
              <w:left w:val="nil"/>
              <w:bottom w:val="single" w:sz="4" w:space="0" w:color="auto"/>
              <w:right w:val="single" w:sz="8" w:space="0" w:color="auto"/>
            </w:tcBorders>
            <w:shd w:val="clear" w:color="auto" w:fill="auto"/>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$40 </w:t>
            </w:r>
          </w:p>
        </w:tc>
        <w:tc>
          <w:tcPr>
            <w:tcW w:w="694" w:type="dxa"/>
            <w:tcBorders>
              <w:top w:val="single" w:sz="4" w:space="0" w:color="auto"/>
              <w:left w:val="nil"/>
              <w:bottom w:val="single" w:sz="4" w:space="0" w:color="auto"/>
              <w:right w:val="single" w:sz="8" w:space="0" w:color="000000"/>
            </w:tcBorders>
            <w:shd w:val="clear" w:color="auto" w:fill="auto"/>
            <w:noWrap/>
            <w:vAlign w:val="bottom"/>
            <w:hideMark/>
          </w:tcPr>
          <w:p w:rsidR="006006F7" w:rsidRPr="00D553CA" w:rsidRDefault="006006F7" w:rsidP="009A3DEB">
            <w:pPr>
              <w:jc w:val="center"/>
              <w:rPr>
                <w:rFonts w:eastAsia="Times New Roman" w:cstheme="minorHAnsi"/>
                <w:color w:val="000000"/>
                <w:sz w:val="20"/>
                <w:szCs w:val="20"/>
              </w:rPr>
            </w:pPr>
            <w:r w:rsidRPr="00D553CA">
              <w:rPr>
                <w:rFonts w:eastAsia="Times New Roman" w:cstheme="minorHAnsi"/>
                <w:color w:val="000000"/>
                <w:sz w:val="20"/>
                <w:szCs w:val="20"/>
              </w:rPr>
              <w:t>167</w:t>
            </w:r>
          </w:p>
        </w:tc>
      </w:tr>
      <w:tr w:rsidR="006006F7" w:rsidRPr="00D553CA" w:rsidTr="009A3DEB">
        <w:trPr>
          <w:trHeight w:val="300"/>
        </w:trPr>
        <w:tc>
          <w:tcPr>
            <w:tcW w:w="661" w:type="dxa"/>
            <w:tcBorders>
              <w:top w:val="single" w:sz="4" w:space="0" w:color="auto"/>
              <w:left w:val="single" w:sz="8" w:space="0" w:color="000000"/>
              <w:bottom w:val="single" w:sz="4" w:space="0" w:color="auto"/>
              <w:right w:val="nil"/>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2010</w:t>
            </w:r>
          </w:p>
        </w:tc>
        <w:tc>
          <w:tcPr>
            <w:tcW w:w="662"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8</w:t>
            </w:r>
          </w:p>
        </w:tc>
        <w:tc>
          <w:tcPr>
            <w:tcW w:w="939"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$35,000 </w:t>
            </w:r>
          </w:p>
        </w:tc>
        <w:tc>
          <w:tcPr>
            <w:tcW w:w="649"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8</w:t>
            </w:r>
          </w:p>
        </w:tc>
        <w:tc>
          <w:tcPr>
            <w:tcW w:w="939"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$11,937 </w:t>
            </w:r>
          </w:p>
        </w:tc>
        <w:tc>
          <w:tcPr>
            <w:tcW w:w="639"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19</w:t>
            </w:r>
          </w:p>
        </w:tc>
        <w:tc>
          <w:tcPr>
            <w:tcW w:w="82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$1,725 </w:t>
            </w:r>
          </w:p>
        </w:tc>
        <w:tc>
          <w:tcPr>
            <w:tcW w:w="639"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11</w:t>
            </w:r>
          </w:p>
        </w:tc>
        <w:tc>
          <w:tcPr>
            <w:tcW w:w="661"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$573 </w:t>
            </w:r>
          </w:p>
        </w:tc>
        <w:tc>
          <w:tcPr>
            <w:tcW w:w="639"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7</w:t>
            </w:r>
          </w:p>
        </w:tc>
        <w:tc>
          <w:tcPr>
            <w:tcW w:w="661"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$200 </w:t>
            </w:r>
          </w:p>
        </w:tc>
        <w:tc>
          <w:tcPr>
            <w:tcW w:w="639"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0</w:t>
            </w:r>
          </w:p>
        </w:tc>
        <w:tc>
          <w:tcPr>
            <w:tcW w:w="661"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6006F7" w:rsidRPr="00D553CA" w:rsidRDefault="006006F7" w:rsidP="009A3DEB">
            <w:pPr>
              <w:jc w:val="center"/>
              <w:rPr>
                <w:rFonts w:eastAsia="Times New Roman" w:cstheme="minorHAnsi"/>
                <w:sz w:val="20"/>
                <w:szCs w:val="20"/>
              </w:rPr>
            </w:pPr>
            <w:r w:rsidRPr="009B2AE9">
              <w:rPr>
                <w:rFonts w:eastAsia="Times New Roman" w:cstheme="minorHAnsi"/>
                <w:sz w:val="20"/>
                <w:szCs w:val="20"/>
              </w:rPr>
              <w:t>-</w:t>
            </w:r>
          </w:p>
        </w:tc>
        <w:tc>
          <w:tcPr>
            <w:tcW w:w="639"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108</w:t>
            </w:r>
          </w:p>
        </w:tc>
        <w:tc>
          <w:tcPr>
            <w:tcW w:w="561"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$40 </w:t>
            </w:r>
          </w:p>
        </w:tc>
        <w:tc>
          <w:tcPr>
            <w:tcW w:w="694" w:type="dxa"/>
            <w:tcBorders>
              <w:top w:val="single" w:sz="4" w:space="0" w:color="auto"/>
              <w:left w:val="nil"/>
              <w:bottom w:val="single" w:sz="4" w:space="0" w:color="auto"/>
              <w:right w:val="single" w:sz="8" w:space="0" w:color="000000"/>
            </w:tcBorders>
            <w:shd w:val="clear" w:color="D8D8D8" w:fill="D8D8D8"/>
            <w:noWrap/>
            <w:vAlign w:val="bottom"/>
            <w:hideMark/>
          </w:tcPr>
          <w:p w:rsidR="006006F7" w:rsidRPr="00D553CA" w:rsidRDefault="006006F7" w:rsidP="009A3DEB">
            <w:pPr>
              <w:jc w:val="center"/>
              <w:rPr>
                <w:rFonts w:eastAsia="Times New Roman" w:cstheme="minorHAnsi"/>
                <w:color w:val="000000"/>
                <w:sz w:val="20"/>
                <w:szCs w:val="20"/>
              </w:rPr>
            </w:pPr>
            <w:r w:rsidRPr="00D553CA">
              <w:rPr>
                <w:rFonts w:eastAsia="Times New Roman" w:cstheme="minorHAnsi"/>
                <w:color w:val="000000"/>
                <w:sz w:val="20"/>
                <w:szCs w:val="20"/>
              </w:rPr>
              <w:t>161</w:t>
            </w:r>
          </w:p>
        </w:tc>
      </w:tr>
      <w:tr w:rsidR="006006F7" w:rsidRPr="00D553CA" w:rsidTr="009A3DEB">
        <w:trPr>
          <w:trHeight w:val="300"/>
        </w:trPr>
        <w:tc>
          <w:tcPr>
            <w:tcW w:w="661" w:type="dxa"/>
            <w:tcBorders>
              <w:top w:val="single" w:sz="4" w:space="0" w:color="auto"/>
              <w:left w:val="single" w:sz="8" w:space="0" w:color="000000"/>
              <w:bottom w:val="single" w:sz="4" w:space="0" w:color="auto"/>
              <w:right w:val="nil"/>
            </w:tcBorders>
            <w:shd w:val="clear" w:color="auto" w:fill="auto"/>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2011</w:t>
            </w:r>
          </w:p>
        </w:tc>
        <w:tc>
          <w:tcPr>
            <w:tcW w:w="662" w:type="dxa"/>
            <w:tcBorders>
              <w:top w:val="nil"/>
              <w:left w:val="single" w:sz="8" w:space="0" w:color="auto"/>
              <w:bottom w:val="single" w:sz="4" w:space="0" w:color="auto"/>
              <w:right w:val="single" w:sz="4" w:space="0" w:color="auto"/>
            </w:tcBorders>
            <w:shd w:val="clear" w:color="auto" w:fill="auto"/>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9</w:t>
            </w:r>
          </w:p>
        </w:tc>
        <w:tc>
          <w:tcPr>
            <w:tcW w:w="939" w:type="dxa"/>
            <w:tcBorders>
              <w:top w:val="nil"/>
              <w:left w:val="nil"/>
              <w:bottom w:val="single" w:sz="4" w:space="0" w:color="auto"/>
              <w:right w:val="single" w:sz="8" w:space="0" w:color="auto"/>
            </w:tcBorders>
            <w:shd w:val="clear" w:color="auto" w:fill="auto"/>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$35,000 </w:t>
            </w:r>
          </w:p>
        </w:tc>
        <w:tc>
          <w:tcPr>
            <w:tcW w:w="649" w:type="dxa"/>
            <w:tcBorders>
              <w:top w:val="nil"/>
              <w:left w:val="nil"/>
              <w:bottom w:val="single" w:sz="4" w:space="0" w:color="auto"/>
              <w:right w:val="single" w:sz="4" w:space="0" w:color="auto"/>
            </w:tcBorders>
            <w:shd w:val="clear" w:color="auto" w:fill="auto"/>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5</w:t>
            </w:r>
          </w:p>
        </w:tc>
        <w:tc>
          <w:tcPr>
            <w:tcW w:w="939" w:type="dxa"/>
            <w:tcBorders>
              <w:top w:val="nil"/>
              <w:left w:val="nil"/>
              <w:bottom w:val="single" w:sz="4" w:space="0" w:color="auto"/>
              <w:right w:val="single" w:sz="8" w:space="0" w:color="auto"/>
            </w:tcBorders>
            <w:shd w:val="clear" w:color="auto" w:fill="auto"/>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$12,332 </w:t>
            </w:r>
          </w:p>
        </w:tc>
        <w:tc>
          <w:tcPr>
            <w:tcW w:w="639" w:type="dxa"/>
            <w:tcBorders>
              <w:top w:val="nil"/>
              <w:left w:val="nil"/>
              <w:bottom w:val="single" w:sz="4" w:space="0" w:color="auto"/>
              <w:right w:val="single" w:sz="4" w:space="0" w:color="auto"/>
            </w:tcBorders>
            <w:shd w:val="clear" w:color="auto" w:fill="auto"/>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15</w:t>
            </w:r>
          </w:p>
        </w:tc>
        <w:tc>
          <w:tcPr>
            <w:tcW w:w="828" w:type="dxa"/>
            <w:tcBorders>
              <w:top w:val="nil"/>
              <w:left w:val="nil"/>
              <w:bottom w:val="single" w:sz="4" w:space="0" w:color="auto"/>
              <w:right w:val="single" w:sz="8" w:space="0" w:color="auto"/>
            </w:tcBorders>
            <w:shd w:val="clear" w:color="auto" w:fill="auto"/>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$1,841 </w:t>
            </w:r>
          </w:p>
        </w:tc>
        <w:tc>
          <w:tcPr>
            <w:tcW w:w="639" w:type="dxa"/>
            <w:tcBorders>
              <w:top w:val="nil"/>
              <w:left w:val="nil"/>
              <w:bottom w:val="single" w:sz="4" w:space="0" w:color="auto"/>
              <w:right w:val="single" w:sz="4" w:space="0" w:color="auto"/>
            </w:tcBorders>
            <w:shd w:val="clear" w:color="auto" w:fill="auto"/>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8</w:t>
            </w:r>
          </w:p>
        </w:tc>
        <w:tc>
          <w:tcPr>
            <w:tcW w:w="661" w:type="dxa"/>
            <w:tcBorders>
              <w:top w:val="nil"/>
              <w:left w:val="nil"/>
              <w:bottom w:val="single" w:sz="4" w:space="0" w:color="auto"/>
              <w:right w:val="single" w:sz="8" w:space="0" w:color="auto"/>
            </w:tcBorders>
            <w:shd w:val="clear" w:color="auto" w:fill="auto"/>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$284 </w:t>
            </w:r>
          </w:p>
        </w:tc>
        <w:tc>
          <w:tcPr>
            <w:tcW w:w="639" w:type="dxa"/>
            <w:tcBorders>
              <w:top w:val="nil"/>
              <w:left w:val="nil"/>
              <w:bottom w:val="single" w:sz="4" w:space="0" w:color="auto"/>
              <w:right w:val="single" w:sz="4" w:space="0" w:color="auto"/>
            </w:tcBorders>
            <w:shd w:val="clear" w:color="auto" w:fill="auto"/>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12</w:t>
            </w:r>
          </w:p>
        </w:tc>
        <w:tc>
          <w:tcPr>
            <w:tcW w:w="661" w:type="dxa"/>
            <w:tcBorders>
              <w:top w:val="nil"/>
              <w:left w:val="nil"/>
              <w:bottom w:val="single" w:sz="4" w:space="0" w:color="auto"/>
              <w:right w:val="single" w:sz="8" w:space="0" w:color="auto"/>
            </w:tcBorders>
            <w:shd w:val="clear" w:color="auto" w:fill="auto"/>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$200 </w:t>
            </w:r>
          </w:p>
        </w:tc>
        <w:tc>
          <w:tcPr>
            <w:tcW w:w="639" w:type="dxa"/>
            <w:tcBorders>
              <w:top w:val="nil"/>
              <w:left w:val="nil"/>
              <w:bottom w:val="single" w:sz="4" w:space="0" w:color="auto"/>
              <w:right w:val="single" w:sz="4" w:space="0" w:color="auto"/>
            </w:tcBorders>
            <w:shd w:val="clear" w:color="auto" w:fill="auto"/>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2</w:t>
            </w:r>
          </w:p>
        </w:tc>
        <w:tc>
          <w:tcPr>
            <w:tcW w:w="661" w:type="dxa"/>
            <w:tcBorders>
              <w:top w:val="nil"/>
              <w:left w:val="nil"/>
              <w:bottom w:val="single" w:sz="4" w:space="0" w:color="auto"/>
              <w:right w:val="single" w:sz="8" w:space="0" w:color="auto"/>
            </w:tcBorders>
            <w:shd w:val="clear" w:color="auto" w:fill="auto"/>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$200 </w:t>
            </w:r>
          </w:p>
        </w:tc>
        <w:tc>
          <w:tcPr>
            <w:tcW w:w="639" w:type="dxa"/>
            <w:tcBorders>
              <w:top w:val="nil"/>
              <w:left w:val="nil"/>
              <w:bottom w:val="single" w:sz="4" w:space="0" w:color="auto"/>
              <w:right w:val="single" w:sz="4" w:space="0" w:color="auto"/>
            </w:tcBorders>
            <w:shd w:val="clear" w:color="auto" w:fill="auto"/>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117</w:t>
            </w:r>
          </w:p>
        </w:tc>
        <w:tc>
          <w:tcPr>
            <w:tcW w:w="561" w:type="dxa"/>
            <w:tcBorders>
              <w:top w:val="nil"/>
              <w:left w:val="nil"/>
              <w:bottom w:val="single" w:sz="4" w:space="0" w:color="auto"/>
              <w:right w:val="single" w:sz="8" w:space="0" w:color="auto"/>
            </w:tcBorders>
            <w:shd w:val="clear" w:color="auto" w:fill="auto"/>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$40 </w:t>
            </w:r>
          </w:p>
        </w:tc>
        <w:tc>
          <w:tcPr>
            <w:tcW w:w="694" w:type="dxa"/>
            <w:tcBorders>
              <w:top w:val="single" w:sz="4" w:space="0" w:color="auto"/>
              <w:left w:val="nil"/>
              <w:bottom w:val="single" w:sz="4" w:space="0" w:color="auto"/>
              <w:right w:val="single" w:sz="8" w:space="0" w:color="000000"/>
            </w:tcBorders>
            <w:shd w:val="clear" w:color="auto" w:fill="auto"/>
            <w:noWrap/>
            <w:vAlign w:val="bottom"/>
            <w:hideMark/>
          </w:tcPr>
          <w:p w:rsidR="006006F7" w:rsidRPr="00D553CA" w:rsidRDefault="006006F7" w:rsidP="009A3DEB">
            <w:pPr>
              <w:jc w:val="center"/>
              <w:rPr>
                <w:rFonts w:eastAsia="Times New Roman" w:cstheme="minorHAnsi"/>
                <w:color w:val="000000"/>
                <w:sz w:val="20"/>
                <w:szCs w:val="20"/>
              </w:rPr>
            </w:pPr>
            <w:r w:rsidRPr="00D553CA">
              <w:rPr>
                <w:rFonts w:eastAsia="Times New Roman" w:cstheme="minorHAnsi"/>
                <w:color w:val="000000"/>
                <w:sz w:val="20"/>
                <w:szCs w:val="20"/>
              </w:rPr>
              <w:t>168</w:t>
            </w:r>
          </w:p>
        </w:tc>
      </w:tr>
      <w:tr w:rsidR="006006F7" w:rsidRPr="00D553CA" w:rsidTr="009A3DEB">
        <w:trPr>
          <w:trHeight w:val="315"/>
        </w:trPr>
        <w:tc>
          <w:tcPr>
            <w:tcW w:w="661" w:type="dxa"/>
            <w:tcBorders>
              <w:top w:val="single" w:sz="4" w:space="0" w:color="auto"/>
              <w:left w:val="single" w:sz="8" w:space="0" w:color="000000"/>
              <w:bottom w:val="single" w:sz="8" w:space="0" w:color="000000"/>
              <w:right w:val="nil"/>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2012</w:t>
            </w:r>
          </w:p>
        </w:tc>
        <w:tc>
          <w:tcPr>
            <w:tcW w:w="662" w:type="dxa"/>
            <w:tcBorders>
              <w:top w:val="single" w:sz="4" w:space="0" w:color="auto"/>
              <w:left w:val="single" w:sz="8" w:space="0" w:color="auto"/>
              <w:bottom w:val="single" w:sz="8" w:space="0" w:color="000000"/>
              <w:right w:val="single" w:sz="4" w:space="0" w:color="auto"/>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6</w:t>
            </w:r>
          </w:p>
        </w:tc>
        <w:tc>
          <w:tcPr>
            <w:tcW w:w="939" w:type="dxa"/>
            <w:tcBorders>
              <w:top w:val="single" w:sz="4" w:space="0" w:color="auto"/>
              <w:left w:val="single" w:sz="4" w:space="0" w:color="auto"/>
              <w:bottom w:val="single" w:sz="8" w:space="0" w:color="000000"/>
              <w:right w:val="single" w:sz="8" w:space="0" w:color="auto"/>
            </w:tcBorders>
            <w:shd w:val="clear" w:color="D8D8D8" w:fill="D8D8D8"/>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$35,000 </w:t>
            </w:r>
          </w:p>
        </w:tc>
        <w:tc>
          <w:tcPr>
            <w:tcW w:w="649" w:type="dxa"/>
            <w:tcBorders>
              <w:top w:val="single" w:sz="4" w:space="0" w:color="auto"/>
              <w:left w:val="single" w:sz="8" w:space="0" w:color="auto"/>
              <w:bottom w:val="single" w:sz="8" w:space="0" w:color="000000"/>
              <w:right w:val="single" w:sz="4" w:space="0" w:color="auto"/>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9</w:t>
            </w:r>
          </w:p>
        </w:tc>
        <w:tc>
          <w:tcPr>
            <w:tcW w:w="939" w:type="dxa"/>
            <w:tcBorders>
              <w:top w:val="single" w:sz="4" w:space="0" w:color="auto"/>
              <w:left w:val="single" w:sz="4" w:space="0" w:color="auto"/>
              <w:bottom w:val="single" w:sz="8" w:space="0" w:color="000000"/>
              <w:right w:val="single" w:sz="8" w:space="0" w:color="auto"/>
            </w:tcBorders>
            <w:shd w:val="clear" w:color="D8D8D8" w:fill="D8D8D8"/>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$17,468 </w:t>
            </w:r>
          </w:p>
        </w:tc>
        <w:tc>
          <w:tcPr>
            <w:tcW w:w="639" w:type="dxa"/>
            <w:tcBorders>
              <w:top w:val="single" w:sz="4" w:space="0" w:color="auto"/>
              <w:left w:val="single" w:sz="8" w:space="0" w:color="auto"/>
              <w:bottom w:val="single" w:sz="8" w:space="0" w:color="000000"/>
              <w:right w:val="single" w:sz="4" w:space="0" w:color="auto"/>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19</w:t>
            </w:r>
          </w:p>
        </w:tc>
        <w:tc>
          <w:tcPr>
            <w:tcW w:w="828" w:type="dxa"/>
            <w:tcBorders>
              <w:top w:val="single" w:sz="4" w:space="0" w:color="auto"/>
              <w:left w:val="single" w:sz="4" w:space="0" w:color="auto"/>
              <w:bottom w:val="single" w:sz="8" w:space="0" w:color="000000"/>
              <w:right w:val="single" w:sz="8" w:space="0" w:color="auto"/>
            </w:tcBorders>
            <w:shd w:val="clear" w:color="D8D8D8" w:fill="D8D8D8"/>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$1,847 </w:t>
            </w:r>
          </w:p>
        </w:tc>
        <w:tc>
          <w:tcPr>
            <w:tcW w:w="639" w:type="dxa"/>
            <w:tcBorders>
              <w:top w:val="single" w:sz="4" w:space="0" w:color="auto"/>
              <w:left w:val="single" w:sz="8" w:space="0" w:color="auto"/>
              <w:bottom w:val="single" w:sz="8" w:space="0" w:color="000000"/>
              <w:right w:val="single" w:sz="4" w:space="0" w:color="auto"/>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8</w:t>
            </w:r>
          </w:p>
        </w:tc>
        <w:tc>
          <w:tcPr>
            <w:tcW w:w="661" w:type="dxa"/>
            <w:tcBorders>
              <w:top w:val="single" w:sz="4" w:space="0" w:color="auto"/>
              <w:left w:val="single" w:sz="4" w:space="0" w:color="auto"/>
              <w:bottom w:val="single" w:sz="8" w:space="0" w:color="000000"/>
              <w:right w:val="single" w:sz="8" w:space="0" w:color="auto"/>
            </w:tcBorders>
            <w:shd w:val="clear" w:color="D8D8D8" w:fill="D8D8D8"/>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$406 </w:t>
            </w:r>
          </w:p>
        </w:tc>
        <w:tc>
          <w:tcPr>
            <w:tcW w:w="639" w:type="dxa"/>
            <w:tcBorders>
              <w:top w:val="single" w:sz="4" w:space="0" w:color="auto"/>
              <w:left w:val="single" w:sz="8" w:space="0" w:color="auto"/>
              <w:bottom w:val="single" w:sz="8" w:space="0" w:color="000000"/>
              <w:right w:val="single" w:sz="4" w:space="0" w:color="auto"/>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8</w:t>
            </w:r>
          </w:p>
        </w:tc>
        <w:tc>
          <w:tcPr>
            <w:tcW w:w="661" w:type="dxa"/>
            <w:tcBorders>
              <w:top w:val="single" w:sz="4" w:space="0" w:color="auto"/>
              <w:left w:val="single" w:sz="4" w:space="0" w:color="auto"/>
              <w:bottom w:val="single" w:sz="8" w:space="0" w:color="000000"/>
              <w:right w:val="single" w:sz="8" w:space="0" w:color="auto"/>
            </w:tcBorders>
            <w:shd w:val="clear" w:color="D8D8D8" w:fill="D8D8D8"/>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$200 </w:t>
            </w:r>
          </w:p>
        </w:tc>
        <w:tc>
          <w:tcPr>
            <w:tcW w:w="639" w:type="dxa"/>
            <w:tcBorders>
              <w:top w:val="single" w:sz="4" w:space="0" w:color="auto"/>
              <w:left w:val="single" w:sz="8" w:space="0" w:color="auto"/>
              <w:bottom w:val="single" w:sz="8" w:space="0" w:color="000000"/>
              <w:right w:val="single" w:sz="4" w:space="0" w:color="auto"/>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15</w:t>
            </w:r>
          </w:p>
        </w:tc>
        <w:tc>
          <w:tcPr>
            <w:tcW w:w="661" w:type="dxa"/>
            <w:tcBorders>
              <w:top w:val="single" w:sz="4" w:space="0" w:color="auto"/>
              <w:left w:val="single" w:sz="4" w:space="0" w:color="auto"/>
              <w:bottom w:val="single" w:sz="8" w:space="0" w:color="000000"/>
              <w:right w:val="single" w:sz="8" w:space="0" w:color="auto"/>
            </w:tcBorders>
            <w:shd w:val="clear" w:color="D8D8D8" w:fill="D8D8D8"/>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$200 </w:t>
            </w:r>
          </w:p>
        </w:tc>
        <w:tc>
          <w:tcPr>
            <w:tcW w:w="639" w:type="dxa"/>
            <w:tcBorders>
              <w:top w:val="single" w:sz="4" w:space="0" w:color="auto"/>
              <w:left w:val="single" w:sz="8" w:space="0" w:color="auto"/>
              <w:bottom w:val="single" w:sz="8" w:space="0" w:color="000000"/>
              <w:right w:val="single" w:sz="4" w:space="0" w:color="auto"/>
            </w:tcBorders>
            <w:shd w:val="clear" w:color="D8D8D8" w:fill="D8D8D8"/>
            <w:noWrap/>
            <w:vAlign w:val="bottom"/>
            <w:hideMark/>
          </w:tcPr>
          <w:p w:rsidR="006006F7" w:rsidRPr="00D553CA" w:rsidRDefault="006006F7" w:rsidP="009A3DEB">
            <w:pPr>
              <w:jc w:val="center"/>
              <w:rPr>
                <w:rFonts w:eastAsia="Times New Roman" w:cstheme="minorHAnsi"/>
                <w:b/>
                <w:bCs/>
                <w:color w:val="000000"/>
                <w:sz w:val="20"/>
                <w:szCs w:val="20"/>
              </w:rPr>
            </w:pPr>
            <w:r w:rsidRPr="00D553CA">
              <w:rPr>
                <w:rFonts w:eastAsia="Times New Roman" w:cstheme="minorHAnsi"/>
                <w:b/>
                <w:bCs/>
                <w:color w:val="000000"/>
                <w:sz w:val="20"/>
                <w:szCs w:val="20"/>
              </w:rPr>
              <w:t>94</w:t>
            </w:r>
          </w:p>
        </w:tc>
        <w:tc>
          <w:tcPr>
            <w:tcW w:w="561" w:type="dxa"/>
            <w:tcBorders>
              <w:top w:val="single" w:sz="4" w:space="0" w:color="auto"/>
              <w:left w:val="single" w:sz="4" w:space="0" w:color="auto"/>
              <w:bottom w:val="single" w:sz="8" w:space="0" w:color="000000"/>
              <w:right w:val="single" w:sz="8" w:space="0" w:color="auto"/>
            </w:tcBorders>
            <w:shd w:val="clear" w:color="D8D8D8" w:fill="D8D8D8"/>
            <w:noWrap/>
            <w:vAlign w:val="bottom"/>
            <w:hideMark/>
          </w:tcPr>
          <w:p w:rsidR="006006F7" w:rsidRPr="00D553CA" w:rsidRDefault="006006F7" w:rsidP="009A3DEB">
            <w:pPr>
              <w:jc w:val="center"/>
              <w:rPr>
                <w:rFonts w:eastAsia="Times New Roman" w:cstheme="minorHAnsi"/>
                <w:sz w:val="20"/>
                <w:szCs w:val="20"/>
              </w:rPr>
            </w:pPr>
            <w:r w:rsidRPr="00D553CA">
              <w:rPr>
                <w:rFonts w:eastAsia="Times New Roman" w:cstheme="minorHAnsi"/>
                <w:sz w:val="20"/>
                <w:szCs w:val="20"/>
              </w:rPr>
              <w:t xml:space="preserve">$40 </w:t>
            </w:r>
          </w:p>
        </w:tc>
        <w:tc>
          <w:tcPr>
            <w:tcW w:w="694" w:type="dxa"/>
            <w:tcBorders>
              <w:top w:val="single" w:sz="4" w:space="0" w:color="auto"/>
              <w:left w:val="nil"/>
              <w:bottom w:val="single" w:sz="8" w:space="0" w:color="000000"/>
              <w:right w:val="single" w:sz="8" w:space="0" w:color="000000"/>
            </w:tcBorders>
            <w:shd w:val="clear" w:color="D8D8D8" w:fill="D8D8D8"/>
            <w:noWrap/>
            <w:vAlign w:val="bottom"/>
            <w:hideMark/>
          </w:tcPr>
          <w:p w:rsidR="006006F7" w:rsidRPr="00D553CA" w:rsidRDefault="006006F7" w:rsidP="009A3DEB">
            <w:pPr>
              <w:jc w:val="center"/>
              <w:rPr>
                <w:rFonts w:eastAsia="Times New Roman" w:cstheme="minorHAnsi"/>
                <w:color w:val="000000"/>
                <w:sz w:val="20"/>
                <w:szCs w:val="20"/>
              </w:rPr>
            </w:pPr>
            <w:r w:rsidRPr="00D553CA">
              <w:rPr>
                <w:rFonts w:eastAsia="Times New Roman" w:cstheme="minorHAnsi"/>
                <w:color w:val="000000"/>
                <w:sz w:val="20"/>
                <w:szCs w:val="20"/>
              </w:rPr>
              <w:t>159</w:t>
            </w:r>
          </w:p>
        </w:tc>
      </w:tr>
    </w:tbl>
    <w:p w:rsidR="002C24C1" w:rsidRDefault="002C24C1" w:rsidP="002C24C1">
      <w:pPr>
        <w:pStyle w:val="ListParagraph"/>
        <w:spacing w:after="200" w:line="276" w:lineRule="auto"/>
        <w:rPr>
          <w:i/>
        </w:rPr>
      </w:pPr>
    </w:p>
    <w:p w:rsidR="009A3DEB" w:rsidRPr="009A3DEB" w:rsidRDefault="009A3DEB" w:rsidP="009A3DEB">
      <w:pPr>
        <w:ind w:left="900"/>
        <w:rPr>
          <w:i/>
        </w:rPr>
      </w:pPr>
    </w:p>
    <w:p w:rsidR="002C24C1" w:rsidRDefault="002C24C1" w:rsidP="009A3DEB">
      <w:pPr>
        <w:pStyle w:val="ListParagraph"/>
        <w:numPr>
          <w:ilvl w:val="1"/>
          <w:numId w:val="18"/>
        </w:numPr>
        <w:ind w:left="1170"/>
        <w:rPr>
          <w:i/>
        </w:rPr>
      </w:pPr>
      <w:r>
        <w:t>As shown, Tiers 2, 3 and 4</w:t>
      </w:r>
      <w:r w:rsidRPr="0053219B">
        <w:t xml:space="preserve"> </w:t>
      </w:r>
      <w:r>
        <w:t>have greater fluctuations in the historical fees from year to year.</w:t>
      </w:r>
    </w:p>
    <w:p w:rsidR="002C24C1" w:rsidRDefault="002C24C1" w:rsidP="002C24C1">
      <w:pPr>
        <w:pStyle w:val="ListParagraph"/>
        <w:numPr>
          <w:ilvl w:val="0"/>
          <w:numId w:val="9"/>
        </w:numPr>
        <w:ind w:left="1170"/>
      </w:pPr>
      <w:r>
        <w:t xml:space="preserve">Market consolidation does affect the volatility of fees for some manufacturers due to the 35K cap placed on the fee structure. Consolidation could result in fewer large manufacturers with greater market shares, which shifts more assessed fees in excess of the 35K cap. Excess fees then </w:t>
      </w:r>
      <w:proofErr w:type="gramStart"/>
      <w:r>
        <w:t>get</w:t>
      </w:r>
      <w:proofErr w:type="gramEnd"/>
      <w:r>
        <w:t xml:space="preserve"> distributed proportionally to lower tiers. In this case, market consolidation could result in more volatile and increased fees for lower tiers (Tiers 2-5 only). DEQ modeled a number of scenarios to evaluate the potential consolidation effects of numerous cap amounts. We considered caps </w:t>
      </w:r>
      <w:proofErr w:type="gramStart"/>
      <w:r>
        <w:t>between 20-40K</w:t>
      </w:r>
      <w:proofErr w:type="gramEnd"/>
      <w:r>
        <w:t xml:space="preserve">. Caps in the lower range showed too much volatility in fees for Tiers 2-5 in consolidation scenarios. So, a 35K cap </w:t>
      </w:r>
      <w:proofErr w:type="gramStart"/>
      <w:r>
        <w:t>was chosen</w:t>
      </w:r>
      <w:proofErr w:type="gramEnd"/>
      <w:r>
        <w:t xml:space="preserve"> as a compromise between providing an upper limit of certainty for large manufacturers while reducing the risk of high fees for Tiers 2-5. DEQ originally placed a cap on the fee structure due to comments we received about providing some level of upper fee certainty for larger manufacturers during the development of these fees.</w:t>
      </w:r>
    </w:p>
    <w:p w:rsidR="004A1220" w:rsidRPr="004A1220" w:rsidRDefault="00A74071" w:rsidP="002C24C1">
      <w:pPr>
        <w:pStyle w:val="ListParagraph"/>
        <w:numPr>
          <w:ilvl w:val="0"/>
          <w:numId w:val="9"/>
        </w:numPr>
      </w:pPr>
      <w:r>
        <w:t xml:space="preserve">In </w:t>
      </w:r>
      <w:r w:rsidR="00D5647E">
        <w:t>March</w:t>
      </w:r>
      <w:r w:rsidR="00121C4B">
        <w:t xml:space="preserve"> of each year, </w:t>
      </w:r>
      <w:r>
        <w:t xml:space="preserve">as soon as the </w:t>
      </w:r>
      <w:r w:rsidR="00224982">
        <w:t>necessary</w:t>
      </w:r>
      <w:r>
        <w:t xml:space="preserve"> market share data is available, </w:t>
      </w:r>
      <w:r w:rsidR="00121C4B">
        <w:t xml:space="preserve">DEQ makes a preliminary determination of each manufacturer’s market share and </w:t>
      </w:r>
      <w:r w:rsidR="00D5647E">
        <w:t xml:space="preserve">registration </w:t>
      </w:r>
      <w:r w:rsidR="00121C4B">
        <w:t>fee for that calendar year and notifies manufacturer</w:t>
      </w:r>
      <w:r>
        <w:t>s of those determinations.</w:t>
      </w:r>
      <w:r w:rsidR="00121C4B">
        <w:t xml:space="preserve">   Manufacturers have thirty days to request changes to </w:t>
      </w:r>
      <w:r w:rsidR="00D5647E">
        <w:t>their</w:t>
      </w:r>
      <w:r w:rsidR="00121C4B">
        <w:t xml:space="preserve"> preliminary market share and fee determinations.  </w:t>
      </w:r>
      <w:r w:rsidR="00D5647E">
        <w:t>Following</w:t>
      </w:r>
      <w:r w:rsidR="00121C4B">
        <w:t xml:space="preserve"> that </w:t>
      </w:r>
      <w:r>
        <w:t>thirty</w:t>
      </w:r>
      <w:r w:rsidR="00121C4B">
        <w:t>-day period</w:t>
      </w:r>
      <w:r w:rsidR="00D5647E">
        <w:t>,</w:t>
      </w:r>
      <w:r w:rsidR="00121C4B">
        <w:t xml:space="preserve"> DEQ </w:t>
      </w:r>
      <w:r w:rsidR="00224982">
        <w:t xml:space="preserve">evaluates any information received, </w:t>
      </w:r>
      <w:r w:rsidR="00121C4B">
        <w:t xml:space="preserve">makes final market </w:t>
      </w:r>
      <w:proofErr w:type="gramStart"/>
      <w:r w:rsidR="00121C4B">
        <w:t>share and fee determinations</w:t>
      </w:r>
      <w:proofErr w:type="gramEnd"/>
      <w:r w:rsidR="00121C4B">
        <w:t xml:space="preserve"> and notifies manufacturers</w:t>
      </w:r>
      <w:r w:rsidR="00D5647E">
        <w:t xml:space="preserve"> </w:t>
      </w:r>
      <w:r w:rsidR="00224982">
        <w:t xml:space="preserve">of those </w:t>
      </w:r>
      <w:r w:rsidR="00D5647E">
        <w:t>in May</w:t>
      </w:r>
      <w:r w:rsidR="00121C4B">
        <w:t>.  DEQ sends registration fee invoices in May</w:t>
      </w:r>
      <w:r>
        <w:t>; m</w:t>
      </w:r>
      <w:r w:rsidR="00D5647E">
        <w:t xml:space="preserve">anufacturers </w:t>
      </w:r>
      <w:r>
        <w:t>must</w:t>
      </w:r>
      <w:r w:rsidR="00D5647E">
        <w:t xml:space="preserve"> pay registrations fees by July 1</w:t>
      </w:r>
      <w:r>
        <w:t xml:space="preserve">. </w:t>
      </w:r>
      <w:r w:rsidR="00D85F3A">
        <w:t xml:space="preserve">To determine registration fees, DEQ must gather </w:t>
      </w:r>
      <w:r w:rsidR="00224982">
        <w:t xml:space="preserve">market share data from the previous year (e.g., 2011 data for 2012) or most recent four quarters.  </w:t>
      </w:r>
      <w:r>
        <w:t xml:space="preserve">DEQ requests market share information from manufacturers and purchases national market share </w:t>
      </w:r>
      <w:r w:rsidR="00224982">
        <w:t>data</w:t>
      </w:r>
      <w:r>
        <w:t xml:space="preserve"> for the previous calendar year.  </w:t>
      </w:r>
      <w:r w:rsidR="00D85F3A">
        <w:t>T</w:t>
      </w:r>
      <w:r>
        <w:t xml:space="preserve">hat data gathering </w:t>
      </w:r>
      <w:r w:rsidR="00D85F3A">
        <w:t>and analysis runs from December through</w:t>
      </w:r>
      <w:r>
        <w:t xml:space="preserve"> February or early March</w:t>
      </w:r>
      <w:r w:rsidR="00D85F3A">
        <w:t xml:space="preserve">.  </w:t>
      </w:r>
      <w:r>
        <w:t xml:space="preserve">  </w:t>
      </w:r>
    </w:p>
    <w:p w:rsidR="002C24C1" w:rsidRPr="00655D7E" w:rsidRDefault="002C24C1" w:rsidP="002C24C1"/>
    <w:p w:rsidR="002C24C1" w:rsidRPr="00173A1F" w:rsidRDefault="002C24C1" w:rsidP="002C24C1">
      <w:pPr>
        <w:pStyle w:val="ListParagraph"/>
        <w:numPr>
          <w:ilvl w:val="0"/>
          <w:numId w:val="19"/>
        </w:numPr>
        <w:rPr>
          <w:b/>
        </w:rPr>
      </w:pPr>
      <w:r w:rsidRPr="00173A1F">
        <w:rPr>
          <w:b/>
        </w:rPr>
        <w:t>Proposed allocation of fees based on market share is not fair or justifiable</w:t>
      </w:r>
      <w:r>
        <w:rPr>
          <w:b/>
        </w:rPr>
        <w:t xml:space="preserve"> </w:t>
      </w:r>
      <w:r w:rsidRPr="00173A1F">
        <w:rPr>
          <w:b/>
        </w:rPr>
        <w:t>(</w:t>
      </w:r>
      <w:r>
        <w:t>Commenters #5, 7, &amp; 8</w:t>
      </w:r>
      <w:r w:rsidRPr="007D3C35">
        <w:t>)</w:t>
      </w:r>
    </w:p>
    <w:p w:rsidR="002C24C1" w:rsidRDefault="002C24C1" w:rsidP="002C24C1">
      <w:pPr>
        <w:pStyle w:val="ListParagraph"/>
        <w:numPr>
          <w:ilvl w:val="0"/>
          <w:numId w:val="13"/>
        </w:numPr>
      </w:pPr>
      <w:r>
        <w:t>Manufacturers in all but the lowest proposed tier should pay the same fees. Sales volumes for all but those smallest manufacturers are high enough to negate the need for a graduated fee structure as proposed. (8)</w:t>
      </w:r>
    </w:p>
    <w:p w:rsidR="002C24C1" w:rsidRDefault="002C24C1" w:rsidP="002C24C1">
      <w:pPr>
        <w:pStyle w:val="ListParagraph"/>
        <w:numPr>
          <w:ilvl w:val="0"/>
          <w:numId w:val="13"/>
        </w:numPr>
      </w:pPr>
      <w:r>
        <w:t xml:space="preserve">DEQ’s costs to register a manufacturer and track its participation are the same regardless of the size of the manufacturer, so there is no financial justification for requiring mfrs with larger market shares to pay higher registration fees.  (5, 7, 8)   Given this, the proposed fee increase for top tier is unwarranted. (7)  Assigning recycling obligations to manufactures based on their respective shares of products returned for recycling appropriately reflects a manufacturer’s burden on the system – but the same rationale does not hold for registration fees.  (7)  Since manufacturers in the higher tiers [may] also have larger recycling obligations, requiring them </w:t>
      </w:r>
      <w:proofErr w:type="gramStart"/>
      <w:r>
        <w:t>to also pay</w:t>
      </w:r>
      <w:proofErr w:type="gramEnd"/>
      <w:r>
        <w:t xml:space="preserve"> higher registration fees seems punitive. (8)</w:t>
      </w:r>
    </w:p>
    <w:p w:rsidR="002C24C1" w:rsidRDefault="002C24C1" w:rsidP="002C24C1">
      <w:pPr>
        <w:pStyle w:val="ListParagraph"/>
        <w:numPr>
          <w:ilvl w:val="0"/>
          <w:numId w:val="13"/>
        </w:numPr>
      </w:pPr>
      <w:r>
        <w:t>Fee structure should not reduce fees for any manufacturer. DEQ needs to increase revenue and companies have already budgeted for those fees. (7)</w:t>
      </w:r>
    </w:p>
    <w:p w:rsidR="002C24C1" w:rsidRDefault="002C24C1" w:rsidP="002C24C1">
      <w:pPr>
        <w:ind w:left="360"/>
        <w:rPr>
          <w:b/>
        </w:rPr>
      </w:pPr>
    </w:p>
    <w:p w:rsidR="002C24C1" w:rsidRPr="00F37B5E" w:rsidRDefault="002C24C1" w:rsidP="002C24C1">
      <w:pPr>
        <w:ind w:left="360"/>
        <w:rPr>
          <w:b/>
        </w:rPr>
      </w:pPr>
      <w:r w:rsidRPr="00F37B5E">
        <w:rPr>
          <w:b/>
        </w:rPr>
        <w:t>Response:</w:t>
      </w:r>
    </w:p>
    <w:p w:rsidR="002C24C1" w:rsidRDefault="002C24C1" w:rsidP="002C24C1">
      <w:pPr>
        <w:pStyle w:val="ListParagraph"/>
        <w:numPr>
          <w:ilvl w:val="0"/>
          <w:numId w:val="7"/>
        </w:numPr>
      </w:pPr>
      <w:r>
        <w:t xml:space="preserve">DEQ’s existing fee structure </w:t>
      </w:r>
      <w:proofErr w:type="gramStart"/>
      <w:r>
        <w:t>was set</w:t>
      </w:r>
      <w:proofErr w:type="gramEnd"/>
      <w:r>
        <w:t xml:space="preserve"> by the legislature in 2007. The tiered structure establishes the concept that manufacturers with larger market shares should pay larger fees. DEQ is retaining that original legislative intent in this rulemaking by maintaining a tiered-based fee structure that recognizes the ability to pay concept. DEQ also recognizes that our costs to register a manufacturer do not vary based on the market share of a manufacturer. Thus, the proposed fee structure attempts to balance these factors. The current fee structure produces unpredictable revenue and the new fee structure </w:t>
      </w:r>
      <w:proofErr w:type="gramStart"/>
      <w:r>
        <w:t>is more closely tied</w:t>
      </w:r>
      <w:proofErr w:type="gramEnd"/>
      <w:r>
        <w:t xml:space="preserve"> to a manufacturer’s market share and total revenue need. Due to significant changes in how the fees </w:t>
      </w:r>
      <w:proofErr w:type="gramStart"/>
      <w:r>
        <w:t>are calculated</w:t>
      </w:r>
      <w:proofErr w:type="gramEnd"/>
      <w:r>
        <w:t xml:space="preserve">, some manufacturer fees may actually decrease. DEQ did examine models that either maintained or raised current fee levels for all manufacturers, but none of them </w:t>
      </w:r>
      <w:proofErr w:type="gramStart"/>
      <w:r>
        <w:t>were</w:t>
      </w:r>
      <w:proofErr w:type="gramEnd"/>
      <w:r>
        <w:t xml:space="preserve"> preferred by our advisory group.</w:t>
      </w:r>
    </w:p>
    <w:p w:rsidR="002C24C1" w:rsidRDefault="002C24C1" w:rsidP="002C24C1">
      <w:pPr>
        <w:pStyle w:val="ListParagraph"/>
        <w:numPr>
          <w:ilvl w:val="0"/>
          <w:numId w:val="7"/>
        </w:numPr>
      </w:pPr>
      <w:r>
        <w:t xml:space="preserve">Registration fees are to cover DEQ’s costs for the full range of </w:t>
      </w:r>
      <w:commentRangeStart w:id="2"/>
      <w:r>
        <w:t xml:space="preserve">functions to implement the E-Cycles </w:t>
      </w:r>
      <w:commentRangeEnd w:id="2"/>
      <w:r>
        <w:rPr>
          <w:rStyle w:val="CommentReference"/>
        </w:rPr>
        <w:commentReference w:id="2"/>
      </w:r>
      <w:r>
        <w:t>program, including registering manufacturers. DEQ agrees that its costs per manufacturer do not vary based on the market share of a manufacturer.</w:t>
      </w:r>
    </w:p>
    <w:p w:rsidR="002C24C1" w:rsidRDefault="002C24C1" w:rsidP="002C24C1">
      <w:pPr>
        <w:pStyle w:val="ListParagraph"/>
        <w:numPr>
          <w:ilvl w:val="0"/>
          <w:numId w:val="7"/>
        </w:numPr>
      </w:pPr>
      <w:r>
        <w:t xml:space="preserve">The proposed fee structure allocates fees based on market share so that all manufacturers pay roughly the same fee/unit sold in Oregon (except in the lowest tiers, which pay disproportionately more/unit). Table </w:t>
      </w:r>
      <w:proofErr w:type="gramStart"/>
      <w:r>
        <w:t>5</w:t>
      </w:r>
      <w:proofErr w:type="gramEnd"/>
      <w:r>
        <w:t xml:space="preserve"> shows the fee/unit sold under the existing fee structure. </w:t>
      </w:r>
    </w:p>
    <w:p w:rsidR="002C24C1" w:rsidRDefault="002C24C1" w:rsidP="002C24C1"/>
    <w:p w:rsidR="00D162C2" w:rsidRDefault="002C24C1" w:rsidP="00D162C2">
      <w:pPr>
        <w:ind w:left="720"/>
        <w:jc w:val="center"/>
      </w:pPr>
      <w:r>
        <w:rPr>
          <w:noProof/>
          <w:bdr w:val="single" w:sz="4" w:space="0" w:color="auto"/>
        </w:rPr>
        <w:drawing>
          <wp:inline distT="0" distB="0" distL="0" distR="0">
            <wp:extent cx="3705225" cy="18669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705225" cy="1866900"/>
                    </a:xfrm>
                    <a:prstGeom prst="rect">
                      <a:avLst/>
                    </a:prstGeom>
                    <a:noFill/>
                    <a:ln w="9525">
                      <a:noFill/>
                      <a:miter lim="800000"/>
                      <a:headEnd/>
                      <a:tailEnd/>
                    </a:ln>
                  </pic:spPr>
                </pic:pic>
              </a:graphicData>
            </a:graphic>
          </wp:inline>
        </w:drawing>
      </w:r>
    </w:p>
    <w:p w:rsidR="002C24C1" w:rsidRDefault="002C24C1" w:rsidP="002C24C1">
      <w:pPr>
        <w:ind w:left="720"/>
      </w:pPr>
    </w:p>
    <w:p w:rsidR="002C24C1" w:rsidRDefault="002C24C1" w:rsidP="00F71B53">
      <w:pPr>
        <w:pStyle w:val="ListParagraph"/>
        <w:numPr>
          <w:ilvl w:val="0"/>
          <w:numId w:val="24"/>
        </w:numPr>
      </w:pPr>
      <w:r>
        <w:t xml:space="preserve">Using this approach consistently for all tiers results </w:t>
      </w:r>
      <w:proofErr w:type="gramStart"/>
      <w:r>
        <w:t>in a decrease in fees for Tier 3 manufacturers under the proposed fee structure</w:t>
      </w:r>
      <w:proofErr w:type="gramEnd"/>
      <w:r>
        <w:t xml:space="preserve">. </w:t>
      </w:r>
      <w:r w:rsidRPr="00F71B53">
        <w:rPr>
          <w:highlight w:val="yellow"/>
        </w:rPr>
        <w:t>(Tier 3 manufacturers paid $5,000 under the current fee schedule and were in Tier 2. Their historical range fee decrease using the proposed fee structure is between $3,153 and $3,673.)T</w:t>
      </w:r>
      <w:r>
        <w:t xml:space="preserve">hose fees decrease because they have currently disproportionately higher per unit costs under the existing fee structure, as </w:t>
      </w:r>
      <w:r w:rsidRPr="00AB0E0F">
        <w:t xml:space="preserve">seen in Table </w:t>
      </w:r>
      <w:r w:rsidRPr="0072704B">
        <w:t>6</w:t>
      </w:r>
      <w:r w:rsidRPr="00AB0E0F">
        <w:t>. DEQ</w:t>
      </w:r>
      <w:r>
        <w:t xml:space="preserve"> did not use the existing fee structure as the starting point for the proposed fee structure.</w:t>
      </w:r>
    </w:p>
    <w:p w:rsidR="002C24C1" w:rsidRDefault="002C24C1" w:rsidP="002C24C1">
      <w:pPr>
        <w:ind w:left="720"/>
      </w:pPr>
    </w:p>
    <w:p w:rsidR="00D162C2" w:rsidRDefault="00D162C2" w:rsidP="00D162C2">
      <w:pPr>
        <w:ind w:left="2880"/>
        <w:jc w:val="center"/>
      </w:pPr>
    </w:p>
    <w:tbl>
      <w:tblPr>
        <w:tblW w:w="8280" w:type="dxa"/>
        <w:tblInd w:w="1908" w:type="dxa"/>
        <w:tblLook w:val="04A0"/>
      </w:tblPr>
      <w:tblGrid>
        <w:gridCol w:w="2751"/>
        <w:gridCol w:w="1367"/>
        <w:gridCol w:w="1238"/>
        <w:gridCol w:w="1484"/>
        <w:gridCol w:w="1440"/>
      </w:tblGrid>
      <w:tr w:rsidR="00CA79C1" w:rsidRPr="00CA79C1" w:rsidTr="00CA79C1">
        <w:trPr>
          <w:trHeight w:val="705"/>
        </w:trPr>
        <w:tc>
          <w:tcPr>
            <w:tcW w:w="8280" w:type="dxa"/>
            <w:gridSpan w:val="5"/>
            <w:tcBorders>
              <w:top w:val="nil"/>
              <w:left w:val="nil"/>
              <w:bottom w:val="nil"/>
              <w:right w:val="nil"/>
            </w:tcBorders>
            <w:shd w:val="clear" w:color="auto" w:fill="auto"/>
            <w:vAlign w:val="bottom"/>
            <w:hideMark/>
          </w:tcPr>
          <w:p w:rsidR="00CA79C1" w:rsidRPr="00CA79C1" w:rsidRDefault="00CA79C1" w:rsidP="00CA79C1">
            <w:pPr>
              <w:jc w:val="center"/>
              <w:rPr>
                <w:rFonts w:ascii="Calibri" w:eastAsia="Times New Roman" w:hAnsi="Calibri" w:cs="Calibri"/>
                <w:b/>
                <w:bCs/>
                <w:color w:val="000000"/>
              </w:rPr>
            </w:pPr>
            <w:r w:rsidRPr="00CA79C1">
              <w:rPr>
                <w:rFonts w:ascii="Calibri" w:eastAsia="Times New Roman" w:hAnsi="Calibri" w:cs="Calibri"/>
                <w:b/>
                <w:bCs/>
                <w:color w:val="000000"/>
              </w:rPr>
              <w:t>Average Cost/unit for existing fee structure</w:t>
            </w:r>
            <w:r w:rsidRPr="00CA79C1">
              <w:rPr>
                <w:rFonts w:ascii="Calibri" w:eastAsia="Times New Roman" w:hAnsi="Calibri" w:cs="Calibri"/>
                <w:b/>
                <w:bCs/>
                <w:color w:val="000000"/>
              </w:rPr>
              <w:br/>
              <w:t>2012 Oregon manufacturer data and tier placements*</w:t>
            </w:r>
          </w:p>
        </w:tc>
      </w:tr>
      <w:tr w:rsidR="00CA79C1" w:rsidRPr="00CA79C1" w:rsidTr="00CA79C1">
        <w:trPr>
          <w:trHeight w:val="945"/>
        </w:trPr>
        <w:tc>
          <w:tcPr>
            <w:tcW w:w="2751" w:type="dxa"/>
            <w:tcBorders>
              <w:top w:val="nil"/>
              <w:left w:val="nil"/>
              <w:bottom w:val="nil"/>
              <w:right w:val="nil"/>
            </w:tcBorders>
            <w:shd w:val="clear" w:color="auto" w:fill="92D050"/>
            <w:noWrap/>
            <w:vAlign w:val="bottom"/>
            <w:hideMark/>
          </w:tcPr>
          <w:p w:rsidR="00CA79C1" w:rsidRPr="00CA79C1" w:rsidRDefault="00D162C2" w:rsidP="00CA79C1">
            <w:pPr>
              <w:jc w:val="center"/>
              <w:rPr>
                <w:rFonts w:ascii="Calibri" w:eastAsia="Times New Roman" w:hAnsi="Calibri" w:cs="Calibri"/>
                <w:b/>
                <w:color w:val="FFFFFF" w:themeColor="background1"/>
              </w:rPr>
            </w:pPr>
            <w:r w:rsidRPr="00D162C2">
              <w:rPr>
                <w:rFonts w:ascii="Calibri" w:eastAsia="Times New Roman" w:hAnsi="Calibri" w:cs="Calibri"/>
                <w:b/>
                <w:color w:val="FFFFFF" w:themeColor="background1"/>
              </w:rPr>
              <w:t>Average Cost/ unit**</w:t>
            </w:r>
          </w:p>
        </w:tc>
        <w:tc>
          <w:tcPr>
            <w:tcW w:w="1367" w:type="dxa"/>
            <w:tcBorders>
              <w:top w:val="nil"/>
              <w:left w:val="nil"/>
              <w:bottom w:val="nil"/>
              <w:right w:val="nil"/>
            </w:tcBorders>
            <w:shd w:val="clear" w:color="auto" w:fill="92D050"/>
            <w:noWrap/>
            <w:vAlign w:val="bottom"/>
            <w:hideMark/>
          </w:tcPr>
          <w:p w:rsidR="00CA79C1" w:rsidRPr="00CA79C1" w:rsidRDefault="00D162C2" w:rsidP="00CA79C1">
            <w:pPr>
              <w:jc w:val="center"/>
              <w:rPr>
                <w:rFonts w:ascii="Calibri" w:eastAsia="Times New Roman" w:hAnsi="Calibri" w:cs="Calibri"/>
                <w:b/>
                <w:color w:val="FFFFFF" w:themeColor="background1"/>
              </w:rPr>
            </w:pPr>
            <w:r w:rsidRPr="00D162C2">
              <w:rPr>
                <w:rFonts w:ascii="Calibri" w:eastAsia="Times New Roman" w:hAnsi="Calibri" w:cs="Calibri"/>
                <w:b/>
                <w:color w:val="FFFFFF" w:themeColor="background1"/>
              </w:rPr>
              <w:t>Existing Tier</w:t>
            </w:r>
          </w:p>
        </w:tc>
        <w:tc>
          <w:tcPr>
            <w:tcW w:w="1238" w:type="dxa"/>
            <w:tcBorders>
              <w:top w:val="nil"/>
              <w:left w:val="nil"/>
              <w:bottom w:val="nil"/>
              <w:right w:val="nil"/>
            </w:tcBorders>
            <w:shd w:val="clear" w:color="auto" w:fill="92D050"/>
            <w:vAlign w:val="bottom"/>
            <w:hideMark/>
          </w:tcPr>
          <w:p w:rsidR="00CA79C1" w:rsidRPr="00CA79C1" w:rsidRDefault="00D162C2" w:rsidP="00CA79C1">
            <w:pPr>
              <w:jc w:val="center"/>
              <w:rPr>
                <w:rFonts w:ascii="Calibri" w:eastAsia="Times New Roman" w:hAnsi="Calibri" w:cs="Calibri"/>
                <w:b/>
                <w:color w:val="FFFFFF" w:themeColor="background1"/>
              </w:rPr>
            </w:pPr>
            <w:r w:rsidRPr="00D162C2">
              <w:rPr>
                <w:rFonts w:ascii="Calibri" w:eastAsia="Times New Roman" w:hAnsi="Calibri" w:cs="Calibri"/>
                <w:b/>
                <w:color w:val="FFFFFF" w:themeColor="background1"/>
              </w:rPr>
              <w:t>Existing Fee</w:t>
            </w:r>
          </w:p>
        </w:tc>
        <w:tc>
          <w:tcPr>
            <w:tcW w:w="1484" w:type="dxa"/>
            <w:tcBorders>
              <w:top w:val="nil"/>
              <w:left w:val="nil"/>
              <w:bottom w:val="nil"/>
              <w:right w:val="nil"/>
            </w:tcBorders>
            <w:shd w:val="clear" w:color="auto" w:fill="92D050"/>
            <w:vAlign w:val="bottom"/>
            <w:hideMark/>
          </w:tcPr>
          <w:p w:rsidR="00CA79C1" w:rsidRPr="00CA79C1" w:rsidRDefault="00D162C2" w:rsidP="00CA79C1">
            <w:pPr>
              <w:jc w:val="center"/>
              <w:rPr>
                <w:rFonts w:ascii="Calibri" w:eastAsia="Times New Roman" w:hAnsi="Calibri" w:cs="Calibri"/>
                <w:b/>
                <w:color w:val="FFFFFF" w:themeColor="background1"/>
              </w:rPr>
            </w:pPr>
            <w:r w:rsidRPr="00D162C2">
              <w:rPr>
                <w:rFonts w:ascii="Calibri" w:eastAsia="Times New Roman" w:hAnsi="Calibri" w:cs="Calibri"/>
                <w:b/>
                <w:color w:val="FFFFFF" w:themeColor="background1"/>
              </w:rPr>
              <w:t>Average number of units</w:t>
            </w:r>
          </w:p>
        </w:tc>
        <w:tc>
          <w:tcPr>
            <w:tcW w:w="1440" w:type="dxa"/>
            <w:tcBorders>
              <w:top w:val="nil"/>
              <w:left w:val="nil"/>
              <w:bottom w:val="nil"/>
              <w:right w:val="nil"/>
            </w:tcBorders>
            <w:shd w:val="clear" w:color="auto" w:fill="92D050"/>
            <w:vAlign w:val="bottom"/>
            <w:hideMark/>
          </w:tcPr>
          <w:p w:rsidR="00CA79C1" w:rsidRPr="00CA79C1" w:rsidRDefault="00D162C2" w:rsidP="00CA79C1">
            <w:pPr>
              <w:jc w:val="center"/>
              <w:rPr>
                <w:rFonts w:ascii="Calibri" w:eastAsia="Times New Roman" w:hAnsi="Calibri" w:cs="Calibri"/>
                <w:b/>
                <w:color w:val="FFFFFF" w:themeColor="background1"/>
              </w:rPr>
            </w:pPr>
            <w:r w:rsidRPr="00D162C2">
              <w:rPr>
                <w:rFonts w:ascii="Calibri" w:eastAsia="Times New Roman" w:hAnsi="Calibri" w:cs="Calibri"/>
                <w:b/>
                <w:color w:val="FFFFFF" w:themeColor="background1"/>
              </w:rPr>
              <w:t>Total number of Units*</w:t>
            </w:r>
          </w:p>
        </w:tc>
      </w:tr>
      <w:tr w:rsidR="00CA79C1" w:rsidRPr="00CA79C1" w:rsidTr="00CA79C1">
        <w:trPr>
          <w:trHeight w:val="300"/>
        </w:trPr>
        <w:tc>
          <w:tcPr>
            <w:tcW w:w="2751" w:type="dxa"/>
            <w:tcBorders>
              <w:top w:val="nil"/>
              <w:left w:val="nil"/>
              <w:bottom w:val="nil"/>
              <w:right w:val="nil"/>
            </w:tcBorders>
            <w:shd w:val="clear" w:color="auto" w:fill="auto"/>
            <w:noWrap/>
            <w:vAlign w:val="bottom"/>
            <w:hideMark/>
          </w:tcPr>
          <w:p w:rsidR="00CA79C1" w:rsidRPr="00CA79C1" w:rsidRDefault="00CA79C1" w:rsidP="00CA79C1">
            <w:pPr>
              <w:jc w:val="center"/>
              <w:rPr>
                <w:rFonts w:ascii="Calibri" w:eastAsia="Times New Roman" w:hAnsi="Calibri" w:cs="Calibri"/>
                <w:color w:val="000000"/>
              </w:rPr>
            </w:pPr>
            <w:r w:rsidRPr="00CA79C1">
              <w:rPr>
                <w:rFonts w:ascii="Calibri" w:eastAsia="Times New Roman" w:hAnsi="Calibri" w:cs="Calibri"/>
                <w:color w:val="000000"/>
                <w:sz w:val="22"/>
                <w:szCs w:val="22"/>
              </w:rPr>
              <w:t>$0.14</w:t>
            </w:r>
          </w:p>
        </w:tc>
        <w:tc>
          <w:tcPr>
            <w:tcW w:w="1367" w:type="dxa"/>
            <w:tcBorders>
              <w:top w:val="nil"/>
              <w:left w:val="nil"/>
              <w:bottom w:val="nil"/>
              <w:right w:val="nil"/>
            </w:tcBorders>
            <w:shd w:val="clear" w:color="auto" w:fill="auto"/>
            <w:noWrap/>
            <w:vAlign w:val="bottom"/>
            <w:hideMark/>
          </w:tcPr>
          <w:p w:rsidR="00CA79C1" w:rsidRPr="00CA79C1" w:rsidRDefault="00CA79C1" w:rsidP="00CA79C1">
            <w:pPr>
              <w:jc w:val="center"/>
              <w:rPr>
                <w:rFonts w:ascii="Calibri" w:eastAsia="Times New Roman" w:hAnsi="Calibri" w:cs="Calibri"/>
                <w:color w:val="000000"/>
              </w:rPr>
            </w:pPr>
            <w:r w:rsidRPr="00CA79C1">
              <w:rPr>
                <w:rFonts w:ascii="Calibri" w:eastAsia="Times New Roman" w:hAnsi="Calibri" w:cs="Calibri"/>
                <w:color w:val="000000"/>
                <w:sz w:val="22"/>
                <w:szCs w:val="22"/>
              </w:rPr>
              <w:t>Tier 1</w:t>
            </w:r>
          </w:p>
        </w:tc>
        <w:tc>
          <w:tcPr>
            <w:tcW w:w="1238" w:type="dxa"/>
            <w:tcBorders>
              <w:top w:val="nil"/>
              <w:left w:val="nil"/>
              <w:bottom w:val="nil"/>
              <w:right w:val="nil"/>
            </w:tcBorders>
            <w:shd w:val="clear" w:color="auto" w:fill="auto"/>
            <w:noWrap/>
            <w:vAlign w:val="bottom"/>
            <w:hideMark/>
          </w:tcPr>
          <w:p w:rsidR="00CA79C1" w:rsidRPr="00CA79C1" w:rsidRDefault="00CA79C1" w:rsidP="00CA79C1">
            <w:pPr>
              <w:jc w:val="center"/>
              <w:rPr>
                <w:rFonts w:ascii="Calibri" w:eastAsia="Times New Roman" w:hAnsi="Calibri" w:cs="Calibri"/>
                <w:color w:val="000000"/>
              </w:rPr>
            </w:pPr>
            <w:r w:rsidRPr="00CA79C1">
              <w:rPr>
                <w:rFonts w:ascii="Calibri" w:eastAsia="Times New Roman" w:hAnsi="Calibri" w:cs="Calibri"/>
                <w:color w:val="000000"/>
                <w:sz w:val="22"/>
                <w:szCs w:val="22"/>
              </w:rPr>
              <w:t>$15,000</w:t>
            </w:r>
          </w:p>
        </w:tc>
        <w:tc>
          <w:tcPr>
            <w:tcW w:w="1484" w:type="dxa"/>
            <w:tcBorders>
              <w:top w:val="nil"/>
              <w:left w:val="nil"/>
              <w:bottom w:val="nil"/>
              <w:right w:val="nil"/>
            </w:tcBorders>
            <w:shd w:val="clear" w:color="auto" w:fill="auto"/>
            <w:noWrap/>
            <w:vAlign w:val="bottom"/>
            <w:hideMark/>
          </w:tcPr>
          <w:p w:rsidR="00CA79C1" w:rsidRPr="00CA79C1" w:rsidRDefault="00CA79C1" w:rsidP="00CA79C1">
            <w:pPr>
              <w:jc w:val="center"/>
              <w:rPr>
                <w:rFonts w:ascii="Calibri" w:eastAsia="Times New Roman" w:hAnsi="Calibri" w:cs="Calibri"/>
                <w:color w:val="000000"/>
              </w:rPr>
            </w:pPr>
            <w:r w:rsidRPr="00CA79C1">
              <w:rPr>
                <w:rFonts w:ascii="Calibri" w:eastAsia="Times New Roman" w:hAnsi="Calibri" w:cs="Calibri"/>
                <w:color w:val="000000"/>
                <w:sz w:val="22"/>
                <w:szCs w:val="22"/>
              </w:rPr>
              <w:t>110,532</w:t>
            </w:r>
          </w:p>
        </w:tc>
        <w:tc>
          <w:tcPr>
            <w:tcW w:w="1440" w:type="dxa"/>
            <w:tcBorders>
              <w:top w:val="nil"/>
              <w:left w:val="nil"/>
              <w:bottom w:val="nil"/>
              <w:right w:val="nil"/>
            </w:tcBorders>
            <w:shd w:val="clear" w:color="auto" w:fill="auto"/>
            <w:noWrap/>
            <w:vAlign w:val="bottom"/>
            <w:hideMark/>
          </w:tcPr>
          <w:p w:rsidR="00CA79C1" w:rsidRPr="00CA79C1" w:rsidRDefault="00CA79C1" w:rsidP="00CA79C1">
            <w:pPr>
              <w:jc w:val="center"/>
              <w:rPr>
                <w:rFonts w:ascii="Calibri" w:eastAsia="Times New Roman" w:hAnsi="Calibri" w:cs="Calibri"/>
                <w:color w:val="000000"/>
              </w:rPr>
            </w:pPr>
            <w:r w:rsidRPr="00CA79C1">
              <w:rPr>
                <w:rFonts w:ascii="Calibri" w:eastAsia="Times New Roman" w:hAnsi="Calibri" w:cs="Calibri"/>
                <w:color w:val="000000"/>
                <w:sz w:val="22"/>
                <w:szCs w:val="22"/>
              </w:rPr>
              <w:t>1,460,096</w:t>
            </w:r>
          </w:p>
        </w:tc>
      </w:tr>
      <w:tr w:rsidR="00CA79C1" w:rsidRPr="00CA79C1" w:rsidTr="00CA79C1">
        <w:trPr>
          <w:trHeight w:val="300"/>
        </w:trPr>
        <w:tc>
          <w:tcPr>
            <w:tcW w:w="2751" w:type="dxa"/>
            <w:tcBorders>
              <w:top w:val="nil"/>
              <w:left w:val="nil"/>
              <w:bottom w:val="nil"/>
              <w:right w:val="nil"/>
            </w:tcBorders>
            <w:shd w:val="clear" w:color="auto" w:fill="auto"/>
            <w:noWrap/>
            <w:vAlign w:val="bottom"/>
            <w:hideMark/>
          </w:tcPr>
          <w:p w:rsidR="00CA79C1" w:rsidRPr="00CA79C1" w:rsidRDefault="00CA79C1" w:rsidP="00CA79C1">
            <w:pPr>
              <w:jc w:val="center"/>
              <w:rPr>
                <w:rFonts w:ascii="Calibri" w:eastAsia="Times New Roman" w:hAnsi="Calibri" w:cs="Calibri"/>
                <w:color w:val="000000"/>
              </w:rPr>
            </w:pPr>
            <w:r w:rsidRPr="00CA79C1">
              <w:rPr>
                <w:rFonts w:ascii="Calibri" w:eastAsia="Times New Roman" w:hAnsi="Calibri" w:cs="Calibri"/>
                <w:color w:val="000000"/>
                <w:sz w:val="22"/>
                <w:szCs w:val="22"/>
              </w:rPr>
              <w:t>$1.15</w:t>
            </w:r>
          </w:p>
        </w:tc>
        <w:tc>
          <w:tcPr>
            <w:tcW w:w="1367" w:type="dxa"/>
            <w:tcBorders>
              <w:top w:val="nil"/>
              <w:left w:val="nil"/>
              <w:bottom w:val="nil"/>
              <w:right w:val="nil"/>
            </w:tcBorders>
            <w:shd w:val="clear" w:color="auto" w:fill="auto"/>
            <w:noWrap/>
            <w:vAlign w:val="bottom"/>
            <w:hideMark/>
          </w:tcPr>
          <w:p w:rsidR="00CA79C1" w:rsidRPr="00CA79C1" w:rsidRDefault="00CA79C1" w:rsidP="00CA79C1">
            <w:pPr>
              <w:jc w:val="center"/>
              <w:rPr>
                <w:rFonts w:ascii="Calibri" w:eastAsia="Times New Roman" w:hAnsi="Calibri" w:cs="Calibri"/>
                <w:color w:val="000000"/>
              </w:rPr>
            </w:pPr>
            <w:r w:rsidRPr="00CA79C1">
              <w:rPr>
                <w:rFonts w:ascii="Calibri" w:eastAsia="Times New Roman" w:hAnsi="Calibri" w:cs="Calibri"/>
                <w:color w:val="000000"/>
                <w:sz w:val="22"/>
                <w:szCs w:val="22"/>
              </w:rPr>
              <w:t>Tier 2</w:t>
            </w:r>
          </w:p>
        </w:tc>
        <w:tc>
          <w:tcPr>
            <w:tcW w:w="1238" w:type="dxa"/>
            <w:tcBorders>
              <w:top w:val="nil"/>
              <w:left w:val="nil"/>
              <w:bottom w:val="nil"/>
              <w:right w:val="nil"/>
            </w:tcBorders>
            <w:shd w:val="clear" w:color="auto" w:fill="auto"/>
            <w:noWrap/>
            <w:vAlign w:val="bottom"/>
            <w:hideMark/>
          </w:tcPr>
          <w:p w:rsidR="00CA79C1" w:rsidRPr="00CA79C1" w:rsidRDefault="00CA79C1" w:rsidP="00CA79C1">
            <w:pPr>
              <w:jc w:val="center"/>
              <w:rPr>
                <w:rFonts w:ascii="Calibri" w:eastAsia="Times New Roman" w:hAnsi="Calibri" w:cs="Calibri"/>
                <w:color w:val="000000"/>
              </w:rPr>
            </w:pPr>
            <w:r w:rsidRPr="00CA79C1">
              <w:rPr>
                <w:rFonts w:ascii="Calibri" w:eastAsia="Times New Roman" w:hAnsi="Calibri" w:cs="Calibri"/>
                <w:color w:val="000000"/>
                <w:sz w:val="22"/>
                <w:szCs w:val="22"/>
              </w:rPr>
              <w:t>$5,000</w:t>
            </w:r>
          </w:p>
        </w:tc>
        <w:tc>
          <w:tcPr>
            <w:tcW w:w="1484" w:type="dxa"/>
            <w:tcBorders>
              <w:top w:val="nil"/>
              <w:left w:val="nil"/>
              <w:bottom w:val="nil"/>
              <w:right w:val="nil"/>
            </w:tcBorders>
            <w:shd w:val="clear" w:color="auto" w:fill="auto"/>
            <w:noWrap/>
            <w:vAlign w:val="bottom"/>
            <w:hideMark/>
          </w:tcPr>
          <w:p w:rsidR="00CA79C1" w:rsidRPr="00CA79C1" w:rsidRDefault="00CA79C1" w:rsidP="00CA79C1">
            <w:pPr>
              <w:jc w:val="center"/>
              <w:rPr>
                <w:rFonts w:ascii="Calibri" w:eastAsia="Times New Roman" w:hAnsi="Calibri" w:cs="Calibri"/>
                <w:color w:val="000000"/>
              </w:rPr>
            </w:pPr>
            <w:r w:rsidRPr="00CA79C1">
              <w:rPr>
                <w:rFonts w:ascii="Calibri" w:eastAsia="Times New Roman" w:hAnsi="Calibri" w:cs="Calibri"/>
                <w:color w:val="000000"/>
                <w:sz w:val="22"/>
                <w:szCs w:val="22"/>
              </w:rPr>
              <w:t>4,708</w:t>
            </w:r>
          </w:p>
        </w:tc>
        <w:tc>
          <w:tcPr>
            <w:tcW w:w="1440" w:type="dxa"/>
            <w:tcBorders>
              <w:top w:val="nil"/>
              <w:left w:val="nil"/>
              <w:bottom w:val="nil"/>
              <w:right w:val="nil"/>
            </w:tcBorders>
            <w:shd w:val="clear" w:color="auto" w:fill="auto"/>
            <w:noWrap/>
            <w:vAlign w:val="bottom"/>
            <w:hideMark/>
          </w:tcPr>
          <w:p w:rsidR="00CA79C1" w:rsidRPr="00CA79C1" w:rsidRDefault="00CA79C1" w:rsidP="00CA79C1">
            <w:pPr>
              <w:jc w:val="center"/>
              <w:rPr>
                <w:rFonts w:ascii="Calibri" w:eastAsia="Times New Roman" w:hAnsi="Calibri" w:cs="Calibri"/>
                <w:color w:val="000000"/>
              </w:rPr>
            </w:pPr>
            <w:r w:rsidRPr="00CA79C1">
              <w:rPr>
                <w:rFonts w:ascii="Calibri" w:eastAsia="Times New Roman" w:hAnsi="Calibri" w:cs="Calibri"/>
                <w:color w:val="000000"/>
                <w:sz w:val="22"/>
                <w:szCs w:val="22"/>
              </w:rPr>
              <w:t>89,444</w:t>
            </w:r>
          </w:p>
        </w:tc>
      </w:tr>
      <w:tr w:rsidR="00CA79C1" w:rsidRPr="00CA79C1" w:rsidTr="00CA79C1">
        <w:trPr>
          <w:trHeight w:val="300"/>
        </w:trPr>
        <w:tc>
          <w:tcPr>
            <w:tcW w:w="2751" w:type="dxa"/>
            <w:tcBorders>
              <w:top w:val="nil"/>
              <w:left w:val="nil"/>
              <w:bottom w:val="nil"/>
              <w:right w:val="nil"/>
            </w:tcBorders>
            <w:shd w:val="clear" w:color="auto" w:fill="auto"/>
            <w:noWrap/>
            <w:vAlign w:val="bottom"/>
            <w:hideMark/>
          </w:tcPr>
          <w:p w:rsidR="00CA79C1" w:rsidRPr="00CA79C1" w:rsidRDefault="00CA79C1" w:rsidP="00CA79C1">
            <w:pPr>
              <w:jc w:val="center"/>
              <w:rPr>
                <w:rFonts w:ascii="Calibri" w:eastAsia="Times New Roman" w:hAnsi="Calibri" w:cs="Calibri"/>
                <w:color w:val="000000"/>
              </w:rPr>
            </w:pPr>
            <w:r w:rsidRPr="00CA79C1">
              <w:rPr>
                <w:rFonts w:ascii="Calibri" w:eastAsia="Times New Roman" w:hAnsi="Calibri" w:cs="Calibri"/>
                <w:color w:val="000000"/>
                <w:sz w:val="22"/>
                <w:szCs w:val="22"/>
              </w:rPr>
              <w:t>$0.19</w:t>
            </w:r>
          </w:p>
        </w:tc>
        <w:tc>
          <w:tcPr>
            <w:tcW w:w="1367" w:type="dxa"/>
            <w:tcBorders>
              <w:top w:val="nil"/>
              <w:left w:val="nil"/>
              <w:bottom w:val="nil"/>
              <w:right w:val="nil"/>
            </w:tcBorders>
            <w:shd w:val="clear" w:color="auto" w:fill="auto"/>
            <w:noWrap/>
            <w:vAlign w:val="bottom"/>
            <w:hideMark/>
          </w:tcPr>
          <w:p w:rsidR="00CA79C1" w:rsidRPr="00CA79C1" w:rsidRDefault="00CA79C1" w:rsidP="00CA79C1">
            <w:pPr>
              <w:jc w:val="center"/>
              <w:rPr>
                <w:rFonts w:ascii="Calibri" w:eastAsia="Times New Roman" w:hAnsi="Calibri" w:cs="Calibri"/>
                <w:color w:val="000000"/>
              </w:rPr>
            </w:pPr>
            <w:r w:rsidRPr="00CA79C1">
              <w:rPr>
                <w:rFonts w:ascii="Calibri" w:eastAsia="Times New Roman" w:hAnsi="Calibri" w:cs="Calibri"/>
                <w:color w:val="000000"/>
                <w:sz w:val="22"/>
                <w:szCs w:val="22"/>
              </w:rPr>
              <w:t>Tier 3</w:t>
            </w:r>
          </w:p>
        </w:tc>
        <w:tc>
          <w:tcPr>
            <w:tcW w:w="1238" w:type="dxa"/>
            <w:tcBorders>
              <w:top w:val="nil"/>
              <w:left w:val="nil"/>
              <w:bottom w:val="nil"/>
              <w:right w:val="nil"/>
            </w:tcBorders>
            <w:shd w:val="clear" w:color="auto" w:fill="auto"/>
            <w:noWrap/>
            <w:vAlign w:val="bottom"/>
            <w:hideMark/>
          </w:tcPr>
          <w:p w:rsidR="00CA79C1" w:rsidRPr="00CA79C1" w:rsidRDefault="00CA79C1" w:rsidP="00CA79C1">
            <w:pPr>
              <w:jc w:val="center"/>
              <w:rPr>
                <w:rFonts w:ascii="Calibri" w:eastAsia="Times New Roman" w:hAnsi="Calibri" w:cs="Calibri"/>
                <w:color w:val="000000"/>
              </w:rPr>
            </w:pPr>
            <w:r w:rsidRPr="00CA79C1">
              <w:rPr>
                <w:rFonts w:ascii="Calibri" w:eastAsia="Times New Roman" w:hAnsi="Calibri" w:cs="Calibri"/>
                <w:color w:val="000000"/>
                <w:sz w:val="22"/>
                <w:szCs w:val="22"/>
              </w:rPr>
              <w:t>$200</w:t>
            </w:r>
          </w:p>
        </w:tc>
        <w:tc>
          <w:tcPr>
            <w:tcW w:w="1484" w:type="dxa"/>
            <w:tcBorders>
              <w:top w:val="nil"/>
              <w:left w:val="nil"/>
              <w:bottom w:val="nil"/>
              <w:right w:val="nil"/>
            </w:tcBorders>
            <w:shd w:val="clear" w:color="auto" w:fill="auto"/>
            <w:noWrap/>
            <w:vAlign w:val="bottom"/>
            <w:hideMark/>
          </w:tcPr>
          <w:p w:rsidR="00CA79C1" w:rsidRPr="00CA79C1" w:rsidRDefault="00CA79C1" w:rsidP="00CA79C1">
            <w:pPr>
              <w:jc w:val="center"/>
              <w:rPr>
                <w:rFonts w:ascii="Calibri" w:eastAsia="Times New Roman" w:hAnsi="Calibri" w:cs="Calibri"/>
                <w:color w:val="000000"/>
              </w:rPr>
            </w:pPr>
            <w:r w:rsidRPr="00CA79C1">
              <w:rPr>
                <w:rFonts w:ascii="Calibri" w:eastAsia="Times New Roman" w:hAnsi="Calibri" w:cs="Calibri"/>
                <w:color w:val="000000"/>
                <w:sz w:val="22"/>
                <w:szCs w:val="22"/>
              </w:rPr>
              <w:t>1,034</w:t>
            </w:r>
          </w:p>
        </w:tc>
        <w:tc>
          <w:tcPr>
            <w:tcW w:w="1440" w:type="dxa"/>
            <w:tcBorders>
              <w:top w:val="nil"/>
              <w:left w:val="nil"/>
              <w:bottom w:val="nil"/>
              <w:right w:val="nil"/>
            </w:tcBorders>
            <w:shd w:val="clear" w:color="auto" w:fill="auto"/>
            <w:noWrap/>
            <w:vAlign w:val="bottom"/>
            <w:hideMark/>
          </w:tcPr>
          <w:p w:rsidR="00CA79C1" w:rsidRPr="00CA79C1" w:rsidRDefault="00CA79C1" w:rsidP="00CA79C1">
            <w:pPr>
              <w:jc w:val="center"/>
              <w:rPr>
                <w:rFonts w:ascii="Calibri" w:eastAsia="Times New Roman" w:hAnsi="Calibri" w:cs="Calibri"/>
                <w:color w:val="000000"/>
              </w:rPr>
            </w:pPr>
            <w:r w:rsidRPr="00CA79C1">
              <w:rPr>
                <w:rFonts w:ascii="Calibri" w:eastAsia="Times New Roman" w:hAnsi="Calibri" w:cs="Calibri"/>
                <w:color w:val="000000"/>
                <w:sz w:val="22"/>
                <w:szCs w:val="22"/>
              </w:rPr>
              <w:t>10,697</w:t>
            </w:r>
          </w:p>
        </w:tc>
      </w:tr>
      <w:tr w:rsidR="00CA79C1" w:rsidRPr="00CA79C1" w:rsidTr="00CA79C1">
        <w:trPr>
          <w:trHeight w:val="300"/>
        </w:trPr>
        <w:tc>
          <w:tcPr>
            <w:tcW w:w="2751" w:type="dxa"/>
            <w:tcBorders>
              <w:top w:val="nil"/>
              <w:left w:val="nil"/>
              <w:bottom w:val="nil"/>
              <w:right w:val="nil"/>
            </w:tcBorders>
            <w:shd w:val="clear" w:color="auto" w:fill="auto"/>
            <w:noWrap/>
            <w:vAlign w:val="bottom"/>
            <w:hideMark/>
          </w:tcPr>
          <w:p w:rsidR="00CA79C1" w:rsidRPr="00CA79C1" w:rsidRDefault="00CA79C1" w:rsidP="00CA79C1">
            <w:pPr>
              <w:jc w:val="center"/>
              <w:rPr>
                <w:rFonts w:ascii="Calibri" w:eastAsia="Times New Roman" w:hAnsi="Calibri" w:cs="Calibri"/>
                <w:color w:val="000000"/>
              </w:rPr>
            </w:pPr>
            <w:r w:rsidRPr="00CA79C1">
              <w:rPr>
                <w:rFonts w:ascii="Calibri" w:eastAsia="Times New Roman" w:hAnsi="Calibri" w:cs="Calibri"/>
                <w:color w:val="000000"/>
                <w:sz w:val="22"/>
                <w:szCs w:val="22"/>
              </w:rPr>
              <w:t>$0.29</w:t>
            </w:r>
          </w:p>
        </w:tc>
        <w:tc>
          <w:tcPr>
            <w:tcW w:w="1367" w:type="dxa"/>
            <w:tcBorders>
              <w:top w:val="nil"/>
              <w:left w:val="nil"/>
              <w:bottom w:val="nil"/>
              <w:right w:val="nil"/>
            </w:tcBorders>
            <w:shd w:val="clear" w:color="auto" w:fill="auto"/>
            <w:noWrap/>
            <w:vAlign w:val="bottom"/>
            <w:hideMark/>
          </w:tcPr>
          <w:p w:rsidR="00CA79C1" w:rsidRPr="00CA79C1" w:rsidRDefault="00CA79C1" w:rsidP="00CA79C1">
            <w:pPr>
              <w:jc w:val="center"/>
              <w:rPr>
                <w:rFonts w:ascii="Calibri" w:eastAsia="Times New Roman" w:hAnsi="Calibri" w:cs="Calibri"/>
                <w:color w:val="000000"/>
              </w:rPr>
            </w:pPr>
            <w:r w:rsidRPr="00CA79C1">
              <w:rPr>
                <w:rFonts w:ascii="Calibri" w:eastAsia="Times New Roman" w:hAnsi="Calibri" w:cs="Calibri"/>
                <w:color w:val="000000"/>
                <w:sz w:val="22"/>
                <w:szCs w:val="22"/>
              </w:rPr>
              <w:t>Tier 4</w:t>
            </w:r>
          </w:p>
        </w:tc>
        <w:tc>
          <w:tcPr>
            <w:tcW w:w="1238" w:type="dxa"/>
            <w:tcBorders>
              <w:top w:val="nil"/>
              <w:left w:val="nil"/>
              <w:bottom w:val="nil"/>
              <w:right w:val="nil"/>
            </w:tcBorders>
            <w:shd w:val="clear" w:color="auto" w:fill="auto"/>
            <w:noWrap/>
            <w:vAlign w:val="bottom"/>
            <w:hideMark/>
          </w:tcPr>
          <w:p w:rsidR="00CA79C1" w:rsidRPr="00CA79C1" w:rsidRDefault="00CA79C1" w:rsidP="00CA79C1">
            <w:pPr>
              <w:jc w:val="center"/>
              <w:rPr>
                <w:rFonts w:ascii="Calibri" w:eastAsia="Times New Roman" w:hAnsi="Calibri" w:cs="Calibri"/>
                <w:color w:val="000000"/>
              </w:rPr>
            </w:pPr>
            <w:r w:rsidRPr="00CA79C1">
              <w:rPr>
                <w:rFonts w:ascii="Calibri" w:eastAsia="Times New Roman" w:hAnsi="Calibri" w:cs="Calibri"/>
                <w:color w:val="000000"/>
                <w:sz w:val="22"/>
                <w:szCs w:val="22"/>
              </w:rPr>
              <w:t>$40</w:t>
            </w:r>
          </w:p>
        </w:tc>
        <w:tc>
          <w:tcPr>
            <w:tcW w:w="1484" w:type="dxa"/>
            <w:tcBorders>
              <w:top w:val="nil"/>
              <w:left w:val="nil"/>
              <w:bottom w:val="nil"/>
              <w:right w:val="nil"/>
            </w:tcBorders>
            <w:shd w:val="clear" w:color="auto" w:fill="auto"/>
            <w:noWrap/>
            <w:vAlign w:val="bottom"/>
            <w:hideMark/>
          </w:tcPr>
          <w:p w:rsidR="00CA79C1" w:rsidRPr="00CA79C1" w:rsidRDefault="00CA79C1" w:rsidP="00CA79C1">
            <w:pPr>
              <w:jc w:val="center"/>
              <w:rPr>
                <w:rFonts w:ascii="Calibri" w:eastAsia="Times New Roman" w:hAnsi="Calibri" w:cs="Calibri"/>
                <w:color w:val="000000"/>
              </w:rPr>
            </w:pPr>
            <w:r w:rsidRPr="00CA79C1">
              <w:rPr>
                <w:rFonts w:ascii="Calibri" w:eastAsia="Times New Roman" w:hAnsi="Calibri" w:cs="Calibri"/>
                <w:color w:val="000000"/>
                <w:sz w:val="22"/>
                <w:szCs w:val="22"/>
              </w:rPr>
              <w:t>138</w:t>
            </w:r>
          </w:p>
        </w:tc>
        <w:tc>
          <w:tcPr>
            <w:tcW w:w="1440" w:type="dxa"/>
            <w:tcBorders>
              <w:top w:val="nil"/>
              <w:left w:val="nil"/>
              <w:bottom w:val="nil"/>
              <w:right w:val="nil"/>
            </w:tcBorders>
            <w:shd w:val="clear" w:color="auto" w:fill="auto"/>
            <w:noWrap/>
            <w:vAlign w:val="bottom"/>
            <w:hideMark/>
          </w:tcPr>
          <w:p w:rsidR="00CA79C1" w:rsidRPr="00CA79C1" w:rsidRDefault="00CA79C1" w:rsidP="00CA79C1">
            <w:pPr>
              <w:jc w:val="center"/>
              <w:rPr>
                <w:rFonts w:ascii="Calibri" w:eastAsia="Times New Roman" w:hAnsi="Calibri" w:cs="Calibri"/>
                <w:color w:val="000000"/>
              </w:rPr>
            </w:pPr>
            <w:r w:rsidRPr="00CA79C1">
              <w:rPr>
                <w:rFonts w:ascii="Calibri" w:eastAsia="Times New Roman" w:hAnsi="Calibri" w:cs="Calibri"/>
                <w:color w:val="000000"/>
                <w:sz w:val="22"/>
                <w:szCs w:val="22"/>
              </w:rPr>
              <w:t>1,777</w:t>
            </w:r>
          </w:p>
        </w:tc>
      </w:tr>
      <w:tr w:rsidR="00CA79C1" w:rsidRPr="00CA79C1" w:rsidTr="00CA79C1">
        <w:trPr>
          <w:trHeight w:val="300"/>
        </w:trPr>
        <w:tc>
          <w:tcPr>
            <w:tcW w:w="8280" w:type="dxa"/>
            <w:gridSpan w:val="5"/>
            <w:tcBorders>
              <w:top w:val="nil"/>
              <w:left w:val="nil"/>
              <w:bottom w:val="nil"/>
              <w:right w:val="nil"/>
            </w:tcBorders>
            <w:shd w:val="clear" w:color="auto" w:fill="auto"/>
            <w:noWrap/>
            <w:vAlign w:val="bottom"/>
            <w:hideMark/>
          </w:tcPr>
          <w:p w:rsidR="00D162C2" w:rsidRDefault="00CA79C1" w:rsidP="00D162C2">
            <w:pPr>
              <w:jc w:val="center"/>
              <w:rPr>
                <w:rFonts w:ascii="Calibri" w:eastAsia="Times New Roman" w:hAnsi="Calibri" w:cs="Calibri"/>
                <w:color w:val="000000"/>
              </w:rPr>
            </w:pPr>
            <w:r w:rsidRPr="00CA79C1">
              <w:rPr>
                <w:rFonts w:ascii="Calibri" w:eastAsia="Times New Roman" w:hAnsi="Calibri" w:cs="Calibri"/>
                <w:color w:val="000000"/>
                <w:sz w:val="22"/>
                <w:szCs w:val="22"/>
              </w:rPr>
              <w:t>* 2012 Tiers are determined using 2011 market share data for devices sold in Oregon</w:t>
            </w:r>
          </w:p>
        </w:tc>
      </w:tr>
      <w:tr w:rsidR="00CA79C1" w:rsidRPr="00CA79C1" w:rsidTr="00CA79C1">
        <w:trPr>
          <w:trHeight w:val="300"/>
        </w:trPr>
        <w:tc>
          <w:tcPr>
            <w:tcW w:w="8280" w:type="dxa"/>
            <w:gridSpan w:val="5"/>
            <w:tcBorders>
              <w:top w:val="nil"/>
              <w:left w:val="nil"/>
              <w:bottom w:val="nil"/>
              <w:right w:val="nil"/>
            </w:tcBorders>
            <w:shd w:val="clear" w:color="auto" w:fill="auto"/>
            <w:noWrap/>
            <w:vAlign w:val="bottom"/>
            <w:hideMark/>
          </w:tcPr>
          <w:p w:rsidR="00D162C2" w:rsidRDefault="00CA79C1" w:rsidP="00D162C2">
            <w:pPr>
              <w:jc w:val="center"/>
              <w:rPr>
                <w:rFonts w:ascii="Calibri" w:eastAsia="Times New Roman" w:hAnsi="Calibri" w:cs="Calibri"/>
                <w:color w:val="000000"/>
              </w:rPr>
            </w:pPr>
            <w:r w:rsidRPr="00CA79C1">
              <w:rPr>
                <w:rFonts w:ascii="Calibri" w:eastAsia="Times New Roman" w:hAnsi="Calibri" w:cs="Calibri"/>
                <w:color w:val="000000"/>
                <w:sz w:val="22"/>
                <w:szCs w:val="22"/>
              </w:rPr>
              <w:t>** cost/unit varies with total number of units sold in Oregon for each year</w:t>
            </w:r>
          </w:p>
        </w:tc>
      </w:tr>
    </w:tbl>
    <w:p w:rsidR="00D162C2" w:rsidRDefault="00D162C2" w:rsidP="00D162C2">
      <w:pPr>
        <w:ind w:left="720"/>
        <w:jc w:val="center"/>
      </w:pPr>
    </w:p>
    <w:p w:rsidR="006C2351" w:rsidRPr="00173A1F" w:rsidRDefault="006C2351" w:rsidP="006C2351">
      <w:pPr>
        <w:pStyle w:val="ListParagraph"/>
        <w:numPr>
          <w:ilvl w:val="0"/>
          <w:numId w:val="19"/>
        </w:numPr>
        <w:rPr>
          <w:b/>
        </w:rPr>
      </w:pPr>
      <w:r w:rsidRPr="00173A1F">
        <w:rPr>
          <w:b/>
        </w:rPr>
        <w:t>Proposed fee schedule is inconsistent with fee schedules in other states</w:t>
      </w:r>
      <w:r>
        <w:rPr>
          <w:b/>
        </w:rPr>
        <w:t xml:space="preserve"> </w:t>
      </w:r>
      <w:r w:rsidRPr="00173A1F">
        <w:rPr>
          <w:b/>
        </w:rPr>
        <w:t>(</w:t>
      </w:r>
      <w:r>
        <w:t>Commenter #8</w:t>
      </w:r>
      <w:r w:rsidRPr="007D3C35">
        <w:t>)</w:t>
      </w:r>
    </w:p>
    <w:p w:rsidR="006C2351" w:rsidRDefault="006C2351" w:rsidP="006C2351">
      <w:pPr>
        <w:ind w:left="360"/>
      </w:pPr>
      <w:r>
        <w:t xml:space="preserve">The fee schedule is inconsistent with the fee structures used in other states. Only WA uses a fee structure similar to </w:t>
      </w:r>
      <w:proofErr w:type="gramStart"/>
      <w:r>
        <w:t>Oregon’s</w:t>
      </w:r>
      <w:proofErr w:type="gramEnd"/>
      <w:r>
        <w:t xml:space="preserve">. All others states with electronics recycling laws that require registration fees set the fees in statute. </w:t>
      </w:r>
      <w:proofErr w:type="gramStart"/>
      <w:r>
        <w:t>Generally</w:t>
      </w:r>
      <w:proofErr w:type="gramEnd"/>
      <w:r>
        <w:t xml:space="preserve"> they are $5,000 for established programs; several states’ fees are lower. Most states allow lower fees for smaller manufacturers. Oregon’s highest fee under the existing fee structure, $15,000, is triple the $5,000 fee. (8)</w:t>
      </w:r>
    </w:p>
    <w:p w:rsidR="006C2351" w:rsidRDefault="006C2351" w:rsidP="006C2351">
      <w:pPr>
        <w:ind w:left="360"/>
        <w:rPr>
          <w:b/>
        </w:rPr>
      </w:pPr>
    </w:p>
    <w:p w:rsidR="006C2351" w:rsidRPr="00BB77CD" w:rsidRDefault="006C2351" w:rsidP="006C2351">
      <w:pPr>
        <w:ind w:left="360"/>
        <w:rPr>
          <w:b/>
        </w:rPr>
      </w:pPr>
      <w:r w:rsidRPr="00BB77CD">
        <w:rPr>
          <w:b/>
        </w:rPr>
        <w:t>Response:</w:t>
      </w:r>
    </w:p>
    <w:p w:rsidR="006C2351" w:rsidRDefault="006C2351" w:rsidP="006C2351">
      <w:pPr>
        <w:pStyle w:val="ListParagraph"/>
        <w:numPr>
          <w:ilvl w:val="0"/>
          <w:numId w:val="17"/>
        </w:numPr>
      </w:pPr>
      <w:proofErr w:type="gramStart"/>
      <w:r>
        <w:t>Oregon’s</w:t>
      </w:r>
      <w:proofErr w:type="gramEnd"/>
      <w:r>
        <w:t xml:space="preserve"> E-Cycles program needs to be self supporting using the registration fees and cannot be subsidized with other funding any longer, which is why our revenue need has to match the fees we assign.  </w:t>
      </w:r>
      <w:r w:rsidRPr="0072704B">
        <w:t xml:space="preserve">Oregon contacted </w:t>
      </w:r>
      <w:r w:rsidR="0082371F">
        <w:t>ten</w:t>
      </w:r>
      <w:r w:rsidRPr="0072704B">
        <w:t xml:space="preserve"> states</w:t>
      </w:r>
      <w:r>
        <w:t xml:space="preserve"> (roughly one third)</w:t>
      </w:r>
      <w:r w:rsidRPr="0072704B">
        <w:t xml:space="preserve"> with e-waste programs. There is a wide range of costs and services among them</w:t>
      </w:r>
      <w:r>
        <w:t>, which directly influences fee amounts</w:t>
      </w:r>
      <w:r w:rsidRPr="0072704B">
        <w:t>.</w:t>
      </w:r>
    </w:p>
    <w:p w:rsidR="006C2351" w:rsidRDefault="00401783" w:rsidP="006C2351">
      <w:pPr>
        <w:pStyle w:val="ListParagraph"/>
        <w:numPr>
          <w:ilvl w:val="0"/>
          <w:numId w:val="17"/>
        </w:numPr>
      </w:pPr>
      <w:r>
        <w:t>Seven</w:t>
      </w:r>
      <w:r w:rsidR="006C2351">
        <w:t xml:space="preserve"> of </w:t>
      </w:r>
      <w:proofErr w:type="spellStart"/>
      <w:r w:rsidR="006C2351">
        <w:t>those</w:t>
      </w:r>
      <w:r w:rsidR="006C2351" w:rsidRPr="00606DAB">
        <w:t>.</w:t>
      </w:r>
      <w:r w:rsidR="006C2351">
        <w:t>states</w:t>
      </w:r>
      <w:proofErr w:type="spellEnd"/>
      <w:r w:rsidR="006C2351">
        <w:t xml:space="preserve"> had a </w:t>
      </w:r>
      <w:r>
        <w:t>one, two or three tier</w:t>
      </w:r>
      <w:r w:rsidR="006C2351">
        <w:t xml:space="preserve"> fee schedule in the $3-</w:t>
      </w:r>
      <w:r>
        <w:t>1</w:t>
      </w:r>
      <w:r w:rsidR="006C2351">
        <w:t>5,000 range, but they do not have similar program or funding requirements as Oregon does. (</w:t>
      </w:r>
      <w:r>
        <w:t xml:space="preserve">Five </w:t>
      </w:r>
      <w:r w:rsidR="006C2351">
        <w:t>of those programs are not self supporting and use other funds and two states were just starting to manage e-waste so their total funding needs are unknown at this time.)</w:t>
      </w:r>
    </w:p>
    <w:p w:rsidR="006C2351" w:rsidRDefault="006C2351" w:rsidP="006C2351">
      <w:pPr>
        <w:pStyle w:val="ListParagraph"/>
        <w:numPr>
          <w:ilvl w:val="0"/>
          <w:numId w:val="17"/>
        </w:numPr>
      </w:pPr>
      <w:r>
        <w:t xml:space="preserve">Oregon’s proposed fee schedule is consistent to </w:t>
      </w:r>
      <w:r w:rsidR="00401783">
        <w:t>three</w:t>
      </w:r>
      <w:r>
        <w:t xml:space="preserve"> other</w:t>
      </w:r>
      <w:r w:rsidRPr="0072704B">
        <w:t xml:space="preserve"> states </w:t>
      </w:r>
      <w:r>
        <w:t>with</w:t>
      </w:r>
      <w:r w:rsidRPr="0072704B">
        <w:t xml:space="preserve"> variable fees</w:t>
      </w:r>
      <w:r>
        <w:t xml:space="preserve"> in that </w:t>
      </w:r>
      <w:r w:rsidR="00401783">
        <w:t xml:space="preserve">a total </w:t>
      </w:r>
      <w:r>
        <w:t xml:space="preserve">revenue need is determined and fees </w:t>
      </w:r>
      <w:proofErr w:type="gramStart"/>
      <w:r>
        <w:t>are allocated</w:t>
      </w:r>
      <w:proofErr w:type="gramEnd"/>
      <w:r>
        <w:t xml:space="preserve"> based on market share.</w:t>
      </w:r>
      <w:r w:rsidRPr="0072704B">
        <w:t xml:space="preserve"> </w:t>
      </w:r>
      <w:r>
        <w:t xml:space="preserve">Washington’s program is the most similar, but they do not set a cap on their fees. </w:t>
      </w:r>
      <w:r w:rsidRPr="0072704B">
        <w:t xml:space="preserve">The 2011 registration </w:t>
      </w:r>
      <w:proofErr w:type="gramStart"/>
      <w:r w:rsidRPr="0072704B">
        <w:t>fees for the top tier in Washing</w:t>
      </w:r>
      <w:r>
        <w:t>ton</w:t>
      </w:r>
      <w:r w:rsidRPr="0072704B">
        <w:t xml:space="preserve"> was</w:t>
      </w:r>
      <w:proofErr w:type="gramEnd"/>
      <w:r w:rsidRPr="0072704B">
        <w:t xml:space="preserve"> $</w:t>
      </w:r>
      <w:r w:rsidRPr="00606DAB">
        <w:t>43,721</w:t>
      </w:r>
      <w:r>
        <w:t>, nearly 25% higher than the proposed Oregon capped fee of $35,000.</w:t>
      </w:r>
    </w:p>
    <w:p w:rsidR="006C2351" w:rsidRDefault="006C2351" w:rsidP="006C2351">
      <w:pPr>
        <w:pStyle w:val="ListParagraph"/>
        <w:numPr>
          <w:ilvl w:val="0"/>
          <w:numId w:val="17"/>
        </w:numPr>
      </w:pPr>
      <w:r>
        <w:t>Oregon’s proposed fee structure has similarities and differences to the state programs contacted. However, relying on our fee analysis, the proposed structure provides consistent revenue, and provides fee certainty for most manufacturers.</w:t>
      </w:r>
    </w:p>
    <w:p w:rsidR="006C2351" w:rsidRDefault="006C2351" w:rsidP="006C2351"/>
    <w:p w:rsidR="006C2351" w:rsidRPr="00173A1F" w:rsidRDefault="006C2351" w:rsidP="006C2351">
      <w:pPr>
        <w:pStyle w:val="ListParagraph"/>
        <w:numPr>
          <w:ilvl w:val="0"/>
          <w:numId w:val="19"/>
        </w:numPr>
        <w:rPr>
          <w:b/>
        </w:rPr>
      </w:pPr>
      <w:r w:rsidRPr="00173A1F">
        <w:rPr>
          <w:b/>
        </w:rPr>
        <w:t>Two-tier fee structure be more equitably meets program objectives</w:t>
      </w:r>
      <w:r>
        <w:rPr>
          <w:b/>
        </w:rPr>
        <w:t xml:space="preserve"> </w:t>
      </w:r>
      <w:r w:rsidRPr="00173A1F">
        <w:rPr>
          <w:b/>
        </w:rPr>
        <w:t>(</w:t>
      </w:r>
      <w:r>
        <w:t>Commenter #5</w:t>
      </w:r>
      <w:r w:rsidRPr="007D3C35">
        <w:t>)</w:t>
      </w:r>
    </w:p>
    <w:p w:rsidR="006C2351" w:rsidRDefault="006C2351" w:rsidP="006C2351">
      <w:pPr>
        <w:pStyle w:val="ListParagraph"/>
        <w:numPr>
          <w:ilvl w:val="0"/>
          <w:numId w:val="14"/>
        </w:numPr>
      </w:pPr>
      <w:r>
        <w:t>Adopt a 2-tier fee structure: $7,000 for mfrs with MS over 0.01% and $500 for all others. (5</w:t>
      </w:r>
      <w:proofErr w:type="gramStart"/>
      <w:r>
        <w:t>,8</w:t>
      </w:r>
      <w:proofErr w:type="gramEnd"/>
      <w:r>
        <w:t>) Allow DEQ to increase the upper tier fee to $10,000 without rulemaking if the number of registered manufacturers changes so that revenue does not meet the $415,000 base budget. (5)</w:t>
      </w:r>
    </w:p>
    <w:p w:rsidR="006C2351" w:rsidRDefault="006C2351" w:rsidP="006C2351">
      <w:pPr>
        <w:pStyle w:val="ListParagraph"/>
        <w:numPr>
          <w:ilvl w:val="0"/>
          <w:numId w:val="14"/>
        </w:numPr>
      </w:pPr>
      <w:r>
        <w:t>This 2-tier fee structure would allow DEQ to meet its revenue targets with a small reserve; provide mfrs with a stable, predictable registration fee; and allocate costs of registration and program administration equitably among all program participants. (5)</w:t>
      </w:r>
    </w:p>
    <w:p w:rsidR="006C2351" w:rsidRDefault="006C2351" w:rsidP="006C2351"/>
    <w:p w:rsidR="006C2351" w:rsidRDefault="006C2351" w:rsidP="006C2351">
      <w:pPr>
        <w:ind w:left="360"/>
        <w:rPr>
          <w:b/>
        </w:rPr>
      </w:pPr>
      <w:r w:rsidRPr="00F71B53">
        <w:rPr>
          <w:b/>
        </w:rPr>
        <w:t>Response:</w:t>
      </w:r>
    </w:p>
    <w:p w:rsidR="006C2351" w:rsidRDefault="006C2351" w:rsidP="006C2351"/>
    <w:tbl>
      <w:tblPr>
        <w:tblW w:w="6666" w:type="dxa"/>
        <w:tblInd w:w="2160" w:type="dxa"/>
        <w:tblLook w:val="04A0"/>
      </w:tblPr>
      <w:tblGrid>
        <w:gridCol w:w="560"/>
        <w:gridCol w:w="1841"/>
        <w:gridCol w:w="1066"/>
        <w:gridCol w:w="1066"/>
        <w:gridCol w:w="1067"/>
        <w:gridCol w:w="1066"/>
      </w:tblGrid>
      <w:tr w:rsidR="0082371F" w:rsidRPr="0082371F" w:rsidTr="007A389A">
        <w:trPr>
          <w:trHeight w:val="1260"/>
        </w:trPr>
        <w:tc>
          <w:tcPr>
            <w:tcW w:w="6666" w:type="dxa"/>
            <w:gridSpan w:val="6"/>
            <w:tcBorders>
              <w:top w:val="nil"/>
              <w:left w:val="nil"/>
              <w:bottom w:val="single" w:sz="4" w:space="0" w:color="auto"/>
              <w:right w:val="nil"/>
            </w:tcBorders>
            <w:shd w:val="clear" w:color="auto" w:fill="92D050"/>
            <w:vAlign w:val="bottom"/>
            <w:hideMark/>
          </w:tcPr>
          <w:p w:rsidR="0082371F" w:rsidRPr="007A389A" w:rsidRDefault="00D162C2" w:rsidP="00F71B53">
            <w:pPr>
              <w:jc w:val="center"/>
              <w:rPr>
                <w:rFonts w:ascii="Calibri" w:eastAsia="Times New Roman" w:hAnsi="Calibri" w:cs="Calibri"/>
                <w:b/>
                <w:bCs/>
                <w:color w:val="FFFFFF" w:themeColor="background1"/>
                <w:sz w:val="28"/>
                <w:szCs w:val="28"/>
              </w:rPr>
            </w:pPr>
            <w:r w:rsidRPr="00D162C2">
              <w:rPr>
                <w:rFonts w:ascii="Calibri" w:eastAsia="Times New Roman" w:hAnsi="Calibri" w:cs="Calibri"/>
                <w:b/>
                <w:bCs/>
                <w:color w:val="FFFFFF" w:themeColor="background1"/>
                <w:sz w:val="28"/>
                <w:szCs w:val="28"/>
              </w:rPr>
              <w:t>Fee Comparison</w:t>
            </w:r>
            <w:r w:rsidRPr="00D162C2">
              <w:rPr>
                <w:rFonts w:ascii="Calibri" w:eastAsia="Times New Roman" w:hAnsi="Calibri" w:cs="Calibri"/>
                <w:b/>
                <w:bCs/>
                <w:color w:val="FFFFFF" w:themeColor="background1"/>
                <w:sz w:val="28"/>
                <w:szCs w:val="28"/>
              </w:rPr>
              <w:br/>
              <w:t>DEQ's proposal and the Two Tier Proposal</w:t>
            </w:r>
            <w:r w:rsidRPr="00D162C2">
              <w:rPr>
                <w:rFonts w:ascii="Calibri" w:eastAsia="Times New Roman" w:hAnsi="Calibri" w:cs="Calibri"/>
                <w:b/>
                <w:bCs/>
                <w:color w:val="FFFFFF" w:themeColor="background1"/>
                <w:sz w:val="28"/>
                <w:szCs w:val="28"/>
              </w:rPr>
              <w:br/>
              <w:t>2012 Oregon Manufacturer data</w:t>
            </w:r>
          </w:p>
        </w:tc>
      </w:tr>
      <w:tr w:rsidR="0082371F" w:rsidRPr="0082371F" w:rsidTr="007A389A">
        <w:trPr>
          <w:trHeight w:val="9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2371F" w:rsidRPr="0082371F" w:rsidRDefault="0082371F" w:rsidP="0082371F">
            <w:pPr>
              <w:rPr>
                <w:rFonts w:ascii="Calibri" w:eastAsia="Times New Roman" w:hAnsi="Calibri" w:cs="Calibri"/>
                <w:color w:val="000000"/>
              </w:rPr>
            </w:pPr>
            <w:r w:rsidRPr="0082371F">
              <w:rPr>
                <w:rFonts w:ascii="Calibri" w:eastAsia="Times New Roman" w:hAnsi="Calibri" w:cs="Calibri"/>
                <w:color w:val="000000"/>
                <w:sz w:val="22"/>
                <w:szCs w:val="22"/>
              </w:rPr>
              <w:t>Tier</w:t>
            </w:r>
          </w:p>
        </w:tc>
        <w:tc>
          <w:tcPr>
            <w:tcW w:w="1841"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rPr>
                <w:rFonts w:ascii="Calibri" w:eastAsia="Times New Roman" w:hAnsi="Calibri" w:cs="Calibri"/>
                <w:color w:val="000000"/>
              </w:rPr>
            </w:pPr>
            <w:r w:rsidRPr="0082371F">
              <w:rPr>
                <w:rFonts w:ascii="Calibri" w:eastAsia="Times New Roman" w:hAnsi="Calibri" w:cs="Calibri"/>
                <w:color w:val="000000"/>
                <w:sz w:val="22"/>
                <w:szCs w:val="22"/>
              </w:rPr>
              <w:t>Market share</w:t>
            </w:r>
          </w:p>
        </w:tc>
        <w:tc>
          <w:tcPr>
            <w:tcW w:w="1066" w:type="dxa"/>
            <w:tcBorders>
              <w:top w:val="nil"/>
              <w:left w:val="nil"/>
              <w:bottom w:val="single" w:sz="4" w:space="0" w:color="auto"/>
              <w:right w:val="single" w:sz="4" w:space="0" w:color="auto"/>
            </w:tcBorders>
            <w:shd w:val="clear" w:color="auto" w:fill="auto"/>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Number of Mfrs - DEQ</w:t>
            </w:r>
          </w:p>
        </w:tc>
        <w:tc>
          <w:tcPr>
            <w:tcW w:w="1066" w:type="dxa"/>
            <w:tcBorders>
              <w:top w:val="nil"/>
              <w:left w:val="nil"/>
              <w:bottom w:val="single" w:sz="4" w:space="0" w:color="auto"/>
              <w:right w:val="single" w:sz="4" w:space="0" w:color="auto"/>
            </w:tcBorders>
            <w:shd w:val="clear" w:color="auto" w:fill="auto"/>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DEQ Proposed Fee</w:t>
            </w:r>
          </w:p>
        </w:tc>
        <w:tc>
          <w:tcPr>
            <w:tcW w:w="1067" w:type="dxa"/>
            <w:tcBorders>
              <w:top w:val="nil"/>
              <w:left w:val="nil"/>
              <w:bottom w:val="single" w:sz="4" w:space="0" w:color="auto"/>
              <w:right w:val="single" w:sz="4" w:space="0" w:color="auto"/>
            </w:tcBorders>
            <w:shd w:val="clear" w:color="auto" w:fill="auto"/>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Two Tier proposed fee</w:t>
            </w:r>
          </w:p>
        </w:tc>
        <w:tc>
          <w:tcPr>
            <w:tcW w:w="1066" w:type="dxa"/>
            <w:tcBorders>
              <w:top w:val="nil"/>
              <w:left w:val="nil"/>
              <w:bottom w:val="single" w:sz="4" w:space="0" w:color="auto"/>
              <w:right w:val="single" w:sz="4" w:space="0" w:color="auto"/>
            </w:tcBorders>
            <w:shd w:val="clear" w:color="auto" w:fill="auto"/>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Number of Mfrs - Two Tier</w:t>
            </w:r>
          </w:p>
        </w:tc>
      </w:tr>
      <w:tr w:rsidR="0082371F" w:rsidRPr="0082371F" w:rsidTr="007A389A">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1</w:t>
            </w:r>
          </w:p>
        </w:tc>
        <w:tc>
          <w:tcPr>
            <w:tcW w:w="1841"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rPr>
                <w:rFonts w:ascii="Calibri" w:eastAsia="Times New Roman" w:hAnsi="Calibri" w:cs="Calibri"/>
                <w:color w:val="000000"/>
              </w:rPr>
            </w:pPr>
            <w:r w:rsidRPr="0082371F">
              <w:rPr>
                <w:rFonts w:ascii="Calibri" w:eastAsia="Times New Roman" w:hAnsi="Calibri" w:cs="Calibri"/>
                <w:color w:val="000000"/>
                <w:sz w:val="22"/>
                <w:szCs w:val="22"/>
              </w:rPr>
              <w:t>≥ 5%</w:t>
            </w:r>
          </w:p>
        </w:tc>
        <w:tc>
          <w:tcPr>
            <w:tcW w:w="1066"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6</w:t>
            </w:r>
          </w:p>
        </w:tc>
        <w:tc>
          <w:tcPr>
            <w:tcW w:w="1066" w:type="dxa"/>
            <w:tcBorders>
              <w:top w:val="nil"/>
              <w:left w:val="nil"/>
              <w:bottom w:val="single" w:sz="4" w:space="0" w:color="auto"/>
              <w:right w:val="single" w:sz="4" w:space="0" w:color="auto"/>
            </w:tcBorders>
            <w:shd w:val="clear" w:color="auto" w:fill="auto"/>
            <w:noWrap/>
            <w:hideMark/>
          </w:tcPr>
          <w:p w:rsidR="0082371F" w:rsidRPr="0082371F" w:rsidRDefault="0082371F" w:rsidP="0082371F">
            <w:pPr>
              <w:jc w:val="center"/>
              <w:rPr>
                <w:rFonts w:ascii="Times New Roman" w:eastAsia="Times New Roman" w:hAnsi="Times New Roman" w:cs="Times New Roman"/>
                <w:color w:val="000000"/>
                <w:sz w:val="23"/>
                <w:szCs w:val="23"/>
              </w:rPr>
            </w:pPr>
            <w:r w:rsidRPr="0082371F">
              <w:rPr>
                <w:rFonts w:ascii="Times New Roman" w:eastAsia="Times New Roman" w:hAnsi="Times New Roman" w:cs="Times New Roman"/>
                <w:color w:val="000000"/>
                <w:sz w:val="23"/>
                <w:szCs w:val="23"/>
              </w:rPr>
              <w:t>$35,000</w:t>
            </w:r>
          </w:p>
        </w:tc>
        <w:tc>
          <w:tcPr>
            <w:tcW w:w="1067" w:type="dxa"/>
            <w:tcBorders>
              <w:top w:val="nil"/>
              <w:left w:val="nil"/>
              <w:bottom w:val="single" w:sz="4" w:space="0" w:color="auto"/>
              <w:right w:val="single" w:sz="4" w:space="0" w:color="auto"/>
            </w:tcBorders>
            <w:shd w:val="clear" w:color="auto" w:fill="auto"/>
            <w:noWrap/>
            <w:hideMark/>
          </w:tcPr>
          <w:p w:rsidR="0082371F" w:rsidRPr="0082371F" w:rsidRDefault="0082371F" w:rsidP="0082371F">
            <w:pPr>
              <w:jc w:val="center"/>
              <w:rPr>
                <w:rFonts w:ascii="Times New Roman" w:eastAsia="Times New Roman" w:hAnsi="Times New Roman" w:cs="Times New Roman"/>
                <w:color w:val="000000"/>
                <w:sz w:val="23"/>
                <w:szCs w:val="23"/>
              </w:rPr>
            </w:pPr>
            <w:r w:rsidRPr="0082371F">
              <w:rPr>
                <w:rFonts w:ascii="Times New Roman" w:eastAsia="Times New Roman" w:hAnsi="Times New Roman" w:cs="Times New Roman"/>
                <w:color w:val="000000"/>
                <w:sz w:val="23"/>
                <w:szCs w:val="23"/>
              </w:rPr>
              <w:t>$7,000</w:t>
            </w:r>
          </w:p>
        </w:tc>
        <w:tc>
          <w:tcPr>
            <w:tcW w:w="1066"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50</w:t>
            </w:r>
          </w:p>
        </w:tc>
      </w:tr>
      <w:tr w:rsidR="0082371F" w:rsidRPr="0082371F" w:rsidTr="007A389A">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2</w:t>
            </w:r>
          </w:p>
        </w:tc>
        <w:tc>
          <w:tcPr>
            <w:tcW w:w="1841"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rPr>
                <w:rFonts w:ascii="Calibri" w:eastAsia="Times New Roman" w:hAnsi="Calibri" w:cs="Calibri"/>
                <w:color w:val="000000"/>
              </w:rPr>
            </w:pPr>
            <w:r w:rsidRPr="0082371F">
              <w:rPr>
                <w:rFonts w:ascii="Calibri" w:eastAsia="Times New Roman" w:hAnsi="Calibri" w:cs="Calibri"/>
                <w:color w:val="000000"/>
                <w:sz w:val="22"/>
                <w:szCs w:val="22"/>
              </w:rPr>
              <w:t>≥ 1% &lt; 5%</w:t>
            </w:r>
          </w:p>
        </w:tc>
        <w:tc>
          <w:tcPr>
            <w:tcW w:w="1066"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9</w:t>
            </w:r>
          </w:p>
        </w:tc>
        <w:tc>
          <w:tcPr>
            <w:tcW w:w="1066" w:type="dxa"/>
            <w:tcBorders>
              <w:top w:val="nil"/>
              <w:left w:val="nil"/>
              <w:bottom w:val="single" w:sz="4" w:space="0" w:color="auto"/>
              <w:right w:val="single" w:sz="4" w:space="0" w:color="auto"/>
            </w:tcBorders>
            <w:shd w:val="clear" w:color="auto" w:fill="auto"/>
            <w:noWrap/>
            <w:hideMark/>
          </w:tcPr>
          <w:p w:rsidR="0082371F" w:rsidRPr="0082371F" w:rsidRDefault="0082371F" w:rsidP="0082371F">
            <w:pPr>
              <w:jc w:val="center"/>
              <w:rPr>
                <w:rFonts w:ascii="Times New Roman" w:eastAsia="Times New Roman" w:hAnsi="Times New Roman" w:cs="Times New Roman"/>
                <w:color w:val="000000"/>
                <w:sz w:val="23"/>
                <w:szCs w:val="23"/>
              </w:rPr>
            </w:pPr>
            <w:r w:rsidRPr="0082371F">
              <w:rPr>
                <w:rFonts w:ascii="Times New Roman" w:eastAsia="Times New Roman" w:hAnsi="Times New Roman" w:cs="Times New Roman"/>
                <w:color w:val="000000"/>
                <w:sz w:val="23"/>
                <w:szCs w:val="23"/>
              </w:rPr>
              <w:t>$17,468</w:t>
            </w:r>
          </w:p>
        </w:tc>
        <w:tc>
          <w:tcPr>
            <w:tcW w:w="1067" w:type="dxa"/>
            <w:tcBorders>
              <w:top w:val="nil"/>
              <w:left w:val="nil"/>
              <w:bottom w:val="single" w:sz="4" w:space="0" w:color="auto"/>
              <w:right w:val="single" w:sz="4" w:space="0" w:color="auto"/>
            </w:tcBorders>
            <w:shd w:val="clear" w:color="auto" w:fill="auto"/>
            <w:noWrap/>
            <w:hideMark/>
          </w:tcPr>
          <w:p w:rsidR="0082371F" w:rsidRPr="0082371F" w:rsidRDefault="0082371F" w:rsidP="0082371F">
            <w:pPr>
              <w:jc w:val="center"/>
              <w:rPr>
                <w:rFonts w:ascii="Times New Roman" w:eastAsia="Times New Roman" w:hAnsi="Times New Roman" w:cs="Times New Roman"/>
                <w:color w:val="000000"/>
                <w:sz w:val="23"/>
                <w:szCs w:val="23"/>
              </w:rPr>
            </w:pPr>
            <w:r w:rsidRPr="0082371F">
              <w:rPr>
                <w:rFonts w:ascii="Times New Roman" w:eastAsia="Times New Roman" w:hAnsi="Times New Roman" w:cs="Times New Roman"/>
                <w:color w:val="000000"/>
                <w:sz w:val="23"/>
                <w:szCs w:val="23"/>
              </w:rPr>
              <w:t>$7,000</w:t>
            </w:r>
          </w:p>
        </w:tc>
        <w:tc>
          <w:tcPr>
            <w:tcW w:w="1066"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 </w:t>
            </w:r>
          </w:p>
        </w:tc>
      </w:tr>
      <w:tr w:rsidR="0082371F" w:rsidRPr="0082371F" w:rsidTr="007A389A">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3</w:t>
            </w:r>
          </w:p>
        </w:tc>
        <w:tc>
          <w:tcPr>
            <w:tcW w:w="1841"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rPr>
                <w:rFonts w:ascii="Calibri" w:eastAsia="Times New Roman" w:hAnsi="Calibri" w:cs="Calibri"/>
                <w:color w:val="000000"/>
              </w:rPr>
            </w:pPr>
            <w:r w:rsidRPr="0082371F">
              <w:rPr>
                <w:rFonts w:ascii="Calibri" w:eastAsia="Times New Roman" w:hAnsi="Calibri" w:cs="Calibri"/>
                <w:color w:val="000000"/>
                <w:sz w:val="22"/>
                <w:szCs w:val="22"/>
              </w:rPr>
              <w:t>≥ 0.1%  &lt; 1%</w:t>
            </w:r>
          </w:p>
        </w:tc>
        <w:tc>
          <w:tcPr>
            <w:tcW w:w="1066"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19</w:t>
            </w:r>
          </w:p>
        </w:tc>
        <w:tc>
          <w:tcPr>
            <w:tcW w:w="1066" w:type="dxa"/>
            <w:tcBorders>
              <w:top w:val="nil"/>
              <w:left w:val="nil"/>
              <w:bottom w:val="single" w:sz="4" w:space="0" w:color="auto"/>
              <w:right w:val="single" w:sz="4" w:space="0" w:color="auto"/>
            </w:tcBorders>
            <w:shd w:val="clear" w:color="auto" w:fill="auto"/>
            <w:noWrap/>
            <w:hideMark/>
          </w:tcPr>
          <w:p w:rsidR="0082371F" w:rsidRPr="0082371F" w:rsidRDefault="0082371F" w:rsidP="0082371F">
            <w:pPr>
              <w:jc w:val="center"/>
              <w:rPr>
                <w:rFonts w:ascii="Times New Roman" w:eastAsia="Times New Roman" w:hAnsi="Times New Roman" w:cs="Times New Roman"/>
                <w:color w:val="000000"/>
                <w:sz w:val="23"/>
                <w:szCs w:val="23"/>
              </w:rPr>
            </w:pPr>
            <w:r w:rsidRPr="0082371F">
              <w:rPr>
                <w:rFonts w:ascii="Times New Roman" w:eastAsia="Times New Roman" w:hAnsi="Times New Roman" w:cs="Times New Roman"/>
                <w:color w:val="000000"/>
                <w:sz w:val="23"/>
                <w:szCs w:val="23"/>
              </w:rPr>
              <w:t>$1,847</w:t>
            </w:r>
          </w:p>
        </w:tc>
        <w:tc>
          <w:tcPr>
            <w:tcW w:w="1067" w:type="dxa"/>
            <w:tcBorders>
              <w:top w:val="nil"/>
              <w:left w:val="nil"/>
              <w:bottom w:val="single" w:sz="4" w:space="0" w:color="auto"/>
              <w:right w:val="single" w:sz="4" w:space="0" w:color="auto"/>
            </w:tcBorders>
            <w:shd w:val="clear" w:color="auto" w:fill="auto"/>
            <w:noWrap/>
            <w:hideMark/>
          </w:tcPr>
          <w:p w:rsidR="0082371F" w:rsidRPr="0082371F" w:rsidRDefault="0082371F" w:rsidP="0082371F">
            <w:pPr>
              <w:jc w:val="center"/>
              <w:rPr>
                <w:rFonts w:ascii="Times New Roman" w:eastAsia="Times New Roman" w:hAnsi="Times New Roman" w:cs="Times New Roman"/>
                <w:color w:val="000000"/>
                <w:sz w:val="23"/>
                <w:szCs w:val="23"/>
              </w:rPr>
            </w:pPr>
            <w:r w:rsidRPr="0082371F">
              <w:rPr>
                <w:rFonts w:ascii="Times New Roman" w:eastAsia="Times New Roman" w:hAnsi="Times New Roman" w:cs="Times New Roman"/>
                <w:color w:val="000000"/>
                <w:sz w:val="23"/>
                <w:szCs w:val="23"/>
              </w:rPr>
              <w:t>$7,000</w:t>
            </w:r>
          </w:p>
        </w:tc>
        <w:tc>
          <w:tcPr>
            <w:tcW w:w="1066"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 </w:t>
            </w:r>
          </w:p>
        </w:tc>
      </w:tr>
      <w:tr w:rsidR="0082371F" w:rsidRPr="0082371F" w:rsidTr="007A389A">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4</w:t>
            </w:r>
          </w:p>
        </w:tc>
        <w:tc>
          <w:tcPr>
            <w:tcW w:w="1841"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rPr>
                <w:rFonts w:ascii="Calibri" w:eastAsia="Times New Roman" w:hAnsi="Calibri" w:cs="Calibri"/>
                <w:color w:val="000000"/>
              </w:rPr>
            </w:pPr>
            <w:r w:rsidRPr="0082371F">
              <w:rPr>
                <w:rFonts w:ascii="Calibri" w:eastAsia="Times New Roman" w:hAnsi="Calibri" w:cs="Calibri"/>
                <w:color w:val="000000"/>
                <w:sz w:val="22"/>
                <w:szCs w:val="22"/>
              </w:rPr>
              <w:t>≥ 0.03% &lt; 0.1%</w:t>
            </w:r>
          </w:p>
        </w:tc>
        <w:tc>
          <w:tcPr>
            <w:tcW w:w="1066"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8</w:t>
            </w:r>
          </w:p>
        </w:tc>
        <w:tc>
          <w:tcPr>
            <w:tcW w:w="1066" w:type="dxa"/>
            <w:tcBorders>
              <w:top w:val="nil"/>
              <w:left w:val="nil"/>
              <w:bottom w:val="single" w:sz="4" w:space="0" w:color="auto"/>
              <w:right w:val="single" w:sz="4" w:space="0" w:color="auto"/>
            </w:tcBorders>
            <w:shd w:val="clear" w:color="auto" w:fill="auto"/>
            <w:noWrap/>
            <w:hideMark/>
          </w:tcPr>
          <w:p w:rsidR="0082371F" w:rsidRPr="0082371F" w:rsidRDefault="0082371F" w:rsidP="0082371F">
            <w:pPr>
              <w:jc w:val="center"/>
              <w:rPr>
                <w:rFonts w:ascii="Times New Roman" w:eastAsia="Times New Roman" w:hAnsi="Times New Roman" w:cs="Times New Roman"/>
                <w:color w:val="000000"/>
                <w:sz w:val="23"/>
                <w:szCs w:val="23"/>
              </w:rPr>
            </w:pPr>
            <w:r w:rsidRPr="0082371F">
              <w:rPr>
                <w:rFonts w:ascii="Times New Roman" w:eastAsia="Times New Roman" w:hAnsi="Times New Roman" w:cs="Times New Roman"/>
                <w:color w:val="000000"/>
                <w:sz w:val="23"/>
                <w:szCs w:val="23"/>
              </w:rPr>
              <w:t>$406</w:t>
            </w:r>
          </w:p>
        </w:tc>
        <w:tc>
          <w:tcPr>
            <w:tcW w:w="1067" w:type="dxa"/>
            <w:tcBorders>
              <w:top w:val="nil"/>
              <w:left w:val="nil"/>
              <w:bottom w:val="single" w:sz="4" w:space="0" w:color="auto"/>
              <w:right w:val="single" w:sz="4" w:space="0" w:color="auto"/>
            </w:tcBorders>
            <w:shd w:val="clear" w:color="auto" w:fill="auto"/>
            <w:noWrap/>
            <w:hideMark/>
          </w:tcPr>
          <w:p w:rsidR="0082371F" w:rsidRPr="0082371F" w:rsidRDefault="0082371F" w:rsidP="0082371F">
            <w:pPr>
              <w:jc w:val="center"/>
              <w:rPr>
                <w:rFonts w:ascii="Times New Roman" w:eastAsia="Times New Roman" w:hAnsi="Times New Roman" w:cs="Times New Roman"/>
                <w:color w:val="000000"/>
                <w:sz w:val="23"/>
                <w:szCs w:val="23"/>
              </w:rPr>
            </w:pPr>
            <w:r w:rsidRPr="0082371F">
              <w:rPr>
                <w:rFonts w:ascii="Times New Roman" w:eastAsia="Times New Roman" w:hAnsi="Times New Roman" w:cs="Times New Roman"/>
                <w:color w:val="000000"/>
                <w:sz w:val="23"/>
                <w:szCs w:val="23"/>
              </w:rPr>
              <w:t>$7,000</w:t>
            </w:r>
          </w:p>
        </w:tc>
        <w:tc>
          <w:tcPr>
            <w:tcW w:w="1066"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 </w:t>
            </w:r>
          </w:p>
        </w:tc>
      </w:tr>
      <w:tr w:rsidR="0082371F" w:rsidRPr="0082371F" w:rsidTr="007A389A">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5</w:t>
            </w:r>
          </w:p>
        </w:tc>
        <w:tc>
          <w:tcPr>
            <w:tcW w:w="1841"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rPr>
                <w:rFonts w:ascii="Calibri" w:eastAsia="Times New Roman" w:hAnsi="Calibri" w:cs="Calibri"/>
                <w:color w:val="000000"/>
              </w:rPr>
            </w:pPr>
            <w:r w:rsidRPr="0082371F">
              <w:rPr>
                <w:rFonts w:ascii="Calibri" w:eastAsia="Times New Roman" w:hAnsi="Calibri" w:cs="Calibri"/>
                <w:color w:val="000000"/>
                <w:sz w:val="22"/>
                <w:szCs w:val="22"/>
              </w:rPr>
              <w:t>≥ 0.01% &lt; 0.03%</w:t>
            </w:r>
          </w:p>
        </w:tc>
        <w:tc>
          <w:tcPr>
            <w:tcW w:w="1066"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8</w:t>
            </w:r>
          </w:p>
        </w:tc>
        <w:tc>
          <w:tcPr>
            <w:tcW w:w="1066" w:type="dxa"/>
            <w:tcBorders>
              <w:top w:val="nil"/>
              <w:left w:val="nil"/>
              <w:bottom w:val="single" w:sz="4" w:space="0" w:color="auto"/>
              <w:right w:val="single" w:sz="4" w:space="0" w:color="auto"/>
            </w:tcBorders>
            <w:shd w:val="clear" w:color="auto" w:fill="auto"/>
            <w:noWrap/>
            <w:hideMark/>
          </w:tcPr>
          <w:p w:rsidR="0082371F" w:rsidRPr="0082371F" w:rsidRDefault="0082371F" w:rsidP="0082371F">
            <w:pPr>
              <w:jc w:val="center"/>
              <w:rPr>
                <w:rFonts w:ascii="Times New Roman" w:eastAsia="Times New Roman" w:hAnsi="Times New Roman" w:cs="Times New Roman"/>
                <w:color w:val="000000"/>
                <w:sz w:val="23"/>
                <w:szCs w:val="23"/>
              </w:rPr>
            </w:pPr>
            <w:r w:rsidRPr="0082371F">
              <w:rPr>
                <w:rFonts w:ascii="Times New Roman" w:eastAsia="Times New Roman" w:hAnsi="Times New Roman" w:cs="Times New Roman"/>
                <w:color w:val="000000"/>
                <w:sz w:val="23"/>
                <w:szCs w:val="23"/>
              </w:rPr>
              <w:t>$200</w:t>
            </w:r>
          </w:p>
        </w:tc>
        <w:tc>
          <w:tcPr>
            <w:tcW w:w="1067" w:type="dxa"/>
            <w:tcBorders>
              <w:top w:val="nil"/>
              <w:left w:val="nil"/>
              <w:bottom w:val="single" w:sz="4" w:space="0" w:color="auto"/>
              <w:right w:val="single" w:sz="4" w:space="0" w:color="auto"/>
            </w:tcBorders>
            <w:shd w:val="clear" w:color="auto" w:fill="auto"/>
            <w:noWrap/>
            <w:hideMark/>
          </w:tcPr>
          <w:p w:rsidR="0082371F" w:rsidRPr="0082371F" w:rsidRDefault="0082371F" w:rsidP="0082371F">
            <w:pPr>
              <w:jc w:val="center"/>
              <w:rPr>
                <w:rFonts w:ascii="Times New Roman" w:eastAsia="Times New Roman" w:hAnsi="Times New Roman" w:cs="Times New Roman"/>
                <w:color w:val="000000"/>
                <w:sz w:val="23"/>
                <w:szCs w:val="23"/>
              </w:rPr>
            </w:pPr>
            <w:r w:rsidRPr="0082371F">
              <w:rPr>
                <w:rFonts w:ascii="Times New Roman" w:eastAsia="Times New Roman" w:hAnsi="Times New Roman" w:cs="Times New Roman"/>
                <w:color w:val="000000"/>
                <w:sz w:val="23"/>
                <w:szCs w:val="23"/>
              </w:rPr>
              <w:t>$7,000</w:t>
            </w:r>
          </w:p>
        </w:tc>
        <w:tc>
          <w:tcPr>
            <w:tcW w:w="1066"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 </w:t>
            </w:r>
          </w:p>
        </w:tc>
      </w:tr>
      <w:tr w:rsidR="0082371F" w:rsidRPr="0082371F" w:rsidTr="007A389A">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6</w:t>
            </w:r>
          </w:p>
        </w:tc>
        <w:tc>
          <w:tcPr>
            <w:tcW w:w="1841"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rPr>
                <w:rFonts w:ascii="Calibri" w:eastAsia="Times New Roman" w:hAnsi="Calibri" w:cs="Calibri"/>
                <w:color w:val="000000"/>
              </w:rPr>
            </w:pPr>
            <w:r w:rsidRPr="0082371F">
              <w:rPr>
                <w:rFonts w:ascii="Calibri" w:eastAsia="Times New Roman" w:hAnsi="Calibri" w:cs="Calibri"/>
                <w:color w:val="000000"/>
                <w:sz w:val="22"/>
                <w:szCs w:val="22"/>
                <w:u w:val="single"/>
              </w:rPr>
              <w:t>&gt;</w:t>
            </w:r>
            <w:r w:rsidRPr="0082371F">
              <w:rPr>
                <w:rFonts w:ascii="Calibri" w:eastAsia="Times New Roman" w:hAnsi="Calibri" w:cs="Calibri"/>
                <w:color w:val="000000"/>
                <w:sz w:val="22"/>
                <w:szCs w:val="22"/>
              </w:rPr>
              <w:t xml:space="preserve"> 50 units &lt; 0.01%</w:t>
            </w:r>
          </w:p>
        </w:tc>
        <w:tc>
          <w:tcPr>
            <w:tcW w:w="1066"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15</w:t>
            </w:r>
          </w:p>
        </w:tc>
        <w:tc>
          <w:tcPr>
            <w:tcW w:w="1066" w:type="dxa"/>
            <w:tcBorders>
              <w:top w:val="nil"/>
              <w:left w:val="nil"/>
              <w:bottom w:val="single" w:sz="4" w:space="0" w:color="auto"/>
              <w:right w:val="single" w:sz="4" w:space="0" w:color="auto"/>
            </w:tcBorders>
            <w:shd w:val="clear" w:color="auto" w:fill="auto"/>
            <w:noWrap/>
            <w:hideMark/>
          </w:tcPr>
          <w:p w:rsidR="0082371F" w:rsidRPr="0082371F" w:rsidRDefault="0082371F" w:rsidP="0082371F">
            <w:pPr>
              <w:jc w:val="center"/>
              <w:rPr>
                <w:rFonts w:ascii="Times New Roman" w:eastAsia="Times New Roman" w:hAnsi="Times New Roman" w:cs="Times New Roman"/>
                <w:color w:val="000000"/>
                <w:sz w:val="23"/>
                <w:szCs w:val="23"/>
              </w:rPr>
            </w:pPr>
            <w:r w:rsidRPr="0082371F">
              <w:rPr>
                <w:rFonts w:ascii="Times New Roman" w:eastAsia="Times New Roman" w:hAnsi="Times New Roman" w:cs="Times New Roman"/>
                <w:color w:val="000000"/>
                <w:sz w:val="23"/>
                <w:szCs w:val="23"/>
              </w:rPr>
              <w:t>$200</w:t>
            </w:r>
          </w:p>
        </w:tc>
        <w:tc>
          <w:tcPr>
            <w:tcW w:w="1067" w:type="dxa"/>
            <w:tcBorders>
              <w:top w:val="nil"/>
              <w:left w:val="nil"/>
              <w:bottom w:val="single" w:sz="4" w:space="0" w:color="auto"/>
              <w:right w:val="single" w:sz="4" w:space="0" w:color="auto"/>
            </w:tcBorders>
            <w:shd w:val="clear" w:color="auto" w:fill="auto"/>
            <w:noWrap/>
            <w:hideMark/>
          </w:tcPr>
          <w:p w:rsidR="0082371F" w:rsidRPr="0082371F" w:rsidRDefault="0082371F" w:rsidP="0082371F">
            <w:pPr>
              <w:jc w:val="center"/>
              <w:rPr>
                <w:rFonts w:ascii="Times New Roman" w:eastAsia="Times New Roman" w:hAnsi="Times New Roman" w:cs="Times New Roman"/>
                <w:color w:val="000000"/>
                <w:sz w:val="23"/>
                <w:szCs w:val="23"/>
              </w:rPr>
            </w:pPr>
            <w:r w:rsidRPr="0082371F">
              <w:rPr>
                <w:rFonts w:ascii="Times New Roman" w:eastAsia="Times New Roman" w:hAnsi="Times New Roman" w:cs="Times New Roman"/>
                <w:color w:val="000000"/>
                <w:sz w:val="23"/>
                <w:szCs w:val="23"/>
              </w:rPr>
              <w:t>$500</w:t>
            </w:r>
          </w:p>
        </w:tc>
        <w:tc>
          <w:tcPr>
            <w:tcW w:w="1066"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109</w:t>
            </w:r>
          </w:p>
        </w:tc>
      </w:tr>
      <w:tr w:rsidR="0082371F" w:rsidRPr="0082371F" w:rsidTr="007A389A">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7</w:t>
            </w:r>
          </w:p>
        </w:tc>
        <w:tc>
          <w:tcPr>
            <w:tcW w:w="1841"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rPr>
                <w:rFonts w:ascii="Calibri" w:eastAsia="Times New Roman" w:hAnsi="Calibri" w:cs="Calibri"/>
                <w:color w:val="000000"/>
              </w:rPr>
            </w:pPr>
            <w:r w:rsidRPr="0082371F">
              <w:rPr>
                <w:rFonts w:ascii="Calibri" w:eastAsia="Times New Roman" w:hAnsi="Calibri" w:cs="Calibri"/>
                <w:color w:val="000000"/>
                <w:sz w:val="22"/>
                <w:szCs w:val="22"/>
              </w:rPr>
              <w:t>&lt; 50 units</w:t>
            </w:r>
          </w:p>
        </w:tc>
        <w:tc>
          <w:tcPr>
            <w:tcW w:w="1066"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94</w:t>
            </w:r>
          </w:p>
        </w:tc>
        <w:tc>
          <w:tcPr>
            <w:tcW w:w="1066" w:type="dxa"/>
            <w:tcBorders>
              <w:top w:val="nil"/>
              <w:left w:val="nil"/>
              <w:bottom w:val="single" w:sz="4" w:space="0" w:color="auto"/>
              <w:right w:val="single" w:sz="4" w:space="0" w:color="auto"/>
            </w:tcBorders>
            <w:shd w:val="clear" w:color="auto" w:fill="auto"/>
            <w:noWrap/>
            <w:hideMark/>
          </w:tcPr>
          <w:p w:rsidR="0082371F" w:rsidRPr="0082371F" w:rsidRDefault="0082371F" w:rsidP="0082371F">
            <w:pPr>
              <w:jc w:val="center"/>
              <w:rPr>
                <w:rFonts w:ascii="Times New Roman" w:eastAsia="Times New Roman" w:hAnsi="Times New Roman" w:cs="Times New Roman"/>
                <w:color w:val="000000"/>
                <w:sz w:val="23"/>
                <w:szCs w:val="23"/>
              </w:rPr>
            </w:pPr>
            <w:r w:rsidRPr="0082371F">
              <w:rPr>
                <w:rFonts w:ascii="Times New Roman" w:eastAsia="Times New Roman" w:hAnsi="Times New Roman" w:cs="Times New Roman"/>
                <w:color w:val="000000"/>
                <w:sz w:val="23"/>
                <w:szCs w:val="23"/>
              </w:rPr>
              <w:t>$40</w:t>
            </w:r>
          </w:p>
        </w:tc>
        <w:tc>
          <w:tcPr>
            <w:tcW w:w="1067" w:type="dxa"/>
            <w:tcBorders>
              <w:top w:val="nil"/>
              <w:left w:val="nil"/>
              <w:bottom w:val="single" w:sz="4" w:space="0" w:color="auto"/>
              <w:right w:val="single" w:sz="4" w:space="0" w:color="auto"/>
            </w:tcBorders>
            <w:shd w:val="clear" w:color="auto" w:fill="auto"/>
            <w:noWrap/>
            <w:hideMark/>
          </w:tcPr>
          <w:p w:rsidR="0082371F" w:rsidRPr="0082371F" w:rsidRDefault="0082371F" w:rsidP="0082371F">
            <w:pPr>
              <w:jc w:val="center"/>
              <w:rPr>
                <w:rFonts w:ascii="Times New Roman" w:eastAsia="Times New Roman" w:hAnsi="Times New Roman" w:cs="Times New Roman"/>
                <w:color w:val="000000"/>
                <w:sz w:val="23"/>
                <w:szCs w:val="23"/>
              </w:rPr>
            </w:pPr>
            <w:r w:rsidRPr="0082371F">
              <w:rPr>
                <w:rFonts w:ascii="Times New Roman" w:eastAsia="Times New Roman" w:hAnsi="Times New Roman" w:cs="Times New Roman"/>
                <w:color w:val="000000"/>
                <w:sz w:val="23"/>
                <w:szCs w:val="23"/>
              </w:rPr>
              <w:t>$500</w:t>
            </w:r>
          </w:p>
        </w:tc>
        <w:tc>
          <w:tcPr>
            <w:tcW w:w="1066"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rPr>
                <w:rFonts w:ascii="Calibri" w:eastAsia="Times New Roman" w:hAnsi="Calibri" w:cs="Calibri"/>
                <w:color w:val="000000"/>
              </w:rPr>
            </w:pPr>
            <w:r w:rsidRPr="0082371F">
              <w:rPr>
                <w:rFonts w:ascii="Calibri" w:eastAsia="Times New Roman" w:hAnsi="Calibri" w:cs="Calibri"/>
                <w:color w:val="000000"/>
                <w:sz w:val="22"/>
                <w:szCs w:val="22"/>
              </w:rPr>
              <w:t> </w:t>
            </w:r>
          </w:p>
        </w:tc>
      </w:tr>
      <w:tr w:rsidR="0082371F" w:rsidRPr="0082371F" w:rsidTr="007A389A">
        <w:trPr>
          <w:trHeight w:val="31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2371F" w:rsidRPr="0082371F" w:rsidRDefault="0082371F" w:rsidP="0082371F">
            <w:pPr>
              <w:rPr>
                <w:rFonts w:ascii="Calibri" w:eastAsia="Times New Roman" w:hAnsi="Calibri" w:cs="Calibri"/>
                <w:color w:val="000000"/>
              </w:rPr>
            </w:pPr>
            <w:r w:rsidRPr="0082371F">
              <w:rPr>
                <w:rFonts w:ascii="Calibri" w:eastAsia="Times New Roman" w:hAnsi="Calibri" w:cs="Calibri"/>
                <w:color w:val="000000"/>
                <w:sz w:val="22"/>
                <w:szCs w:val="22"/>
              </w:rPr>
              <w:t> </w:t>
            </w:r>
          </w:p>
        </w:tc>
        <w:tc>
          <w:tcPr>
            <w:tcW w:w="1841"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rPr>
                <w:rFonts w:ascii="Calibri" w:eastAsia="Times New Roman" w:hAnsi="Calibri" w:cs="Calibri"/>
                <w:color w:val="000000"/>
              </w:rPr>
            </w:pPr>
            <w:r w:rsidRPr="0082371F">
              <w:rPr>
                <w:rFonts w:ascii="Calibri" w:eastAsia="Times New Roman" w:hAnsi="Calibri" w:cs="Calibri"/>
                <w:color w:val="000000"/>
                <w:sz w:val="22"/>
                <w:szCs w:val="22"/>
              </w:rPr>
              <w:t>TOT OR 2012 MFR</w:t>
            </w:r>
          </w:p>
        </w:tc>
        <w:tc>
          <w:tcPr>
            <w:tcW w:w="1066"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jc w:val="center"/>
              <w:rPr>
                <w:rFonts w:ascii="Calibri" w:eastAsia="Times New Roman" w:hAnsi="Calibri" w:cs="Calibri"/>
                <w:color w:val="000000"/>
              </w:rPr>
            </w:pPr>
            <w:r w:rsidRPr="0082371F">
              <w:rPr>
                <w:rFonts w:ascii="Calibri" w:eastAsia="Times New Roman" w:hAnsi="Calibri" w:cs="Calibri"/>
                <w:color w:val="000000"/>
                <w:sz w:val="22"/>
                <w:szCs w:val="22"/>
              </w:rPr>
              <w:t>159</w:t>
            </w:r>
          </w:p>
        </w:tc>
        <w:tc>
          <w:tcPr>
            <w:tcW w:w="1066"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rPr>
                <w:rFonts w:ascii="Calibri" w:eastAsia="Times New Roman" w:hAnsi="Calibri" w:cs="Calibri"/>
                <w:color w:val="000000"/>
              </w:rPr>
            </w:pPr>
            <w:r w:rsidRPr="0082371F">
              <w:rPr>
                <w:rFonts w:ascii="Calibri" w:eastAsia="Times New Roman" w:hAnsi="Calibri" w:cs="Calibri"/>
                <w:color w:val="000000"/>
                <w:sz w:val="22"/>
                <w:szCs w:val="22"/>
              </w:rPr>
              <w:t> </w:t>
            </w:r>
          </w:p>
        </w:tc>
        <w:tc>
          <w:tcPr>
            <w:tcW w:w="1067" w:type="dxa"/>
            <w:tcBorders>
              <w:top w:val="nil"/>
              <w:left w:val="nil"/>
              <w:bottom w:val="single" w:sz="4" w:space="0" w:color="auto"/>
              <w:right w:val="single" w:sz="4" w:space="0" w:color="auto"/>
            </w:tcBorders>
            <w:shd w:val="clear" w:color="auto" w:fill="auto"/>
            <w:noWrap/>
            <w:vAlign w:val="bottom"/>
            <w:hideMark/>
          </w:tcPr>
          <w:p w:rsidR="0082371F" w:rsidRPr="0082371F" w:rsidRDefault="0082371F" w:rsidP="0082371F">
            <w:pPr>
              <w:rPr>
                <w:rFonts w:ascii="Calibri" w:eastAsia="Times New Roman" w:hAnsi="Calibri" w:cs="Calibri"/>
                <w:color w:val="000000"/>
              </w:rPr>
            </w:pPr>
            <w:r w:rsidRPr="0082371F">
              <w:rPr>
                <w:rFonts w:ascii="Calibri" w:eastAsia="Times New Roman" w:hAnsi="Calibri" w:cs="Calibri"/>
                <w:color w:val="000000"/>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rsidR="00D162C2" w:rsidRDefault="0082371F" w:rsidP="00D162C2">
            <w:pPr>
              <w:jc w:val="center"/>
              <w:rPr>
                <w:rFonts w:ascii="Calibri" w:eastAsia="Times New Roman" w:hAnsi="Calibri" w:cs="Calibri"/>
                <w:color w:val="000000"/>
              </w:rPr>
            </w:pPr>
            <w:r w:rsidRPr="0082371F">
              <w:rPr>
                <w:rFonts w:ascii="Calibri" w:eastAsia="Times New Roman" w:hAnsi="Calibri" w:cs="Calibri"/>
                <w:color w:val="000000"/>
                <w:sz w:val="22"/>
                <w:szCs w:val="22"/>
              </w:rPr>
              <w:t>159</w:t>
            </w:r>
          </w:p>
        </w:tc>
      </w:tr>
    </w:tbl>
    <w:p w:rsidR="00D162C2" w:rsidRDefault="00D162C2" w:rsidP="00D162C2">
      <w:pPr>
        <w:ind w:left="2880"/>
      </w:pPr>
    </w:p>
    <w:p w:rsidR="00401783" w:rsidRDefault="007A389A" w:rsidP="006C2351">
      <w:pPr>
        <w:pStyle w:val="ListParagraph"/>
        <w:numPr>
          <w:ilvl w:val="0"/>
          <w:numId w:val="21"/>
        </w:numPr>
      </w:pPr>
      <w:r>
        <w:t>Looking at the fee comparison table above, the top two tiers see significantly smaller registration fees with the two tier structure as opposed to the DEQ proposed structure, while the other five tiers see a much higher registration fee.</w:t>
      </w:r>
    </w:p>
    <w:p w:rsidR="007A389A" w:rsidRDefault="007A389A" w:rsidP="007A389A">
      <w:pPr>
        <w:pStyle w:val="ListParagraph"/>
        <w:numPr>
          <w:ilvl w:val="0"/>
          <w:numId w:val="21"/>
        </w:numPr>
      </w:pPr>
      <w:r>
        <w:t xml:space="preserve">Additionally, many of the smaller tiers could experience a 3,400% increase in fees – having their fees raised from $200 to $7000.  This increase is dramatic compared to the maximum fee increase of 133% (for Tier 1 manufacturers) proposed in the current fee structure.  </w:t>
      </w:r>
    </w:p>
    <w:p w:rsidR="006C2351" w:rsidRDefault="006C2351" w:rsidP="006C2351">
      <w:pPr>
        <w:pStyle w:val="ListParagraph"/>
        <w:numPr>
          <w:ilvl w:val="0"/>
          <w:numId w:val="21"/>
        </w:numPr>
      </w:pPr>
      <w:r>
        <w:t xml:space="preserve">When applying the suggested fee structure against 5 years of historical market share data, it does allow DEQ to meet its current and projected revenue need outlined in this rulemaking.  However, since the fee structure </w:t>
      </w:r>
      <w:proofErr w:type="gramStart"/>
      <w:r>
        <w:t>is not directly tied</w:t>
      </w:r>
      <w:proofErr w:type="gramEnd"/>
      <w:r>
        <w:t xml:space="preserve"> to revenue need, changes in market conditions (such as market consolidation) could result in future revenue shortfalls.  More importantly, when setting the original fee structure in 2007, the legislature recognized that larger manufacturers have the ability to pay more in registration fees.  The suggested 2-tier structure completely ignores this concept and actually lowers fees for the largest manufacturers.</w:t>
      </w:r>
    </w:p>
    <w:p w:rsidR="006C2351" w:rsidRDefault="006C2351" w:rsidP="006C2351">
      <w:pPr>
        <w:pStyle w:val="ListParagraph"/>
        <w:numPr>
          <w:ilvl w:val="0"/>
          <w:numId w:val="21"/>
        </w:numPr>
      </w:pPr>
      <w:r>
        <w:t xml:space="preserve">DEQ does not think the suggested 2-tier model will work because it fails to recognize ability to pay, </w:t>
      </w:r>
      <w:proofErr w:type="gramStart"/>
      <w:r>
        <w:t>isn’t</w:t>
      </w:r>
      <w:proofErr w:type="gramEnd"/>
      <w:r>
        <w:t xml:space="preserve"> tied to revenue need, and results in significant fee increases for smaller manufacturers while lowering the fees for larger manufacturers.</w:t>
      </w:r>
    </w:p>
    <w:p w:rsidR="006C2351" w:rsidRDefault="006C2351" w:rsidP="006C2351">
      <w:pPr>
        <w:rPr>
          <w:b/>
        </w:rPr>
      </w:pPr>
    </w:p>
    <w:p w:rsidR="002C24C1" w:rsidRPr="00173A1F" w:rsidRDefault="002C24C1" w:rsidP="002C24C1">
      <w:pPr>
        <w:pStyle w:val="ListParagraph"/>
        <w:numPr>
          <w:ilvl w:val="0"/>
          <w:numId w:val="19"/>
        </w:numPr>
        <w:rPr>
          <w:b/>
        </w:rPr>
      </w:pPr>
      <w:r w:rsidRPr="00173A1F">
        <w:rPr>
          <w:b/>
        </w:rPr>
        <w:t>Revenue need adjustments provide little incentive for DEQ to pare costs</w:t>
      </w:r>
      <w:r>
        <w:rPr>
          <w:b/>
        </w:rPr>
        <w:t xml:space="preserve"> </w:t>
      </w:r>
      <w:r w:rsidRPr="00173A1F">
        <w:rPr>
          <w:b/>
        </w:rPr>
        <w:t>(</w:t>
      </w:r>
      <w:r>
        <w:t>Commenter #7</w:t>
      </w:r>
      <w:r w:rsidRPr="007D3C35">
        <w:t>)</w:t>
      </w:r>
    </w:p>
    <w:p w:rsidR="002C24C1" w:rsidRDefault="002C24C1" w:rsidP="002C24C1">
      <w:pPr>
        <w:pStyle w:val="ListParagraph"/>
        <w:numPr>
          <w:ilvl w:val="0"/>
          <w:numId w:val="15"/>
        </w:numPr>
      </w:pPr>
      <w:r>
        <w:t>Adjusting the revenue target upward for subsequent years and guaranteeing an annual revenue stream provides little incentive for DEQ to seek program efficiencies or cost savings. (7)</w:t>
      </w:r>
    </w:p>
    <w:p w:rsidR="002C24C1" w:rsidRDefault="002C24C1" w:rsidP="002C24C1">
      <w:pPr>
        <w:pStyle w:val="ListParagraph"/>
        <w:numPr>
          <w:ilvl w:val="0"/>
          <w:numId w:val="15"/>
        </w:numPr>
      </w:pPr>
      <w:r>
        <w:t>The revenue need adjustment implies that DEQ can increase guaranteed revenue targets upward if it asserts it needs more revenue. (7)</w:t>
      </w:r>
    </w:p>
    <w:p w:rsidR="002C24C1" w:rsidRDefault="002C24C1" w:rsidP="002C24C1">
      <w:pPr>
        <w:pStyle w:val="ListParagraph"/>
        <w:numPr>
          <w:ilvl w:val="0"/>
          <w:numId w:val="15"/>
        </w:numPr>
      </w:pPr>
      <w:r>
        <w:t>Allowing DEQ to raise revenue for uncollected fees provides little incentive for DEQ to collect fees owed. (7)</w:t>
      </w:r>
    </w:p>
    <w:p w:rsidR="002C24C1" w:rsidRDefault="002C24C1" w:rsidP="002C24C1">
      <w:pPr>
        <w:ind w:left="360"/>
      </w:pPr>
    </w:p>
    <w:p w:rsidR="002C24C1" w:rsidRPr="007718AF" w:rsidRDefault="002C24C1" w:rsidP="002C24C1">
      <w:pPr>
        <w:ind w:left="360"/>
        <w:rPr>
          <w:b/>
        </w:rPr>
      </w:pPr>
      <w:r w:rsidRPr="007718AF">
        <w:rPr>
          <w:b/>
        </w:rPr>
        <w:t>Response:</w:t>
      </w:r>
      <w:r>
        <w:rPr>
          <w:b/>
        </w:rPr>
        <w:t xml:space="preserve"> </w:t>
      </w:r>
    </w:p>
    <w:p w:rsidR="009A3DEB" w:rsidRDefault="009A3DEB" w:rsidP="009A3DEB">
      <w:pPr>
        <w:pStyle w:val="ListParagraph"/>
        <w:numPr>
          <w:ilvl w:val="0"/>
          <w:numId w:val="23"/>
        </w:numPr>
      </w:pPr>
      <w:r w:rsidRPr="00614458">
        <w:t xml:space="preserve">The proposed rules would </w:t>
      </w:r>
      <w:r w:rsidRPr="004613F7">
        <w:rPr>
          <w:i/>
        </w:rPr>
        <w:t>require</w:t>
      </w:r>
      <w:r>
        <w:t xml:space="preserve"> </w:t>
      </w:r>
      <w:r w:rsidRPr="00614458">
        <w:t xml:space="preserve">DEQ to </w:t>
      </w:r>
      <w:r w:rsidRPr="00614458">
        <w:rPr>
          <w:i/>
        </w:rPr>
        <w:t>reduce</w:t>
      </w:r>
      <w:r w:rsidRPr="00614458">
        <w:t xml:space="preserve"> revenue need if registration fee revenue exceeds DEQ’s actual costs for the program</w:t>
      </w:r>
      <w:r>
        <w:t>.  They would</w:t>
      </w:r>
      <w:r w:rsidRPr="00614458">
        <w:t xml:space="preserve"> </w:t>
      </w:r>
      <w:r w:rsidRPr="004613F7">
        <w:rPr>
          <w:i/>
        </w:rPr>
        <w:t>allow</w:t>
      </w:r>
      <w:r w:rsidRPr="00614458">
        <w:t xml:space="preserve"> DEQ to </w:t>
      </w:r>
      <w:r w:rsidRPr="00614458">
        <w:rPr>
          <w:i/>
        </w:rPr>
        <w:t>increase</w:t>
      </w:r>
      <w:r>
        <w:t xml:space="preserve"> revenue need only </w:t>
      </w:r>
      <w:proofErr w:type="gramStart"/>
      <w:r>
        <w:t>in the amount of uncollected</w:t>
      </w:r>
      <w:proofErr w:type="gramEnd"/>
      <w:r>
        <w:t xml:space="preserve"> fees owed for prior years (e.g., major bankruptcies or other uncollectable debt), and then only as needed to cover program costs.  Any other adjustments to revenue need would require a rule amendment.  </w:t>
      </w:r>
    </w:p>
    <w:p w:rsidR="009A3DEB" w:rsidRDefault="009A3DEB" w:rsidP="009A3DEB">
      <w:pPr>
        <w:ind w:left="1080"/>
      </w:pPr>
    </w:p>
    <w:p w:rsidR="009A3DEB" w:rsidRDefault="009A3DEB" w:rsidP="009A3DEB">
      <w:pPr>
        <w:pStyle w:val="ListParagraph"/>
        <w:numPr>
          <w:ilvl w:val="0"/>
          <w:numId w:val="23"/>
        </w:numPr>
      </w:pPr>
      <w:r>
        <w:t xml:space="preserve">DEQ has a high collection rate and will continue to aggressively pursue fee collection and strive to control costs to cover revenue shortfalls.  Nevertheless, retaining the authority to add uncollected revenue to revenue need will help ensure that registrations fees do cover DEQ’s program costs, as intended by the legislature.  DEQ has added language to the proposed rules stating that it will make reasonable efforts to collect fees owed.  </w:t>
      </w:r>
    </w:p>
    <w:p w:rsidR="009A3DEB" w:rsidRDefault="009A3DEB" w:rsidP="009A3DEB">
      <w:pPr>
        <w:pStyle w:val="ListParagraph"/>
        <w:numPr>
          <w:ilvl w:val="0"/>
          <w:numId w:val="23"/>
        </w:numPr>
      </w:pPr>
      <w:r>
        <w:t xml:space="preserve">To help provide accountability for controlling program costs, the proposed rules require DEQ to report its current and projected program expenditures and revenue each year. If fee revenue exceeds program costs, the rules would also require DEQ to evaluate whether revenue need </w:t>
      </w:r>
      <w:proofErr w:type="gramStart"/>
      <w:r>
        <w:t>should be reduced</w:t>
      </w:r>
      <w:proofErr w:type="gramEnd"/>
      <w:r>
        <w:t xml:space="preserve"> in future years.  DEQ will continue to discuss this financial information with stakeholders and, as noted in response to comment </w:t>
      </w:r>
      <w:proofErr w:type="gramStart"/>
      <w:r>
        <w:t>9</w:t>
      </w:r>
      <w:proofErr w:type="gramEnd"/>
      <w:r>
        <w:t>, will continue to work with them on ongoing program improvements and cost reductions.</w:t>
      </w:r>
    </w:p>
    <w:p w:rsidR="009A3DEB" w:rsidRDefault="009A3DEB" w:rsidP="009A3DEB"/>
    <w:p w:rsidR="002C24C1" w:rsidRDefault="002C24C1" w:rsidP="002C24C1"/>
    <w:p w:rsidR="002C24C1" w:rsidRDefault="002C24C1" w:rsidP="002C24C1"/>
    <w:p w:rsidR="002C24C1" w:rsidRPr="00173A1F" w:rsidRDefault="002C24C1" w:rsidP="002C24C1">
      <w:pPr>
        <w:pStyle w:val="ListParagraph"/>
        <w:numPr>
          <w:ilvl w:val="0"/>
          <w:numId w:val="19"/>
        </w:numPr>
        <w:rPr>
          <w:b/>
        </w:rPr>
      </w:pPr>
      <w:r w:rsidRPr="00173A1F">
        <w:rPr>
          <w:b/>
        </w:rPr>
        <w:t>DEQ should reduce its administrative costs for the E-Cycles program</w:t>
      </w:r>
      <w:r>
        <w:rPr>
          <w:b/>
        </w:rPr>
        <w:t xml:space="preserve"> </w:t>
      </w:r>
      <w:r w:rsidRPr="00173A1F">
        <w:rPr>
          <w:b/>
        </w:rPr>
        <w:t>(</w:t>
      </w:r>
      <w:r>
        <w:t>Commenters #5, 6, &amp; 8</w:t>
      </w:r>
      <w:r w:rsidRPr="007D3C35">
        <w:t>)</w:t>
      </w:r>
    </w:p>
    <w:p w:rsidR="002C24C1" w:rsidRDefault="002C24C1" w:rsidP="002C24C1">
      <w:pPr>
        <w:pStyle w:val="ListParagraph"/>
        <w:numPr>
          <w:ilvl w:val="0"/>
          <w:numId w:val="16"/>
        </w:numPr>
        <w:ind w:left="720"/>
      </w:pPr>
      <w:r w:rsidRPr="0098797E">
        <w:t xml:space="preserve">DEQ assured stakeholders that possible revenue reductions and cost containment strategies </w:t>
      </w:r>
      <w:proofErr w:type="gramStart"/>
      <w:r w:rsidRPr="0098797E">
        <w:t>would be presented</w:t>
      </w:r>
      <w:proofErr w:type="gramEnd"/>
      <w:r w:rsidRPr="0098797E">
        <w:t xml:space="preserve"> along with tier revisions, but stakeholders have not been provided with a good faith effort to provide this information.</w:t>
      </w:r>
      <w:r>
        <w:t xml:space="preserve"> (5)</w:t>
      </w:r>
    </w:p>
    <w:p w:rsidR="002C24C1" w:rsidRDefault="002C24C1" w:rsidP="002C24C1">
      <w:pPr>
        <w:pStyle w:val="ListParagraph"/>
        <w:numPr>
          <w:ilvl w:val="0"/>
          <w:numId w:val="16"/>
        </w:numPr>
        <w:ind w:left="720"/>
      </w:pPr>
      <w:r>
        <w:t xml:space="preserve">With the program in its fourth year of operations and start-up activities completed, program oversight </w:t>
      </w:r>
      <w:proofErr w:type="gramStart"/>
      <w:r>
        <w:t>should be streamlined</w:t>
      </w:r>
      <w:proofErr w:type="gramEnd"/>
      <w:r>
        <w:t xml:space="preserve"> to reflect that it is now an ongoing program that is running effectively. (5)</w:t>
      </w:r>
    </w:p>
    <w:p w:rsidR="002C24C1" w:rsidRDefault="002C24C1" w:rsidP="002C24C1">
      <w:pPr>
        <w:pStyle w:val="ListParagraph"/>
        <w:numPr>
          <w:ilvl w:val="0"/>
          <w:numId w:val="16"/>
        </w:numPr>
        <w:ind w:left="720"/>
      </w:pPr>
      <w:r>
        <w:t xml:space="preserve">DEQ should work with CEA to develop a plan to reduce program oversight costs by 90% during the coming years so that manufacturers’ resources </w:t>
      </w:r>
      <w:proofErr w:type="gramStart"/>
      <w:r>
        <w:t>are spent</w:t>
      </w:r>
      <w:proofErr w:type="gramEnd"/>
      <w:r>
        <w:t xml:space="preserve"> on recycling and other direct program costs. The proposed registration fees add roughly 2 cents per pound of recycling to pay for DEQ’s data management and oversight of the recycling programs that manufacturers fund. The $435,000 in revenue needed for 2013 and 2014 would fund an estimated 2 million pounds of additional recycling each year; the additional revenue need in 2016 would yield even higher levels. (6)</w:t>
      </w:r>
    </w:p>
    <w:p w:rsidR="002C24C1" w:rsidRDefault="002C24C1" w:rsidP="002C24C1">
      <w:pPr>
        <w:ind w:left="360"/>
      </w:pPr>
    </w:p>
    <w:p w:rsidR="002C24C1" w:rsidRDefault="002C24C1" w:rsidP="002C24C1">
      <w:pPr>
        <w:ind w:left="720"/>
        <w:rPr>
          <w:b/>
        </w:rPr>
      </w:pPr>
      <w:r w:rsidRPr="007718AF">
        <w:rPr>
          <w:b/>
        </w:rPr>
        <w:t>Response:</w:t>
      </w:r>
    </w:p>
    <w:p w:rsidR="009A3DEB" w:rsidRDefault="009A3DEB" w:rsidP="009A3DEB">
      <w:pPr>
        <w:ind w:left="720"/>
      </w:pPr>
      <w:r>
        <w:t>D</w:t>
      </w:r>
      <w:r w:rsidRPr="00332669">
        <w:t xml:space="preserve">EQ </w:t>
      </w:r>
      <w:r>
        <w:t xml:space="preserve">significantly reduced costs in the fiscal year ending June 2011 as promised to the E-Cycles workgroup in June 2010. The program reduced staff from 2.7 to 1.7 FTE and significantly reduced high-cost program activities.  To operate within the proposed revenue need, DEQ expects to further pare program activities and gain efficiencies to offset cost increases such as salary and benefit adjustments and inflation.  DEQ is also committed to continue working with manufacturers, E-Cycles recycling program representatives and other stakeholders to identify and pursue additional opportunities to improve and streamline the program and costs for both DEQ and manufacturers, who fund their recycling programs as well as DEQ’s oversight.  DEQ does not believe program costs </w:t>
      </w:r>
      <w:proofErr w:type="gramStart"/>
      <w:r>
        <w:t>can be reduced</w:t>
      </w:r>
      <w:proofErr w:type="gramEnd"/>
      <w:r>
        <w:t xml:space="preserve"> by 90% as suggested, without significant changes in program design that would require legislation, which DEQ is also willing to discuss. DEQ has appreciated the Consumer Electronics Associations participation in the E-Cycles program and welcomes its participation in these ongoing dialogs.  </w:t>
      </w:r>
    </w:p>
    <w:p w:rsidR="009A3DEB" w:rsidRPr="007718AF" w:rsidRDefault="009A3DEB" w:rsidP="002C24C1">
      <w:pPr>
        <w:ind w:left="720"/>
        <w:rPr>
          <w:b/>
        </w:rPr>
      </w:pPr>
    </w:p>
    <w:p w:rsidR="002C24C1" w:rsidRDefault="002C24C1" w:rsidP="002C24C1">
      <w:pPr>
        <w:ind w:left="360"/>
      </w:pPr>
    </w:p>
    <w:p w:rsidR="002C24C1" w:rsidRPr="00173A1F" w:rsidRDefault="002C24C1" w:rsidP="002C24C1">
      <w:pPr>
        <w:pStyle w:val="ListParagraph"/>
        <w:numPr>
          <w:ilvl w:val="0"/>
          <w:numId w:val="19"/>
        </w:numPr>
        <w:rPr>
          <w:b/>
        </w:rPr>
      </w:pPr>
      <w:r w:rsidRPr="00173A1F">
        <w:rPr>
          <w:b/>
        </w:rPr>
        <w:t>DEQ should continue dialog on whether to base market share on units or weight</w:t>
      </w:r>
      <w:r>
        <w:rPr>
          <w:b/>
        </w:rPr>
        <w:t xml:space="preserve"> </w:t>
      </w:r>
      <w:r w:rsidRPr="00173A1F">
        <w:rPr>
          <w:b/>
        </w:rPr>
        <w:t>(</w:t>
      </w:r>
      <w:r>
        <w:t>Commenter #7</w:t>
      </w:r>
      <w:r w:rsidRPr="007D3C35">
        <w:t>)</w:t>
      </w:r>
    </w:p>
    <w:p w:rsidR="002C24C1" w:rsidRDefault="002C24C1" w:rsidP="002C24C1">
      <w:pPr>
        <w:ind w:left="720"/>
      </w:pPr>
      <w:r>
        <w:t xml:space="preserve">DEQ should in the future continue the dialog about whether fees </w:t>
      </w:r>
      <w:proofErr w:type="gramStart"/>
      <w:r>
        <w:t>should be based</w:t>
      </w:r>
      <w:proofErr w:type="gramEnd"/>
      <w:r>
        <w:t xml:space="preserve"> on units sold or weight.  IT mfrs are at a disadvantage if market share is based on </w:t>
      </w:r>
      <w:proofErr w:type="gramStart"/>
      <w:r>
        <w:t>units</w:t>
      </w:r>
      <w:proofErr w:type="gramEnd"/>
      <w:r>
        <w:t xml:space="preserve"> </w:t>
      </w:r>
      <w:proofErr w:type="spellStart"/>
      <w:r>
        <w:t>bec</w:t>
      </w:r>
      <w:proofErr w:type="spellEnd"/>
      <w:r>
        <w:t>/their products are lighter than TVs. (7)</w:t>
      </w:r>
    </w:p>
    <w:p w:rsidR="002C24C1" w:rsidRDefault="002C24C1" w:rsidP="002C24C1">
      <w:pPr>
        <w:ind w:left="720"/>
      </w:pPr>
    </w:p>
    <w:p w:rsidR="002C24C1" w:rsidRPr="007718AF" w:rsidRDefault="002C24C1" w:rsidP="002C24C1">
      <w:pPr>
        <w:ind w:left="720"/>
        <w:rPr>
          <w:b/>
        </w:rPr>
      </w:pPr>
      <w:r w:rsidRPr="007718AF">
        <w:rPr>
          <w:b/>
        </w:rPr>
        <w:t>Response:</w:t>
      </w:r>
    </w:p>
    <w:p w:rsidR="009A3DEB" w:rsidRPr="00332669" w:rsidRDefault="009A3DEB" w:rsidP="009A3DEB">
      <w:pPr>
        <w:ind w:left="720"/>
      </w:pPr>
      <w:r w:rsidRPr="00332669">
        <w:t xml:space="preserve">DEQ will continue the dialog requested as part of discussion with stakeholders on program improvements. </w:t>
      </w:r>
    </w:p>
    <w:p w:rsidR="006C681B" w:rsidRDefault="006C681B" w:rsidP="006006F7">
      <w:pPr>
        <w:ind w:firstLineChars="100" w:firstLine="240"/>
        <w:outlineLvl w:val="0"/>
        <w:rPr>
          <w:rFonts w:asciiTheme="minorHAnsi" w:eastAsia="Times New Roman" w:hAnsiTheme="minorHAnsi" w:cstheme="minorHAnsi"/>
          <w:color w:val="000000"/>
        </w:rPr>
      </w:pPr>
    </w:p>
    <w:tbl>
      <w:tblPr>
        <w:tblW w:w="11430" w:type="dxa"/>
        <w:tblInd w:w="108" w:type="dxa"/>
        <w:tblLook w:val="04A0"/>
      </w:tblPr>
      <w:tblGrid>
        <w:gridCol w:w="11430"/>
      </w:tblGrid>
      <w:tr w:rsidR="006C681B" w:rsidRPr="00B15DF7" w:rsidTr="00612DAA">
        <w:trPr>
          <w:trHeight w:val="600"/>
        </w:trPr>
        <w:tc>
          <w:tcPr>
            <w:tcW w:w="11430" w:type="dxa"/>
            <w:tcBorders>
              <w:top w:val="nil"/>
              <w:left w:val="nil"/>
              <w:bottom w:val="double" w:sz="6" w:space="0" w:color="7F7F7F"/>
              <w:right w:val="nil"/>
            </w:tcBorders>
            <w:shd w:val="clear" w:color="000000" w:fill="D8D3C6"/>
            <w:noWrap/>
            <w:vAlign w:val="bottom"/>
          </w:tcPr>
          <w:p w:rsidR="006C681B" w:rsidRPr="00823C9D" w:rsidRDefault="006C681B" w:rsidP="00612DAA">
            <w:pPr>
              <w:outlineLvl w:val="0"/>
              <w:rPr>
                <w:rFonts w:eastAsia="Times New Roman"/>
                <w:b/>
                <w:bCs/>
                <w:color w:val="32525C"/>
                <w:sz w:val="28"/>
                <w:szCs w:val="28"/>
              </w:rPr>
            </w:pPr>
            <w:r w:rsidRPr="00B15DF7">
              <w:rPr>
                <w:rFonts w:eastAsia="Times New Roman"/>
                <w:bCs/>
                <w:color w:val="504938"/>
                <w:sz w:val="22"/>
                <w:szCs w:val="22"/>
              </w:rPr>
              <w:t> </w:t>
            </w:r>
          </w:p>
          <w:p w:rsidR="006C681B" w:rsidRPr="004F673A" w:rsidRDefault="006C681B" w:rsidP="00612DAA">
            <w:pPr>
              <w:outlineLvl w:val="0"/>
              <w:rPr>
                <w:rFonts w:eastAsia="Times New Roman"/>
                <w:bCs/>
                <w:color w:val="32525C"/>
                <w:sz w:val="28"/>
                <w:szCs w:val="28"/>
              </w:rPr>
            </w:pPr>
            <w:r>
              <w:rPr>
                <w:rFonts w:eastAsia="Times New Roman"/>
                <w:bCs/>
                <w:color w:val="32525C"/>
                <w:sz w:val="28"/>
                <w:szCs w:val="28"/>
              </w:rPr>
              <w:t>Commenters</w:t>
            </w:r>
          </w:p>
        </w:tc>
      </w:tr>
    </w:tbl>
    <w:p w:rsidR="006C681B" w:rsidRPr="00B15DF7" w:rsidRDefault="006C681B" w:rsidP="006C681B">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6C681B" w:rsidRPr="00DC04D1" w:rsidRDefault="006C681B" w:rsidP="006C681B">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6C681B" w:rsidRDefault="006C681B" w:rsidP="006C681B">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 xml:space="preserve">lists eight people and organizations who submitted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s on the proposed rules by the deadline for submitting public comment. The original comments are on file with DEQ.</w:t>
      </w:r>
    </w:p>
    <w:p w:rsidR="006C681B" w:rsidRPr="00B838E2" w:rsidRDefault="006C681B" w:rsidP="006C681B">
      <w:pPr>
        <w:spacing w:after="120"/>
        <w:ind w:left="720" w:right="630"/>
        <w:outlineLvl w:val="0"/>
        <w:rPr>
          <w:rFonts w:asciiTheme="minorHAnsi" w:eastAsia="Times New Roman" w:hAnsiTheme="minorHAnsi" w:cstheme="minorHAnsi"/>
          <w:b/>
          <w:bCs/>
          <w:color w:val="000000" w:themeColor="text1"/>
        </w:rPr>
      </w:pPr>
    </w:p>
    <w:p w:rsidR="006C681B" w:rsidRDefault="006C681B" w:rsidP="006C681B">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03152" w:themeColor="accent4" w:themeShade="80"/>
          <w:sz w:val="22"/>
          <w:szCs w:val="22"/>
        </w:rPr>
        <w:t>Commenter:</w:t>
      </w:r>
      <w:r>
        <w:rPr>
          <w:rFonts w:asciiTheme="majorHAnsi" w:eastAsia="Times New Roman" w:hAnsiTheme="majorHAnsi" w:cstheme="majorHAnsi"/>
          <w:b/>
          <w:bCs/>
          <w:color w:val="403152" w:themeColor="accent4" w:themeShade="80"/>
          <w:sz w:val="22"/>
          <w:szCs w:val="22"/>
        </w:rPr>
        <w:tab/>
        <w:t xml:space="preserve"> </w:t>
      </w:r>
      <w:r>
        <w:rPr>
          <w:rFonts w:asciiTheme="minorHAnsi" w:eastAsia="Times New Roman" w:hAnsiTheme="minorHAnsi" w:cstheme="minorHAnsi"/>
          <w:bCs/>
          <w:color w:val="000000" w:themeColor="text1"/>
        </w:rPr>
        <w:t>Tom Sherman</w:t>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03152" w:themeColor="accent4" w:themeShade="80"/>
          <w:sz w:val="22"/>
          <w:szCs w:val="22"/>
        </w:rPr>
        <w:t>Affiliation:</w:t>
      </w:r>
      <w:r>
        <w:rPr>
          <w:rFonts w:asciiTheme="minorHAnsi" w:eastAsia="Times New Roman" w:hAnsiTheme="minorHAnsi" w:cstheme="minorHAnsi"/>
          <w:bCs/>
          <w:color w:val="000000" w:themeColor="text1"/>
        </w:rPr>
        <w:t xml:space="preserve"> Interested Party</w:t>
      </w:r>
    </w:p>
    <w:p w:rsidR="006C681B" w:rsidRPr="00C944E5" w:rsidRDefault="006C681B" w:rsidP="006C681B">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categories </w:t>
      </w:r>
      <w:r w:rsidRPr="00C944E5">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1</w:t>
      </w:r>
      <w:r w:rsidRPr="00C944E5">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6C681B" w:rsidRPr="00B838E2" w:rsidRDefault="006C681B" w:rsidP="006C681B">
      <w:pPr>
        <w:pStyle w:val="ListParagraph"/>
        <w:spacing w:after="120"/>
        <w:ind w:left="1440" w:right="630"/>
        <w:outlineLvl w:val="0"/>
        <w:rPr>
          <w:rFonts w:asciiTheme="majorHAnsi" w:eastAsia="Times New Roman" w:hAnsiTheme="majorHAnsi" w:cstheme="majorHAnsi"/>
          <w:bCs/>
          <w:color w:val="000000" w:themeColor="text1"/>
          <w:sz w:val="22"/>
          <w:szCs w:val="22"/>
        </w:rPr>
      </w:pPr>
      <w:r>
        <w:rPr>
          <w:rFonts w:asciiTheme="minorHAnsi" w:eastAsia="Times New Roman" w:hAnsiTheme="minorHAnsi" w:cstheme="minorHAnsi"/>
          <w:bCs/>
          <w:color w:val="000000" w:themeColor="text1"/>
          <w:sz w:val="22"/>
          <w:szCs w:val="22"/>
        </w:rPr>
        <w:tab/>
      </w:r>
    </w:p>
    <w:p w:rsidR="006C681B" w:rsidRPr="00B838E2" w:rsidRDefault="006C681B" w:rsidP="006C681B">
      <w:pPr>
        <w:pStyle w:val="ListParagraph"/>
        <w:spacing w:after="120"/>
        <w:ind w:left="1440" w:right="630" w:hanging="360"/>
        <w:outlineLvl w:val="0"/>
        <w:rPr>
          <w:rFonts w:asciiTheme="minorHAnsi" w:eastAsia="Times New Roman" w:hAnsiTheme="minorHAnsi" w:cstheme="minorHAnsi"/>
          <w:b/>
          <w:bCs/>
          <w:color w:val="000000" w:themeColor="text1"/>
        </w:rPr>
      </w:pPr>
      <w:r w:rsidRPr="00B838E2">
        <w:rPr>
          <w:rFonts w:asciiTheme="majorHAnsi" w:eastAsia="Times New Roman" w:hAnsiTheme="majorHAnsi" w:cstheme="majorHAnsi"/>
          <w:bCs/>
          <w:color w:val="000000" w:themeColor="text1"/>
          <w:sz w:val="22"/>
          <w:szCs w:val="22"/>
        </w:rPr>
        <w:tab/>
      </w:r>
    </w:p>
    <w:p w:rsidR="006C681B" w:rsidRDefault="006C681B" w:rsidP="006C681B">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03152" w:themeColor="accent4" w:themeShade="80"/>
          <w:sz w:val="22"/>
          <w:szCs w:val="22"/>
        </w:rPr>
        <w:t>Commenter:</w:t>
      </w:r>
      <w:r>
        <w:rPr>
          <w:rFonts w:asciiTheme="majorHAnsi" w:eastAsia="Times New Roman" w:hAnsiTheme="majorHAnsi" w:cstheme="majorHAnsi"/>
          <w:b/>
          <w:bCs/>
          <w:color w:val="403152" w:themeColor="accent4" w:themeShade="80"/>
          <w:sz w:val="22"/>
          <w:szCs w:val="22"/>
        </w:rPr>
        <w:tab/>
        <w:t xml:space="preserve"> </w:t>
      </w:r>
      <w:r>
        <w:rPr>
          <w:rFonts w:asciiTheme="minorHAnsi" w:eastAsia="Times New Roman" w:hAnsiTheme="minorHAnsi" w:cstheme="minorHAnsi"/>
          <w:bCs/>
          <w:color w:val="000000" w:themeColor="text1"/>
        </w:rPr>
        <w:t>Chris Chenoweth</w:t>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03152" w:themeColor="accent4" w:themeShade="80"/>
          <w:sz w:val="22"/>
          <w:szCs w:val="22"/>
        </w:rPr>
        <w:t>Affiliation:</w:t>
      </w:r>
      <w:r w:rsidRPr="00C944E5">
        <w:rPr>
          <w:rFonts w:asciiTheme="minorHAnsi" w:eastAsia="Times New Roman" w:hAnsiTheme="minorHAnsi" w:cstheme="minorHAnsi"/>
          <w:bCs/>
          <w:color w:val="000000" w:themeColor="text1"/>
        </w:rPr>
        <w:tab/>
      </w:r>
      <w:proofErr w:type="spellStart"/>
      <w:r>
        <w:rPr>
          <w:rFonts w:asciiTheme="minorHAnsi" w:eastAsia="Times New Roman" w:hAnsiTheme="minorHAnsi" w:cstheme="minorHAnsi"/>
          <w:bCs/>
          <w:color w:val="000000" w:themeColor="text1"/>
        </w:rPr>
        <w:t>Acupro</w:t>
      </w:r>
      <w:proofErr w:type="spellEnd"/>
      <w:r>
        <w:rPr>
          <w:rFonts w:asciiTheme="minorHAnsi" w:eastAsia="Times New Roman" w:hAnsiTheme="minorHAnsi" w:cstheme="minorHAnsi"/>
          <w:bCs/>
          <w:color w:val="000000" w:themeColor="text1"/>
        </w:rPr>
        <w:t>-Oregon</w:t>
      </w:r>
    </w:p>
    <w:p w:rsidR="006C681B" w:rsidRPr="00C944E5" w:rsidRDefault="006C681B" w:rsidP="006C681B">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categories </w:t>
      </w:r>
      <w:r w:rsidRPr="00C944E5">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 xml:space="preserve">2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 xml:space="preserve">section </w:t>
      </w:r>
      <w:proofErr w:type="gramStart"/>
      <w:r>
        <w:rPr>
          <w:rFonts w:asciiTheme="minorHAnsi" w:eastAsia="Times New Roman" w:hAnsiTheme="minorHAnsi" w:cstheme="minorHAnsi"/>
          <w:bCs/>
          <w:color w:val="000000" w:themeColor="text1"/>
        </w:rPr>
        <w:t>above</w:t>
      </w:r>
      <w:proofErr w:type="gramEnd"/>
      <w:r>
        <w:rPr>
          <w:rFonts w:asciiTheme="minorHAnsi" w:eastAsia="Times New Roman" w:hAnsiTheme="minorHAnsi" w:cstheme="minorHAnsi"/>
          <w:bCs/>
          <w:color w:val="000000" w:themeColor="text1"/>
        </w:rPr>
        <w:t>.</w:t>
      </w:r>
    </w:p>
    <w:p w:rsidR="006C681B" w:rsidRDefault="006C681B" w:rsidP="006C681B">
      <w:pPr>
        <w:pStyle w:val="ListParagraph"/>
        <w:spacing w:after="120"/>
        <w:ind w:left="3240" w:right="630" w:hanging="360"/>
        <w:outlineLvl w:val="0"/>
        <w:rPr>
          <w:rFonts w:asciiTheme="minorHAnsi" w:eastAsia="Times New Roman" w:hAnsiTheme="minorHAnsi" w:cstheme="minorHAnsi"/>
          <w:bCs/>
          <w:color w:val="000000" w:themeColor="text1"/>
        </w:rPr>
      </w:pPr>
    </w:p>
    <w:p w:rsidR="006C681B" w:rsidRPr="00B838E2" w:rsidRDefault="006C681B" w:rsidP="006C681B">
      <w:pPr>
        <w:pStyle w:val="ListParagraph"/>
        <w:spacing w:after="120"/>
        <w:ind w:left="1440" w:right="630" w:hanging="360"/>
        <w:outlineLvl w:val="0"/>
        <w:rPr>
          <w:rFonts w:asciiTheme="minorHAnsi" w:eastAsia="Times New Roman" w:hAnsiTheme="minorHAnsi" w:cstheme="minorHAnsi"/>
          <w:b/>
          <w:bCs/>
          <w:color w:val="000000" w:themeColor="text1"/>
        </w:rPr>
      </w:pPr>
    </w:p>
    <w:p w:rsidR="006C681B" w:rsidRDefault="006C681B" w:rsidP="006C681B">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03152" w:themeColor="accent4" w:themeShade="80"/>
          <w:sz w:val="22"/>
          <w:szCs w:val="22"/>
        </w:rPr>
        <w:t>Commenter:</w:t>
      </w:r>
      <w:r>
        <w:rPr>
          <w:rFonts w:asciiTheme="majorHAnsi" w:eastAsia="Times New Roman" w:hAnsiTheme="majorHAnsi" w:cstheme="majorHAnsi"/>
          <w:b/>
          <w:bCs/>
          <w:color w:val="403152" w:themeColor="accent4" w:themeShade="80"/>
          <w:sz w:val="22"/>
          <w:szCs w:val="22"/>
        </w:rPr>
        <w:tab/>
        <w:t xml:space="preserve"> </w:t>
      </w:r>
      <w:r>
        <w:rPr>
          <w:rFonts w:asciiTheme="minorHAnsi" w:eastAsia="Times New Roman" w:hAnsiTheme="minorHAnsi" w:cstheme="minorHAnsi"/>
          <w:bCs/>
          <w:color w:val="000000" w:themeColor="text1"/>
        </w:rPr>
        <w:t>Patrick Ewing</w:t>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03152" w:themeColor="accent4" w:themeShade="80"/>
          <w:sz w:val="22"/>
          <w:szCs w:val="22"/>
        </w:rPr>
        <w:t>Affiliation:</w:t>
      </w:r>
      <w:r w:rsidRPr="00C944E5">
        <w:rPr>
          <w:rFonts w:asciiTheme="minorHAnsi" w:eastAsia="Times New Roman" w:hAnsiTheme="minorHAnsi" w:cstheme="minorHAnsi"/>
          <w:bCs/>
          <w:color w:val="000000" w:themeColor="text1"/>
        </w:rPr>
        <w:tab/>
      </w:r>
      <w:proofErr w:type="spellStart"/>
      <w:r>
        <w:rPr>
          <w:rFonts w:asciiTheme="minorHAnsi" w:eastAsia="Times New Roman" w:hAnsiTheme="minorHAnsi" w:cstheme="minorHAnsi"/>
          <w:bCs/>
          <w:color w:val="000000" w:themeColor="text1"/>
        </w:rPr>
        <w:t>Bizmobyte</w:t>
      </w:r>
      <w:proofErr w:type="spellEnd"/>
      <w:r>
        <w:rPr>
          <w:rFonts w:asciiTheme="minorHAnsi" w:eastAsia="Times New Roman" w:hAnsiTheme="minorHAnsi" w:cstheme="minorHAnsi"/>
          <w:bCs/>
          <w:color w:val="000000" w:themeColor="text1"/>
        </w:rPr>
        <w:t xml:space="preserve"> Computers</w:t>
      </w:r>
    </w:p>
    <w:p w:rsidR="006C681B" w:rsidRDefault="006C681B" w:rsidP="006C681B">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categories </w:t>
      </w:r>
      <w:r w:rsidRPr="00C944E5">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 xml:space="preserve">2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 xml:space="preserve">section </w:t>
      </w:r>
      <w:proofErr w:type="gramStart"/>
      <w:r>
        <w:rPr>
          <w:rFonts w:asciiTheme="minorHAnsi" w:eastAsia="Times New Roman" w:hAnsiTheme="minorHAnsi" w:cstheme="minorHAnsi"/>
          <w:bCs/>
          <w:color w:val="000000" w:themeColor="text1"/>
        </w:rPr>
        <w:t>above</w:t>
      </w:r>
      <w:proofErr w:type="gramEnd"/>
      <w:r>
        <w:rPr>
          <w:rFonts w:asciiTheme="minorHAnsi" w:eastAsia="Times New Roman" w:hAnsiTheme="minorHAnsi" w:cstheme="minorHAnsi"/>
          <w:bCs/>
          <w:color w:val="000000" w:themeColor="text1"/>
        </w:rPr>
        <w:t>.</w:t>
      </w:r>
    </w:p>
    <w:p w:rsidR="006C681B" w:rsidRDefault="006C681B" w:rsidP="006C681B">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6C681B" w:rsidRPr="00B040EA" w:rsidRDefault="006C681B" w:rsidP="006C681B">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sidRPr="00B040EA">
        <w:rPr>
          <w:rFonts w:asciiTheme="majorHAnsi" w:eastAsia="Times New Roman" w:hAnsiTheme="majorHAnsi" w:cstheme="majorHAnsi"/>
          <w:b/>
          <w:bCs/>
          <w:color w:val="403152" w:themeColor="accent4" w:themeShade="80"/>
          <w:sz w:val="22"/>
          <w:szCs w:val="22"/>
        </w:rPr>
        <w:t>Commenter:</w:t>
      </w:r>
      <w:r w:rsidRPr="00B040EA">
        <w:rPr>
          <w:rFonts w:asciiTheme="majorHAnsi" w:eastAsia="Times New Roman" w:hAnsiTheme="majorHAnsi" w:cstheme="majorHAnsi"/>
          <w:b/>
          <w:bCs/>
          <w:color w:val="403152" w:themeColor="accent4" w:themeShade="80"/>
          <w:sz w:val="22"/>
          <w:szCs w:val="22"/>
        </w:rPr>
        <w:tab/>
      </w:r>
      <w:r w:rsidRPr="00B040EA">
        <w:rPr>
          <w:rFonts w:asciiTheme="minorHAnsi" w:eastAsia="Times New Roman" w:hAnsiTheme="minorHAnsi" w:cstheme="minorHAnsi"/>
          <w:bCs/>
          <w:color w:val="000000" w:themeColor="text1"/>
        </w:rPr>
        <w:t xml:space="preserve">Rep. </w:t>
      </w:r>
      <w:proofErr w:type="spellStart"/>
      <w:r w:rsidRPr="00B040EA">
        <w:rPr>
          <w:rFonts w:asciiTheme="minorHAnsi" w:eastAsia="Times New Roman" w:hAnsiTheme="minorHAnsi" w:cstheme="minorHAnsi"/>
          <w:bCs/>
          <w:color w:val="000000" w:themeColor="text1"/>
        </w:rPr>
        <w:t>Sprenger</w:t>
      </w:r>
      <w:proofErr w:type="spellEnd"/>
      <w:r w:rsidRPr="00B040EA">
        <w:rPr>
          <w:rFonts w:asciiTheme="minorHAnsi" w:eastAsia="Times New Roman" w:hAnsiTheme="minorHAnsi" w:cstheme="minorHAnsi"/>
          <w:bCs/>
          <w:color w:val="000000" w:themeColor="text1"/>
        </w:rPr>
        <w:t xml:space="preserve"> on behalf of Pa</w:t>
      </w:r>
      <w:r>
        <w:rPr>
          <w:rFonts w:asciiTheme="minorHAnsi" w:eastAsia="Times New Roman" w:hAnsiTheme="minorHAnsi" w:cstheme="minorHAnsi"/>
          <w:bCs/>
          <w:color w:val="000000" w:themeColor="text1"/>
        </w:rPr>
        <w:t>u</w:t>
      </w:r>
      <w:r w:rsidRPr="00B040EA">
        <w:rPr>
          <w:rFonts w:asciiTheme="minorHAnsi" w:eastAsia="Times New Roman" w:hAnsiTheme="minorHAnsi" w:cstheme="minorHAnsi"/>
          <w:bCs/>
          <w:color w:val="000000" w:themeColor="text1"/>
        </w:rPr>
        <w:t>l Aziz, Paul’s Computer Repair</w:t>
      </w:r>
      <w:r w:rsidRPr="00B040EA">
        <w:rPr>
          <w:rFonts w:asciiTheme="minorHAnsi" w:eastAsia="Times New Roman" w:hAnsiTheme="minorHAnsi" w:cstheme="minorHAnsi"/>
          <w:bCs/>
          <w:color w:val="000000" w:themeColor="text1"/>
        </w:rPr>
        <w:tab/>
      </w:r>
      <w:r w:rsidRPr="00B040EA">
        <w:rPr>
          <w:rFonts w:asciiTheme="majorHAnsi" w:eastAsia="Times New Roman" w:hAnsiTheme="majorHAnsi" w:cstheme="majorHAnsi"/>
          <w:b/>
          <w:bCs/>
          <w:color w:val="403152" w:themeColor="accent4" w:themeShade="80"/>
          <w:sz w:val="22"/>
          <w:szCs w:val="22"/>
        </w:rPr>
        <w:t>Affiliation:</w:t>
      </w:r>
      <w:r w:rsidRPr="00B040EA">
        <w:rPr>
          <w:rFonts w:asciiTheme="minorHAnsi" w:eastAsia="Times New Roman" w:hAnsiTheme="minorHAnsi" w:cstheme="minorHAnsi"/>
          <w:bCs/>
          <w:color w:val="000000" w:themeColor="text1"/>
        </w:rPr>
        <w:tab/>
        <w:t>Oregon state legislator</w:t>
      </w:r>
    </w:p>
    <w:p w:rsidR="006C681B" w:rsidRDefault="006C681B" w:rsidP="006C681B">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categories </w:t>
      </w:r>
      <w:r w:rsidRPr="00C944E5">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 xml:space="preserve">__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6C681B" w:rsidRDefault="006C681B" w:rsidP="006C681B">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6C681B" w:rsidRDefault="006C681B" w:rsidP="006C681B">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03152" w:themeColor="accent4" w:themeShade="80"/>
          <w:sz w:val="22"/>
          <w:szCs w:val="22"/>
        </w:rPr>
        <w:t>Commenter:</w:t>
      </w:r>
      <w:r>
        <w:rPr>
          <w:rFonts w:asciiTheme="majorHAnsi" w:eastAsia="Times New Roman" w:hAnsiTheme="majorHAnsi" w:cstheme="majorHAnsi"/>
          <w:b/>
          <w:bCs/>
          <w:color w:val="403152" w:themeColor="accent4" w:themeShade="80"/>
          <w:sz w:val="22"/>
          <w:szCs w:val="22"/>
        </w:rPr>
        <w:tab/>
      </w:r>
      <w:r w:rsidRPr="003A2225">
        <w:rPr>
          <w:rFonts w:asciiTheme="minorHAnsi" w:eastAsia="Times New Roman" w:hAnsiTheme="minorHAnsi" w:cstheme="minorHAnsi"/>
          <w:bCs/>
          <w:color w:val="000000" w:themeColor="text1"/>
        </w:rPr>
        <w:t>Betty</w:t>
      </w:r>
      <w:r>
        <w:rPr>
          <w:rFonts w:asciiTheme="minorHAnsi" w:eastAsia="Times New Roman" w:hAnsiTheme="minorHAnsi" w:cstheme="minorHAnsi"/>
          <w:bCs/>
          <w:color w:val="000000" w:themeColor="text1"/>
        </w:rPr>
        <w:t xml:space="preserve"> Patton</w:t>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03152" w:themeColor="accent4" w:themeShade="80"/>
          <w:sz w:val="22"/>
          <w:szCs w:val="22"/>
        </w:rPr>
        <w:t>Affiliation:</w:t>
      </w:r>
      <w:r>
        <w:rPr>
          <w:rFonts w:asciiTheme="majorHAnsi" w:eastAsia="Times New Roman" w:hAnsiTheme="majorHAnsi" w:cstheme="majorHAnsi"/>
          <w:b/>
          <w:bCs/>
          <w:color w:val="403152" w:themeColor="accent4" w:themeShade="80"/>
          <w:sz w:val="22"/>
          <w:szCs w:val="22"/>
        </w:rPr>
        <w:tab/>
      </w:r>
      <w:r>
        <w:rPr>
          <w:rFonts w:asciiTheme="minorHAnsi" w:eastAsia="Times New Roman" w:hAnsiTheme="minorHAnsi" w:cstheme="minorHAnsi"/>
          <w:bCs/>
          <w:color w:val="000000" w:themeColor="text1"/>
        </w:rPr>
        <w:t>Electronic Manufacturers Recycling Management Company</w:t>
      </w:r>
      <w:r w:rsidR="00F71B53">
        <w:rPr>
          <w:rFonts w:asciiTheme="minorHAnsi" w:eastAsia="Times New Roman" w:hAnsiTheme="minorHAnsi" w:cstheme="minorHAnsi"/>
          <w:bCs/>
          <w:color w:val="000000" w:themeColor="text1"/>
        </w:rPr>
        <w:t>, Oregon E-Cycle Registration Fee Advisory Committee Member</w:t>
      </w:r>
    </w:p>
    <w:p w:rsidR="006C681B" w:rsidRDefault="006C681B" w:rsidP="006C681B">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categories </w:t>
      </w:r>
      <w:r w:rsidRPr="00C944E5">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 xml:space="preserve">__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6C681B" w:rsidRPr="00C944E5" w:rsidRDefault="006C681B" w:rsidP="006C681B">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6C681B" w:rsidRDefault="006C681B" w:rsidP="006C681B">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03152" w:themeColor="accent4" w:themeShade="80"/>
          <w:sz w:val="22"/>
          <w:szCs w:val="22"/>
        </w:rPr>
        <w:t>Commenter:</w:t>
      </w:r>
      <w:r>
        <w:rPr>
          <w:rFonts w:asciiTheme="majorHAnsi" w:eastAsia="Times New Roman" w:hAnsiTheme="majorHAnsi" w:cstheme="majorHAnsi"/>
          <w:b/>
          <w:bCs/>
          <w:color w:val="403152" w:themeColor="accent4" w:themeShade="80"/>
          <w:sz w:val="22"/>
          <w:szCs w:val="22"/>
        </w:rPr>
        <w:tab/>
      </w:r>
      <w:r w:rsidRPr="003A2225">
        <w:rPr>
          <w:rFonts w:asciiTheme="minorHAnsi" w:eastAsia="Times New Roman" w:hAnsiTheme="minorHAnsi" w:cstheme="minorHAnsi"/>
          <w:bCs/>
          <w:color w:val="000000" w:themeColor="text1"/>
        </w:rPr>
        <w:t>Wal</w:t>
      </w:r>
      <w:r>
        <w:rPr>
          <w:rFonts w:asciiTheme="minorHAnsi" w:eastAsia="Times New Roman" w:hAnsiTheme="minorHAnsi" w:cstheme="minorHAnsi"/>
          <w:bCs/>
          <w:color w:val="000000" w:themeColor="text1"/>
        </w:rPr>
        <w:t>ter Alcorn</w:t>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03152" w:themeColor="accent4" w:themeShade="80"/>
          <w:sz w:val="22"/>
          <w:szCs w:val="22"/>
        </w:rPr>
        <w:t>Affiliation:</w:t>
      </w:r>
      <w:r w:rsidRPr="00C944E5">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The Consumer Electronics Association</w:t>
      </w:r>
      <w:r w:rsidR="00F71B53">
        <w:rPr>
          <w:rFonts w:asciiTheme="minorHAnsi" w:eastAsia="Times New Roman" w:hAnsiTheme="minorHAnsi" w:cstheme="minorHAnsi"/>
          <w:bCs/>
          <w:color w:val="000000" w:themeColor="text1"/>
        </w:rPr>
        <w:t>, Oregon E-Cycle Registration Fee Advisory Committee Member</w:t>
      </w:r>
    </w:p>
    <w:p w:rsidR="006C681B" w:rsidRDefault="006C681B" w:rsidP="006C681B">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categories </w:t>
      </w:r>
      <w:r w:rsidRPr="00C944E5">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 xml:space="preserve">__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6C681B" w:rsidRDefault="006C681B" w:rsidP="006C681B">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6C681B" w:rsidRDefault="006C681B" w:rsidP="006C681B">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03152" w:themeColor="accent4" w:themeShade="80"/>
          <w:sz w:val="22"/>
          <w:szCs w:val="22"/>
        </w:rPr>
        <w:t>Commenter:</w:t>
      </w:r>
      <w:r>
        <w:rPr>
          <w:rFonts w:asciiTheme="majorHAnsi" w:eastAsia="Times New Roman" w:hAnsiTheme="majorHAnsi" w:cstheme="majorHAnsi"/>
          <w:b/>
          <w:bCs/>
          <w:color w:val="403152" w:themeColor="accent4" w:themeShade="80"/>
          <w:sz w:val="22"/>
          <w:szCs w:val="22"/>
        </w:rPr>
        <w:tab/>
      </w:r>
      <w:r w:rsidRPr="003A2225">
        <w:rPr>
          <w:rFonts w:asciiTheme="minorHAnsi" w:eastAsia="Times New Roman" w:hAnsiTheme="minorHAnsi" w:cstheme="minorHAnsi"/>
          <w:bCs/>
          <w:color w:val="000000" w:themeColor="text1"/>
        </w:rPr>
        <w:t xml:space="preserve">Kelly </w:t>
      </w:r>
      <w:proofErr w:type="spellStart"/>
      <w:r w:rsidRPr="003A2225">
        <w:rPr>
          <w:rFonts w:asciiTheme="minorHAnsi" w:eastAsia="Times New Roman" w:hAnsiTheme="minorHAnsi" w:cstheme="minorHAnsi"/>
          <w:bCs/>
          <w:color w:val="000000" w:themeColor="text1"/>
        </w:rPr>
        <w:t>McKechnie</w:t>
      </w:r>
      <w:proofErr w:type="spellEnd"/>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03152" w:themeColor="accent4" w:themeShade="80"/>
          <w:sz w:val="22"/>
          <w:szCs w:val="22"/>
        </w:rPr>
        <w:t>Affiliation:</w:t>
      </w:r>
      <w:r w:rsidRPr="00C944E5">
        <w:rPr>
          <w:rFonts w:asciiTheme="minorHAnsi" w:eastAsia="Times New Roman" w:hAnsiTheme="minorHAnsi" w:cstheme="minorHAnsi"/>
          <w:bCs/>
          <w:color w:val="000000" w:themeColor="text1"/>
        </w:rPr>
        <w:tab/>
      </w:r>
      <w:proofErr w:type="spellStart"/>
      <w:r>
        <w:rPr>
          <w:rFonts w:asciiTheme="minorHAnsi" w:eastAsia="Times New Roman" w:hAnsiTheme="minorHAnsi" w:cstheme="minorHAnsi"/>
          <w:bCs/>
          <w:color w:val="000000" w:themeColor="text1"/>
        </w:rPr>
        <w:t>TechAmerica</w:t>
      </w:r>
      <w:proofErr w:type="spellEnd"/>
    </w:p>
    <w:p w:rsidR="006C681B" w:rsidRDefault="006C681B" w:rsidP="006C681B">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categories </w:t>
      </w:r>
      <w:r w:rsidRPr="00C944E5">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 xml:space="preserve">__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6C681B" w:rsidRDefault="006C681B" w:rsidP="006C681B">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6C681B" w:rsidRPr="003A2225" w:rsidRDefault="006C681B" w:rsidP="006C681B">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lang w:val="fr-FR"/>
        </w:rPr>
      </w:pPr>
      <w:proofErr w:type="gramStart"/>
      <w:r w:rsidRPr="003A2225">
        <w:rPr>
          <w:rFonts w:asciiTheme="majorHAnsi" w:eastAsia="Times New Roman" w:hAnsiTheme="majorHAnsi" w:cstheme="majorHAnsi"/>
          <w:b/>
          <w:bCs/>
          <w:color w:val="403152" w:themeColor="accent4" w:themeShade="80"/>
          <w:sz w:val="22"/>
          <w:szCs w:val="22"/>
          <w:lang w:val="fr-FR"/>
        </w:rPr>
        <w:t>Commenter:</w:t>
      </w:r>
      <w:proofErr w:type="gramEnd"/>
      <w:r w:rsidRPr="003A2225">
        <w:rPr>
          <w:rFonts w:asciiTheme="majorHAnsi" w:eastAsia="Times New Roman" w:hAnsiTheme="majorHAnsi" w:cstheme="majorHAnsi"/>
          <w:b/>
          <w:bCs/>
          <w:color w:val="403152" w:themeColor="accent4" w:themeShade="80"/>
          <w:sz w:val="22"/>
          <w:szCs w:val="22"/>
          <w:lang w:val="fr-FR"/>
        </w:rPr>
        <w:tab/>
      </w:r>
      <w:r w:rsidRPr="003A2225">
        <w:rPr>
          <w:rFonts w:asciiTheme="minorHAnsi" w:eastAsia="Times New Roman" w:hAnsiTheme="minorHAnsi" w:cstheme="minorHAnsi"/>
          <w:bCs/>
          <w:color w:val="000000" w:themeColor="text1"/>
          <w:lang w:val="fr-FR"/>
        </w:rPr>
        <w:t xml:space="preserve">Frank </w:t>
      </w:r>
      <w:proofErr w:type="spellStart"/>
      <w:r w:rsidRPr="003A2225">
        <w:rPr>
          <w:rFonts w:asciiTheme="minorHAnsi" w:eastAsia="Times New Roman" w:hAnsiTheme="minorHAnsi" w:cstheme="minorHAnsi"/>
          <w:bCs/>
          <w:color w:val="000000" w:themeColor="text1"/>
          <w:lang w:val="fr-FR"/>
        </w:rPr>
        <w:t>Marella</w:t>
      </w:r>
      <w:proofErr w:type="spellEnd"/>
      <w:r w:rsidRPr="003A2225">
        <w:rPr>
          <w:rFonts w:asciiTheme="minorHAnsi" w:eastAsia="Times New Roman" w:hAnsiTheme="minorHAnsi" w:cstheme="minorHAnsi"/>
          <w:bCs/>
          <w:color w:val="000000" w:themeColor="text1"/>
          <w:lang w:val="fr-FR"/>
        </w:rPr>
        <w:tab/>
      </w:r>
      <w:r w:rsidRPr="003A2225">
        <w:rPr>
          <w:rFonts w:asciiTheme="majorHAnsi" w:eastAsia="Times New Roman" w:hAnsiTheme="majorHAnsi" w:cstheme="majorHAnsi"/>
          <w:b/>
          <w:bCs/>
          <w:color w:val="403152" w:themeColor="accent4" w:themeShade="80"/>
          <w:sz w:val="22"/>
          <w:szCs w:val="22"/>
          <w:lang w:val="fr-FR"/>
        </w:rPr>
        <w:t>Affiliation:</w:t>
      </w:r>
      <w:r w:rsidRPr="003A2225">
        <w:rPr>
          <w:rFonts w:asciiTheme="minorHAnsi" w:eastAsia="Times New Roman" w:hAnsiTheme="minorHAnsi" w:cstheme="minorHAnsi"/>
          <w:bCs/>
          <w:color w:val="000000" w:themeColor="text1"/>
          <w:lang w:val="fr-FR"/>
        </w:rPr>
        <w:tab/>
      </w:r>
      <w:proofErr w:type="spellStart"/>
      <w:r w:rsidRPr="003A2225">
        <w:rPr>
          <w:rFonts w:asciiTheme="minorHAnsi" w:eastAsia="Times New Roman" w:hAnsiTheme="minorHAnsi" w:cstheme="minorHAnsi"/>
          <w:bCs/>
          <w:color w:val="000000" w:themeColor="text1"/>
          <w:lang w:val="fr-FR"/>
        </w:rPr>
        <w:t>Marella</w:t>
      </w:r>
      <w:proofErr w:type="spellEnd"/>
      <w:r w:rsidRPr="003A2225">
        <w:rPr>
          <w:rFonts w:asciiTheme="minorHAnsi" w:eastAsia="Times New Roman" w:hAnsiTheme="minorHAnsi" w:cstheme="minorHAnsi"/>
          <w:bCs/>
          <w:color w:val="000000" w:themeColor="text1"/>
          <w:lang w:val="fr-FR"/>
        </w:rPr>
        <w:t xml:space="preserve"> Environmental Consulting</w:t>
      </w:r>
    </w:p>
    <w:p w:rsidR="006C681B" w:rsidRDefault="006C681B" w:rsidP="006C681B">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categories </w:t>
      </w:r>
      <w:r w:rsidRPr="00C944E5">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 xml:space="preserve">__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6C681B" w:rsidRDefault="006C681B" w:rsidP="006C681B">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6C681B" w:rsidRDefault="006C681B" w:rsidP="006C681B">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6C681B" w:rsidRDefault="006C681B" w:rsidP="006C681B">
      <w:pPr>
        <w:spacing w:after="120"/>
        <w:ind w:left="360"/>
        <w:outlineLvl w:val="0"/>
        <w:rPr>
          <w:rFonts w:asciiTheme="majorHAnsi" w:eastAsia="Times New Roman" w:hAnsiTheme="majorHAnsi" w:cstheme="majorHAnsi"/>
          <w:bCs/>
          <w:color w:val="504938"/>
          <w:sz w:val="22"/>
          <w:szCs w:val="22"/>
        </w:rPr>
      </w:pPr>
    </w:p>
    <w:p w:rsidR="006C681B" w:rsidRPr="00DC04D1" w:rsidRDefault="006C681B" w:rsidP="006C681B">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after close of public comment period</w:t>
      </w:r>
    </w:p>
    <w:p w:rsidR="006C681B" w:rsidRPr="00643871" w:rsidRDefault="006C681B" w:rsidP="006C681B">
      <w:pPr>
        <w:spacing w:after="120"/>
        <w:ind w:left="720" w:right="630"/>
        <w:outlineLvl w:val="0"/>
        <w:rPr>
          <w:rFonts w:asciiTheme="minorHAnsi" w:eastAsia="Times New Roman" w:hAnsiTheme="minorHAnsi" w:cstheme="minorHAnsi"/>
          <w:bCs/>
          <w:color w:val="000000" w:themeColor="text1"/>
        </w:rPr>
      </w:pPr>
      <w:r>
        <w:rPr>
          <w:rFonts w:ascii="Times New Roman" w:eastAsia="Times New Roman" w:hAnsi="Times New Roman" w:cs="Times New Roman"/>
          <w:color w:val="000000" w:themeColor="text1"/>
        </w:rPr>
        <w:t xml:space="preserve">No additional people or organizations submitted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s that DEQ did not receive by the close of public comment on April 27, 2012 5:00 p.m</w:t>
      </w:r>
      <w:r w:rsidR="003E42FC">
        <w:rPr>
          <w:rFonts w:asciiTheme="minorHAnsi" w:hAnsiTheme="minorHAnsi" w:cstheme="minorHAnsi"/>
        </w:rPr>
        <w:t>.</w:t>
      </w:r>
    </w:p>
    <w:p w:rsidR="00FF063A" w:rsidRDefault="00FF063A"/>
    <w:sectPr w:rsidR="00FF063A" w:rsidSect="00612DAA">
      <w:footerReference w:type="default" r:id="rId13"/>
      <w:pgSz w:w="12240" w:h="15840"/>
      <w:pgMar w:top="720" w:right="360" w:bottom="1440" w:left="45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Loretta Pickerell" w:date="2012-05-16T23:09:00Z" w:initials="lp">
    <w:p w:rsidR="00F71B53" w:rsidRDefault="00F71B53" w:rsidP="002C24C1">
      <w:pPr>
        <w:pStyle w:val="CommentText"/>
      </w:pPr>
      <w:r>
        <w:rPr>
          <w:rStyle w:val="CommentReference"/>
        </w:rPr>
        <w:annotationRef/>
      </w:r>
      <w:r>
        <w:t>Live link to the list of functions (to be completed) – here or somewhere.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B53" w:rsidRDefault="00F71B53" w:rsidP="00932124">
      <w:r>
        <w:separator/>
      </w:r>
    </w:p>
  </w:endnote>
  <w:endnote w:type="continuationSeparator" w:id="0">
    <w:p w:rsidR="00F71B53" w:rsidRDefault="00F71B53" w:rsidP="009321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21450"/>
      <w:docPartObj>
        <w:docPartGallery w:val="Page Numbers (Bottom of Page)"/>
        <w:docPartUnique/>
      </w:docPartObj>
    </w:sdtPr>
    <w:sdtContent>
      <w:p w:rsidR="00F71B53" w:rsidRDefault="00E44348">
        <w:pPr>
          <w:pStyle w:val="Footer"/>
          <w:jc w:val="center"/>
        </w:pPr>
        <w:fldSimple w:instr=" PAGE   \* MERGEFORMAT ">
          <w:r w:rsidR="000F6F93">
            <w:rPr>
              <w:noProof/>
            </w:rPr>
            <w:t>4</w:t>
          </w:r>
        </w:fldSimple>
      </w:p>
    </w:sdtContent>
  </w:sdt>
  <w:p w:rsidR="00F71B53" w:rsidRDefault="00F71B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B53" w:rsidRDefault="00F71B53" w:rsidP="00932124">
      <w:r>
        <w:separator/>
      </w:r>
    </w:p>
  </w:footnote>
  <w:footnote w:type="continuationSeparator" w:id="0">
    <w:p w:rsidR="00F71B53" w:rsidRDefault="00F71B53" w:rsidP="009321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24F23"/>
    <w:multiLevelType w:val="hybridMultilevel"/>
    <w:tmpl w:val="8D5A3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940B8"/>
    <w:multiLevelType w:val="hybridMultilevel"/>
    <w:tmpl w:val="197C20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B55D45"/>
    <w:multiLevelType w:val="hybridMultilevel"/>
    <w:tmpl w:val="BE124F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6FA649A"/>
    <w:multiLevelType w:val="hybridMultilevel"/>
    <w:tmpl w:val="475AA2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262319"/>
    <w:multiLevelType w:val="hybridMultilevel"/>
    <w:tmpl w:val="F64698A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A9502B"/>
    <w:multiLevelType w:val="hybridMultilevel"/>
    <w:tmpl w:val="F3326546"/>
    <w:lvl w:ilvl="0" w:tplc="A62EBAA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222781"/>
    <w:multiLevelType w:val="hybridMultilevel"/>
    <w:tmpl w:val="7CEE4D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15396B"/>
    <w:multiLevelType w:val="hybridMultilevel"/>
    <w:tmpl w:val="E68060F4"/>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9E02644"/>
    <w:multiLevelType w:val="hybridMultilevel"/>
    <w:tmpl w:val="DF2E9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A1B5072"/>
    <w:multiLevelType w:val="hybridMultilevel"/>
    <w:tmpl w:val="A5C4F2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EF28C8"/>
    <w:multiLevelType w:val="hybridMultilevel"/>
    <w:tmpl w:val="D870DA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C0F55A0"/>
    <w:multiLevelType w:val="hybridMultilevel"/>
    <w:tmpl w:val="6AD875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0C61FAB"/>
    <w:multiLevelType w:val="hybridMultilevel"/>
    <w:tmpl w:val="8CC01A48"/>
    <w:lvl w:ilvl="0" w:tplc="04090017">
      <w:start w:val="1"/>
      <w:numFmt w:val="low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14F279E"/>
    <w:multiLevelType w:val="hybridMultilevel"/>
    <w:tmpl w:val="1C26512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596612F"/>
    <w:multiLevelType w:val="hybridMultilevel"/>
    <w:tmpl w:val="43104C2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B448F2"/>
    <w:multiLevelType w:val="hybridMultilevel"/>
    <w:tmpl w:val="7DF6E9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DE67F4"/>
    <w:multiLevelType w:val="hybridMultilevel"/>
    <w:tmpl w:val="8EFE0A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D953F0F"/>
    <w:multiLevelType w:val="hybridMultilevel"/>
    <w:tmpl w:val="BD003E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FE03A9C"/>
    <w:multiLevelType w:val="hybridMultilevel"/>
    <w:tmpl w:val="56DC86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0"/>
  </w:num>
  <w:num w:numId="3">
    <w:abstractNumId w:val="20"/>
  </w:num>
  <w:num w:numId="4">
    <w:abstractNumId w:val="10"/>
  </w:num>
  <w:num w:numId="5">
    <w:abstractNumId w:val="23"/>
  </w:num>
  <w:num w:numId="6">
    <w:abstractNumId w:val="6"/>
  </w:num>
  <w:num w:numId="7">
    <w:abstractNumId w:val="16"/>
  </w:num>
  <w:num w:numId="8">
    <w:abstractNumId w:val="12"/>
  </w:num>
  <w:num w:numId="9">
    <w:abstractNumId w:val="21"/>
  </w:num>
  <w:num w:numId="10">
    <w:abstractNumId w:val="18"/>
  </w:num>
  <w:num w:numId="11">
    <w:abstractNumId w:val="17"/>
  </w:num>
  <w:num w:numId="12">
    <w:abstractNumId w:val="7"/>
  </w:num>
  <w:num w:numId="13">
    <w:abstractNumId w:val="2"/>
  </w:num>
  <w:num w:numId="14">
    <w:abstractNumId w:val="5"/>
  </w:num>
  <w:num w:numId="15">
    <w:abstractNumId w:val="8"/>
  </w:num>
  <w:num w:numId="16">
    <w:abstractNumId w:val="15"/>
  </w:num>
  <w:num w:numId="17">
    <w:abstractNumId w:val="13"/>
  </w:num>
  <w:num w:numId="18">
    <w:abstractNumId w:val="1"/>
  </w:num>
  <w:num w:numId="19">
    <w:abstractNumId w:val="3"/>
  </w:num>
  <w:num w:numId="20">
    <w:abstractNumId w:val="19"/>
  </w:num>
  <w:num w:numId="21">
    <w:abstractNumId w:val="22"/>
  </w:num>
  <w:num w:numId="22">
    <w:abstractNumId w:val="11"/>
  </w:num>
  <w:num w:numId="23">
    <w:abstractNumId w:val="14"/>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C681B"/>
    <w:rsid w:val="00053CE8"/>
    <w:rsid w:val="000A2578"/>
    <w:rsid w:val="000F6F93"/>
    <w:rsid w:val="00121C4B"/>
    <w:rsid w:val="00136C3B"/>
    <w:rsid w:val="001921DE"/>
    <w:rsid w:val="001D5DD1"/>
    <w:rsid w:val="00224982"/>
    <w:rsid w:val="0023655E"/>
    <w:rsid w:val="002C24C1"/>
    <w:rsid w:val="00300AAA"/>
    <w:rsid w:val="003170BD"/>
    <w:rsid w:val="00326CC2"/>
    <w:rsid w:val="003A3EA4"/>
    <w:rsid w:val="003B0024"/>
    <w:rsid w:val="003E42FC"/>
    <w:rsid w:val="00401783"/>
    <w:rsid w:val="00457200"/>
    <w:rsid w:val="0046784C"/>
    <w:rsid w:val="004A1220"/>
    <w:rsid w:val="005C09AA"/>
    <w:rsid w:val="006006F7"/>
    <w:rsid w:val="00612DAA"/>
    <w:rsid w:val="00690EC8"/>
    <w:rsid w:val="006C2351"/>
    <w:rsid w:val="006C681B"/>
    <w:rsid w:val="0071365F"/>
    <w:rsid w:val="007940CE"/>
    <w:rsid w:val="007A389A"/>
    <w:rsid w:val="007B5FB4"/>
    <w:rsid w:val="007C7CD0"/>
    <w:rsid w:val="007F1BAE"/>
    <w:rsid w:val="008205B8"/>
    <w:rsid w:val="0082371F"/>
    <w:rsid w:val="00843FEC"/>
    <w:rsid w:val="008B1D51"/>
    <w:rsid w:val="00932124"/>
    <w:rsid w:val="009A3DEB"/>
    <w:rsid w:val="00A24D87"/>
    <w:rsid w:val="00A3449F"/>
    <w:rsid w:val="00A67628"/>
    <w:rsid w:val="00A74071"/>
    <w:rsid w:val="00BB6D57"/>
    <w:rsid w:val="00CA79C1"/>
    <w:rsid w:val="00CD2644"/>
    <w:rsid w:val="00D1580C"/>
    <w:rsid w:val="00D162C2"/>
    <w:rsid w:val="00D3707E"/>
    <w:rsid w:val="00D44C7A"/>
    <w:rsid w:val="00D5647E"/>
    <w:rsid w:val="00D85F3A"/>
    <w:rsid w:val="00DF0075"/>
    <w:rsid w:val="00E4020E"/>
    <w:rsid w:val="00E44348"/>
    <w:rsid w:val="00E529FB"/>
    <w:rsid w:val="00E76BD6"/>
    <w:rsid w:val="00EE1860"/>
    <w:rsid w:val="00F421EA"/>
    <w:rsid w:val="00F71B53"/>
    <w:rsid w:val="00FF063A"/>
    <w:rsid w:val="00FF5C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81B"/>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681B"/>
    <w:rPr>
      <w:color w:val="0000FF" w:themeColor="hyperlink"/>
      <w:u w:val="single"/>
    </w:rPr>
  </w:style>
  <w:style w:type="paragraph" w:styleId="ListParagraph">
    <w:name w:val="List Paragraph"/>
    <w:basedOn w:val="Normal"/>
    <w:uiPriority w:val="34"/>
    <w:qFormat/>
    <w:rsid w:val="006C681B"/>
    <w:pPr>
      <w:ind w:left="720"/>
      <w:contextualSpacing/>
    </w:pPr>
  </w:style>
  <w:style w:type="character" w:styleId="CommentReference">
    <w:name w:val="annotation reference"/>
    <w:basedOn w:val="DefaultParagraphFont"/>
    <w:uiPriority w:val="99"/>
    <w:unhideWhenUsed/>
    <w:rsid w:val="006C681B"/>
    <w:rPr>
      <w:sz w:val="16"/>
      <w:szCs w:val="16"/>
    </w:rPr>
  </w:style>
  <w:style w:type="paragraph" w:styleId="CommentText">
    <w:name w:val="annotation text"/>
    <w:basedOn w:val="Normal"/>
    <w:link w:val="CommentTextChar"/>
    <w:uiPriority w:val="99"/>
    <w:unhideWhenUsed/>
    <w:rsid w:val="006C681B"/>
    <w:rPr>
      <w:sz w:val="20"/>
      <w:szCs w:val="20"/>
    </w:rPr>
  </w:style>
  <w:style w:type="character" w:customStyle="1" w:styleId="CommentTextChar">
    <w:name w:val="Comment Text Char"/>
    <w:basedOn w:val="DefaultParagraphFont"/>
    <w:link w:val="CommentText"/>
    <w:uiPriority w:val="99"/>
    <w:rsid w:val="006C681B"/>
    <w:rPr>
      <w:rFonts w:ascii="Arial" w:hAnsi="Arial" w:cs="Arial"/>
      <w:sz w:val="20"/>
      <w:szCs w:val="20"/>
    </w:rPr>
  </w:style>
  <w:style w:type="paragraph" w:styleId="Footer">
    <w:name w:val="footer"/>
    <w:basedOn w:val="Normal"/>
    <w:link w:val="FooterChar"/>
    <w:uiPriority w:val="99"/>
    <w:unhideWhenUsed/>
    <w:rsid w:val="006C681B"/>
    <w:pPr>
      <w:tabs>
        <w:tab w:val="center" w:pos="4680"/>
        <w:tab w:val="right" w:pos="9360"/>
      </w:tabs>
    </w:pPr>
  </w:style>
  <w:style w:type="character" w:customStyle="1" w:styleId="FooterChar">
    <w:name w:val="Footer Char"/>
    <w:basedOn w:val="DefaultParagraphFont"/>
    <w:link w:val="Footer"/>
    <w:uiPriority w:val="99"/>
    <w:rsid w:val="006C681B"/>
    <w:rPr>
      <w:rFonts w:ascii="Arial" w:hAnsi="Arial" w:cs="Arial"/>
      <w:sz w:val="24"/>
      <w:szCs w:val="24"/>
    </w:rPr>
  </w:style>
  <w:style w:type="paragraph" w:styleId="BalloonText">
    <w:name w:val="Balloon Text"/>
    <w:basedOn w:val="Normal"/>
    <w:link w:val="BalloonTextChar"/>
    <w:uiPriority w:val="99"/>
    <w:semiHidden/>
    <w:unhideWhenUsed/>
    <w:rsid w:val="006C681B"/>
    <w:rPr>
      <w:rFonts w:ascii="Tahoma" w:hAnsi="Tahoma" w:cs="Tahoma"/>
      <w:sz w:val="16"/>
      <w:szCs w:val="16"/>
    </w:rPr>
  </w:style>
  <w:style w:type="character" w:customStyle="1" w:styleId="BalloonTextChar">
    <w:name w:val="Balloon Text Char"/>
    <w:basedOn w:val="DefaultParagraphFont"/>
    <w:link w:val="BalloonText"/>
    <w:uiPriority w:val="99"/>
    <w:semiHidden/>
    <w:rsid w:val="006C681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A1220"/>
    <w:rPr>
      <w:b/>
      <w:bCs/>
    </w:rPr>
  </w:style>
  <w:style w:type="character" w:customStyle="1" w:styleId="CommentSubjectChar">
    <w:name w:val="Comment Subject Char"/>
    <w:basedOn w:val="CommentTextChar"/>
    <w:link w:val="CommentSubject"/>
    <w:uiPriority w:val="99"/>
    <w:semiHidden/>
    <w:rsid w:val="004A1220"/>
    <w:rPr>
      <w:b/>
      <w:bCs/>
    </w:rPr>
  </w:style>
  <w:style w:type="paragraph" w:styleId="Revision">
    <w:name w:val="Revision"/>
    <w:hidden/>
    <w:uiPriority w:val="99"/>
    <w:semiHidden/>
    <w:rsid w:val="00D44C7A"/>
    <w:pPr>
      <w:spacing w:after="0" w:line="240" w:lineRule="auto"/>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262224520">
      <w:bodyDiv w:val="1"/>
      <w:marLeft w:val="0"/>
      <w:marRight w:val="0"/>
      <w:marTop w:val="0"/>
      <w:marBottom w:val="0"/>
      <w:divBdr>
        <w:top w:val="none" w:sz="0" w:space="0" w:color="auto"/>
        <w:left w:val="none" w:sz="0" w:space="0" w:color="auto"/>
        <w:bottom w:val="none" w:sz="0" w:space="0" w:color="auto"/>
        <w:right w:val="none" w:sz="0" w:space="0" w:color="auto"/>
      </w:divBdr>
    </w:div>
    <w:div w:id="1597788576">
      <w:bodyDiv w:val="1"/>
      <w:marLeft w:val="0"/>
      <w:marRight w:val="0"/>
      <w:marTop w:val="0"/>
      <w:marBottom w:val="0"/>
      <w:divBdr>
        <w:top w:val="none" w:sz="0" w:space="0" w:color="auto"/>
        <w:left w:val="none" w:sz="0" w:space="0" w:color="auto"/>
        <w:bottom w:val="none" w:sz="0" w:space="0" w:color="auto"/>
        <w:right w:val="none" w:sz="0" w:space="0" w:color="auto"/>
      </w:divBdr>
    </w:div>
    <w:div w:id="183698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q05/intranet/working/rulemaking/qcards/P06-AboutRulesRulemakingActionsDefined.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eq05/intranet/working/rulemaking/qcards/P04-AboutRulesNumbersTitles.pdf" TargetMode="External"/><Relationship Id="rId12" Type="http://schemas.openxmlformats.org/officeDocument/2006/relationships/image" Target="media/image1.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www.leg.state.or.us/ors/183.html" TargetMode="External"/><Relationship Id="rId4" Type="http://schemas.openxmlformats.org/officeDocument/2006/relationships/webSettings" Target="webSettings.xml"/><Relationship Id="rId9" Type="http://schemas.openxmlformats.org/officeDocument/2006/relationships/hyperlink" Target="http://www.deq.state.or.us/regulations/proposedrules.ht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EA7E318B6384F24AFDC2C6D6CEE0F41"/>
        <w:category>
          <w:name w:val="General"/>
          <w:gallery w:val="placeholder"/>
        </w:category>
        <w:types>
          <w:type w:val="bbPlcHdr"/>
        </w:types>
        <w:behaviors>
          <w:behavior w:val="content"/>
        </w:behaviors>
        <w:guid w:val="{74D74191-3E1B-4304-B26E-A5E9F9161E40}"/>
      </w:docPartPr>
      <w:docPartBody>
        <w:p w:rsidR="0077179F" w:rsidRDefault="00990478" w:rsidP="00990478">
          <w:pPr>
            <w:pStyle w:val="8EA7E318B6384F24AFDC2C6D6CEE0F41"/>
          </w:pPr>
          <w:r w:rsidRPr="00B15DF7">
            <w:rPr>
              <w:rStyle w:val="PlaceholderText"/>
              <w:rFonts w:ascii="Times New Roman" w:hAnsi="Times New Roman" w:cs="Times New Roman"/>
              <w:color w:val="000000" w:themeColor="text1"/>
            </w:rPr>
            <w:t>Choose an item.</w:t>
          </w:r>
        </w:p>
      </w:docPartBody>
    </w:docPart>
    <w:docPart>
      <w:docPartPr>
        <w:name w:val="1FC2F60F428445E48C9A3864AFCA8D48"/>
        <w:category>
          <w:name w:val="General"/>
          <w:gallery w:val="placeholder"/>
        </w:category>
        <w:types>
          <w:type w:val="bbPlcHdr"/>
        </w:types>
        <w:behaviors>
          <w:behavior w:val="content"/>
        </w:behaviors>
        <w:guid w:val="{D8B11C7E-2C4D-4AC4-82C2-007C9A2AF2F6}"/>
      </w:docPartPr>
      <w:docPartBody>
        <w:p w:rsidR="0077179F" w:rsidRDefault="00990478" w:rsidP="00990478">
          <w:pPr>
            <w:pStyle w:val="1FC2F60F428445E48C9A3864AFCA8D48"/>
          </w:pPr>
          <w:r w:rsidRPr="00B15DF7">
            <w:rPr>
              <w:rStyle w:val="PlaceholderText"/>
              <w:rFonts w:ascii="Times New Roman" w:hAnsi="Times New Roman" w:cs="Times New Roman"/>
              <w:color w:val="000000" w:themeColor="text1"/>
            </w:rPr>
            <w:t>Choose an item.</w:t>
          </w:r>
        </w:p>
      </w:docPartBody>
    </w:docPart>
    <w:docPart>
      <w:docPartPr>
        <w:name w:val="002F06489429415EB174E71C87D44DC8"/>
        <w:category>
          <w:name w:val="General"/>
          <w:gallery w:val="placeholder"/>
        </w:category>
        <w:types>
          <w:type w:val="bbPlcHdr"/>
        </w:types>
        <w:behaviors>
          <w:behavior w:val="content"/>
        </w:behaviors>
        <w:guid w:val="{D08A390D-066D-430B-89E5-9BF3E5256252}"/>
      </w:docPartPr>
      <w:docPartBody>
        <w:p w:rsidR="0077179F" w:rsidRDefault="00990478" w:rsidP="00990478">
          <w:pPr>
            <w:pStyle w:val="002F06489429415EB174E71C87D44DC8"/>
          </w:pPr>
          <w:r w:rsidRPr="00B15DF7">
            <w:rPr>
              <w:rStyle w:val="PlaceholderText"/>
              <w:rFonts w:ascii="Times New Roman" w:hAnsi="Times New Roman" w:cs="Times New Roman"/>
              <w:color w:val="000000" w:themeColor="text1"/>
            </w:rPr>
            <w:t>Choose an item.</w:t>
          </w:r>
        </w:p>
      </w:docPartBody>
    </w:docPart>
    <w:docPart>
      <w:docPartPr>
        <w:name w:val="CA9816755968443EB1864EBF94F3858C"/>
        <w:category>
          <w:name w:val="General"/>
          <w:gallery w:val="placeholder"/>
        </w:category>
        <w:types>
          <w:type w:val="bbPlcHdr"/>
        </w:types>
        <w:behaviors>
          <w:behavior w:val="content"/>
        </w:behaviors>
        <w:guid w:val="{532DF520-D427-49A2-A1CD-B7EC3BBADF32}"/>
      </w:docPartPr>
      <w:docPartBody>
        <w:p w:rsidR="0077179F" w:rsidRDefault="00990478" w:rsidP="00990478">
          <w:pPr>
            <w:pStyle w:val="CA9816755968443EB1864EBF94F3858C"/>
          </w:pPr>
          <w:r w:rsidRPr="00B15DF7">
            <w:rPr>
              <w:rStyle w:val="PlaceholderText"/>
              <w:rFonts w:ascii="Times New Roman" w:hAnsi="Times New Roman" w:cs="Times New Roman"/>
              <w:color w:val="000000" w:themeColor="text1"/>
            </w:rPr>
            <w:t>Choose an item.</w:t>
          </w:r>
        </w:p>
      </w:docPartBody>
    </w:docPart>
    <w:docPart>
      <w:docPartPr>
        <w:name w:val="1ED7E9FBA6CC4E82B42A2348B0C7BA42"/>
        <w:category>
          <w:name w:val="General"/>
          <w:gallery w:val="placeholder"/>
        </w:category>
        <w:types>
          <w:type w:val="bbPlcHdr"/>
        </w:types>
        <w:behaviors>
          <w:behavior w:val="content"/>
        </w:behaviors>
        <w:guid w:val="{E048A37F-363E-4620-9ED5-3943CEB9ED81}"/>
      </w:docPartPr>
      <w:docPartBody>
        <w:p w:rsidR="0077179F" w:rsidRDefault="00990478" w:rsidP="00990478">
          <w:pPr>
            <w:pStyle w:val="1ED7E9FBA6CC4E82B42A2348B0C7BA42"/>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990478"/>
    <w:rsid w:val="00147022"/>
    <w:rsid w:val="004820CF"/>
    <w:rsid w:val="005D733D"/>
    <w:rsid w:val="006E0DCF"/>
    <w:rsid w:val="0075304C"/>
    <w:rsid w:val="0077179F"/>
    <w:rsid w:val="00854D79"/>
    <w:rsid w:val="00990478"/>
    <w:rsid w:val="00C8127F"/>
    <w:rsid w:val="00E4790E"/>
    <w:rsid w:val="00E944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7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0478"/>
    <w:rPr>
      <w:color w:val="808080"/>
    </w:rPr>
  </w:style>
  <w:style w:type="paragraph" w:customStyle="1" w:styleId="8EA7E318B6384F24AFDC2C6D6CEE0F41">
    <w:name w:val="8EA7E318B6384F24AFDC2C6D6CEE0F41"/>
    <w:rsid w:val="00990478"/>
  </w:style>
  <w:style w:type="paragraph" w:customStyle="1" w:styleId="1FC2F60F428445E48C9A3864AFCA8D48">
    <w:name w:val="1FC2F60F428445E48C9A3864AFCA8D48"/>
    <w:rsid w:val="00990478"/>
  </w:style>
  <w:style w:type="paragraph" w:customStyle="1" w:styleId="002F06489429415EB174E71C87D44DC8">
    <w:name w:val="002F06489429415EB174E71C87D44DC8"/>
    <w:rsid w:val="00990478"/>
  </w:style>
  <w:style w:type="paragraph" w:customStyle="1" w:styleId="CA9816755968443EB1864EBF94F3858C">
    <w:name w:val="CA9816755968443EB1864EBF94F3858C"/>
    <w:rsid w:val="00990478"/>
  </w:style>
  <w:style w:type="paragraph" w:customStyle="1" w:styleId="1ED7E9FBA6CC4E82B42A2348B0C7BA42">
    <w:name w:val="1ED7E9FBA6CC4E82B42A2348B0C7BA42"/>
    <w:rsid w:val="0099047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3787</Words>
  <Characters>21592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25329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dc:creator>
  <cp:lastModifiedBy>PCAdmin</cp:lastModifiedBy>
  <cp:revision>2</cp:revision>
  <cp:lastPrinted>2012-05-17T19:45:00Z</cp:lastPrinted>
  <dcterms:created xsi:type="dcterms:W3CDTF">2012-05-17T23:10:00Z</dcterms:created>
  <dcterms:modified xsi:type="dcterms:W3CDTF">2012-05-17T23:10:00Z</dcterms:modified>
</cp:coreProperties>
</file>