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58" w:rsidRDefault="000D711B">
      <w:r>
        <w:rPr>
          <w:rFonts w:eastAsia="Times New Roman"/>
          <w:bCs/>
          <w:noProof/>
          <w:color w:val="00494F"/>
          <w:sz w:val="36"/>
          <w:szCs w:val="36"/>
        </w:rPr>
        <w:drawing>
          <wp:anchor distT="0" distB="0" distL="114300" distR="114300" simplePos="0" relativeHeight="251654656" behindDoc="0" locked="0" layoutInCell="1" allowOverlap="1">
            <wp:simplePos x="0" y="0"/>
            <wp:positionH relativeFrom="column">
              <wp:posOffset>9525</wp:posOffset>
            </wp:positionH>
            <wp:positionV relativeFrom="paragraph">
              <wp:posOffset>-676275</wp:posOffset>
            </wp:positionV>
            <wp:extent cx="587375" cy="1228725"/>
            <wp:effectExtent l="19050" t="0" r="3175"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7375" cy="1228725"/>
                    </a:xfrm>
                    <a:prstGeom prst="rect">
                      <a:avLst/>
                    </a:prstGeom>
                    <a:noFill/>
                    <a:ln w="9525">
                      <a:noFill/>
                      <a:miter lim="800000"/>
                      <a:headEnd/>
                      <a:tailEnd/>
                    </a:ln>
                  </pic:spPr>
                </pic:pic>
              </a:graphicData>
            </a:graphic>
          </wp:anchor>
        </w:drawing>
      </w:r>
      <w:r w:rsidR="00192E08" w:rsidRPr="00192E08">
        <w:rPr>
          <w:rFonts w:eastAsia="Times New Roman"/>
          <w:bCs/>
          <w:noProof/>
          <w:color w:val="00494F"/>
          <w:sz w:val="36"/>
          <w:szCs w:val="36"/>
        </w:rPr>
        <w:pict>
          <v:shapetype id="_x0000_t202" coordsize="21600,21600" o:spt="202" path="m,l,21600r21600,l21600,xe">
            <v:stroke joinstyle="miter"/>
            <v:path gradientshapeok="t" o:connecttype="rect"/>
          </v:shapetype>
          <v:shape id="_x0000_s1026" type="#_x0000_t202" style="position:absolute;margin-left:95.5pt;margin-top:-42.8pt;width:374.6pt;height:90pt;z-index:251658240;mso-wrap-style:none;mso-position-horizontal-relative:text;mso-position-vertical-relative:text" stroked="f">
            <v:textbox style="mso-next-textbox:#_x0000_s1026;mso-fit-shape-to-text:t">
              <w:txbxContent>
                <w:p w:rsidR="00A46C94" w:rsidRPr="00C74D58" w:rsidRDefault="00A46C94" w:rsidP="008F3499">
                  <w:pPr>
                    <w:tabs>
                      <w:tab w:val="left" w:pos="16582"/>
                    </w:tabs>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46C94" w:rsidRPr="00C74D58" w:rsidRDefault="00A46C94" w:rsidP="008F3499">
                  <w:pPr>
                    <w:tabs>
                      <w:tab w:val="left" w:pos="908"/>
                      <w:tab w:val="left" w:pos="16582"/>
                    </w:tabs>
                    <w:ind w:left="108"/>
                    <w:jc w:val="center"/>
                    <w:rPr>
                      <w:rFonts w:ascii="Times New Roman" w:eastAsia="Times New Roman" w:hAnsi="Times New Roman" w:cs="Times New Roman"/>
                      <w:b/>
                      <w:color w:val="000000"/>
                    </w:rPr>
                  </w:pPr>
                </w:p>
                <w:p w:rsidR="00A46C94" w:rsidRPr="00DC07BD" w:rsidRDefault="00A46C94" w:rsidP="008F3499">
                  <w:pPr>
                    <w:tabs>
                      <w:tab w:val="left" w:pos="908"/>
                      <w:tab w:val="left" w:pos="16582"/>
                    </w:tabs>
                    <w:ind w:left="108"/>
                    <w:jc w:val="center"/>
                    <w:rPr>
                      <w:rFonts w:ascii="Times New Roman" w:eastAsia="Times New Roman" w:hAnsi="Times New Roman" w:cs="Times New Roman"/>
                      <w:b/>
                      <w:color w:val="00494F"/>
                    </w:rPr>
                  </w:pPr>
                  <w:r w:rsidRPr="00DC07BD">
                    <w:rPr>
                      <w:rFonts w:eastAsia="Times New Roman"/>
                      <w:b/>
                      <w:color w:val="00494F"/>
                      <w:sz w:val="28"/>
                      <w:szCs w:val="28"/>
                    </w:rPr>
                    <w:t>Thursday, June 21, 2012</w:t>
                  </w:r>
                </w:p>
                <w:p w:rsidR="00A46C94" w:rsidRPr="00A019B4" w:rsidRDefault="00A46C94" w:rsidP="008F3499">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Environmental Quality Commission Meeting</w:t>
                  </w:r>
                </w:p>
                <w:p w:rsidR="00A46C94" w:rsidRPr="00A019B4" w:rsidRDefault="00A46C94" w:rsidP="008F3499">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8F3499" w:rsidRDefault="006A0E65" w:rsidP="006A0E65">
      <w:pPr>
        <w:tabs>
          <w:tab w:val="left" w:pos="908"/>
          <w:tab w:val="center" w:pos="5760"/>
          <w:tab w:val="left" w:pos="12343"/>
          <w:tab w:val="left" w:pos="12853"/>
          <w:tab w:val="left" w:pos="13363"/>
          <w:tab w:val="left" w:pos="14173"/>
          <w:tab w:val="left" w:pos="14983"/>
          <w:tab w:val="left" w:pos="16582"/>
        </w:tabs>
        <w:ind w:left="2160" w:right="630"/>
        <w:rPr>
          <w:rFonts w:ascii="Times New Roman" w:eastAsia="Times New Roman" w:hAnsi="Times New Roman" w:cs="Times New Roman"/>
          <w:b/>
          <w:color w:val="000000"/>
        </w:rPr>
      </w:pPr>
      <w:r>
        <w:rPr>
          <w:rFonts w:ascii="Times New Roman" w:eastAsia="Times New Roman" w:hAnsi="Times New Roman" w:cs="Times New Roman"/>
          <w:b/>
          <w:color w:val="000000"/>
        </w:rPr>
        <w:tab/>
      </w:r>
    </w:p>
    <w:p w:rsidR="008F3499" w:rsidRDefault="008F3499" w:rsidP="006A0E65">
      <w:pPr>
        <w:tabs>
          <w:tab w:val="left" w:pos="908"/>
          <w:tab w:val="center" w:pos="5760"/>
          <w:tab w:val="left" w:pos="12343"/>
          <w:tab w:val="left" w:pos="12853"/>
          <w:tab w:val="left" w:pos="13363"/>
          <w:tab w:val="left" w:pos="14173"/>
          <w:tab w:val="left" w:pos="14983"/>
          <w:tab w:val="left" w:pos="16582"/>
        </w:tabs>
        <w:ind w:left="2160" w:right="630"/>
        <w:rPr>
          <w:rFonts w:ascii="Times New Roman" w:eastAsia="Times New Roman" w:hAnsi="Times New Roman" w:cs="Times New Roman"/>
          <w:b/>
          <w:color w:val="000000"/>
        </w:rPr>
      </w:pPr>
    </w:p>
    <w:p w:rsidR="008F3499" w:rsidRDefault="008F3499" w:rsidP="006A0E65">
      <w:pPr>
        <w:tabs>
          <w:tab w:val="left" w:pos="908"/>
          <w:tab w:val="center" w:pos="5760"/>
          <w:tab w:val="left" w:pos="12343"/>
          <w:tab w:val="left" w:pos="12853"/>
          <w:tab w:val="left" w:pos="13363"/>
          <w:tab w:val="left" w:pos="14173"/>
          <w:tab w:val="left" w:pos="14983"/>
          <w:tab w:val="left" w:pos="16582"/>
        </w:tabs>
        <w:ind w:left="2160" w:right="630"/>
        <w:rPr>
          <w:rFonts w:asciiTheme="majorHAnsi" w:eastAsia="Times New Roman" w:hAnsiTheme="majorHAnsi" w:cstheme="majorHAnsi"/>
          <w:b/>
          <w:color w:val="000000"/>
          <w:sz w:val="22"/>
          <w:szCs w:val="22"/>
        </w:rPr>
      </w:pPr>
    </w:p>
    <w:p w:rsidR="00C74D58" w:rsidRPr="006A0E65" w:rsidRDefault="008F3499" w:rsidP="008F3499">
      <w:pPr>
        <w:tabs>
          <w:tab w:val="center" w:pos="5670"/>
          <w:tab w:val="left" w:pos="12343"/>
          <w:tab w:val="left" w:pos="12853"/>
          <w:tab w:val="left" w:pos="13363"/>
          <w:tab w:val="left" w:pos="14173"/>
          <w:tab w:val="left" w:pos="14983"/>
          <w:tab w:val="left" w:pos="16582"/>
        </w:tabs>
        <w:rPr>
          <w:rFonts w:ascii="Times New Roman" w:eastAsia="Times New Roman" w:hAnsi="Times New Roman" w:cs="Times New Roman"/>
          <w:color w:val="000000"/>
        </w:rPr>
      </w:pPr>
      <w:r>
        <w:rPr>
          <w:rFonts w:asciiTheme="majorHAnsi" w:eastAsia="Times New Roman" w:hAnsiTheme="majorHAnsi" w:cstheme="majorHAnsi"/>
          <w:b/>
          <w:color w:val="000000"/>
          <w:sz w:val="22"/>
          <w:szCs w:val="22"/>
        </w:rPr>
        <w:tab/>
      </w:r>
      <w:r w:rsidR="004F29F3" w:rsidRPr="005A7F26">
        <w:rPr>
          <w:rFonts w:asciiTheme="majorHAnsi" w:eastAsia="Times New Roman" w:hAnsiTheme="majorHAnsi" w:cstheme="majorHAnsi"/>
          <w:b/>
          <w:color w:val="000000"/>
          <w:sz w:val="22"/>
          <w:szCs w:val="22"/>
        </w:rPr>
        <w:t xml:space="preserve">Oregon </w:t>
      </w:r>
      <w:r w:rsidR="00671070" w:rsidRPr="005A7F26">
        <w:rPr>
          <w:rFonts w:asciiTheme="majorHAnsi" w:eastAsia="Times New Roman" w:hAnsiTheme="majorHAnsi" w:cstheme="majorHAnsi"/>
          <w:b/>
          <w:color w:val="000000"/>
          <w:sz w:val="22"/>
          <w:szCs w:val="22"/>
        </w:rPr>
        <w:t>E-Cycles registration fee change</w:t>
      </w:r>
      <w:hyperlink r:id="rId12" w:history="1">
        <w:r w:rsidR="007667BF" w:rsidRPr="007667BF">
          <w:rPr>
            <w:rStyle w:val="Hyperlink"/>
            <w:rFonts w:ascii="Times New Roman" w:eastAsia="Times New Roman" w:hAnsi="Times New Roman" w:cs="Times New Roman"/>
            <w:color w:val="BFBFBF" w:themeColor="background1" w:themeShade="BF"/>
            <w:u w:val="none"/>
          </w:rPr>
          <w:sym w:font="Wingdings 3" w:char="F07D"/>
        </w:r>
      </w:hyperlink>
      <w:r w:rsidR="007667BF" w:rsidRPr="006A0E65">
        <w:rPr>
          <w:rFonts w:ascii="Times New Roman" w:eastAsia="Times New Roman" w:hAnsi="Times New Roman" w:cs="Times New Roman"/>
          <w:color w:val="000000"/>
        </w:rPr>
        <w:t xml:space="preserve"> </w:t>
      </w:r>
    </w:p>
    <w:p w:rsidR="00C74D58" w:rsidRDefault="00C74D58"/>
    <w:tbl>
      <w:tblPr>
        <w:tblW w:w="11430" w:type="dxa"/>
        <w:tblInd w:w="108" w:type="dxa"/>
        <w:tblLook w:val="04A0"/>
      </w:tblPr>
      <w:tblGrid>
        <w:gridCol w:w="11430"/>
      </w:tblGrid>
      <w:tr w:rsidR="00C74D58" w:rsidRPr="00C74D58" w:rsidTr="00C74D58">
        <w:trPr>
          <w:trHeight w:val="600"/>
        </w:trPr>
        <w:tc>
          <w:tcPr>
            <w:tcW w:w="11430" w:type="dxa"/>
            <w:tcBorders>
              <w:top w:val="nil"/>
              <w:left w:val="nil"/>
              <w:bottom w:val="double" w:sz="6" w:space="0" w:color="7F7F7F"/>
              <w:right w:val="nil"/>
            </w:tcBorders>
            <w:shd w:val="clear" w:color="000000" w:fill="D8D3C6"/>
            <w:noWrap/>
            <w:vAlign w:val="bottom"/>
            <w:hideMark/>
          </w:tcPr>
          <w:p w:rsidR="00C74D58" w:rsidRPr="00DC07BD" w:rsidRDefault="00C74D58" w:rsidP="00C74D58">
            <w:pPr>
              <w:outlineLvl w:val="0"/>
              <w:rPr>
                <w:rFonts w:eastAsia="Times New Roman"/>
                <w:b/>
                <w:bCs/>
                <w:color w:val="00494F"/>
                <w:sz w:val="28"/>
                <w:szCs w:val="28"/>
              </w:rPr>
            </w:pPr>
            <w:r w:rsidRPr="00DC07BD">
              <w:rPr>
                <w:rFonts w:eastAsia="Times New Roman"/>
                <w:b/>
                <w:bCs/>
                <w:color w:val="00494F"/>
                <w:sz w:val="28"/>
                <w:szCs w:val="28"/>
              </w:rPr>
              <w:t>DEQ recommendation to the EQC</w:t>
            </w:r>
          </w:p>
        </w:tc>
      </w:tr>
    </w:tbl>
    <w:p w:rsidR="00C74D58" w:rsidRDefault="00C74D58"/>
    <w:p w:rsidR="00C74D58" w:rsidRPr="00304A23" w:rsidRDefault="00C74D58" w:rsidP="004F673A">
      <w:pPr>
        <w:tabs>
          <w:tab w:val="left" w:pos="908"/>
          <w:tab w:val="left" w:pos="12853"/>
          <w:tab w:val="left" w:pos="13363"/>
          <w:tab w:val="left" w:pos="14173"/>
          <w:tab w:val="left" w:pos="14983"/>
          <w:tab w:val="left" w:pos="16582"/>
        </w:tabs>
        <w:spacing w:after="120"/>
        <w:ind w:left="720"/>
        <w:outlineLvl w:val="0"/>
        <w:rPr>
          <w:rFonts w:ascii="Times New Roman" w:eastAsia="Times New Roman" w:hAnsi="Times New Roman" w:cs="Times New Roman"/>
          <w:color w:val="000000"/>
        </w:rPr>
      </w:pPr>
      <w:r w:rsidRPr="00C74D58">
        <w:rPr>
          <w:rFonts w:ascii="Times New Roman" w:eastAsia="Times New Roman" w:hAnsi="Times New Roman" w:cs="Times New Roman"/>
          <w:b/>
          <w:color w:val="000000"/>
        </w:rPr>
        <w:t> </w:t>
      </w:r>
      <w:r w:rsidRPr="00304A23">
        <w:rPr>
          <w:rFonts w:ascii="Times New Roman" w:eastAsia="Times New Roman" w:hAnsi="Times New Roman" w:cs="Times New Roman"/>
          <w:color w:val="000000"/>
        </w:rPr>
        <w:t>DEQ recommends that the Environmental Quality Commission:</w:t>
      </w:r>
      <w:r w:rsidR="00616723">
        <w:rPr>
          <w:rFonts w:ascii="Times New Roman" w:eastAsia="Times New Roman" w:hAnsi="Times New Roman" w:cs="Times New Roman"/>
          <w:color w:val="000000"/>
        </w:rPr>
        <w:t xml:space="preserve"> </w:t>
      </w:r>
      <w:r w:rsidRPr="00304A23">
        <w:rPr>
          <w:rFonts w:ascii="Times New Roman" w:eastAsia="Times New Roman" w:hAnsi="Times New Roman" w:cs="Times New Roman"/>
          <w:color w:val="000000"/>
        </w:rPr>
        <w:tab/>
      </w:r>
      <w:r w:rsidRPr="00304A23">
        <w:rPr>
          <w:rFonts w:ascii="Times New Roman" w:eastAsia="Times New Roman" w:hAnsi="Times New Roman" w:cs="Times New Roman"/>
          <w:color w:val="786E54"/>
        </w:rPr>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t> </w:t>
      </w:r>
      <w:r w:rsidRPr="00304A23">
        <w:rPr>
          <w:rFonts w:ascii="Times New Roman" w:eastAsia="Times New Roman" w:hAnsi="Times New Roman" w:cs="Times New Roman"/>
          <w:color w:val="786E54"/>
        </w:rPr>
        <w:tab/>
      </w:r>
      <w:r w:rsidRPr="00304A23">
        <w:rPr>
          <w:rFonts w:ascii="Times New Roman" w:eastAsia="Times New Roman" w:hAnsi="Times New Roman" w:cs="Times New Roman"/>
          <w:color w:val="000000"/>
        </w:rPr>
        <w:t> </w:t>
      </w:r>
    </w:p>
    <w:p w:rsidR="00470AD8" w:rsidRPr="00C74D58" w:rsidRDefault="00192E08" w:rsidP="00470AD8">
      <w:pPr>
        <w:tabs>
          <w:tab w:val="left" w:pos="16582"/>
        </w:tabs>
        <w:ind w:left="1350"/>
        <w:outlineLvl w:val="0"/>
        <w:rPr>
          <w:rFonts w:ascii="Times New Roman" w:eastAsia="Times New Roman" w:hAnsi="Times New Roman" w:cs="Times New Roman"/>
          <w:bCs/>
          <w:color w:val="000000"/>
          <w:sz w:val="28"/>
          <w:szCs w:val="28"/>
        </w:rPr>
      </w:pPr>
      <w:sdt>
        <w:sdtPr>
          <w:rPr>
            <w:rFonts w:ascii="Times New Roman" w:eastAsia="Times New Roman" w:hAnsi="Times New Roman" w:cs="Times New Roman"/>
            <w:color w:val="000000" w:themeColor="text1"/>
          </w:rPr>
          <w:alias w:val="Recommendation"/>
          <w:tag w:val="Recommendation"/>
          <w:id w:val="3819177"/>
          <w:placeholder>
            <w:docPart w:val="4F31E2F3DD6B48E89CA671DCA3A013F3"/>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671070">
            <w:rPr>
              <w:rFonts w:ascii="Times New Roman" w:eastAsia="Times New Roman" w:hAnsi="Times New Roman" w:cs="Times New Roman"/>
              <w:color w:val="000000" w:themeColor="text1"/>
            </w:rPr>
            <w:t>Adopt the proposed PERMANENT rules in Attachment A as part of chapter 340 of the Oregon Administrative Rules.</w:t>
          </w:r>
        </w:sdtContent>
      </w:sdt>
      <w:r w:rsidR="00470AD8" w:rsidRPr="00C74D58">
        <w:rPr>
          <w:rFonts w:ascii="Times New Roman" w:eastAsia="Times New Roman" w:hAnsi="Times New Roman" w:cs="Times New Roman"/>
          <w:bCs/>
          <w:color w:val="000000"/>
        </w:rPr>
        <w:tab/>
      </w:r>
      <w:r w:rsidR="00470AD8" w:rsidRPr="00C74D58">
        <w:rPr>
          <w:rFonts w:ascii="Times New Roman" w:eastAsia="Times New Roman" w:hAnsi="Times New Roman" w:cs="Times New Roman"/>
          <w:bCs/>
          <w:color w:val="000000"/>
          <w:sz w:val="28"/>
          <w:szCs w:val="28"/>
        </w:rPr>
        <w:t> </w:t>
      </w:r>
    </w:p>
    <w:p w:rsidR="00C74D58" w:rsidRPr="00B15DF7" w:rsidRDefault="00470AD8" w:rsidP="008F3499">
      <w:pPr>
        <w:tabs>
          <w:tab w:val="left" w:pos="16582"/>
        </w:tabs>
        <w:ind w:left="5040"/>
        <w:outlineLvl w:val="0"/>
        <w:rPr>
          <w:rFonts w:ascii="Times New Roman" w:eastAsia="Times New Roman" w:hAnsi="Times New Roman" w:cs="Times New Roman"/>
          <w:bCs/>
          <w:color w:val="000000"/>
          <w:sz w:val="28"/>
          <w:szCs w:val="28"/>
        </w:rPr>
      </w:pPr>
      <w:r w:rsidRPr="00B15DF7">
        <w:rPr>
          <w:rFonts w:ascii="Times New Roman" w:eastAsia="Times New Roman" w:hAnsi="Times New Roman" w:cs="Times New Roman"/>
          <w:color w:val="000000"/>
        </w:rPr>
        <w:t> </w:t>
      </w:r>
      <w:r w:rsidR="00C74D58" w:rsidRPr="00B15DF7">
        <w:rPr>
          <w:rFonts w:ascii="Times New Roman" w:eastAsia="Times New Roman" w:hAnsi="Times New Roman" w:cs="Times New Roman"/>
          <w:color w:val="000000"/>
        </w:rPr>
        <w:t> </w:t>
      </w:r>
      <w:r w:rsidR="00C74D58" w:rsidRPr="00B15DF7">
        <w:rPr>
          <w:rFonts w:ascii="Times New Roman" w:eastAsia="Times New Roman" w:hAnsi="Times New Roman" w:cs="Times New Roman"/>
          <w:color w:val="000000"/>
        </w:rPr>
        <w:tab/>
      </w:r>
      <w:r w:rsidR="00C74D58" w:rsidRPr="00B15DF7">
        <w:rPr>
          <w:rFonts w:ascii="Times New Roman" w:eastAsia="Times New Roman" w:hAnsi="Times New Roman" w:cs="Times New Roman"/>
          <w:color w:val="786E54"/>
        </w:rPr>
        <w:t> </w:t>
      </w:r>
      <w:r w:rsidR="00C74D58" w:rsidRPr="00B15DF7">
        <w:rPr>
          <w:rFonts w:ascii="Times New Roman" w:eastAsia="Times New Roman" w:hAnsi="Times New Roman" w:cs="Times New Roman"/>
          <w:color w:val="786E54"/>
        </w:rPr>
        <w:tab/>
      </w:r>
      <w:r w:rsidR="00C74D58" w:rsidRPr="00B15DF7">
        <w:rPr>
          <w:rFonts w:ascii="Times New Roman" w:eastAsia="Times New Roman" w:hAnsi="Times New Roman" w:cs="Times New Roman"/>
          <w:bCs/>
          <w:color w:val="000000"/>
          <w:sz w:val="28"/>
          <w:szCs w:val="28"/>
        </w:rPr>
        <w:t> </w:t>
      </w:r>
      <w:r w:rsidR="00C74D58" w:rsidRPr="00B15DF7">
        <w:rPr>
          <w:rFonts w:ascii="Times New Roman" w:eastAsia="Times New Roman" w:hAnsi="Times New Roman" w:cs="Times New Roman"/>
          <w:bCs/>
          <w:color w:val="000000"/>
          <w:sz w:val="28"/>
          <w:szCs w:val="28"/>
        </w:rPr>
        <w:tab/>
        <w:t> </w:t>
      </w:r>
      <w:r w:rsidR="00C74D58" w:rsidRPr="00B15DF7">
        <w:rPr>
          <w:rFonts w:ascii="Times New Roman" w:eastAsia="Times New Roman" w:hAnsi="Times New Roman" w:cs="Times New Roman"/>
          <w:bCs/>
          <w:color w:val="000000"/>
          <w:sz w:val="28"/>
          <w:szCs w:val="28"/>
        </w:rPr>
        <w:tab/>
      </w:r>
    </w:p>
    <w:p w:rsidR="00C74D58" w:rsidRDefault="00C74D58" w:rsidP="00C74D58">
      <w:pPr>
        <w:tabs>
          <w:tab w:val="left" w:pos="908"/>
          <w:tab w:val="left" w:pos="3504"/>
          <w:tab w:val="left" w:pos="5204"/>
          <w:tab w:val="left" w:pos="6904"/>
          <w:tab w:val="left" w:pos="7704"/>
          <w:tab w:val="left" w:pos="16582"/>
        </w:tabs>
        <w:ind w:left="108"/>
        <w:outlineLvl w:val="0"/>
        <w:rPr>
          <w:rFonts w:ascii="Script MT Bold" w:eastAsia="Times New Roman" w:hAnsi="Script MT Bold" w:cs="Times New Roman"/>
          <w:bCs/>
          <w:color w:val="000000"/>
        </w:rPr>
      </w:pP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rPr>
        <w:tab/>
      </w:r>
      <w:r w:rsidRPr="00C74D58">
        <w:rPr>
          <w:rFonts w:ascii="Script MT Bold" w:eastAsia="Times New Roman" w:hAnsi="Script MT Bold" w:cs="Times New Roman"/>
          <w:bCs/>
          <w:color w:val="000000"/>
        </w:rPr>
        <w:t>Director's electronic signature</w:t>
      </w:r>
    </w:p>
    <w:p w:rsidR="00C74D58" w:rsidRDefault="00C74D58" w:rsidP="00C74D58"/>
    <w:tbl>
      <w:tblPr>
        <w:tblW w:w="11430" w:type="dxa"/>
        <w:tblInd w:w="108" w:type="dxa"/>
        <w:tblLook w:val="04A0"/>
      </w:tblPr>
      <w:tblGrid>
        <w:gridCol w:w="11430"/>
      </w:tblGrid>
      <w:tr w:rsidR="00C74D58" w:rsidRPr="00C74D58" w:rsidTr="00C74D58">
        <w:trPr>
          <w:trHeight w:val="600"/>
        </w:trPr>
        <w:tc>
          <w:tcPr>
            <w:tcW w:w="11430" w:type="dxa"/>
            <w:tcBorders>
              <w:top w:val="nil"/>
              <w:left w:val="nil"/>
              <w:bottom w:val="double" w:sz="6" w:space="0" w:color="7F7F7F"/>
              <w:right w:val="nil"/>
            </w:tcBorders>
            <w:shd w:val="clear" w:color="000000" w:fill="D8D3C6"/>
            <w:noWrap/>
            <w:vAlign w:val="bottom"/>
            <w:hideMark/>
          </w:tcPr>
          <w:p w:rsidR="00C74D58" w:rsidRPr="00DC07BD" w:rsidRDefault="00C74D58" w:rsidP="00C74D58">
            <w:pPr>
              <w:outlineLvl w:val="0"/>
              <w:rPr>
                <w:rFonts w:eastAsia="Times New Roman"/>
                <w:b/>
                <w:bCs/>
                <w:color w:val="00494F"/>
                <w:sz w:val="28"/>
                <w:szCs w:val="28"/>
              </w:rPr>
            </w:pPr>
            <w:bookmarkStart w:id="0" w:name="Recommendation"/>
            <w:bookmarkStart w:id="1" w:name="Overview"/>
            <w:r w:rsidRPr="00DC07BD">
              <w:rPr>
                <w:rFonts w:eastAsia="Times New Roman"/>
                <w:b/>
                <w:bCs/>
                <w:color w:val="00494F"/>
                <w:sz w:val="28"/>
                <w:szCs w:val="28"/>
              </w:rPr>
              <w:t>Overview</w:t>
            </w:r>
            <w:bookmarkEnd w:id="0"/>
            <w:bookmarkEnd w:id="1"/>
          </w:p>
        </w:tc>
      </w:tr>
    </w:tbl>
    <w:p w:rsidR="00C74D58" w:rsidRDefault="00C74D58" w:rsidP="00304A23">
      <w:pPr>
        <w:ind w:left="360"/>
      </w:pPr>
    </w:p>
    <w:p w:rsidR="00A004FF" w:rsidRPr="000D07CA" w:rsidRDefault="00A004FF" w:rsidP="00A004FF">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Regulated parties</w:t>
      </w:r>
    </w:p>
    <w:p w:rsidR="00A004FF" w:rsidRDefault="00A004FF" w:rsidP="00A004FF">
      <w:pPr>
        <w:tabs>
          <w:tab w:val="left" w:pos="16582"/>
        </w:tabs>
        <w:ind w:left="1080" w:right="630"/>
        <w:outlineLvl w:val="0"/>
        <w:rPr>
          <w:rFonts w:ascii="Times New Roman" w:eastAsia="Times New Roman" w:hAnsi="Times New Roman" w:cs="Times New Roman"/>
          <w:color w:val="000000"/>
        </w:rPr>
      </w:pPr>
      <w:r w:rsidRPr="00671070">
        <w:rPr>
          <w:rFonts w:ascii="Times New Roman" w:eastAsia="Times New Roman" w:hAnsi="Times New Roman" w:cs="Times New Roman"/>
          <w:color w:val="000000"/>
        </w:rPr>
        <w:t xml:space="preserve">Manufacturers of covered electronic devices under </w:t>
      </w:r>
      <w:r>
        <w:rPr>
          <w:rFonts w:ascii="Times New Roman" w:eastAsia="Times New Roman" w:hAnsi="Times New Roman" w:cs="Times New Roman"/>
          <w:color w:val="000000"/>
        </w:rPr>
        <w:t xml:space="preserve">Oregon’s Electronics Recycling Law, </w:t>
      </w:r>
      <w:r w:rsidRPr="00671070">
        <w:rPr>
          <w:rFonts w:ascii="Times New Roman" w:eastAsia="Times New Roman" w:hAnsi="Times New Roman" w:cs="Times New Roman"/>
          <w:color w:val="000000"/>
        </w:rPr>
        <w:t>ORS 459A.305</w:t>
      </w:r>
      <w:r w:rsidR="003E6567">
        <w:rPr>
          <w:rFonts w:ascii="Times New Roman" w:eastAsia="Times New Roman" w:hAnsi="Times New Roman" w:cs="Times New Roman"/>
          <w:color w:val="000000"/>
        </w:rPr>
        <w:t xml:space="preserve"> </w:t>
      </w:r>
      <w:r w:rsidRPr="00671070">
        <w:rPr>
          <w:rFonts w:ascii="Times New Roman" w:eastAsia="Times New Roman" w:hAnsi="Times New Roman" w:cs="Times New Roman"/>
          <w:color w:val="000000"/>
        </w:rPr>
        <w:t>(3)(a)</w:t>
      </w:r>
    </w:p>
    <w:p w:rsidR="00A004FF" w:rsidRPr="00B15DF7" w:rsidRDefault="00A004FF" w:rsidP="00A004FF">
      <w:pPr>
        <w:tabs>
          <w:tab w:val="left" w:pos="16582"/>
        </w:tabs>
        <w:ind w:left="1080" w:right="630"/>
        <w:outlineLvl w:val="0"/>
        <w:rPr>
          <w:rFonts w:ascii="Times New Roman" w:eastAsia="Times New Roman" w:hAnsi="Times New Roman" w:cs="Times New Roman"/>
          <w:color w:val="32525C"/>
        </w:rPr>
      </w:pPr>
    </w:p>
    <w:p w:rsidR="00A004FF" w:rsidRPr="000D07CA" w:rsidRDefault="00A004FF" w:rsidP="00A004FF">
      <w:pPr>
        <w:tabs>
          <w:tab w:val="left" w:pos="12343"/>
          <w:tab w:val="left" w:pos="12853"/>
          <w:tab w:val="left" w:pos="13363"/>
          <w:tab w:val="left" w:pos="14173"/>
          <w:tab w:val="left" w:pos="14983"/>
          <w:tab w:val="left" w:pos="16582"/>
        </w:tabs>
        <w:spacing w:after="120"/>
        <w:ind w:left="720" w:right="630"/>
        <w:outlineLvl w:val="0"/>
        <w:rPr>
          <w:rFonts w:ascii="Times New Roman" w:eastAsia="Times New Roman" w:hAnsi="Times New Roman" w:cs="Times New Roman"/>
          <w:color w:val="32525C"/>
          <w:sz w:val="22"/>
          <w:szCs w:val="22"/>
        </w:rPr>
      </w:pPr>
      <w:r w:rsidRPr="000D07CA">
        <w:rPr>
          <w:rFonts w:eastAsia="Times New Roman"/>
          <w:bCs/>
          <w:color w:val="504938"/>
          <w:sz w:val="22"/>
          <w:szCs w:val="22"/>
        </w:rPr>
        <w:t>Summary of proposed rules</w:t>
      </w:r>
      <w:r w:rsidRPr="000D07CA">
        <w:rPr>
          <w:rFonts w:ascii="Times New Roman" w:eastAsia="Times New Roman" w:hAnsi="Times New Roman" w:cs="Times New Roman"/>
          <w:color w:val="32525C"/>
          <w:sz w:val="22"/>
          <w:szCs w:val="22"/>
          <w:vertAlign w:val="subscript"/>
        </w:rPr>
        <w:t> </w:t>
      </w:r>
    </w:p>
    <w:p w:rsidR="00A004FF" w:rsidRPr="004B1359" w:rsidRDefault="00A004FF" w:rsidP="00B57441">
      <w:pPr>
        <w:ind w:left="1080" w:right="630"/>
        <w:outlineLvl w:val="0"/>
      </w:pPr>
      <w:r w:rsidRPr="007B7EFF">
        <w:rPr>
          <w:rFonts w:ascii="Times New Roman" w:eastAsia="Times New Roman" w:hAnsi="Times New Roman" w:cs="Times New Roman"/>
          <w:color w:val="000000"/>
        </w:rPr>
        <w:t>Th</w:t>
      </w:r>
      <w:r>
        <w:rPr>
          <w:rFonts w:ascii="Times New Roman" w:eastAsia="Times New Roman" w:hAnsi="Times New Roman" w:cs="Times New Roman"/>
          <w:color w:val="000000"/>
        </w:rPr>
        <w:t>e</w:t>
      </w:r>
      <w:r w:rsidRPr="007B7EFF">
        <w:rPr>
          <w:rFonts w:ascii="Times New Roman" w:eastAsia="Times New Roman" w:hAnsi="Times New Roman" w:cs="Times New Roman"/>
          <w:color w:val="000000"/>
        </w:rPr>
        <w:t xml:space="preserve"> proposed rule</w:t>
      </w:r>
      <w:r>
        <w:rPr>
          <w:rFonts w:ascii="Times New Roman" w:eastAsia="Times New Roman" w:hAnsi="Times New Roman" w:cs="Times New Roman"/>
          <w:color w:val="000000"/>
        </w:rPr>
        <w:t>s would revise the registration fees electronics manufacturers pay annually to DEQ to cover DEQ’s costs for administering Oregon’s electronics recycling program, Oregon E-Cycles. The proposed rules would establish (a) the revenue needed to cover DEQ’s administrative costs; and (b)</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seven-tier </w:t>
      </w:r>
      <w:r w:rsidRPr="007B7EFF">
        <w:rPr>
          <w:rFonts w:ascii="Times New Roman" w:eastAsia="Times New Roman" w:hAnsi="Times New Roman" w:cs="Times New Roman"/>
          <w:color w:val="000000"/>
        </w:rPr>
        <w:t xml:space="preserve">fee </w:t>
      </w:r>
      <w:r>
        <w:rPr>
          <w:rFonts w:ascii="Times New Roman" w:eastAsia="Times New Roman" w:hAnsi="Times New Roman" w:cs="Times New Roman"/>
          <w:color w:val="000000"/>
        </w:rPr>
        <w:t>structure and process to</w:t>
      </w:r>
      <w:r w:rsidRPr="007B7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distribute </w:t>
      </w:r>
      <w:r w:rsidRPr="007B7EFF">
        <w:rPr>
          <w:rFonts w:ascii="Times New Roman" w:eastAsia="Times New Roman" w:hAnsi="Times New Roman" w:cs="Times New Roman"/>
          <w:color w:val="000000"/>
        </w:rPr>
        <w:t>the revenue</w:t>
      </w:r>
      <w:r>
        <w:rPr>
          <w:rFonts w:ascii="Times New Roman" w:eastAsia="Times New Roman" w:hAnsi="Times New Roman" w:cs="Times New Roman"/>
          <w:color w:val="000000"/>
        </w:rPr>
        <w:t xml:space="preserve"> need</w:t>
      </w:r>
      <w:r w:rsidRPr="007B7EFF">
        <w:rPr>
          <w:rFonts w:ascii="Times New Roman" w:eastAsia="Times New Roman" w:hAnsi="Times New Roman" w:cs="Times New Roman"/>
          <w:color w:val="000000"/>
        </w:rPr>
        <w:t xml:space="preserve"> among registered manufacturers</w:t>
      </w:r>
      <w:r>
        <w:rPr>
          <w:rFonts w:ascii="Times New Roman" w:eastAsia="Times New Roman" w:hAnsi="Times New Roman" w:cs="Times New Roman"/>
          <w:color w:val="000000"/>
        </w:rPr>
        <w:t xml:space="preserve"> based primarily on their market share</w:t>
      </w:r>
      <w:r w:rsidRPr="00722811">
        <w:rPr>
          <w:rFonts w:ascii="Times New Roman" w:eastAsia="Times New Roman" w:hAnsi="Times New Roman" w:cs="Times New Roman"/>
          <w:color w:val="000000"/>
        </w:rPr>
        <w:t>.</w:t>
      </w:r>
    </w:p>
    <w:p w:rsidR="00A004FF" w:rsidRPr="000D07CA" w:rsidRDefault="00A004FF" w:rsidP="00B57441">
      <w:pPr>
        <w:ind w:left="1080" w:right="630"/>
        <w:outlineLvl w:val="0"/>
        <w:rPr>
          <w:rFonts w:ascii="Times New Roman" w:eastAsia="Times New Roman" w:hAnsi="Times New Roman" w:cs="Times New Roman"/>
          <w:color w:val="504938"/>
          <w:sz w:val="20"/>
        </w:rPr>
      </w:pPr>
    </w:p>
    <w:p w:rsidR="00A004FF" w:rsidRPr="000D07CA" w:rsidRDefault="00A004FF" w:rsidP="00B57441">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0D07CA">
        <w:rPr>
          <w:rFonts w:eastAsia="Times New Roman"/>
          <w:bCs/>
          <w:color w:val="504938"/>
          <w:sz w:val="22"/>
          <w:szCs w:val="22"/>
        </w:rPr>
        <w:t>Brief history</w:t>
      </w:r>
    </w:p>
    <w:p w:rsidR="00A004FF" w:rsidRPr="007B0CB8" w:rsidRDefault="00A004FF" w:rsidP="00B57441">
      <w:pPr>
        <w:ind w:left="1080" w:right="630"/>
        <w:rPr>
          <w:rFonts w:ascii="Times New Roman" w:hAnsi="Times New Roman" w:cs="Times New Roman"/>
        </w:rPr>
      </w:pPr>
      <w:r w:rsidRPr="007B7EFF">
        <w:rPr>
          <w:rFonts w:ascii="Times New Roman" w:eastAsia="Times New Roman" w:hAnsi="Times New Roman" w:cs="Times New Roman"/>
          <w:color w:val="000000"/>
        </w:rPr>
        <w:t xml:space="preserve">The 2007 </w:t>
      </w:r>
      <w:r w:rsidRPr="007B0CB8">
        <w:rPr>
          <w:rFonts w:ascii="Times New Roman" w:eastAsia="Times New Roman" w:hAnsi="Times New Roman" w:cs="Times New Roman"/>
          <w:color w:val="000000"/>
        </w:rPr>
        <w:t xml:space="preserve">Legislature established the electronics recycling program, Oregon E-Cycles, to provide responsible recycling of computers, monitors and TVs in Oregon. Manufacturers of these electronic devices register with DEQ and pay an annual registration fee to cover </w:t>
      </w:r>
      <w:r>
        <w:rPr>
          <w:rFonts w:ascii="Times New Roman" w:eastAsia="Times New Roman" w:hAnsi="Times New Roman" w:cs="Times New Roman"/>
          <w:color w:val="000000"/>
        </w:rPr>
        <w:t xml:space="preserve">DEQ’s </w:t>
      </w:r>
      <w:r w:rsidRPr="007B0CB8">
        <w:rPr>
          <w:rFonts w:ascii="Times New Roman" w:eastAsia="Times New Roman" w:hAnsi="Times New Roman" w:cs="Times New Roman"/>
          <w:color w:val="000000"/>
        </w:rPr>
        <w:t>costs for administering the</w:t>
      </w:r>
      <w:r>
        <w:rPr>
          <w:rFonts w:ascii="Times New Roman" w:eastAsia="Times New Roman" w:hAnsi="Times New Roman" w:cs="Times New Roman"/>
          <w:color w:val="000000"/>
        </w:rPr>
        <w:t xml:space="preserve"> Oregon</w:t>
      </w:r>
      <w:r w:rsidRPr="007B0CB8">
        <w:rPr>
          <w:rFonts w:ascii="Times New Roman" w:eastAsia="Times New Roman" w:hAnsi="Times New Roman" w:cs="Times New Roman"/>
          <w:color w:val="000000"/>
        </w:rPr>
        <w:t xml:space="preserve"> E-Cycles program. The 2007 legislation included a registration fee </w:t>
      </w:r>
      <w:r>
        <w:rPr>
          <w:rFonts w:ascii="Times New Roman" w:eastAsia="Times New Roman" w:hAnsi="Times New Roman" w:cs="Times New Roman"/>
          <w:color w:val="000000"/>
        </w:rPr>
        <w:t>structure</w:t>
      </w:r>
      <w:r w:rsidRPr="007B0CB8">
        <w:rPr>
          <w:rFonts w:ascii="Times New Roman" w:eastAsia="Times New Roman" w:hAnsi="Times New Roman" w:cs="Times New Roman"/>
          <w:color w:val="000000"/>
        </w:rPr>
        <w:t xml:space="preserve"> based on estimated costs and fee </w:t>
      </w:r>
      <w:r w:rsidRPr="007B0CB8">
        <w:rPr>
          <w:rFonts w:ascii="Times New Roman" w:eastAsia="Times New Roman" w:hAnsi="Times New Roman" w:cs="Times New Roman"/>
          <w:color w:val="000000"/>
        </w:rPr>
        <w:lastRenderedPageBreak/>
        <w:t>revenues for starting up and operating the new program. Th</w:t>
      </w:r>
      <w:r>
        <w:rPr>
          <w:rFonts w:ascii="Times New Roman" w:eastAsia="Times New Roman" w:hAnsi="Times New Roman" w:cs="Times New Roman"/>
          <w:color w:val="000000"/>
        </w:rPr>
        <w:t>is</w:t>
      </w:r>
      <w:r w:rsidRPr="007B0CB8">
        <w:rPr>
          <w:rFonts w:ascii="Times New Roman" w:eastAsia="Times New Roman" w:hAnsi="Times New Roman" w:cs="Times New Roman"/>
          <w:color w:val="000000"/>
        </w:rPr>
        <w:t xml:space="preserve"> current fee structure does not generate sufficient revenue to cover DEQ’s actual </w:t>
      </w:r>
      <w:r w:rsidR="006F61F5">
        <w:rPr>
          <w:rFonts w:ascii="Times New Roman" w:eastAsia="Times New Roman" w:hAnsi="Times New Roman" w:cs="Times New Roman"/>
          <w:color w:val="000000"/>
        </w:rPr>
        <w:t xml:space="preserve">program </w:t>
      </w:r>
      <w:r w:rsidRPr="007B0CB8">
        <w:rPr>
          <w:rFonts w:ascii="Times New Roman" w:eastAsia="Times New Roman" w:hAnsi="Times New Roman" w:cs="Times New Roman"/>
          <w:color w:val="000000"/>
        </w:rPr>
        <w:t>costs.</w:t>
      </w:r>
    </w:p>
    <w:p w:rsidR="00A004FF" w:rsidRPr="007B0CB8" w:rsidRDefault="00A004FF" w:rsidP="00B57441">
      <w:pPr>
        <w:ind w:left="1080" w:right="630"/>
        <w:rPr>
          <w:rFonts w:ascii="Times New Roman" w:hAnsi="Times New Roman" w:cs="Times New Roman"/>
        </w:rPr>
      </w:pPr>
    </w:p>
    <w:p w:rsidR="00A004FF" w:rsidRPr="002C25E3" w:rsidRDefault="00A004FF" w:rsidP="00B57441">
      <w:pPr>
        <w:ind w:left="1080" w:right="630"/>
        <w:rPr>
          <w:rFonts w:ascii="Times New Roman" w:hAnsi="Times New Roman" w:cs="Times New Roman"/>
        </w:rPr>
      </w:pPr>
      <w:r w:rsidRPr="007B0CB8">
        <w:rPr>
          <w:rFonts w:ascii="Times New Roman" w:eastAsia="Times New Roman" w:hAnsi="Times New Roman" w:cs="Times New Roman"/>
          <w:color w:val="000000"/>
        </w:rPr>
        <w:t>The law allows the Oregon Environmental Quality Commission to modify registration fees for calendar year 2012 and beyond so that fee reven</w:t>
      </w:r>
      <w:r>
        <w:rPr>
          <w:rFonts w:ascii="Times New Roman" w:eastAsia="Times New Roman" w:hAnsi="Times New Roman" w:cs="Times New Roman"/>
          <w:color w:val="000000"/>
        </w:rPr>
        <w:t>ue</w:t>
      </w:r>
      <w:r w:rsidRPr="007B7EFF">
        <w:rPr>
          <w:rFonts w:ascii="Times New Roman" w:eastAsia="Times New Roman" w:hAnsi="Times New Roman" w:cs="Times New Roman"/>
          <w:color w:val="000000"/>
        </w:rPr>
        <w:t xml:space="preserve"> approximately matches DEQ</w:t>
      </w:r>
      <w:r>
        <w:rPr>
          <w:rFonts w:ascii="Times New Roman" w:eastAsia="Times New Roman" w:hAnsi="Times New Roman" w:cs="Times New Roman"/>
          <w:color w:val="000000"/>
        </w:rPr>
        <w:t>’s</w:t>
      </w:r>
      <w:r w:rsidRPr="007B7EFF">
        <w:rPr>
          <w:rFonts w:ascii="Times New Roman" w:eastAsia="Times New Roman" w:hAnsi="Times New Roman" w:cs="Times New Roman"/>
          <w:color w:val="000000"/>
        </w:rPr>
        <w:t xml:space="preserve"> costs for implementing </w:t>
      </w:r>
      <w:r>
        <w:rPr>
          <w:rFonts w:ascii="Times New Roman" w:eastAsia="Times New Roman" w:hAnsi="Times New Roman" w:cs="Times New Roman"/>
          <w:color w:val="000000"/>
        </w:rPr>
        <w:t xml:space="preserve">the Oregon E-Cycles program, </w:t>
      </w:r>
      <w:r w:rsidRPr="007B7EFF">
        <w:rPr>
          <w:rFonts w:ascii="Times New Roman" w:eastAsia="Times New Roman" w:hAnsi="Times New Roman" w:cs="Times New Roman"/>
          <w:color w:val="000000"/>
        </w:rPr>
        <w:t>ORS 459A.305 to 459A.355, exclud</w:t>
      </w:r>
      <w:r>
        <w:rPr>
          <w:rFonts w:ascii="Times New Roman" w:eastAsia="Times New Roman" w:hAnsi="Times New Roman" w:cs="Times New Roman"/>
          <w:color w:val="000000"/>
        </w:rPr>
        <w:t>ing</w:t>
      </w:r>
      <w:r w:rsidRPr="007B7EFF">
        <w:rPr>
          <w:rFonts w:ascii="Times New Roman" w:eastAsia="Times New Roman" w:hAnsi="Times New Roman" w:cs="Times New Roman"/>
          <w:color w:val="000000"/>
        </w:rPr>
        <w:t xml:space="preserve"> costs incurred </w:t>
      </w:r>
      <w:r>
        <w:rPr>
          <w:rFonts w:ascii="Times New Roman" w:eastAsia="Times New Roman" w:hAnsi="Times New Roman" w:cs="Times New Roman"/>
          <w:color w:val="000000"/>
        </w:rPr>
        <w:t xml:space="preserve">for operating the state contractor-run electronics recycling program </w:t>
      </w:r>
      <w:r w:rsidRPr="007B7EFF">
        <w:rPr>
          <w:rFonts w:ascii="Times New Roman" w:eastAsia="Times New Roman" w:hAnsi="Times New Roman" w:cs="Times New Roman"/>
          <w:color w:val="000000"/>
        </w:rPr>
        <w:t>under ORS 459A.340 (4).</w:t>
      </w:r>
      <w:r>
        <w:rPr>
          <w:rFonts w:ascii="Times New Roman" w:eastAsia="Times New Roman" w:hAnsi="Times New Roman" w:cs="Times New Roman"/>
          <w:color w:val="000000"/>
        </w:rPr>
        <w:t xml:space="preserve"> DEQ’s March 2012</w:t>
      </w:r>
      <w:hyperlink r:id="rId13" w:history="1">
        <w:r w:rsidRPr="001569F3">
          <w:rPr>
            <w:rStyle w:val="Hyperlink"/>
            <w:rFonts w:ascii="Times New Roman" w:eastAsia="Times New Roman" w:hAnsi="Times New Roman" w:cs="Times New Roman"/>
          </w:rPr>
          <w:t xml:space="preserve"> “Oregon E-Cycles Biennial Report”</w:t>
        </w:r>
      </w:hyperlink>
      <w:r>
        <w:rPr>
          <w:rFonts w:ascii="Times New Roman" w:eastAsia="Times New Roman" w:hAnsi="Times New Roman" w:cs="Times New Roman"/>
          <w:color w:val="000000"/>
        </w:rPr>
        <w:t xml:space="preserve"> to the legislature more fully describes the Oregon E-Cycles program.</w:t>
      </w:r>
    </w:p>
    <w:tbl>
      <w:tblPr>
        <w:tblW w:w="11430" w:type="dxa"/>
        <w:tblInd w:w="108" w:type="dxa"/>
        <w:tblLook w:val="04A0"/>
      </w:tblPr>
      <w:tblGrid>
        <w:gridCol w:w="11430"/>
      </w:tblGrid>
      <w:tr w:rsidR="00A04AFA"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A04AFA" w:rsidRPr="004F673A" w:rsidRDefault="001E443D" w:rsidP="00B57441">
            <w:pPr>
              <w:outlineLvl w:val="0"/>
              <w:rPr>
                <w:rFonts w:eastAsia="Times New Roman"/>
                <w:b/>
                <w:bCs/>
                <w:color w:val="32525C"/>
                <w:sz w:val="28"/>
                <w:szCs w:val="28"/>
              </w:rPr>
            </w:pPr>
            <w:bookmarkStart w:id="2" w:name="Need"/>
            <w:r w:rsidRPr="00DC07BD">
              <w:rPr>
                <w:rFonts w:eastAsia="Times New Roman"/>
                <w:b/>
                <w:bCs/>
                <w:color w:val="00494F"/>
                <w:sz w:val="28"/>
                <w:szCs w:val="28"/>
              </w:rPr>
              <w:t xml:space="preserve">Need for </w:t>
            </w:r>
            <w:r w:rsidR="00B57441" w:rsidRPr="00DC07BD">
              <w:rPr>
                <w:rFonts w:eastAsia="Times New Roman"/>
                <w:b/>
                <w:bCs/>
                <w:color w:val="00494F"/>
                <w:sz w:val="28"/>
                <w:szCs w:val="28"/>
              </w:rPr>
              <w:t>t</w:t>
            </w:r>
            <w:r w:rsidRPr="00DC07BD">
              <w:rPr>
                <w:rFonts w:eastAsia="Times New Roman"/>
                <w:b/>
                <w:bCs/>
                <w:color w:val="00494F"/>
                <w:sz w:val="28"/>
                <w:szCs w:val="28"/>
              </w:rPr>
              <w:t xml:space="preserve">his </w:t>
            </w:r>
            <w:r w:rsidR="00B57441" w:rsidRPr="00DC07BD">
              <w:rPr>
                <w:rFonts w:eastAsia="Times New Roman"/>
                <w:b/>
                <w:bCs/>
                <w:color w:val="00494F"/>
                <w:sz w:val="28"/>
                <w:szCs w:val="28"/>
              </w:rPr>
              <w:t>proposed rule</w:t>
            </w:r>
            <w:bookmarkEnd w:id="2"/>
            <w:r w:rsidR="007667BF" w:rsidRPr="007667BF">
              <w:rPr>
                <w:rFonts w:eastAsia="Times New Roman"/>
                <w:bCs/>
                <w:color w:val="BFBFBF" w:themeColor="background1" w:themeShade="BF"/>
                <w:sz w:val="28"/>
                <w:szCs w:val="28"/>
              </w:rPr>
              <w:sym w:font="Wingdings 3" w:char="F07D"/>
            </w:r>
          </w:p>
        </w:tc>
      </w:tr>
    </w:tbl>
    <w:p w:rsidR="00A04AFA" w:rsidRPr="00B15DF7" w:rsidRDefault="00A04AFA" w:rsidP="00A04AFA"/>
    <w:p w:rsidR="00A004FF" w:rsidRPr="004F673A" w:rsidRDefault="00A004FF" w:rsidP="00A004FF">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What problem is DEQ trying to solve?</w:t>
      </w:r>
    </w:p>
    <w:p w:rsidR="00A004FF" w:rsidRDefault="00A004FF" w:rsidP="00A004FF">
      <w:pPr>
        <w:ind w:left="1080" w:right="630"/>
        <w:rPr>
          <w:rFonts w:ascii="Times New Roman" w:hAnsi="Times New Roman" w:cs="Times New Roman"/>
        </w:rPr>
      </w:pPr>
      <w:r w:rsidRPr="00664872">
        <w:rPr>
          <w:rFonts w:ascii="Times New Roman" w:eastAsia="Times New Roman" w:hAnsi="Times New Roman" w:cs="Times New Roman"/>
          <w:color w:val="000000"/>
        </w:rPr>
        <w:t xml:space="preserve">The existing fee structure has not generated sufficient revenue to cover DEQ’s </w:t>
      </w:r>
      <w:r>
        <w:rPr>
          <w:rFonts w:ascii="Times New Roman" w:eastAsia="Times New Roman" w:hAnsi="Times New Roman" w:cs="Times New Roman"/>
          <w:color w:val="000000"/>
        </w:rPr>
        <w:t xml:space="preserve">start-up and ongoing operating </w:t>
      </w:r>
      <w:r w:rsidRPr="00664872">
        <w:rPr>
          <w:rFonts w:ascii="Times New Roman" w:eastAsia="Times New Roman" w:hAnsi="Times New Roman" w:cs="Times New Roman"/>
          <w:color w:val="000000"/>
        </w:rPr>
        <w:t xml:space="preserve">costs for administering Oregon </w:t>
      </w:r>
      <w:r w:rsidRPr="00664872">
        <w:rPr>
          <w:rFonts w:ascii="Times New Roman" w:eastAsia="Times New Roman" w:hAnsi="Times New Roman" w:cs="Times New Roman"/>
          <w:color w:val="000000"/>
        </w:rPr>
        <w:lastRenderedPageBreak/>
        <w:t>E-Cycles and will not cover projected costs</w:t>
      </w:r>
      <w:r>
        <w:rPr>
          <w:rFonts w:ascii="Times New Roman" w:eastAsia="Times New Roman" w:hAnsi="Times New Roman" w:cs="Times New Roman"/>
          <w:color w:val="000000"/>
        </w:rPr>
        <w:t>. R</w:t>
      </w:r>
      <w:r w:rsidRPr="00664872">
        <w:rPr>
          <w:rFonts w:ascii="Times New Roman" w:hAnsi="Times New Roman" w:cs="Times New Roman"/>
        </w:rPr>
        <w:t xml:space="preserve">evenue </w:t>
      </w:r>
      <w:r>
        <w:rPr>
          <w:rFonts w:ascii="Times New Roman" w:hAnsi="Times New Roman" w:cs="Times New Roman"/>
        </w:rPr>
        <w:t xml:space="preserve">is </w:t>
      </w:r>
      <w:r w:rsidRPr="00664872">
        <w:rPr>
          <w:rFonts w:ascii="Times New Roman" w:hAnsi="Times New Roman" w:cs="Times New Roman"/>
        </w:rPr>
        <w:t xml:space="preserve">highly variable under the existing fee </w:t>
      </w:r>
      <w:r w:rsidRPr="00737799">
        <w:rPr>
          <w:rFonts w:ascii="Times New Roman" w:hAnsi="Times New Roman" w:cs="Times New Roman"/>
        </w:rPr>
        <w:t>structure</w:t>
      </w:r>
      <w:r>
        <w:rPr>
          <w:rFonts w:ascii="Times New Roman" w:hAnsi="Times New Roman" w:cs="Times New Roman"/>
        </w:rPr>
        <w:t xml:space="preserve">, </w:t>
      </w:r>
      <w:r>
        <w:rPr>
          <w:rFonts w:ascii="Times New Roman" w:eastAsia="Times New Roman" w:hAnsi="Times New Roman" w:cs="Times New Roman"/>
          <w:color w:val="000000"/>
        </w:rPr>
        <w:t xml:space="preserve">as shown </w:t>
      </w:r>
      <w:r w:rsidRPr="00552641">
        <w:rPr>
          <w:rFonts w:ascii="Times New Roman" w:eastAsia="Times New Roman" w:hAnsi="Times New Roman" w:cs="Times New Roman"/>
          <w:color w:val="000000"/>
        </w:rPr>
        <w:t>in Table 1</w:t>
      </w:r>
      <w:r w:rsidRPr="00552641">
        <w:rPr>
          <w:rFonts w:ascii="Times New Roman" w:hAnsi="Times New Roman" w:cs="Times New Roman"/>
        </w:rPr>
        <w:t>.</w:t>
      </w:r>
      <w:r w:rsidRPr="00737799">
        <w:rPr>
          <w:rFonts w:ascii="Times New Roman" w:hAnsi="Times New Roman" w:cs="Times New Roman"/>
        </w:rPr>
        <w:t xml:space="preserve"> Although the number of manufacturers has remained relatively steady</w:t>
      </w:r>
      <w:r>
        <w:rPr>
          <w:rFonts w:ascii="Times New Roman" w:hAnsi="Times New Roman" w:cs="Times New Roman"/>
        </w:rPr>
        <w:t xml:space="preserve"> since 2008</w:t>
      </w:r>
      <w:r w:rsidRPr="00737799">
        <w:rPr>
          <w:rFonts w:ascii="Times New Roman" w:hAnsi="Times New Roman" w:cs="Times New Roman"/>
        </w:rPr>
        <w:t xml:space="preserve">, a drop in the number of manufacturers in the </w:t>
      </w:r>
      <w:r>
        <w:rPr>
          <w:rFonts w:ascii="Times New Roman" w:hAnsi="Times New Roman" w:cs="Times New Roman"/>
        </w:rPr>
        <w:t xml:space="preserve">highest </w:t>
      </w:r>
      <w:r w:rsidRPr="00737799">
        <w:rPr>
          <w:rFonts w:ascii="Times New Roman" w:hAnsi="Times New Roman" w:cs="Times New Roman"/>
        </w:rPr>
        <w:t>fee tiers has caused revenue to decline</w:t>
      </w:r>
      <w:r>
        <w:rPr>
          <w:rFonts w:ascii="Times New Roman" w:hAnsi="Times New Roman" w:cs="Times New Roman"/>
        </w:rPr>
        <w:t xml:space="preserve"> from $388,000 in 2008 to $287,000 in 2011 (less than the $300,000 revenue estimated for the 2007 legislation). The few tiers and large difference in </w:t>
      </w:r>
      <w:r w:rsidRPr="00737799">
        <w:rPr>
          <w:rFonts w:ascii="Times New Roman" w:hAnsi="Times New Roman" w:cs="Times New Roman"/>
        </w:rPr>
        <w:t xml:space="preserve">fee amounts </w:t>
      </w:r>
      <w:r>
        <w:rPr>
          <w:rFonts w:ascii="Times New Roman" w:hAnsi="Times New Roman" w:cs="Times New Roman"/>
        </w:rPr>
        <w:t>between</w:t>
      </w:r>
      <w:r w:rsidRPr="00737799">
        <w:rPr>
          <w:rFonts w:ascii="Times New Roman" w:hAnsi="Times New Roman" w:cs="Times New Roman"/>
        </w:rPr>
        <w:t xml:space="preserve"> tiers</w:t>
      </w:r>
      <w:r>
        <w:rPr>
          <w:rFonts w:ascii="Times New Roman" w:hAnsi="Times New Roman" w:cs="Times New Roman"/>
        </w:rPr>
        <w:t xml:space="preserve">, shown in Table </w:t>
      </w:r>
      <w:r w:rsidR="006F61F5">
        <w:rPr>
          <w:rFonts w:ascii="Times New Roman" w:hAnsi="Times New Roman" w:cs="Times New Roman"/>
        </w:rPr>
        <w:t>1</w:t>
      </w:r>
      <w:r>
        <w:rPr>
          <w:rFonts w:ascii="Times New Roman" w:hAnsi="Times New Roman" w:cs="Times New Roman"/>
        </w:rPr>
        <w:t>,</w:t>
      </w:r>
      <w:r w:rsidRPr="00737799">
        <w:rPr>
          <w:rFonts w:ascii="Times New Roman" w:hAnsi="Times New Roman" w:cs="Times New Roman"/>
        </w:rPr>
        <w:t xml:space="preserve"> magnifies </w:t>
      </w:r>
      <w:r>
        <w:rPr>
          <w:rFonts w:ascii="Times New Roman" w:hAnsi="Times New Roman" w:cs="Times New Roman"/>
        </w:rPr>
        <w:t xml:space="preserve">the </w:t>
      </w:r>
      <w:r w:rsidRPr="00737799">
        <w:rPr>
          <w:rFonts w:ascii="Times New Roman" w:hAnsi="Times New Roman" w:cs="Times New Roman"/>
        </w:rPr>
        <w:t>revenue impacts of any redistribution of manufacturers among tiers.</w:t>
      </w:r>
    </w:p>
    <w:p w:rsidR="00F21154" w:rsidRPr="00737799" w:rsidRDefault="00F21154" w:rsidP="00A004FF">
      <w:pPr>
        <w:ind w:left="1080" w:right="630"/>
        <w:rPr>
          <w:rFonts w:ascii="Times New Roman" w:hAnsi="Times New Roman" w:cs="Times New Roman"/>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1875"/>
        <w:gridCol w:w="1214"/>
        <w:gridCol w:w="676"/>
        <w:gridCol w:w="895"/>
        <w:gridCol w:w="835"/>
        <w:gridCol w:w="895"/>
        <w:gridCol w:w="706"/>
        <w:gridCol w:w="895"/>
        <w:gridCol w:w="678"/>
        <w:gridCol w:w="976"/>
      </w:tblGrid>
      <w:tr w:rsidR="001725E9" w:rsidRPr="00DE1516" w:rsidTr="009D69C4">
        <w:trPr>
          <w:trHeight w:val="746"/>
          <w:jc w:val="center"/>
        </w:trPr>
        <w:tc>
          <w:tcPr>
            <w:tcW w:w="10290" w:type="dxa"/>
            <w:gridSpan w:val="11"/>
            <w:shd w:val="clear" w:color="auto" w:fill="008272"/>
            <w:vAlign w:val="center"/>
            <w:hideMark/>
          </w:tcPr>
          <w:p w:rsidR="009D69C4" w:rsidRDefault="009D69C4" w:rsidP="001725E9">
            <w:pPr>
              <w:jc w:val="center"/>
              <w:rPr>
                <w:rFonts w:asciiTheme="majorHAnsi" w:eastAsia="Times New Roman" w:hAnsiTheme="majorHAnsi" w:cstheme="majorHAnsi"/>
                <w:color w:val="FFFFFF"/>
              </w:rPr>
            </w:pPr>
            <w:bookmarkStart w:id="3" w:name="OLE_LINK1"/>
          </w:p>
          <w:p w:rsidR="009D69C4" w:rsidRDefault="009D69C4" w:rsidP="001725E9">
            <w:pPr>
              <w:jc w:val="center"/>
              <w:rPr>
                <w:rFonts w:asciiTheme="majorHAnsi" w:eastAsia="Times New Roman" w:hAnsiTheme="majorHAnsi" w:cstheme="majorHAnsi"/>
                <w:color w:val="FFFFFF"/>
              </w:rPr>
            </w:pPr>
            <w:r>
              <w:rPr>
                <w:rFonts w:asciiTheme="majorHAnsi" w:eastAsia="Times New Roman" w:hAnsiTheme="majorHAnsi" w:cstheme="majorHAnsi"/>
                <w:color w:val="FFFFFF"/>
              </w:rPr>
              <w:t>Table 1</w:t>
            </w:r>
          </w:p>
          <w:p w:rsidR="001725E9" w:rsidRPr="009D69C4" w:rsidRDefault="001725E9" w:rsidP="001725E9">
            <w:pPr>
              <w:jc w:val="center"/>
              <w:rPr>
                <w:rFonts w:asciiTheme="majorHAnsi" w:eastAsia="Times New Roman" w:hAnsiTheme="majorHAnsi" w:cstheme="majorHAnsi"/>
                <w:b/>
                <w:color w:val="FFFFFF"/>
              </w:rPr>
            </w:pPr>
            <w:r w:rsidRPr="009D69C4">
              <w:rPr>
                <w:rFonts w:asciiTheme="majorHAnsi" w:eastAsia="Times New Roman" w:hAnsiTheme="majorHAnsi" w:cstheme="majorHAnsi"/>
                <w:b/>
                <w:color w:val="FFFFFF"/>
              </w:rPr>
              <w:t>Oregon E-Cycles Existing Fee Structure</w:t>
            </w:r>
          </w:p>
          <w:p w:rsidR="001725E9" w:rsidRPr="009D69C4" w:rsidRDefault="001725E9" w:rsidP="001725E9">
            <w:pPr>
              <w:jc w:val="center"/>
              <w:rPr>
                <w:rFonts w:asciiTheme="majorHAnsi" w:eastAsia="Times New Roman" w:hAnsiTheme="majorHAnsi" w:cstheme="majorHAnsi"/>
                <w:b/>
                <w:color w:val="FFFFFF"/>
              </w:rPr>
            </w:pPr>
            <w:r w:rsidRPr="009D69C4">
              <w:rPr>
                <w:rFonts w:asciiTheme="majorHAnsi" w:eastAsia="Times New Roman" w:hAnsiTheme="majorHAnsi" w:cstheme="majorHAnsi"/>
                <w:b/>
                <w:color w:val="FFFFFF"/>
              </w:rPr>
              <w:t>Revenue Received, Manufacturers and Market Share</w:t>
            </w:r>
          </w:p>
          <w:p w:rsidR="009D69C4" w:rsidRPr="00DE1516" w:rsidRDefault="009D69C4" w:rsidP="001725E9">
            <w:pPr>
              <w:jc w:val="center"/>
              <w:rPr>
                <w:rFonts w:ascii="Calibri" w:eastAsia="Times New Roman" w:hAnsi="Calibri" w:cs="Calibri"/>
                <w:color w:val="FFFFFF"/>
                <w:sz w:val="28"/>
                <w:szCs w:val="28"/>
              </w:rPr>
            </w:pPr>
          </w:p>
        </w:tc>
      </w:tr>
      <w:tr w:rsidR="001725E9" w:rsidRPr="00DE1516" w:rsidTr="009D69C4">
        <w:trPr>
          <w:trHeight w:val="300"/>
          <w:jc w:val="center"/>
        </w:trPr>
        <w:tc>
          <w:tcPr>
            <w:tcW w:w="3734" w:type="dxa"/>
            <w:gridSpan w:val="3"/>
            <w:shd w:val="clear" w:color="auto" w:fill="B1DDCD"/>
            <w:noWrap/>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Existing Fee Structure</w:t>
            </w:r>
          </w:p>
        </w:tc>
        <w:tc>
          <w:tcPr>
            <w:tcW w:w="1571" w:type="dxa"/>
            <w:gridSpan w:val="2"/>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2008</w:t>
            </w:r>
          </w:p>
        </w:tc>
        <w:tc>
          <w:tcPr>
            <w:tcW w:w="1730" w:type="dxa"/>
            <w:gridSpan w:val="2"/>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2009</w:t>
            </w:r>
          </w:p>
        </w:tc>
        <w:tc>
          <w:tcPr>
            <w:tcW w:w="1601" w:type="dxa"/>
            <w:gridSpan w:val="2"/>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2010</w:t>
            </w:r>
          </w:p>
        </w:tc>
        <w:tc>
          <w:tcPr>
            <w:tcW w:w="1654" w:type="dxa"/>
            <w:gridSpan w:val="2"/>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2011</w:t>
            </w:r>
          </w:p>
        </w:tc>
      </w:tr>
      <w:tr w:rsidR="001725E9" w:rsidRPr="00DE1516" w:rsidTr="009D69C4">
        <w:trPr>
          <w:trHeight w:val="300"/>
          <w:jc w:val="center"/>
        </w:trPr>
        <w:tc>
          <w:tcPr>
            <w:tcW w:w="645" w:type="dxa"/>
            <w:shd w:val="clear" w:color="auto" w:fill="B1DDCD"/>
            <w:noWrap/>
            <w:vAlign w:val="bottom"/>
            <w:hideMark/>
          </w:tcPr>
          <w:p w:rsidR="001725E9" w:rsidRPr="005A7F26" w:rsidRDefault="001725E9" w:rsidP="001725E9">
            <w:pPr>
              <w:rPr>
                <w:rFonts w:asciiTheme="majorHAnsi" w:eastAsia="Times New Roman" w:hAnsiTheme="majorHAnsi" w:cstheme="majorHAnsi"/>
                <w:b/>
                <w:color w:val="000000"/>
                <w:sz w:val="20"/>
                <w:szCs w:val="20"/>
              </w:rPr>
            </w:pPr>
            <w:r w:rsidRPr="005A7F26">
              <w:rPr>
                <w:rFonts w:asciiTheme="majorHAnsi" w:eastAsia="Times New Roman" w:hAnsiTheme="majorHAnsi" w:cstheme="majorHAnsi"/>
                <w:b/>
                <w:color w:val="000000"/>
                <w:sz w:val="20"/>
                <w:szCs w:val="20"/>
              </w:rPr>
              <w:t>Ti</w:t>
            </w:r>
            <w:r w:rsidRPr="005A7F26">
              <w:rPr>
                <w:rFonts w:asciiTheme="majorHAnsi" w:eastAsia="Times New Roman" w:hAnsiTheme="majorHAnsi" w:cstheme="majorHAnsi"/>
                <w:b/>
                <w:color w:val="000000"/>
                <w:sz w:val="20"/>
                <w:szCs w:val="20"/>
              </w:rPr>
              <w:lastRenderedPageBreak/>
              <w:t>er</w:t>
            </w:r>
          </w:p>
        </w:tc>
        <w:tc>
          <w:tcPr>
            <w:tcW w:w="1875" w:type="dxa"/>
            <w:shd w:val="clear" w:color="auto" w:fill="B1DDCD"/>
            <w:noWrap/>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lastRenderedPageBreak/>
              <w:t xml:space="preserve">Market </w:t>
            </w:r>
            <w:r w:rsidRPr="005A7F26">
              <w:rPr>
                <w:rFonts w:asciiTheme="majorHAnsi" w:eastAsia="Times New Roman" w:hAnsiTheme="majorHAnsi" w:cstheme="majorHAnsi"/>
                <w:b/>
                <w:bCs/>
                <w:color w:val="000000"/>
                <w:sz w:val="20"/>
                <w:szCs w:val="20"/>
              </w:rPr>
              <w:lastRenderedPageBreak/>
              <w:t xml:space="preserve">Share </w:t>
            </w:r>
          </w:p>
          <w:p w:rsidR="001725E9" w:rsidRPr="005A7F26" w:rsidRDefault="001725E9" w:rsidP="00C071E0">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(MS)</w:t>
            </w:r>
          </w:p>
        </w:tc>
        <w:tc>
          <w:tcPr>
            <w:tcW w:w="1214" w:type="dxa"/>
            <w:shd w:val="clear" w:color="auto" w:fill="B1DDCD"/>
            <w:noWrap/>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lastRenderedPageBreak/>
              <w:t>Fee</w:t>
            </w:r>
          </w:p>
        </w:tc>
        <w:tc>
          <w:tcPr>
            <w:tcW w:w="676" w:type="dxa"/>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t>M</w:t>
            </w:r>
            <w:r w:rsidRPr="005A7F26">
              <w:rPr>
                <w:rFonts w:asciiTheme="majorHAnsi" w:eastAsia="Times New Roman" w:hAnsiTheme="majorHAnsi" w:cstheme="majorHAnsi"/>
                <w:b/>
                <w:bCs/>
                <w:color w:val="000000"/>
                <w:sz w:val="20"/>
                <w:szCs w:val="20"/>
              </w:rPr>
              <w:lastRenderedPageBreak/>
              <w:t>frs</w:t>
            </w:r>
          </w:p>
        </w:tc>
        <w:tc>
          <w:tcPr>
            <w:tcW w:w="895" w:type="dxa"/>
            <w:shd w:val="clear" w:color="auto" w:fill="B1DDCD"/>
            <w:vAlign w:val="bottom"/>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lastRenderedPageBreak/>
              <w:t>To</w:t>
            </w:r>
            <w:r w:rsidRPr="005A7F26">
              <w:rPr>
                <w:rFonts w:asciiTheme="majorHAnsi" w:eastAsia="Times New Roman" w:hAnsiTheme="majorHAnsi" w:cstheme="majorHAnsi"/>
                <w:b/>
                <w:bCs/>
                <w:color w:val="000000"/>
                <w:sz w:val="20"/>
                <w:szCs w:val="20"/>
              </w:rPr>
              <w:lastRenderedPageBreak/>
              <w:t>tal MS</w:t>
            </w:r>
          </w:p>
        </w:tc>
        <w:tc>
          <w:tcPr>
            <w:tcW w:w="835" w:type="dxa"/>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lastRenderedPageBreak/>
              <w:t>Mf</w:t>
            </w:r>
            <w:r w:rsidRPr="005A7F26">
              <w:rPr>
                <w:rFonts w:asciiTheme="majorHAnsi" w:eastAsia="Times New Roman" w:hAnsiTheme="majorHAnsi" w:cstheme="majorHAnsi"/>
                <w:b/>
                <w:bCs/>
                <w:color w:val="000000"/>
                <w:sz w:val="20"/>
                <w:szCs w:val="20"/>
              </w:rPr>
              <w:lastRenderedPageBreak/>
              <w:t>rs</w:t>
            </w:r>
          </w:p>
        </w:tc>
        <w:tc>
          <w:tcPr>
            <w:tcW w:w="895" w:type="dxa"/>
            <w:shd w:val="clear" w:color="auto" w:fill="B1DDCD"/>
            <w:vAlign w:val="bottom"/>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lastRenderedPageBreak/>
              <w:t>To</w:t>
            </w:r>
            <w:r w:rsidRPr="005A7F26">
              <w:rPr>
                <w:rFonts w:asciiTheme="majorHAnsi" w:eastAsia="Times New Roman" w:hAnsiTheme="majorHAnsi" w:cstheme="majorHAnsi"/>
                <w:b/>
                <w:bCs/>
                <w:color w:val="000000"/>
                <w:sz w:val="20"/>
                <w:szCs w:val="20"/>
              </w:rPr>
              <w:lastRenderedPageBreak/>
              <w:t>tal MS</w:t>
            </w:r>
          </w:p>
        </w:tc>
        <w:tc>
          <w:tcPr>
            <w:tcW w:w="706" w:type="dxa"/>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lastRenderedPageBreak/>
              <w:t>M</w:t>
            </w:r>
            <w:r w:rsidRPr="005A7F26">
              <w:rPr>
                <w:rFonts w:asciiTheme="majorHAnsi" w:eastAsia="Times New Roman" w:hAnsiTheme="majorHAnsi" w:cstheme="majorHAnsi"/>
                <w:b/>
                <w:bCs/>
                <w:color w:val="000000"/>
                <w:sz w:val="20"/>
                <w:szCs w:val="20"/>
              </w:rPr>
              <w:lastRenderedPageBreak/>
              <w:t>frs</w:t>
            </w:r>
          </w:p>
        </w:tc>
        <w:tc>
          <w:tcPr>
            <w:tcW w:w="895" w:type="dxa"/>
            <w:shd w:val="clear" w:color="auto" w:fill="B1DDCD"/>
            <w:vAlign w:val="bottom"/>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lastRenderedPageBreak/>
              <w:t>To</w:t>
            </w:r>
            <w:r w:rsidRPr="005A7F26">
              <w:rPr>
                <w:rFonts w:asciiTheme="majorHAnsi" w:eastAsia="Times New Roman" w:hAnsiTheme="majorHAnsi" w:cstheme="majorHAnsi"/>
                <w:b/>
                <w:bCs/>
                <w:color w:val="000000"/>
                <w:sz w:val="20"/>
                <w:szCs w:val="20"/>
              </w:rPr>
              <w:lastRenderedPageBreak/>
              <w:t>tal MS</w:t>
            </w:r>
          </w:p>
        </w:tc>
        <w:tc>
          <w:tcPr>
            <w:tcW w:w="678" w:type="dxa"/>
            <w:shd w:val="clear" w:color="auto" w:fill="B1DDCD"/>
            <w:vAlign w:val="bottom"/>
            <w:hideMark/>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lastRenderedPageBreak/>
              <w:t>M</w:t>
            </w:r>
            <w:r w:rsidRPr="005A7F26">
              <w:rPr>
                <w:rFonts w:asciiTheme="majorHAnsi" w:eastAsia="Times New Roman" w:hAnsiTheme="majorHAnsi" w:cstheme="majorHAnsi"/>
                <w:b/>
                <w:bCs/>
                <w:color w:val="000000"/>
                <w:sz w:val="20"/>
                <w:szCs w:val="20"/>
              </w:rPr>
              <w:lastRenderedPageBreak/>
              <w:t>frs</w:t>
            </w:r>
          </w:p>
        </w:tc>
        <w:tc>
          <w:tcPr>
            <w:tcW w:w="976" w:type="dxa"/>
            <w:shd w:val="clear" w:color="auto" w:fill="B1DDCD"/>
            <w:vAlign w:val="bottom"/>
          </w:tcPr>
          <w:p w:rsidR="001725E9" w:rsidRPr="005A7F26" w:rsidRDefault="001725E9" w:rsidP="001725E9">
            <w:pPr>
              <w:jc w:val="center"/>
              <w:rPr>
                <w:rFonts w:asciiTheme="majorHAnsi" w:eastAsia="Times New Roman" w:hAnsiTheme="majorHAnsi" w:cstheme="majorHAnsi"/>
                <w:b/>
                <w:bCs/>
                <w:color w:val="000000"/>
                <w:sz w:val="20"/>
                <w:szCs w:val="20"/>
              </w:rPr>
            </w:pPr>
            <w:r w:rsidRPr="005A7F26">
              <w:rPr>
                <w:rFonts w:asciiTheme="majorHAnsi" w:eastAsia="Times New Roman" w:hAnsiTheme="majorHAnsi" w:cstheme="majorHAnsi"/>
                <w:b/>
                <w:bCs/>
                <w:color w:val="000000"/>
                <w:sz w:val="20"/>
                <w:szCs w:val="20"/>
              </w:rPr>
              <w:lastRenderedPageBreak/>
              <w:t>Tot</w:t>
            </w:r>
            <w:r w:rsidRPr="005A7F26">
              <w:rPr>
                <w:rFonts w:asciiTheme="majorHAnsi" w:eastAsia="Times New Roman" w:hAnsiTheme="majorHAnsi" w:cstheme="majorHAnsi"/>
                <w:b/>
                <w:bCs/>
                <w:color w:val="000000"/>
                <w:sz w:val="20"/>
                <w:szCs w:val="20"/>
              </w:rPr>
              <w:lastRenderedPageBreak/>
              <w:t>al MS</w:t>
            </w:r>
          </w:p>
        </w:tc>
      </w:tr>
      <w:tr w:rsidR="001725E9" w:rsidRPr="00DE1516" w:rsidTr="009D69C4">
        <w:trPr>
          <w:trHeight w:val="300"/>
          <w:jc w:val="center"/>
        </w:trPr>
        <w:tc>
          <w:tcPr>
            <w:tcW w:w="645"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lastRenderedPageBreak/>
              <w:t>1</w:t>
            </w:r>
          </w:p>
        </w:tc>
        <w:tc>
          <w:tcPr>
            <w:tcW w:w="1875"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&gt; 1%</w:t>
            </w:r>
          </w:p>
        </w:tc>
        <w:tc>
          <w:tcPr>
            <w:tcW w:w="1214"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xml:space="preserve">$15,000 </w:t>
            </w:r>
          </w:p>
        </w:tc>
        <w:tc>
          <w:tcPr>
            <w:tcW w:w="67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22</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93.85%</w:t>
            </w:r>
          </w:p>
        </w:tc>
        <w:tc>
          <w:tcPr>
            <w:tcW w:w="83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19</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91.73%</w:t>
            </w:r>
          </w:p>
        </w:tc>
        <w:tc>
          <w:tcPr>
            <w:tcW w:w="70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16</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92.05%</w:t>
            </w:r>
          </w:p>
        </w:tc>
        <w:tc>
          <w:tcPr>
            <w:tcW w:w="678"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14</w:t>
            </w:r>
          </w:p>
        </w:tc>
        <w:tc>
          <w:tcPr>
            <w:tcW w:w="976"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92.52%</w:t>
            </w:r>
          </w:p>
        </w:tc>
      </w:tr>
      <w:tr w:rsidR="001725E9" w:rsidRPr="00DE1516" w:rsidTr="009D69C4">
        <w:trPr>
          <w:trHeight w:val="300"/>
          <w:jc w:val="center"/>
        </w:trPr>
        <w:tc>
          <w:tcPr>
            <w:tcW w:w="64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2</w:t>
            </w:r>
          </w:p>
        </w:tc>
        <w:tc>
          <w:tcPr>
            <w:tcW w:w="187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0.1% ≤ 1%</w:t>
            </w:r>
          </w:p>
        </w:tc>
        <w:tc>
          <w:tcPr>
            <w:tcW w:w="1214"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xml:space="preserve">$5,000 </w:t>
            </w:r>
          </w:p>
        </w:tc>
        <w:tc>
          <w:tcPr>
            <w:tcW w:w="67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17</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5.52%</w:t>
            </w:r>
          </w:p>
        </w:tc>
        <w:tc>
          <w:tcPr>
            <w:tcW w:w="83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16</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7.25%</w:t>
            </w:r>
          </w:p>
        </w:tc>
        <w:tc>
          <w:tcPr>
            <w:tcW w:w="70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19</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7.13%</w:t>
            </w:r>
          </w:p>
        </w:tc>
        <w:tc>
          <w:tcPr>
            <w:tcW w:w="678"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15</w:t>
            </w:r>
          </w:p>
        </w:tc>
        <w:tc>
          <w:tcPr>
            <w:tcW w:w="976"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6.69%</w:t>
            </w:r>
          </w:p>
        </w:tc>
      </w:tr>
      <w:tr w:rsidR="001725E9" w:rsidRPr="00DE1516" w:rsidTr="009D69C4">
        <w:trPr>
          <w:trHeight w:val="300"/>
          <w:jc w:val="center"/>
        </w:trPr>
        <w:tc>
          <w:tcPr>
            <w:tcW w:w="645"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3</w:t>
            </w:r>
          </w:p>
        </w:tc>
        <w:tc>
          <w:tcPr>
            <w:tcW w:w="1875"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0.01% &lt; 0.1%</w:t>
            </w:r>
          </w:p>
        </w:tc>
        <w:tc>
          <w:tcPr>
            <w:tcW w:w="1214" w:type="dxa"/>
            <w:shd w:val="clear" w:color="000000" w:fill="D8D8D8"/>
            <w:noWrap/>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xml:space="preserve">$200 </w:t>
            </w:r>
          </w:p>
        </w:tc>
        <w:tc>
          <w:tcPr>
            <w:tcW w:w="67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14</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0.52%</w:t>
            </w:r>
          </w:p>
        </w:tc>
        <w:tc>
          <w:tcPr>
            <w:tcW w:w="83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20</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0.98%</w:t>
            </w:r>
          </w:p>
        </w:tc>
        <w:tc>
          <w:tcPr>
            <w:tcW w:w="70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18</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0.80%</w:t>
            </w:r>
          </w:p>
        </w:tc>
        <w:tc>
          <w:tcPr>
            <w:tcW w:w="678"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20</w:t>
            </w:r>
          </w:p>
        </w:tc>
        <w:tc>
          <w:tcPr>
            <w:tcW w:w="976"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0.75%</w:t>
            </w:r>
          </w:p>
        </w:tc>
      </w:tr>
      <w:tr w:rsidR="001725E9" w:rsidRPr="00DE1516" w:rsidTr="009D69C4">
        <w:trPr>
          <w:trHeight w:val="300"/>
          <w:jc w:val="center"/>
        </w:trPr>
        <w:tc>
          <w:tcPr>
            <w:tcW w:w="64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4</w:t>
            </w:r>
          </w:p>
        </w:tc>
        <w:tc>
          <w:tcPr>
            <w:tcW w:w="187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&lt; 0.01%</w:t>
            </w:r>
          </w:p>
        </w:tc>
        <w:tc>
          <w:tcPr>
            <w:tcW w:w="1214"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xml:space="preserve">$40 </w:t>
            </w:r>
          </w:p>
        </w:tc>
        <w:tc>
          <w:tcPr>
            <w:tcW w:w="67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108</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0.11%</w:t>
            </w:r>
          </w:p>
        </w:tc>
        <w:tc>
          <w:tcPr>
            <w:tcW w:w="835"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112</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0.04%</w:t>
            </w:r>
          </w:p>
        </w:tc>
        <w:tc>
          <w:tcPr>
            <w:tcW w:w="706"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108</w:t>
            </w:r>
          </w:p>
        </w:tc>
        <w:tc>
          <w:tcPr>
            <w:tcW w:w="895"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0.02%</w:t>
            </w:r>
          </w:p>
        </w:tc>
        <w:tc>
          <w:tcPr>
            <w:tcW w:w="678" w:type="dxa"/>
            <w:shd w:val="clear" w:color="auto" w:fill="auto"/>
            <w:noWrap/>
            <w:vAlign w:val="bottom"/>
            <w:hideMark/>
          </w:tcPr>
          <w:p w:rsidR="001725E9" w:rsidRPr="005A7F26" w:rsidRDefault="001725E9" w:rsidP="001725E9">
            <w:pPr>
              <w:jc w:val="center"/>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119</w:t>
            </w:r>
          </w:p>
        </w:tc>
        <w:tc>
          <w:tcPr>
            <w:tcW w:w="976" w:type="dxa"/>
            <w:shd w:val="clear" w:color="auto" w:fill="auto"/>
            <w:noWrap/>
            <w:vAlign w:val="bottom"/>
            <w:hideMark/>
          </w:tcPr>
          <w:p w:rsidR="001725E9" w:rsidRPr="005A7F26" w:rsidRDefault="001725E9" w:rsidP="001725E9">
            <w:pPr>
              <w:jc w:val="right"/>
              <w:rPr>
                <w:rFonts w:asciiTheme="minorHAnsi" w:eastAsia="Times New Roman" w:hAnsiTheme="minorHAnsi" w:cstheme="minorHAnsi"/>
                <w:color w:val="000000"/>
              </w:rPr>
            </w:pPr>
            <w:r w:rsidRPr="005A7F26">
              <w:rPr>
                <w:rFonts w:asciiTheme="minorHAnsi" w:eastAsia="Times New Roman" w:hAnsiTheme="minorHAnsi" w:cstheme="minorHAnsi"/>
                <w:color w:val="000000"/>
                <w:sz w:val="22"/>
                <w:szCs w:val="22"/>
              </w:rPr>
              <w:t>0.04%</w:t>
            </w:r>
          </w:p>
        </w:tc>
      </w:tr>
      <w:tr w:rsidR="001725E9" w:rsidRPr="00DE1516" w:rsidTr="009D69C4">
        <w:trPr>
          <w:trHeight w:val="300"/>
          <w:jc w:val="center"/>
        </w:trPr>
        <w:tc>
          <w:tcPr>
            <w:tcW w:w="3734" w:type="dxa"/>
            <w:gridSpan w:val="3"/>
            <w:shd w:val="clear" w:color="auto" w:fill="auto"/>
            <w:noWrap/>
            <w:vAlign w:val="bottom"/>
            <w:hideMark/>
          </w:tcPr>
          <w:p w:rsidR="001725E9" w:rsidRPr="005A7F26" w:rsidRDefault="001725E9" w:rsidP="001725E9">
            <w:pPr>
              <w:jc w:val="right"/>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Total Manufacturers</w:t>
            </w:r>
          </w:p>
        </w:tc>
        <w:tc>
          <w:tcPr>
            <w:tcW w:w="1571"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161</w:t>
            </w:r>
          </w:p>
        </w:tc>
        <w:tc>
          <w:tcPr>
            <w:tcW w:w="1730"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167</w:t>
            </w:r>
          </w:p>
        </w:tc>
        <w:tc>
          <w:tcPr>
            <w:tcW w:w="1601"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161</w:t>
            </w:r>
          </w:p>
        </w:tc>
        <w:tc>
          <w:tcPr>
            <w:tcW w:w="1654"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168</w:t>
            </w:r>
          </w:p>
        </w:tc>
      </w:tr>
      <w:tr w:rsidR="001725E9" w:rsidRPr="00DE1516" w:rsidTr="009D69C4">
        <w:trPr>
          <w:trHeight w:val="300"/>
          <w:jc w:val="center"/>
        </w:trPr>
        <w:tc>
          <w:tcPr>
            <w:tcW w:w="3734" w:type="dxa"/>
            <w:gridSpan w:val="3"/>
            <w:shd w:val="clear" w:color="auto" w:fill="auto"/>
            <w:noWrap/>
            <w:vAlign w:val="bottom"/>
            <w:hideMark/>
          </w:tcPr>
          <w:p w:rsidR="001725E9" w:rsidRPr="005A7F26" w:rsidRDefault="001725E9" w:rsidP="001725E9">
            <w:pPr>
              <w:jc w:val="right"/>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Revenue received</w:t>
            </w:r>
          </w:p>
        </w:tc>
        <w:tc>
          <w:tcPr>
            <w:tcW w:w="1571" w:type="dxa"/>
            <w:gridSpan w:val="2"/>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$388,000</w:t>
            </w:r>
          </w:p>
        </w:tc>
        <w:tc>
          <w:tcPr>
            <w:tcW w:w="1730" w:type="dxa"/>
            <w:gridSpan w:val="2"/>
            <w:tcBorders>
              <w:bottom w:val="single" w:sz="4" w:space="0" w:color="auto"/>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$339,000</w:t>
            </w:r>
          </w:p>
        </w:tc>
        <w:tc>
          <w:tcPr>
            <w:tcW w:w="1601" w:type="dxa"/>
            <w:gridSpan w:val="2"/>
            <w:tcBorders>
              <w:bottom w:val="single" w:sz="4" w:space="0" w:color="auto"/>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$339,000</w:t>
            </w:r>
          </w:p>
        </w:tc>
        <w:tc>
          <w:tcPr>
            <w:tcW w:w="1654" w:type="dxa"/>
            <w:gridSpan w:val="2"/>
            <w:tcBorders>
              <w:bottom w:val="single" w:sz="4" w:space="0" w:color="auto"/>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$287,000</w:t>
            </w:r>
          </w:p>
        </w:tc>
      </w:tr>
      <w:tr w:rsidR="001725E9" w:rsidRPr="00DE1516" w:rsidTr="009D69C4">
        <w:trPr>
          <w:trHeight w:val="300"/>
          <w:jc w:val="center"/>
        </w:trPr>
        <w:tc>
          <w:tcPr>
            <w:tcW w:w="3734" w:type="dxa"/>
            <w:gridSpan w:val="3"/>
            <w:shd w:val="clear" w:color="auto" w:fill="auto"/>
            <w:noWrap/>
            <w:vAlign w:val="bottom"/>
            <w:hideMark/>
          </w:tcPr>
          <w:p w:rsidR="001725E9" w:rsidRPr="005A7F26" w:rsidRDefault="001725E9" w:rsidP="001725E9">
            <w:pPr>
              <w:jc w:val="right"/>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Average/4 years</w:t>
            </w:r>
          </w:p>
        </w:tc>
        <w:tc>
          <w:tcPr>
            <w:tcW w:w="1571" w:type="dxa"/>
            <w:gridSpan w:val="2"/>
            <w:tcBorders>
              <w:right w:val="nil"/>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$338,338 </w:t>
            </w:r>
          </w:p>
        </w:tc>
        <w:tc>
          <w:tcPr>
            <w:tcW w:w="1730" w:type="dxa"/>
            <w:gridSpan w:val="2"/>
            <w:tcBorders>
              <w:left w:val="nil"/>
              <w:right w:val="nil"/>
            </w:tcBorders>
            <w:shd w:val="clear" w:color="auto" w:fill="auto"/>
            <w:vAlign w:val="bottom"/>
          </w:tcPr>
          <w:p w:rsidR="001725E9" w:rsidRPr="005A7F26" w:rsidRDefault="001725E9" w:rsidP="001725E9">
            <w:pPr>
              <w:jc w:val="center"/>
              <w:rPr>
                <w:rFonts w:asciiTheme="minorHAnsi" w:eastAsia="Times New Roman" w:hAnsiTheme="minorHAnsi" w:cstheme="minorHAnsi"/>
                <w:b/>
                <w:bCs/>
                <w:color w:val="000000"/>
              </w:rPr>
            </w:pPr>
          </w:p>
        </w:tc>
        <w:tc>
          <w:tcPr>
            <w:tcW w:w="1601" w:type="dxa"/>
            <w:gridSpan w:val="2"/>
            <w:tcBorders>
              <w:left w:val="nil"/>
              <w:right w:val="nil"/>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w:t>
            </w:r>
          </w:p>
        </w:tc>
        <w:tc>
          <w:tcPr>
            <w:tcW w:w="1654" w:type="dxa"/>
            <w:gridSpan w:val="2"/>
            <w:tcBorders>
              <w:left w:val="nil"/>
            </w:tcBorders>
            <w:shd w:val="clear" w:color="auto" w:fill="auto"/>
            <w:vAlign w:val="bottom"/>
            <w:hideMark/>
          </w:tcPr>
          <w:p w:rsidR="001725E9" w:rsidRPr="005A7F26" w:rsidRDefault="001725E9" w:rsidP="001725E9">
            <w:pPr>
              <w:jc w:val="center"/>
              <w:rPr>
                <w:rFonts w:asciiTheme="minorHAnsi" w:eastAsia="Times New Roman" w:hAnsiTheme="minorHAnsi" w:cstheme="minorHAnsi"/>
                <w:b/>
                <w:bCs/>
                <w:color w:val="000000"/>
              </w:rPr>
            </w:pPr>
            <w:r w:rsidRPr="005A7F26">
              <w:rPr>
                <w:rFonts w:asciiTheme="minorHAnsi" w:eastAsia="Times New Roman" w:hAnsiTheme="minorHAnsi" w:cstheme="minorHAnsi"/>
                <w:b/>
                <w:bCs/>
                <w:color w:val="000000"/>
                <w:sz w:val="22"/>
                <w:szCs w:val="22"/>
              </w:rPr>
              <w:t> </w:t>
            </w:r>
          </w:p>
        </w:tc>
      </w:tr>
      <w:bookmarkEnd w:id="3"/>
    </w:tbl>
    <w:p w:rsidR="00A004FF" w:rsidRPr="00737799" w:rsidRDefault="00A004FF" w:rsidP="00A004FF">
      <w:pPr>
        <w:ind w:left="1080"/>
        <w:outlineLvl w:val="0"/>
        <w:rPr>
          <w:rFonts w:ascii="Times New Roman" w:eastAsia="Times New Roman" w:hAnsi="Times New Roman" w:cs="Times New Roman"/>
          <w:color w:val="000000"/>
        </w:rPr>
      </w:pPr>
    </w:p>
    <w:p w:rsidR="009D69C4" w:rsidRDefault="009D69C4" w:rsidP="005A7F26">
      <w:pPr>
        <w:ind w:left="1080" w:right="630"/>
        <w:outlineLvl w:val="0"/>
        <w:rPr>
          <w:rFonts w:ascii="Times New Roman" w:eastAsia="Times New Roman" w:hAnsi="Times New Roman" w:cs="Times New Roman"/>
          <w:color w:val="000000"/>
        </w:rPr>
      </w:pPr>
    </w:p>
    <w:p w:rsidR="00A004FF" w:rsidRDefault="00A004FF" w:rsidP="005A7F26">
      <w:pPr>
        <w:ind w:left="1080" w:right="630"/>
        <w:outlineLvl w:val="0"/>
        <w:rPr>
          <w:rFonts w:ascii="Times New Roman" w:hAnsi="Times New Roman" w:cs="Times New Roman"/>
          <w:bCs/>
        </w:rPr>
      </w:pPr>
      <w:r>
        <w:rPr>
          <w:rFonts w:ascii="Times New Roman" w:eastAsia="Times New Roman" w:hAnsi="Times New Roman" w:cs="Times New Roman"/>
          <w:color w:val="000000"/>
        </w:rPr>
        <w:t>In addition,</w:t>
      </w:r>
      <w:r w:rsidRPr="00737799">
        <w:rPr>
          <w:rFonts w:ascii="Times New Roman" w:eastAsia="Times New Roman" w:hAnsi="Times New Roman" w:cs="Times New Roman"/>
          <w:color w:val="000000"/>
        </w:rPr>
        <w:t xml:space="preserve"> DEQ</w:t>
      </w:r>
      <w:r w:rsidR="00296BE1">
        <w:rPr>
          <w:rFonts w:ascii="Times New Roman" w:eastAsia="Times New Roman" w:hAnsi="Times New Roman" w:cs="Times New Roman"/>
          <w:color w:val="000000"/>
        </w:rPr>
        <w:t>’s</w:t>
      </w:r>
      <w:r w:rsidRPr="00737799">
        <w:rPr>
          <w:rFonts w:ascii="Times New Roman" w:eastAsia="Times New Roman" w:hAnsi="Times New Roman" w:cs="Times New Roman"/>
          <w:color w:val="000000"/>
        </w:rPr>
        <w:t xml:space="preserve"> costs have</w:t>
      </w:r>
      <w:r w:rsidRPr="00737799">
        <w:rPr>
          <w:rFonts w:ascii="Times New Roman" w:hAnsi="Times New Roman" w:cs="Times New Roman"/>
        </w:rPr>
        <w:t xml:space="preserve"> exceeded </w:t>
      </w:r>
      <w:r w:rsidR="00296BE1">
        <w:rPr>
          <w:rFonts w:ascii="Times New Roman" w:hAnsi="Times New Roman" w:cs="Times New Roman"/>
        </w:rPr>
        <w:t>the original program estimates</w:t>
      </w:r>
      <w:r w:rsidRPr="00737799">
        <w:rPr>
          <w:rFonts w:ascii="Times New Roman" w:hAnsi="Times New Roman" w:cs="Times New Roman"/>
        </w:rPr>
        <w:t xml:space="preserve">: personnel and other costs have increased; start-up costs exceeded estimates; costs were incurred for activities related to unanticipated amendments to the </w:t>
      </w:r>
      <w:r w:rsidRPr="00737799">
        <w:rPr>
          <w:rFonts w:ascii="Times New Roman" w:hAnsi="Times New Roman" w:cs="Times New Roman"/>
        </w:rPr>
        <w:lastRenderedPageBreak/>
        <w:t>electronics recycling law in 2010 and 2011; and DEQ incurred higher than expected costs to plan for a data system to manage the program</w:t>
      </w:r>
      <w:r>
        <w:rPr>
          <w:rFonts w:ascii="Times New Roman" w:hAnsi="Times New Roman" w:cs="Times New Roman"/>
        </w:rPr>
        <w:t xml:space="preserve">. </w:t>
      </w:r>
      <w:r w:rsidRPr="009F727C">
        <w:rPr>
          <w:rFonts w:ascii="Times New Roman" w:hAnsi="Times New Roman" w:cs="Times New Roman"/>
          <w:bCs/>
        </w:rPr>
        <w:t xml:space="preserve">Beginning in late 2013, DEQ will incur </w:t>
      </w:r>
      <w:r>
        <w:rPr>
          <w:rFonts w:ascii="Times New Roman" w:hAnsi="Times New Roman" w:cs="Times New Roman"/>
          <w:bCs/>
        </w:rPr>
        <w:t>additional</w:t>
      </w:r>
      <w:r w:rsidRPr="009F727C">
        <w:rPr>
          <w:rFonts w:ascii="Times New Roman" w:hAnsi="Times New Roman" w:cs="Times New Roman"/>
          <w:bCs/>
        </w:rPr>
        <w:t xml:space="preserve"> costs to add printers and </w:t>
      </w:r>
      <w:r>
        <w:rPr>
          <w:rFonts w:ascii="Times New Roman" w:hAnsi="Times New Roman" w:cs="Times New Roman"/>
          <w:bCs/>
        </w:rPr>
        <w:t xml:space="preserve">computer </w:t>
      </w:r>
      <w:r w:rsidRPr="009F727C">
        <w:rPr>
          <w:rFonts w:ascii="Times New Roman" w:hAnsi="Times New Roman" w:cs="Times New Roman"/>
          <w:bCs/>
        </w:rPr>
        <w:t>peripherals</w:t>
      </w:r>
      <w:r>
        <w:rPr>
          <w:rFonts w:ascii="Times New Roman" w:hAnsi="Times New Roman" w:cs="Times New Roman"/>
          <w:bCs/>
        </w:rPr>
        <w:t xml:space="preserve"> to the program</w:t>
      </w:r>
      <w:r w:rsidR="00A50735">
        <w:rPr>
          <w:rFonts w:ascii="Times New Roman" w:hAnsi="Times New Roman" w:cs="Times New Roman"/>
          <w:bCs/>
        </w:rPr>
        <w:t xml:space="preserve">. The </w:t>
      </w:r>
      <w:r>
        <w:rPr>
          <w:rFonts w:ascii="Times New Roman" w:hAnsi="Times New Roman" w:cs="Times New Roman"/>
          <w:bCs/>
        </w:rPr>
        <w:t>additional manufacturers of the new devices will also register and pay fees.</w:t>
      </w:r>
    </w:p>
    <w:p w:rsidR="00A004FF" w:rsidRDefault="00A004FF" w:rsidP="005A7F26">
      <w:pPr>
        <w:ind w:left="1080" w:right="630"/>
        <w:outlineLvl w:val="0"/>
        <w:rPr>
          <w:rFonts w:ascii="Times New Roman" w:hAnsi="Times New Roman" w:cs="Times New Roman"/>
          <w:bCs/>
        </w:rPr>
      </w:pPr>
    </w:p>
    <w:p w:rsidR="004F29F3" w:rsidRDefault="004F29F3" w:rsidP="005A7F26">
      <w:pPr>
        <w:ind w:left="1080" w:right="630"/>
        <w:outlineLvl w:val="0"/>
        <w:rPr>
          <w:rFonts w:ascii="Times New Roman" w:hAnsi="Times New Roman" w:cs="Times New Roman"/>
        </w:rPr>
      </w:pPr>
      <w:r>
        <w:rPr>
          <w:rFonts w:ascii="Times New Roman" w:hAnsi="Times New Roman" w:cs="Times New Roman"/>
        </w:rPr>
        <w:t>DEQ has reduced its costs over the past two years through efficiencies</w:t>
      </w:r>
      <w:r w:rsidRPr="00737799">
        <w:rPr>
          <w:rFonts w:ascii="Times New Roman" w:hAnsi="Times New Roman" w:cs="Times New Roman"/>
        </w:rPr>
        <w:t xml:space="preserve"> in program operations </w:t>
      </w:r>
      <w:r>
        <w:rPr>
          <w:rFonts w:ascii="Times New Roman" w:hAnsi="Times New Roman" w:cs="Times New Roman"/>
        </w:rPr>
        <w:t>and staff reductions</w:t>
      </w:r>
      <w:r w:rsidRPr="00737799">
        <w:rPr>
          <w:rFonts w:ascii="Times New Roman" w:hAnsi="Times New Roman" w:cs="Times New Roman"/>
        </w:rPr>
        <w:t xml:space="preserve">, and will </w:t>
      </w:r>
      <w:r>
        <w:rPr>
          <w:rFonts w:ascii="Times New Roman" w:hAnsi="Times New Roman" w:cs="Times New Roman"/>
        </w:rPr>
        <w:t xml:space="preserve">work with stakeholders to </w:t>
      </w:r>
      <w:r w:rsidRPr="00737799">
        <w:rPr>
          <w:rFonts w:ascii="Times New Roman" w:hAnsi="Times New Roman" w:cs="Times New Roman"/>
        </w:rPr>
        <w:t xml:space="preserve">identify additional reductions to hold program costs as steady as possible as cost </w:t>
      </w:r>
      <w:r>
        <w:rPr>
          <w:rFonts w:ascii="Times New Roman" w:hAnsi="Times New Roman" w:cs="Times New Roman"/>
        </w:rPr>
        <w:t xml:space="preserve">factors </w:t>
      </w:r>
      <w:r w:rsidRPr="00737799">
        <w:rPr>
          <w:rFonts w:ascii="Times New Roman" w:hAnsi="Times New Roman" w:cs="Times New Roman"/>
        </w:rPr>
        <w:t xml:space="preserve">such as health insurance or salary adjustments increase. Nevertheless, DEQ </w:t>
      </w:r>
      <w:r>
        <w:rPr>
          <w:rFonts w:ascii="Times New Roman" w:hAnsi="Times New Roman" w:cs="Times New Roman"/>
        </w:rPr>
        <w:t>has determined that</w:t>
      </w:r>
      <w:r w:rsidRPr="00737799">
        <w:rPr>
          <w:rFonts w:ascii="Times New Roman" w:hAnsi="Times New Roman" w:cs="Times New Roman"/>
        </w:rPr>
        <w:t xml:space="preserve"> program operating costs can</w:t>
      </w:r>
      <w:r>
        <w:rPr>
          <w:rFonts w:ascii="Times New Roman" w:hAnsi="Times New Roman" w:cs="Times New Roman"/>
        </w:rPr>
        <w:t>not</w:t>
      </w:r>
      <w:r w:rsidRPr="00F1156B">
        <w:rPr>
          <w:rFonts w:ascii="Times New Roman" w:hAnsi="Times New Roman" w:cs="Times New Roman"/>
        </w:rPr>
        <w:t xml:space="preserve"> be reduced to the current revenue level without significant changes in program design, which would require legislative action.</w:t>
      </w:r>
      <w:r>
        <w:rPr>
          <w:rFonts w:ascii="Times New Roman" w:hAnsi="Times New Roman" w:cs="Times New Roman"/>
        </w:rPr>
        <w:t xml:space="preserve"> The graph </w:t>
      </w:r>
      <w:r w:rsidRPr="00552641">
        <w:rPr>
          <w:rFonts w:ascii="Times New Roman" w:hAnsi="Times New Roman" w:cs="Times New Roman"/>
        </w:rPr>
        <w:t>in Figure 1</w:t>
      </w:r>
      <w:r>
        <w:rPr>
          <w:rFonts w:ascii="Times New Roman" w:hAnsi="Times New Roman" w:cs="Times New Roman"/>
        </w:rPr>
        <w:t xml:space="preserve"> illustrates the revenue shortfalls.</w:t>
      </w:r>
    </w:p>
    <w:p w:rsidR="00C063DC" w:rsidRDefault="00C063DC" w:rsidP="00C063DC">
      <w:pPr>
        <w:jc w:val="center"/>
        <w:outlineLvl w:val="0"/>
        <w:rPr>
          <w:rFonts w:ascii="Times New Roman" w:hAnsi="Times New Roman" w:cs="Times New Roman"/>
          <w:b/>
          <w:bCs/>
        </w:rPr>
      </w:pPr>
    </w:p>
    <w:p w:rsidR="00B57441" w:rsidRDefault="00B57441">
      <w:pPr>
        <w:spacing w:after="200" w:line="276" w:lineRule="auto"/>
        <w:rPr>
          <w:rFonts w:asciiTheme="majorHAnsi" w:hAnsiTheme="majorHAnsi" w:cstheme="majorHAnsi"/>
          <w:b/>
          <w:bCs/>
          <w:sz w:val="22"/>
          <w:szCs w:val="22"/>
        </w:rPr>
      </w:pPr>
      <w:r>
        <w:rPr>
          <w:rFonts w:asciiTheme="majorHAnsi" w:hAnsiTheme="majorHAnsi" w:cstheme="majorHAnsi"/>
          <w:b/>
          <w:bCs/>
          <w:sz w:val="22"/>
          <w:szCs w:val="22"/>
        </w:rPr>
        <w:br w:type="page"/>
      </w:r>
    </w:p>
    <w:p w:rsidR="00C063DC" w:rsidRPr="00B57441" w:rsidRDefault="00C063DC" w:rsidP="00C063DC">
      <w:pPr>
        <w:jc w:val="center"/>
        <w:outlineLvl w:val="0"/>
        <w:rPr>
          <w:rFonts w:asciiTheme="majorHAnsi" w:hAnsiTheme="majorHAnsi" w:cstheme="majorHAnsi"/>
          <w:sz w:val="22"/>
          <w:szCs w:val="22"/>
        </w:rPr>
      </w:pPr>
      <w:r w:rsidRPr="00B57441">
        <w:rPr>
          <w:rFonts w:asciiTheme="majorHAnsi" w:hAnsiTheme="majorHAnsi" w:cstheme="majorHAnsi"/>
          <w:b/>
          <w:bCs/>
          <w:sz w:val="22"/>
          <w:szCs w:val="22"/>
        </w:rPr>
        <w:lastRenderedPageBreak/>
        <w:t>Figure 1</w:t>
      </w:r>
    </w:p>
    <w:p w:rsidR="00C063DC" w:rsidRPr="00B57441" w:rsidRDefault="00C063DC" w:rsidP="00C063DC">
      <w:pPr>
        <w:jc w:val="center"/>
        <w:outlineLvl w:val="0"/>
        <w:rPr>
          <w:rFonts w:asciiTheme="majorHAnsi" w:hAnsiTheme="majorHAnsi" w:cstheme="majorHAnsi"/>
          <w:sz w:val="22"/>
          <w:szCs w:val="22"/>
        </w:rPr>
      </w:pPr>
      <w:r w:rsidRPr="00B57441">
        <w:rPr>
          <w:rFonts w:asciiTheme="majorHAnsi" w:hAnsiTheme="majorHAnsi" w:cstheme="majorHAnsi"/>
          <w:b/>
          <w:bCs/>
          <w:sz w:val="22"/>
          <w:szCs w:val="22"/>
        </w:rPr>
        <w:t>Oregon E-Cycles Registration Fee Revenue and Program Costs</w:t>
      </w:r>
    </w:p>
    <w:p w:rsidR="00A004FF" w:rsidRDefault="0035740D" w:rsidP="00B57441">
      <w:pPr>
        <w:ind w:left="2880" w:right="630"/>
      </w:pPr>
      <w:r w:rsidRPr="00DF74BA">
        <w:object w:dxaOrig="5293" w:dyaOrig="3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4pt;height:161.4pt" o:ole="">
            <v:imagedata r:id="rId14" o:title=""/>
          </v:shape>
          <o:OLEObject Type="Embed" ProgID="PowerPoint.Slide.12" ShapeID="_x0000_i1025" DrawAspect="Content" ObjectID="_1399868379" r:id="rId15"/>
        </w:object>
      </w:r>
    </w:p>
    <w:p w:rsidR="005A7F26" w:rsidRPr="005A7F26" w:rsidRDefault="005A7F26" w:rsidP="0035740D">
      <w:pPr>
        <w:ind w:left="2880" w:right="2160"/>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rPr>
        <w:t xml:space="preserve">* </w:t>
      </w:r>
      <w:r w:rsidRPr="005A7F26">
        <w:rPr>
          <w:rFonts w:ascii="Times New Roman" w:eastAsia="Times New Roman" w:hAnsi="Times New Roman" w:cs="Times New Roman"/>
          <w:bCs/>
          <w:color w:val="000000" w:themeColor="text1"/>
          <w:sz w:val="20"/>
          <w:szCs w:val="20"/>
        </w:rPr>
        <w:t xml:space="preserve">Program costs paid by registration fee, excluding database development </w:t>
      </w:r>
    </w:p>
    <w:p w:rsidR="005A7F26" w:rsidRDefault="005A7F26" w:rsidP="005A7F26">
      <w:pPr>
        <w:ind w:left="3150" w:right="630"/>
        <w:rPr>
          <w:rFonts w:ascii="Times New Roman" w:eastAsia="Times New Roman" w:hAnsi="Times New Roman" w:cs="Times New Roman"/>
          <w:bCs/>
          <w:color w:val="504938"/>
        </w:rPr>
      </w:pPr>
    </w:p>
    <w:p w:rsidR="00A004FF" w:rsidRPr="005833E5" w:rsidRDefault="00A004FF" w:rsidP="00A004FF">
      <w:pPr>
        <w:ind w:left="1080" w:right="630"/>
        <w:rPr>
          <w:rFonts w:ascii="Times New Roman" w:hAnsi="Times New Roman" w:cs="Times New Roman"/>
        </w:rPr>
      </w:pPr>
      <w:r w:rsidRPr="005833E5">
        <w:rPr>
          <w:rFonts w:ascii="Times New Roman" w:hAnsi="Times New Roman" w:cs="Times New Roman"/>
        </w:rPr>
        <w:t>DEQ has used solid waste disposal fees to make up the registration fee shortfalls each year, but that funding cannot continue.</w:t>
      </w:r>
      <w:r>
        <w:rPr>
          <w:rFonts w:ascii="Times New Roman" w:hAnsi="Times New Roman" w:cs="Times New Roman"/>
        </w:rPr>
        <w:t xml:space="preserve"> </w:t>
      </w:r>
      <w:r w:rsidRPr="005833E5">
        <w:rPr>
          <w:rFonts w:ascii="Times New Roman" w:hAnsi="Times New Roman" w:cs="Times New Roman"/>
        </w:rPr>
        <w:t>Disposal fee revenue has declined significantly and beginning July 2008, the</w:t>
      </w:r>
      <w:r>
        <w:rPr>
          <w:rFonts w:ascii="Times New Roman" w:hAnsi="Times New Roman" w:cs="Times New Roman"/>
        </w:rPr>
        <w:t xml:space="preserve"> Oregon</w:t>
      </w:r>
      <w:r w:rsidRPr="005833E5">
        <w:rPr>
          <w:rFonts w:ascii="Times New Roman" w:hAnsi="Times New Roman" w:cs="Times New Roman"/>
        </w:rPr>
        <w:t xml:space="preserve"> E-Cycles program was to be fully funded by manufacturers.</w:t>
      </w:r>
      <w:r>
        <w:rPr>
          <w:rFonts w:ascii="Times New Roman" w:hAnsi="Times New Roman" w:cs="Times New Roman"/>
        </w:rPr>
        <w:t xml:space="preserve"> </w:t>
      </w:r>
      <w:r w:rsidRPr="005833E5">
        <w:rPr>
          <w:rFonts w:ascii="Times New Roman" w:hAnsi="Times New Roman" w:cs="Times New Roman"/>
        </w:rPr>
        <w:t xml:space="preserve">The disposal fee revenue spent on </w:t>
      </w:r>
      <w:r>
        <w:rPr>
          <w:rFonts w:ascii="Times New Roman" w:hAnsi="Times New Roman" w:cs="Times New Roman"/>
        </w:rPr>
        <w:t xml:space="preserve">Oregon </w:t>
      </w:r>
      <w:r w:rsidRPr="005833E5">
        <w:rPr>
          <w:rFonts w:ascii="Times New Roman" w:hAnsi="Times New Roman" w:cs="Times New Roman"/>
        </w:rPr>
        <w:t>E-Cycles needs to be repaid to the extent possible and registration fees need to cover future program costs.</w:t>
      </w:r>
    </w:p>
    <w:p w:rsidR="00A004FF" w:rsidRPr="005833E5" w:rsidRDefault="00A004FF" w:rsidP="00A004FF">
      <w:pPr>
        <w:ind w:left="1080" w:right="630"/>
        <w:rPr>
          <w:rFonts w:ascii="Times New Roman" w:hAnsi="Times New Roman" w:cs="Times New Roman"/>
        </w:rPr>
      </w:pPr>
    </w:p>
    <w:p w:rsidR="00A004FF" w:rsidRPr="004F673A" w:rsidRDefault="00A004FF" w:rsidP="00A004FF">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How would the proposed rule solve the problem?</w:t>
      </w:r>
    </w:p>
    <w:p w:rsidR="00A004FF" w:rsidRPr="005833E5" w:rsidRDefault="00A004FF" w:rsidP="00A004FF">
      <w:pPr>
        <w:ind w:left="1080" w:right="630"/>
        <w:rPr>
          <w:rFonts w:ascii="Times New Roman" w:hAnsi="Times New Roman" w:cs="Times New Roman"/>
        </w:rPr>
      </w:pPr>
      <w:r w:rsidRPr="005833E5">
        <w:rPr>
          <w:rFonts w:ascii="Times New Roman" w:hAnsi="Times New Roman" w:cs="Times New Roman"/>
        </w:rPr>
        <w:lastRenderedPageBreak/>
        <w:t>The proposed registration fees are designed to generate the revenue needed to cover DEQ’s costs for administering the</w:t>
      </w:r>
      <w:r>
        <w:rPr>
          <w:rFonts w:ascii="Times New Roman" w:hAnsi="Times New Roman" w:cs="Times New Roman"/>
        </w:rPr>
        <w:t xml:space="preserve"> Oregon</w:t>
      </w:r>
      <w:r w:rsidRPr="005833E5">
        <w:rPr>
          <w:rFonts w:ascii="Times New Roman" w:hAnsi="Times New Roman" w:cs="Times New Roman"/>
        </w:rPr>
        <w:t xml:space="preserve"> E-Cycles program.</w:t>
      </w:r>
    </w:p>
    <w:p w:rsidR="00B57441" w:rsidRDefault="00B57441">
      <w:pPr>
        <w:spacing w:after="200" w:line="276" w:lineRule="auto"/>
        <w:rPr>
          <w:rFonts w:eastAsia="Times New Roman"/>
          <w:bCs/>
          <w:color w:val="32525C"/>
          <w:sz w:val="28"/>
          <w:szCs w:val="28"/>
        </w:rPr>
      </w:pPr>
      <w:r>
        <w:rPr>
          <w:rFonts w:eastAsia="Times New Roman"/>
          <w:bCs/>
          <w:color w:val="32525C"/>
          <w:sz w:val="28"/>
          <w:szCs w:val="28"/>
        </w:rPr>
        <w:br w:type="page"/>
      </w:r>
    </w:p>
    <w:tbl>
      <w:tblPr>
        <w:tblW w:w="10890" w:type="dxa"/>
        <w:tblInd w:w="108" w:type="dxa"/>
        <w:tblLook w:val="04A0"/>
      </w:tblPr>
      <w:tblGrid>
        <w:gridCol w:w="10890"/>
      </w:tblGrid>
      <w:tr w:rsidR="00A004FF" w:rsidRPr="00B15DF7" w:rsidTr="001E443D">
        <w:trPr>
          <w:trHeight w:val="600"/>
        </w:trPr>
        <w:tc>
          <w:tcPr>
            <w:tcW w:w="10890" w:type="dxa"/>
            <w:tcBorders>
              <w:top w:val="nil"/>
              <w:left w:val="nil"/>
              <w:bottom w:val="double" w:sz="6" w:space="0" w:color="7F7F7F"/>
              <w:right w:val="nil"/>
            </w:tcBorders>
            <w:shd w:val="clear" w:color="000000" w:fill="D8D3C6"/>
            <w:noWrap/>
            <w:vAlign w:val="center"/>
            <w:hideMark/>
          </w:tcPr>
          <w:p w:rsidR="00A004FF" w:rsidRPr="00DC07BD" w:rsidRDefault="00A004FF" w:rsidP="001E443D">
            <w:pPr>
              <w:outlineLvl w:val="0"/>
              <w:rPr>
                <w:rFonts w:eastAsia="Times New Roman"/>
                <w:bCs/>
                <w:color w:val="00494F"/>
                <w:sz w:val="28"/>
                <w:szCs w:val="28"/>
              </w:rPr>
            </w:pPr>
            <w:bookmarkStart w:id="4" w:name="Fee"/>
            <w:r w:rsidRPr="00DC07BD">
              <w:rPr>
                <w:rFonts w:eastAsia="Times New Roman"/>
                <w:b/>
                <w:bCs/>
                <w:color w:val="00494F"/>
                <w:sz w:val="28"/>
                <w:szCs w:val="28"/>
              </w:rPr>
              <w:lastRenderedPageBreak/>
              <w:t>Proposed fees</w:t>
            </w:r>
            <w:bookmarkEnd w:id="4"/>
          </w:p>
        </w:tc>
      </w:tr>
    </w:tbl>
    <w:p w:rsidR="00A004FF" w:rsidRPr="00B15DF7" w:rsidRDefault="00A004FF" w:rsidP="00A004FF">
      <w:pPr>
        <w:ind w:right="630"/>
      </w:pPr>
    </w:p>
    <w:p w:rsidR="00A004FF" w:rsidRPr="001F2D3C" w:rsidRDefault="00A004FF" w:rsidP="00A004FF">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w:t>
      </w:r>
      <w:r>
        <w:rPr>
          <w:rFonts w:asciiTheme="majorHAnsi" w:eastAsia="Times New Roman" w:hAnsiTheme="majorHAnsi" w:cstheme="majorHAnsi"/>
          <w:bCs/>
          <w:color w:val="504938"/>
          <w:sz w:val="22"/>
          <w:szCs w:val="22"/>
        </w:rPr>
        <w:t>s</w:t>
      </w:r>
    </w:p>
    <w:p w:rsidR="00A004FF" w:rsidRDefault="00A004FF" w:rsidP="00A004FF">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rPr>
        <w:t>To help ensure that registration fee revenue covers DEQ’s program costs each year, the proposed rules</w:t>
      </w:r>
      <w:r w:rsidRPr="0009681E">
        <w:rPr>
          <w:rFonts w:ascii="Times New Roman" w:eastAsia="Times New Roman" w:hAnsi="Times New Roman" w:cs="Times New Roman"/>
          <w:color w:val="000000"/>
        </w:rPr>
        <w:t xml:space="preserve"> would establish</w:t>
      </w:r>
      <w:r>
        <w:rPr>
          <w:rFonts w:ascii="Times New Roman" w:eastAsia="Times New Roman" w:hAnsi="Times New Roman" w:cs="Times New Roman"/>
          <w:color w:val="000000"/>
        </w:rPr>
        <w:t>: (a)</w:t>
      </w:r>
      <w:r w:rsidRPr="0009681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w:t>
      </w:r>
      <w:r w:rsidRPr="0009681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09681E">
        <w:rPr>
          <w:rFonts w:ascii="Times New Roman" w:eastAsia="Times New Roman" w:hAnsi="Times New Roman" w:cs="Times New Roman"/>
          <w:color w:val="000000"/>
        </w:rPr>
        <w:t>revenue</w:t>
      </w:r>
      <w:r>
        <w:rPr>
          <w:rFonts w:ascii="Times New Roman" w:eastAsia="Times New Roman" w:hAnsi="Times New Roman" w:cs="Times New Roman"/>
          <w:color w:val="000000"/>
        </w:rPr>
        <w:t xml:space="preserve"> need” for each year to cover projected program costs,</w:t>
      </w:r>
      <w:r w:rsidRPr="0009681E">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(b</w:t>
      </w:r>
      <w:r w:rsidRPr="0009681E">
        <w:rPr>
          <w:rFonts w:ascii="Times New Roman" w:eastAsia="Times New Roman" w:hAnsi="Times New Roman" w:cs="Times New Roman"/>
          <w:color w:val="000000"/>
        </w:rPr>
        <w:t xml:space="preserve">) a fee </w:t>
      </w:r>
      <w:r>
        <w:rPr>
          <w:rFonts w:ascii="Times New Roman" w:eastAsia="Times New Roman" w:hAnsi="Times New Roman" w:cs="Times New Roman"/>
          <w:color w:val="000000"/>
        </w:rPr>
        <w:t>structure</w:t>
      </w:r>
      <w:r w:rsidRPr="0009681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to</w:t>
      </w:r>
      <w:r w:rsidRPr="0009681E">
        <w:rPr>
          <w:rFonts w:ascii="Times New Roman" w:eastAsia="Times New Roman" w:hAnsi="Times New Roman" w:cs="Times New Roman"/>
          <w:color w:val="000000"/>
        </w:rPr>
        <w:t xml:space="preserve"> distribute the revenue</w:t>
      </w:r>
      <w:r>
        <w:rPr>
          <w:rFonts w:ascii="Times New Roman" w:eastAsia="Times New Roman" w:hAnsi="Times New Roman" w:cs="Times New Roman"/>
          <w:color w:val="000000"/>
        </w:rPr>
        <w:t xml:space="preserve"> need</w:t>
      </w:r>
      <w:r w:rsidRPr="0009681E">
        <w:rPr>
          <w:rFonts w:ascii="Times New Roman" w:eastAsia="Times New Roman" w:hAnsi="Times New Roman" w:cs="Times New Roman"/>
          <w:color w:val="000000"/>
        </w:rPr>
        <w:t xml:space="preserve"> among all registered manufacturers based </w:t>
      </w:r>
      <w:r w:rsidR="00630F21">
        <w:rPr>
          <w:rFonts w:ascii="Times New Roman" w:eastAsia="Times New Roman" w:hAnsi="Times New Roman" w:cs="Times New Roman"/>
          <w:color w:val="000000"/>
        </w:rPr>
        <w:t xml:space="preserve">primarily </w:t>
      </w:r>
      <w:r w:rsidRPr="0009681E">
        <w:rPr>
          <w:rFonts w:ascii="Times New Roman" w:eastAsia="Times New Roman" w:hAnsi="Times New Roman" w:cs="Times New Roman"/>
          <w:color w:val="000000"/>
        </w:rPr>
        <w:t xml:space="preserve">on </w:t>
      </w:r>
      <w:r>
        <w:rPr>
          <w:rFonts w:ascii="Times New Roman" w:eastAsia="Times New Roman" w:hAnsi="Times New Roman" w:cs="Times New Roman"/>
          <w:color w:val="000000"/>
        </w:rPr>
        <w:t xml:space="preserve">their </w:t>
      </w:r>
      <w:r w:rsidRPr="0009681E">
        <w:rPr>
          <w:rFonts w:ascii="Times New Roman" w:eastAsia="Times New Roman" w:hAnsi="Times New Roman" w:cs="Times New Roman"/>
          <w:color w:val="000000"/>
        </w:rPr>
        <w:t>market</w:t>
      </w:r>
      <w:r>
        <w:rPr>
          <w:rFonts w:ascii="Times New Roman" w:eastAsia="Times New Roman" w:hAnsi="Times New Roman" w:cs="Times New Roman"/>
          <w:color w:val="000000"/>
        </w:rPr>
        <w:t xml:space="preserve"> share</w:t>
      </w:r>
      <w:r>
        <w:rPr>
          <w:rFonts w:ascii="Times New Roman" w:eastAsia="Times New Roman" w:hAnsi="Times New Roman" w:cs="Times New Roman"/>
          <w:color w:val="000000" w:themeColor="text1"/>
        </w:rPr>
        <w:t>.</w:t>
      </w:r>
    </w:p>
    <w:p w:rsidR="00A004FF" w:rsidRDefault="00A004FF" w:rsidP="00A004FF">
      <w:pPr>
        <w:ind w:left="1080" w:right="630"/>
        <w:rPr>
          <w:rFonts w:ascii="Times New Roman" w:eastAsia="Times New Roman" w:hAnsi="Times New Roman" w:cs="Times New Roman"/>
          <w:color w:val="000000" w:themeColor="text1"/>
        </w:rPr>
      </w:pPr>
    </w:p>
    <w:p w:rsidR="00A004FF" w:rsidRPr="003845D8" w:rsidRDefault="00A004FF" w:rsidP="003845D8">
      <w:pPr>
        <w:pStyle w:val="ListParagraph"/>
        <w:numPr>
          <w:ilvl w:val="0"/>
          <w:numId w:val="54"/>
        </w:numPr>
        <w:spacing w:after="120"/>
        <w:ind w:right="634"/>
        <w:rPr>
          <w:rFonts w:asciiTheme="majorHAnsi" w:eastAsia="Times New Roman" w:hAnsiTheme="majorHAnsi" w:cstheme="majorHAnsi"/>
          <w:color w:val="463D38" w:themeColor="accent4" w:themeShade="80"/>
          <w:sz w:val="22"/>
          <w:szCs w:val="22"/>
        </w:rPr>
      </w:pPr>
      <w:r w:rsidRPr="003845D8">
        <w:rPr>
          <w:rFonts w:asciiTheme="majorHAnsi" w:eastAsia="Times New Roman" w:hAnsiTheme="majorHAnsi" w:cstheme="majorHAnsi"/>
          <w:color w:val="463D38" w:themeColor="accent4" w:themeShade="80"/>
          <w:sz w:val="22"/>
          <w:szCs w:val="22"/>
        </w:rPr>
        <w:t xml:space="preserve">Revenue need </w:t>
      </w:r>
    </w:p>
    <w:p w:rsidR="00A004FF" w:rsidRDefault="00A004FF" w:rsidP="00F045A8">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revenue need is the amount of revenue DEQ must collect in registration fees to cover DEQ’s projected costs for implementing the Oregon E-Cycles program. The proposed rules would establish the revenue need for each year as </w:t>
      </w:r>
      <w:r w:rsidRPr="00552641">
        <w:rPr>
          <w:rFonts w:ascii="Times New Roman" w:eastAsia="Times New Roman" w:hAnsi="Times New Roman" w:cs="Times New Roman"/>
          <w:color w:val="000000" w:themeColor="text1"/>
        </w:rPr>
        <w:t>show</w:t>
      </w:r>
      <w:r>
        <w:rPr>
          <w:rFonts w:ascii="Times New Roman" w:eastAsia="Times New Roman" w:hAnsi="Times New Roman" w:cs="Times New Roman"/>
          <w:color w:val="000000" w:themeColor="text1"/>
        </w:rPr>
        <w:t>n</w:t>
      </w:r>
      <w:r w:rsidRPr="00552641">
        <w:rPr>
          <w:rFonts w:ascii="Times New Roman" w:eastAsia="Times New Roman" w:hAnsi="Times New Roman" w:cs="Times New Roman"/>
          <w:color w:val="000000" w:themeColor="text1"/>
        </w:rPr>
        <w:t xml:space="preserve"> in Table </w:t>
      </w:r>
      <w:r w:rsidR="001725E9">
        <w:rPr>
          <w:rFonts w:ascii="Times New Roman" w:eastAsia="Times New Roman" w:hAnsi="Times New Roman" w:cs="Times New Roman"/>
          <w:color w:val="000000" w:themeColor="text1"/>
        </w:rPr>
        <w:t>2</w:t>
      </w:r>
      <w:r w:rsidRPr="00552641">
        <w:rPr>
          <w:rFonts w:ascii="Times New Roman" w:eastAsia="Times New Roman" w:hAnsi="Times New Roman" w:cs="Times New Roman"/>
          <w:color w:val="000000" w:themeColor="text1"/>
        </w:rPr>
        <w:t>.</w:t>
      </w:r>
    </w:p>
    <w:p w:rsidR="009D69C4" w:rsidRDefault="009D69C4" w:rsidP="00F045A8">
      <w:pPr>
        <w:ind w:left="1080" w:right="630"/>
        <w:rPr>
          <w:rFonts w:ascii="Times New Roman" w:eastAsia="Times New Roman" w:hAnsi="Times New Roman" w:cs="Times New Roman"/>
          <w:color w:val="000000" w:themeColor="text1"/>
        </w:rPr>
      </w:pPr>
    </w:p>
    <w:p w:rsidR="00A004FF" w:rsidRDefault="00A004FF" w:rsidP="00A004FF">
      <w:pPr>
        <w:ind w:left="1080" w:right="630"/>
        <w:rPr>
          <w:rFonts w:ascii="Times New Roman" w:eastAsia="Times New Roman" w:hAnsi="Times New Roman" w:cs="Times New Roman"/>
          <w:color w:val="000000" w:themeColor="text1"/>
        </w:rPr>
      </w:pPr>
    </w:p>
    <w:tbl>
      <w:tblPr>
        <w:tblW w:w="8599" w:type="dxa"/>
        <w:tblInd w:w="1638" w:type="dxa"/>
        <w:tblLook w:val="04A0"/>
      </w:tblPr>
      <w:tblGrid>
        <w:gridCol w:w="3870"/>
        <w:gridCol w:w="1041"/>
        <w:gridCol w:w="1114"/>
        <w:gridCol w:w="1114"/>
        <w:gridCol w:w="1460"/>
      </w:tblGrid>
      <w:tr w:rsidR="00A004FF" w:rsidRPr="00552641" w:rsidTr="009D69C4">
        <w:trPr>
          <w:trHeight w:val="720"/>
        </w:trPr>
        <w:tc>
          <w:tcPr>
            <w:tcW w:w="8599" w:type="dxa"/>
            <w:gridSpan w:val="5"/>
            <w:tcBorders>
              <w:top w:val="single" w:sz="8" w:space="0" w:color="auto"/>
              <w:left w:val="single" w:sz="8" w:space="0" w:color="auto"/>
              <w:bottom w:val="nil"/>
              <w:right w:val="single" w:sz="8" w:space="0" w:color="000000"/>
            </w:tcBorders>
            <w:shd w:val="clear" w:color="auto" w:fill="008272"/>
            <w:vAlign w:val="center"/>
            <w:hideMark/>
          </w:tcPr>
          <w:p w:rsidR="009D69C4" w:rsidRPr="009D69C4" w:rsidRDefault="009D69C4" w:rsidP="00B57441">
            <w:pPr>
              <w:jc w:val="center"/>
              <w:rPr>
                <w:rFonts w:asciiTheme="majorHAnsi" w:eastAsia="Times New Roman" w:hAnsiTheme="majorHAnsi" w:cstheme="majorHAnsi"/>
                <w:bCs/>
                <w:color w:val="FFFFFF" w:themeColor="background1"/>
              </w:rPr>
            </w:pPr>
            <w:r w:rsidRPr="009D69C4">
              <w:rPr>
                <w:rFonts w:asciiTheme="majorHAnsi" w:eastAsia="Times New Roman" w:hAnsiTheme="majorHAnsi" w:cstheme="majorHAnsi"/>
                <w:bCs/>
                <w:color w:val="FFFFFF" w:themeColor="background1"/>
                <w:sz w:val="22"/>
                <w:szCs w:val="22"/>
              </w:rPr>
              <w:lastRenderedPageBreak/>
              <w:t>Table 2</w:t>
            </w:r>
          </w:p>
          <w:p w:rsidR="00A004FF" w:rsidRPr="00B57441" w:rsidRDefault="00A004FF" w:rsidP="00B57441">
            <w:pPr>
              <w:jc w:val="center"/>
              <w:rPr>
                <w:rFonts w:asciiTheme="majorHAnsi" w:eastAsia="Times New Roman" w:hAnsiTheme="majorHAnsi" w:cstheme="majorHAnsi"/>
                <w:b/>
                <w:bCs/>
                <w:color w:val="FFFFFF" w:themeColor="background1"/>
              </w:rPr>
            </w:pPr>
            <w:r w:rsidRPr="00B57441">
              <w:rPr>
                <w:rFonts w:asciiTheme="majorHAnsi" w:eastAsia="Times New Roman" w:hAnsiTheme="majorHAnsi" w:cstheme="majorHAnsi"/>
                <w:b/>
                <w:bCs/>
                <w:color w:val="FFFFFF" w:themeColor="background1"/>
                <w:sz w:val="22"/>
                <w:szCs w:val="22"/>
              </w:rPr>
              <w:t>Oregon E-Cycles Registration Fee</w:t>
            </w:r>
          </w:p>
          <w:p w:rsidR="00A004FF" w:rsidRPr="00552641" w:rsidRDefault="00A004FF" w:rsidP="00B57441">
            <w:pPr>
              <w:jc w:val="center"/>
              <w:rPr>
                <w:rFonts w:ascii="Calibri" w:eastAsia="Times New Roman" w:hAnsi="Calibri" w:cs="Calibri"/>
                <w:b/>
                <w:bCs/>
                <w:color w:val="000000"/>
              </w:rPr>
            </w:pPr>
            <w:r w:rsidRPr="00B57441">
              <w:rPr>
                <w:rFonts w:asciiTheme="majorHAnsi" w:eastAsia="Times New Roman" w:hAnsiTheme="majorHAnsi" w:cstheme="majorHAnsi"/>
                <w:b/>
                <w:bCs/>
                <w:color w:val="FFFFFF" w:themeColor="background1"/>
                <w:sz w:val="22"/>
                <w:szCs w:val="22"/>
              </w:rPr>
              <w:t>Revenue Need</w:t>
            </w:r>
          </w:p>
        </w:tc>
      </w:tr>
      <w:tr w:rsidR="00A004FF" w:rsidRPr="00552641" w:rsidTr="009D69C4">
        <w:trPr>
          <w:trHeight w:val="580"/>
        </w:trPr>
        <w:tc>
          <w:tcPr>
            <w:tcW w:w="3870" w:type="dxa"/>
            <w:tcBorders>
              <w:top w:val="single" w:sz="4" w:space="0" w:color="auto"/>
              <w:left w:val="single" w:sz="8" w:space="0" w:color="auto"/>
              <w:bottom w:val="single" w:sz="8" w:space="0" w:color="auto"/>
              <w:right w:val="single" w:sz="4" w:space="0" w:color="auto"/>
            </w:tcBorders>
            <w:shd w:val="clear" w:color="auto" w:fill="B1DDCD"/>
            <w:noWrap/>
            <w:vAlign w:val="center"/>
            <w:hideMark/>
          </w:tcPr>
          <w:p w:rsidR="00A004FF" w:rsidRPr="00B57441" w:rsidRDefault="00A004FF" w:rsidP="00B57441">
            <w:pPr>
              <w:rPr>
                <w:rFonts w:asciiTheme="majorHAnsi" w:eastAsia="Times New Roman" w:hAnsiTheme="majorHAnsi" w:cstheme="majorHAnsi"/>
                <w:b/>
                <w:color w:val="000000"/>
              </w:rPr>
            </w:pPr>
            <w:r w:rsidRPr="00B57441">
              <w:rPr>
                <w:rFonts w:asciiTheme="majorHAnsi" w:eastAsia="Times New Roman" w:hAnsiTheme="majorHAnsi" w:cstheme="majorHAnsi"/>
                <w:b/>
                <w:color w:val="000000"/>
                <w:sz w:val="22"/>
                <w:szCs w:val="22"/>
              </w:rPr>
              <w:t>Program Costs</w:t>
            </w:r>
          </w:p>
        </w:tc>
        <w:tc>
          <w:tcPr>
            <w:tcW w:w="1041" w:type="dxa"/>
            <w:tcBorders>
              <w:top w:val="single" w:sz="4" w:space="0" w:color="auto"/>
              <w:left w:val="nil"/>
              <w:bottom w:val="single" w:sz="8" w:space="0" w:color="auto"/>
              <w:right w:val="single" w:sz="4" w:space="0" w:color="auto"/>
            </w:tcBorders>
            <w:shd w:val="clear" w:color="auto" w:fill="B1DDCD"/>
            <w:noWrap/>
            <w:vAlign w:val="center"/>
            <w:hideMark/>
          </w:tcPr>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bCs/>
                <w:color w:val="000000"/>
                <w:sz w:val="22"/>
                <w:szCs w:val="22"/>
              </w:rPr>
              <w:t>2012</w:t>
            </w:r>
          </w:p>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color w:val="000000"/>
                <w:sz w:val="22"/>
                <w:szCs w:val="22"/>
              </w:rPr>
              <w:t>FY13*</w:t>
            </w:r>
          </w:p>
        </w:tc>
        <w:tc>
          <w:tcPr>
            <w:tcW w:w="1114" w:type="dxa"/>
            <w:tcBorders>
              <w:top w:val="single" w:sz="4" w:space="0" w:color="auto"/>
              <w:left w:val="nil"/>
              <w:bottom w:val="single" w:sz="8" w:space="0" w:color="auto"/>
              <w:right w:val="single" w:sz="4" w:space="0" w:color="auto"/>
            </w:tcBorders>
            <w:shd w:val="clear" w:color="auto" w:fill="B1DDCD"/>
            <w:noWrap/>
            <w:vAlign w:val="center"/>
            <w:hideMark/>
          </w:tcPr>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bCs/>
                <w:color w:val="000000"/>
                <w:sz w:val="22"/>
                <w:szCs w:val="22"/>
              </w:rPr>
              <w:t>2013</w:t>
            </w:r>
          </w:p>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color w:val="000000"/>
                <w:sz w:val="22"/>
                <w:szCs w:val="22"/>
              </w:rPr>
              <w:t>FY14</w:t>
            </w:r>
          </w:p>
        </w:tc>
        <w:tc>
          <w:tcPr>
            <w:tcW w:w="1114" w:type="dxa"/>
            <w:tcBorders>
              <w:top w:val="single" w:sz="4" w:space="0" w:color="auto"/>
              <w:left w:val="nil"/>
              <w:bottom w:val="single" w:sz="8" w:space="0" w:color="auto"/>
              <w:right w:val="single" w:sz="4" w:space="0" w:color="auto"/>
            </w:tcBorders>
            <w:shd w:val="clear" w:color="auto" w:fill="B1DDCD"/>
            <w:noWrap/>
            <w:vAlign w:val="center"/>
            <w:hideMark/>
          </w:tcPr>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bCs/>
                <w:color w:val="000000"/>
                <w:sz w:val="22"/>
                <w:szCs w:val="22"/>
              </w:rPr>
              <w:t>2014</w:t>
            </w:r>
          </w:p>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color w:val="000000"/>
                <w:sz w:val="22"/>
                <w:szCs w:val="22"/>
              </w:rPr>
              <w:t>FY15</w:t>
            </w:r>
          </w:p>
        </w:tc>
        <w:tc>
          <w:tcPr>
            <w:tcW w:w="1460" w:type="dxa"/>
            <w:tcBorders>
              <w:top w:val="single" w:sz="4" w:space="0" w:color="auto"/>
              <w:left w:val="nil"/>
              <w:bottom w:val="single" w:sz="8" w:space="0" w:color="auto"/>
              <w:right w:val="single" w:sz="8" w:space="0" w:color="auto"/>
            </w:tcBorders>
            <w:shd w:val="clear" w:color="auto" w:fill="B1DDCD"/>
            <w:noWrap/>
            <w:vAlign w:val="center"/>
            <w:hideMark/>
          </w:tcPr>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bCs/>
                <w:color w:val="000000"/>
                <w:sz w:val="22"/>
                <w:szCs w:val="22"/>
              </w:rPr>
              <w:t>2015</w:t>
            </w:r>
          </w:p>
          <w:p w:rsidR="00A004FF" w:rsidRPr="00B57441" w:rsidRDefault="00A004FF" w:rsidP="00B57441">
            <w:pPr>
              <w:jc w:val="center"/>
              <w:rPr>
                <w:rFonts w:asciiTheme="majorHAnsi" w:eastAsia="Times New Roman" w:hAnsiTheme="majorHAnsi" w:cstheme="majorHAnsi"/>
                <w:b/>
                <w:bCs/>
                <w:color w:val="000000"/>
              </w:rPr>
            </w:pPr>
            <w:r w:rsidRPr="00B57441">
              <w:rPr>
                <w:rFonts w:asciiTheme="majorHAnsi" w:eastAsia="Times New Roman" w:hAnsiTheme="majorHAnsi" w:cstheme="majorHAnsi"/>
                <w:b/>
                <w:color w:val="000000"/>
                <w:sz w:val="22"/>
                <w:szCs w:val="22"/>
              </w:rPr>
              <w:t>FY16</w:t>
            </w:r>
          </w:p>
        </w:tc>
      </w:tr>
      <w:tr w:rsidR="00A004FF" w:rsidRPr="00552641" w:rsidTr="009D69C4">
        <w:trPr>
          <w:trHeight w:val="285"/>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004FF" w:rsidRPr="00B57441" w:rsidRDefault="00A004FF" w:rsidP="001E443D">
            <w:pP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Annual operating costs</w:t>
            </w:r>
          </w:p>
        </w:tc>
        <w:tc>
          <w:tcPr>
            <w:tcW w:w="1041" w:type="dxa"/>
            <w:tcBorders>
              <w:top w:val="single" w:sz="8" w:space="0" w:color="auto"/>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Cs/>
                <w:color w:val="000000"/>
              </w:rPr>
            </w:pPr>
            <w:r w:rsidRPr="00B57441">
              <w:rPr>
                <w:rFonts w:asciiTheme="minorHAnsi" w:eastAsia="Times New Roman" w:hAnsiTheme="minorHAnsi" w:cstheme="minorHAnsi"/>
                <w:bCs/>
                <w:color w:val="000000"/>
                <w:sz w:val="22"/>
                <w:szCs w:val="22"/>
              </w:rPr>
              <w:t>$360,000</w:t>
            </w:r>
          </w:p>
        </w:tc>
        <w:tc>
          <w:tcPr>
            <w:tcW w:w="1114" w:type="dxa"/>
            <w:tcBorders>
              <w:top w:val="single" w:sz="8" w:space="0" w:color="auto"/>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Cs/>
                <w:color w:val="000000"/>
              </w:rPr>
            </w:pPr>
            <w:r w:rsidRPr="00B57441">
              <w:rPr>
                <w:rFonts w:asciiTheme="minorHAnsi" w:eastAsia="Times New Roman" w:hAnsiTheme="minorHAnsi" w:cstheme="minorHAnsi"/>
                <w:bCs/>
                <w:color w:val="000000"/>
                <w:sz w:val="22"/>
                <w:szCs w:val="22"/>
              </w:rPr>
              <w:t>$360,000</w:t>
            </w:r>
          </w:p>
        </w:tc>
        <w:tc>
          <w:tcPr>
            <w:tcW w:w="1114" w:type="dxa"/>
            <w:tcBorders>
              <w:top w:val="single" w:sz="8" w:space="0" w:color="auto"/>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Cs/>
                <w:color w:val="000000"/>
              </w:rPr>
            </w:pPr>
            <w:r w:rsidRPr="00B57441">
              <w:rPr>
                <w:rFonts w:asciiTheme="minorHAnsi" w:eastAsia="Times New Roman" w:hAnsiTheme="minorHAnsi" w:cstheme="minorHAnsi"/>
                <w:bCs/>
                <w:color w:val="000000"/>
                <w:sz w:val="22"/>
                <w:szCs w:val="22"/>
              </w:rPr>
              <w:t>$360,000</w:t>
            </w:r>
          </w:p>
        </w:tc>
        <w:tc>
          <w:tcPr>
            <w:tcW w:w="1460" w:type="dxa"/>
            <w:tcBorders>
              <w:top w:val="single" w:sz="8" w:space="0" w:color="auto"/>
              <w:left w:val="nil"/>
              <w:bottom w:val="single" w:sz="4" w:space="0" w:color="auto"/>
              <w:right w:val="single" w:sz="8"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Cs/>
                <w:color w:val="000000"/>
              </w:rPr>
            </w:pPr>
            <w:r w:rsidRPr="00B57441">
              <w:rPr>
                <w:rFonts w:asciiTheme="minorHAnsi" w:eastAsia="Times New Roman" w:hAnsiTheme="minorHAnsi" w:cstheme="minorHAnsi"/>
                <w:bCs/>
                <w:color w:val="000000"/>
                <w:sz w:val="22"/>
                <w:szCs w:val="22"/>
              </w:rPr>
              <w:t>$395,000</w:t>
            </w:r>
          </w:p>
        </w:tc>
      </w:tr>
      <w:tr w:rsidR="00A004FF" w:rsidRPr="00552641" w:rsidTr="009D69C4">
        <w:trPr>
          <w:trHeight w:val="368"/>
        </w:trPr>
        <w:tc>
          <w:tcPr>
            <w:tcW w:w="3870" w:type="dxa"/>
            <w:tcBorders>
              <w:top w:val="nil"/>
              <w:left w:val="single" w:sz="8" w:space="0" w:color="auto"/>
              <w:bottom w:val="single" w:sz="4" w:space="0" w:color="auto"/>
              <w:right w:val="single" w:sz="4" w:space="0" w:color="auto"/>
            </w:tcBorders>
            <w:shd w:val="clear" w:color="auto" w:fill="auto"/>
            <w:vAlign w:val="center"/>
            <w:hideMark/>
          </w:tcPr>
          <w:p w:rsidR="00A004FF" w:rsidRPr="00B57441" w:rsidRDefault="00A004FF" w:rsidP="00B57441">
            <w:pP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Repay loan and create operating balance</w:t>
            </w:r>
          </w:p>
        </w:tc>
        <w:tc>
          <w:tcPr>
            <w:tcW w:w="1041" w:type="dxa"/>
            <w:tcBorders>
              <w:top w:val="nil"/>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$55</w:t>
            </w:r>
            <w:r w:rsidR="001F5BF4" w:rsidRPr="00B57441">
              <w:rPr>
                <w:rFonts w:asciiTheme="minorHAnsi" w:eastAsia="Times New Roman" w:hAnsiTheme="minorHAnsi" w:cstheme="minorHAnsi"/>
                <w:color w:val="000000"/>
                <w:sz w:val="22"/>
                <w:szCs w:val="22"/>
              </w:rPr>
              <w:t>,</w:t>
            </w:r>
            <w:r w:rsidRPr="00B57441">
              <w:rPr>
                <w:rFonts w:asciiTheme="minorHAnsi" w:eastAsia="Times New Roman" w:hAnsiTheme="minorHAnsi" w:cstheme="minorHAnsi"/>
                <w:color w:val="000000"/>
                <w:sz w:val="22"/>
                <w:szCs w:val="22"/>
              </w:rPr>
              <w:t>000</w:t>
            </w:r>
          </w:p>
        </w:tc>
        <w:tc>
          <w:tcPr>
            <w:tcW w:w="1114" w:type="dxa"/>
            <w:tcBorders>
              <w:top w:val="nil"/>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$55,000</w:t>
            </w:r>
          </w:p>
        </w:tc>
        <w:tc>
          <w:tcPr>
            <w:tcW w:w="1114" w:type="dxa"/>
            <w:tcBorders>
              <w:top w:val="nil"/>
              <w:left w:val="nil"/>
              <w:bottom w:val="single" w:sz="4"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$60,000</w:t>
            </w:r>
          </w:p>
        </w:tc>
        <w:tc>
          <w:tcPr>
            <w:tcW w:w="1460" w:type="dxa"/>
            <w:tcBorders>
              <w:top w:val="nil"/>
              <w:left w:val="nil"/>
              <w:bottom w:val="single" w:sz="4" w:space="0" w:color="auto"/>
              <w:right w:val="single" w:sz="8"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$55,000</w:t>
            </w:r>
          </w:p>
        </w:tc>
      </w:tr>
      <w:tr w:rsidR="00A004FF" w:rsidRPr="00552641" w:rsidTr="009D69C4">
        <w:trPr>
          <w:trHeight w:val="300"/>
        </w:trPr>
        <w:tc>
          <w:tcPr>
            <w:tcW w:w="3870" w:type="dxa"/>
            <w:tcBorders>
              <w:top w:val="nil"/>
              <w:left w:val="single" w:sz="8" w:space="0" w:color="auto"/>
              <w:bottom w:val="double" w:sz="4" w:space="0" w:color="auto"/>
              <w:right w:val="single" w:sz="4" w:space="0" w:color="auto"/>
            </w:tcBorders>
            <w:shd w:val="clear" w:color="auto" w:fill="auto"/>
            <w:noWrap/>
            <w:vAlign w:val="bottom"/>
            <w:hideMark/>
          </w:tcPr>
          <w:p w:rsidR="00A004FF" w:rsidRPr="00B57441" w:rsidRDefault="00A004FF" w:rsidP="001E443D">
            <w:pP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Add new products</w:t>
            </w:r>
          </w:p>
        </w:tc>
        <w:tc>
          <w:tcPr>
            <w:tcW w:w="1041" w:type="dxa"/>
            <w:tcBorders>
              <w:top w:val="nil"/>
              <w:left w:val="nil"/>
              <w:bottom w:val="double" w:sz="6"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 </w:t>
            </w:r>
          </w:p>
        </w:tc>
        <w:tc>
          <w:tcPr>
            <w:tcW w:w="1114" w:type="dxa"/>
            <w:tcBorders>
              <w:top w:val="nil"/>
              <w:left w:val="nil"/>
              <w:bottom w:val="double" w:sz="6"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$20,000</w:t>
            </w:r>
          </w:p>
        </w:tc>
        <w:tc>
          <w:tcPr>
            <w:tcW w:w="1114" w:type="dxa"/>
            <w:tcBorders>
              <w:top w:val="nil"/>
              <w:left w:val="nil"/>
              <w:bottom w:val="double" w:sz="6"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$15,000</w:t>
            </w:r>
          </w:p>
        </w:tc>
        <w:tc>
          <w:tcPr>
            <w:tcW w:w="1460" w:type="dxa"/>
            <w:tcBorders>
              <w:top w:val="nil"/>
              <w:left w:val="nil"/>
              <w:bottom w:val="double" w:sz="6" w:space="0" w:color="auto"/>
              <w:right w:val="single" w:sz="8"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color w:val="000000"/>
              </w:rPr>
            </w:pPr>
            <w:r w:rsidRPr="00B57441">
              <w:rPr>
                <w:rFonts w:asciiTheme="minorHAnsi" w:eastAsia="Times New Roman" w:hAnsiTheme="minorHAnsi" w:cstheme="minorHAnsi"/>
                <w:color w:val="000000"/>
                <w:sz w:val="22"/>
                <w:szCs w:val="22"/>
              </w:rPr>
              <w:t>$15,000</w:t>
            </w:r>
          </w:p>
        </w:tc>
      </w:tr>
      <w:tr w:rsidR="00A004FF" w:rsidRPr="00552641" w:rsidTr="009D69C4">
        <w:trPr>
          <w:trHeight w:val="330"/>
        </w:trPr>
        <w:tc>
          <w:tcPr>
            <w:tcW w:w="3870" w:type="dxa"/>
            <w:tcBorders>
              <w:top w:val="double" w:sz="4" w:space="0" w:color="auto"/>
              <w:left w:val="single" w:sz="8" w:space="0" w:color="auto"/>
              <w:bottom w:val="single" w:sz="8" w:space="0" w:color="auto"/>
              <w:right w:val="single" w:sz="4" w:space="0" w:color="auto"/>
            </w:tcBorders>
            <w:shd w:val="clear" w:color="auto" w:fill="auto"/>
            <w:noWrap/>
            <w:vAlign w:val="bottom"/>
            <w:hideMark/>
          </w:tcPr>
          <w:p w:rsidR="00A004FF" w:rsidRPr="00B57441" w:rsidRDefault="00A004FF" w:rsidP="001E443D">
            <w:pPr>
              <w:rPr>
                <w:rFonts w:asciiTheme="minorHAnsi" w:eastAsia="Times New Roman" w:hAnsiTheme="minorHAnsi" w:cstheme="minorHAnsi"/>
                <w:b/>
                <w:color w:val="000000"/>
              </w:rPr>
            </w:pPr>
            <w:r w:rsidRPr="00B57441">
              <w:rPr>
                <w:rFonts w:asciiTheme="minorHAnsi" w:eastAsia="Times New Roman" w:hAnsiTheme="minorHAnsi" w:cstheme="minorHAnsi"/>
                <w:b/>
                <w:color w:val="000000"/>
                <w:sz w:val="22"/>
                <w:szCs w:val="22"/>
              </w:rPr>
              <w:t> Revenue Need</w:t>
            </w:r>
          </w:p>
        </w:tc>
        <w:tc>
          <w:tcPr>
            <w:tcW w:w="1041" w:type="dxa"/>
            <w:tcBorders>
              <w:top w:val="nil"/>
              <w:left w:val="nil"/>
              <w:bottom w:val="single" w:sz="8"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
                <w:bCs/>
                <w:color w:val="000000"/>
              </w:rPr>
            </w:pPr>
            <w:r w:rsidRPr="00B57441">
              <w:rPr>
                <w:rFonts w:asciiTheme="minorHAnsi" w:eastAsia="Times New Roman" w:hAnsiTheme="minorHAnsi" w:cstheme="minorHAnsi"/>
                <w:b/>
                <w:bCs/>
                <w:color w:val="000000"/>
                <w:sz w:val="22"/>
                <w:szCs w:val="22"/>
              </w:rPr>
              <w:t>$415,000</w:t>
            </w:r>
          </w:p>
        </w:tc>
        <w:tc>
          <w:tcPr>
            <w:tcW w:w="1114" w:type="dxa"/>
            <w:tcBorders>
              <w:top w:val="nil"/>
              <w:left w:val="nil"/>
              <w:bottom w:val="single" w:sz="8"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
                <w:bCs/>
                <w:color w:val="000000"/>
              </w:rPr>
            </w:pPr>
            <w:r w:rsidRPr="00B57441">
              <w:rPr>
                <w:rFonts w:asciiTheme="minorHAnsi" w:eastAsia="Times New Roman" w:hAnsiTheme="minorHAnsi" w:cstheme="minorHAnsi"/>
                <w:b/>
                <w:bCs/>
                <w:color w:val="000000"/>
                <w:sz w:val="22"/>
                <w:szCs w:val="22"/>
              </w:rPr>
              <w:t>$435,000</w:t>
            </w:r>
          </w:p>
        </w:tc>
        <w:tc>
          <w:tcPr>
            <w:tcW w:w="1114" w:type="dxa"/>
            <w:tcBorders>
              <w:top w:val="nil"/>
              <w:left w:val="nil"/>
              <w:bottom w:val="single" w:sz="8" w:space="0" w:color="auto"/>
              <w:right w:val="single" w:sz="4"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
                <w:bCs/>
                <w:color w:val="000000"/>
              </w:rPr>
            </w:pPr>
            <w:r w:rsidRPr="00B57441">
              <w:rPr>
                <w:rFonts w:asciiTheme="minorHAnsi" w:eastAsia="Times New Roman" w:hAnsiTheme="minorHAnsi" w:cstheme="minorHAnsi"/>
                <w:b/>
                <w:bCs/>
                <w:color w:val="000000"/>
                <w:sz w:val="22"/>
                <w:szCs w:val="22"/>
              </w:rPr>
              <w:t>$435,000</w:t>
            </w:r>
          </w:p>
        </w:tc>
        <w:tc>
          <w:tcPr>
            <w:tcW w:w="1460" w:type="dxa"/>
            <w:tcBorders>
              <w:top w:val="nil"/>
              <w:left w:val="nil"/>
              <w:bottom w:val="single" w:sz="8" w:space="0" w:color="auto"/>
              <w:right w:val="single" w:sz="8" w:space="0" w:color="auto"/>
            </w:tcBorders>
            <w:shd w:val="clear" w:color="auto" w:fill="auto"/>
            <w:noWrap/>
            <w:vAlign w:val="bottom"/>
            <w:hideMark/>
          </w:tcPr>
          <w:p w:rsidR="00A004FF" w:rsidRPr="00B57441" w:rsidRDefault="00A004FF" w:rsidP="001E443D">
            <w:pPr>
              <w:jc w:val="center"/>
              <w:rPr>
                <w:rFonts w:asciiTheme="minorHAnsi" w:eastAsia="Times New Roman" w:hAnsiTheme="minorHAnsi" w:cstheme="minorHAnsi"/>
                <w:b/>
                <w:bCs/>
                <w:color w:val="000000"/>
              </w:rPr>
            </w:pPr>
            <w:r w:rsidRPr="00B57441">
              <w:rPr>
                <w:rFonts w:asciiTheme="minorHAnsi" w:eastAsia="Times New Roman" w:hAnsiTheme="minorHAnsi" w:cstheme="minorHAnsi"/>
                <w:b/>
                <w:bCs/>
                <w:color w:val="000000"/>
                <w:sz w:val="22"/>
                <w:szCs w:val="22"/>
              </w:rPr>
              <w:t>$465,000</w:t>
            </w:r>
          </w:p>
        </w:tc>
      </w:tr>
      <w:tr w:rsidR="00A004FF" w:rsidRPr="00552641" w:rsidTr="009D69C4">
        <w:trPr>
          <w:trHeight w:val="330"/>
        </w:trPr>
        <w:tc>
          <w:tcPr>
            <w:tcW w:w="8599" w:type="dxa"/>
            <w:gridSpan w:val="5"/>
            <w:tcBorders>
              <w:top w:val="single" w:sz="8" w:space="0" w:color="auto"/>
            </w:tcBorders>
            <w:shd w:val="clear" w:color="auto" w:fill="auto"/>
            <w:noWrap/>
            <w:vAlign w:val="bottom"/>
            <w:hideMark/>
          </w:tcPr>
          <w:p w:rsidR="00A004FF" w:rsidRPr="00552641" w:rsidRDefault="00A004FF" w:rsidP="005A7DF4">
            <w:pPr>
              <w:ind w:left="72" w:right="481"/>
              <w:rPr>
                <w:rFonts w:ascii="Calibri" w:eastAsia="Times New Roman" w:hAnsi="Calibri" w:cs="Calibri"/>
                <w:b/>
                <w:bCs/>
                <w:color w:val="000000"/>
              </w:rPr>
            </w:pPr>
            <w:r w:rsidRPr="00552641">
              <w:rPr>
                <w:rFonts w:ascii="Calibri" w:eastAsia="Times New Roman" w:hAnsi="Calibri" w:cs="Calibri"/>
                <w:color w:val="000000"/>
                <w:sz w:val="22"/>
                <w:szCs w:val="22"/>
              </w:rPr>
              <w:t>*</w:t>
            </w:r>
            <w:r w:rsidRPr="00B57441">
              <w:rPr>
                <w:rFonts w:asciiTheme="minorHAnsi" w:eastAsia="Times New Roman" w:hAnsiTheme="minorHAnsi" w:cstheme="minorHAnsi"/>
                <w:color w:val="000000"/>
                <w:sz w:val="22"/>
                <w:szCs w:val="22"/>
              </w:rPr>
              <w:t>FY13 corresponds to E-Cycles billing year 2012. Fiscal years run July 1 through June 30. The FY designates the ending year (e.g. FY13 is the year ending June 30, 2013).</w:t>
            </w:r>
          </w:p>
        </w:tc>
      </w:tr>
    </w:tbl>
    <w:p w:rsidR="00A004FF" w:rsidRDefault="00A004FF" w:rsidP="00A004FF">
      <w:pPr>
        <w:ind w:left="1440" w:right="630"/>
        <w:rPr>
          <w:rFonts w:ascii="Times New Roman" w:eastAsia="Times New Roman" w:hAnsi="Times New Roman" w:cs="Times New Roman"/>
          <w:color w:val="000000" w:themeColor="text1"/>
        </w:rPr>
      </w:pPr>
    </w:p>
    <w:p w:rsidR="009D69C4" w:rsidRDefault="009D69C4" w:rsidP="00F045A8">
      <w:pPr>
        <w:ind w:left="1080" w:right="630"/>
        <w:rPr>
          <w:rFonts w:ascii="Times New Roman" w:eastAsia="Times New Roman" w:hAnsi="Times New Roman" w:cs="Times New Roman"/>
          <w:color w:val="000000" w:themeColor="text1"/>
        </w:rPr>
      </w:pPr>
    </w:p>
    <w:p w:rsidR="00F751EF" w:rsidRDefault="00F751EF" w:rsidP="00F045A8">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Revenue need covers both annual operating costs and other program costs. The annual operating costs remain at the current level of $360,000 through FY 15, with pared activities and efficiencies offsetting cost increases </w:t>
      </w:r>
      <w:r w:rsidR="00A50735">
        <w:rPr>
          <w:rFonts w:ascii="Times New Roman" w:eastAsia="Times New Roman" w:hAnsi="Times New Roman" w:cs="Times New Roman"/>
          <w:color w:val="000000" w:themeColor="text1"/>
        </w:rPr>
        <w:t xml:space="preserve">from </w:t>
      </w:r>
      <w:r>
        <w:rPr>
          <w:rFonts w:ascii="Times New Roman" w:eastAsia="Times New Roman" w:hAnsi="Times New Roman" w:cs="Times New Roman"/>
          <w:color w:val="000000" w:themeColor="text1"/>
        </w:rPr>
        <w:t xml:space="preserve">salary and benefit adjustments, inflation, etc. Annual operating costs for FY 16 allow for a 10 percent increase over current levels. </w:t>
      </w:r>
      <w:r w:rsidR="00BE3484">
        <w:rPr>
          <w:rFonts w:ascii="Times New Roman" w:eastAsia="Times New Roman" w:hAnsi="Times New Roman" w:cs="Times New Roman"/>
          <w:color w:val="000000" w:themeColor="text1"/>
        </w:rPr>
        <w:t>Beginning in 2013, r</w:t>
      </w:r>
      <w:r>
        <w:rPr>
          <w:rFonts w:ascii="Times New Roman" w:eastAsia="Times New Roman" w:hAnsi="Times New Roman" w:cs="Times New Roman"/>
          <w:color w:val="000000" w:themeColor="text1"/>
        </w:rPr>
        <w:t xml:space="preserve">evenue need </w:t>
      </w:r>
      <w:r w:rsidR="00A120B0">
        <w:rPr>
          <w:rFonts w:ascii="Times New Roman" w:eastAsia="Times New Roman" w:hAnsi="Times New Roman" w:cs="Times New Roman"/>
          <w:color w:val="000000" w:themeColor="text1"/>
        </w:rPr>
        <w:t xml:space="preserve">would </w:t>
      </w:r>
      <w:r>
        <w:rPr>
          <w:rFonts w:ascii="Times New Roman" w:eastAsia="Times New Roman" w:hAnsi="Times New Roman" w:cs="Times New Roman"/>
          <w:color w:val="000000" w:themeColor="text1"/>
        </w:rPr>
        <w:t xml:space="preserve">also cover costs </w:t>
      </w:r>
      <w:r w:rsidR="00BE3484">
        <w:rPr>
          <w:rFonts w:ascii="Times New Roman" w:eastAsia="Times New Roman" w:hAnsi="Times New Roman" w:cs="Times New Roman"/>
          <w:color w:val="000000" w:themeColor="text1"/>
        </w:rPr>
        <w:t xml:space="preserve">for adding new products, </w:t>
      </w:r>
      <w:r w:rsidR="00A50735">
        <w:rPr>
          <w:rFonts w:ascii="Times New Roman" w:eastAsia="Times New Roman" w:hAnsi="Times New Roman" w:cs="Times New Roman"/>
          <w:color w:val="000000" w:themeColor="text1"/>
        </w:rPr>
        <w:t>such as purchasing market share data, notifying and adding manufacturers and informing the public</w:t>
      </w:r>
      <w:r>
        <w:rPr>
          <w:rFonts w:ascii="Times New Roman" w:eastAsia="Times New Roman" w:hAnsi="Times New Roman" w:cs="Times New Roman"/>
          <w:color w:val="000000" w:themeColor="text1"/>
        </w:rPr>
        <w:t>.</w:t>
      </w:r>
    </w:p>
    <w:p w:rsidR="00F751EF" w:rsidRDefault="00F751EF" w:rsidP="00F045A8">
      <w:pPr>
        <w:ind w:left="1080" w:right="630"/>
        <w:rPr>
          <w:rFonts w:ascii="Times New Roman" w:eastAsia="Times New Roman" w:hAnsi="Times New Roman" w:cs="Times New Roman"/>
          <w:color w:val="000000" w:themeColor="text1"/>
        </w:rPr>
      </w:pPr>
    </w:p>
    <w:p w:rsidR="00F751EF" w:rsidRDefault="00F751EF" w:rsidP="00F045A8">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Other program costs covered in the revenue need include (a) repayment of a projected deficit from programs operations from July 2008 through June 2012 and from database planning and design work and (b) creation of a </w:t>
      </w:r>
      <w:r w:rsidR="00A50735">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-month operating balance for the program. To date, DEQ has covered these costs with solid waste disposal fee revenue. The proposed revenue need would pay for half of these other program costs totaling $552,105 over a five year period through FY 17, adding an average of $55,000</w:t>
      </w:r>
      <w:r w:rsidR="00A50735">
        <w:rPr>
          <w:rFonts w:ascii="Times New Roman" w:eastAsia="Times New Roman" w:hAnsi="Times New Roman" w:cs="Times New Roman"/>
          <w:color w:val="000000" w:themeColor="text1"/>
        </w:rPr>
        <w:t xml:space="preserve"> per </w:t>
      </w:r>
      <w:r>
        <w:rPr>
          <w:rFonts w:ascii="Times New Roman" w:eastAsia="Times New Roman" w:hAnsi="Times New Roman" w:cs="Times New Roman"/>
          <w:color w:val="000000" w:themeColor="text1"/>
        </w:rPr>
        <w:t xml:space="preserve">year to the </w:t>
      </w:r>
      <w:r>
        <w:rPr>
          <w:rFonts w:ascii="Times New Roman" w:eastAsia="Times New Roman" w:hAnsi="Times New Roman" w:cs="Times New Roman"/>
          <w:color w:val="000000" w:themeColor="text1"/>
        </w:rPr>
        <w:lastRenderedPageBreak/>
        <w:t xml:space="preserve">revenue need, as </w:t>
      </w:r>
      <w:r w:rsidRPr="00552641">
        <w:rPr>
          <w:rFonts w:ascii="Times New Roman" w:eastAsia="Times New Roman" w:hAnsi="Times New Roman" w:cs="Times New Roman"/>
          <w:color w:val="000000" w:themeColor="text1"/>
        </w:rPr>
        <w:t xml:space="preserve">shown in Table </w:t>
      </w:r>
      <w:r w:rsidR="006F61F5">
        <w:rPr>
          <w:rFonts w:ascii="Times New Roman" w:eastAsia="Times New Roman" w:hAnsi="Times New Roman" w:cs="Times New Roman"/>
          <w:color w:val="000000" w:themeColor="text1"/>
        </w:rPr>
        <w:t>2</w:t>
      </w:r>
      <w:r w:rsidRPr="00552641">
        <w:rPr>
          <w:rFonts w:ascii="Times New Roman" w:eastAsia="Times New Roman" w:hAnsi="Times New Roman" w:cs="Times New Roman"/>
          <w:color w:val="000000" w:themeColor="text1"/>
        </w:rPr>
        <w:t>. DEQ</w:t>
      </w:r>
      <w:r>
        <w:rPr>
          <w:rFonts w:ascii="Times New Roman" w:eastAsia="Times New Roman" w:hAnsi="Times New Roman" w:cs="Times New Roman"/>
          <w:color w:val="000000" w:themeColor="text1"/>
        </w:rPr>
        <w:t xml:space="preserve"> does not expect registration fees to re</w:t>
      </w:r>
      <w:r w:rsidR="006F61F5">
        <w:rPr>
          <w:rFonts w:ascii="Times New Roman" w:eastAsia="Times New Roman" w:hAnsi="Times New Roman" w:cs="Times New Roman"/>
          <w:color w:val="000000" w:themeColor="text1"/>
        </w:rPr>
        <w:t>pay</w:t>
      </w:r>
      <w:r>
        <w:rPr>
          <w:rFonts w:ascii="Times New Roman" w:eastAsia="Times New Roman" w:hAnsi="Times New Roman" w:cs="Times New Roman"/>
          <w:color w:val="000000" w:themeColor="text1"/>
        </w:rPr>
        <w:t xml:space="preserve"> solid waste disposal fees for the remaining half of these other program costs.</w:t>
      </w:r>
    </w:p>
    <w:p w:rsidR="00AC0514" w:rsidRDefault="00AC0514" w:rsidP="00F045A8">
      <w:pPr>
        <w:ind w:left="1080" w:right="630"/>
        <w:rPr>
          <w:rFonts w:ascii="Times New Roman" w:eastAsia="Times New Roman" w:hAnsi="Times New Roman" w:cs="Times New Roman"/>
          <w:color w:val="000000" w:themeColor="text1"/>
        </w:rPr>
      </w:pPr>
    </w:p>
    <w:p w:rsidR="00F751EF" w:rsidRDefault="00F751EF" w:rsidP="00F045A8">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allow DEQ to adjust revenue need in the following situations, but otherwise revenue need would be revised through rule amendment. If registration fee revenue exceeds DEQ’s actual costs for the program, DEQ would reduce revenue need by that excess amount in a subsequent year and evaluate whether revenue need should be revised for future years to more closely match DEQ’s projected costs. Conversely, if DEQ is unable to collect revenue from registration fees owed for a prior year </w:t>
      </w:r>
      <w:r w:rsidR="00A50735">
        <w:rPr>
          <w:rFonts w:ascii="Times New Roman" w:eastAsia="Times New Roman" w:hAnsi="Times New Roman" w:cs="Times New Roman"/>
          <w:color w:val="000000" w:themeColor="text1"/>
        </w:rPr>
        <w:t xml:space="preserve">due to </w:t>
      </w:r>
      <w:r>
        <w:rPr>
          <w:rFonts w:ascii="Times New Roman" w:eastAsia="Times New Roman" w:hAnsi="Times New Roman" w:cs="Times New Roman"/>
          <w:color w:val="000000" w:themeColor="text1"/>
        </w:rPr>
        <w:t>bankruptcies</w:t>
      </w:r>
      <w:r w:rsidR="00A50735">
        <w:rPr>
          <w:rFonts w:ascii="Times New Roman" w:eastAsia="Times New Roman" w:hAnsi="Times New Roman" w:cs="Times New Roman"/>
          <w:color w:val="000000" w:themeColor="text1"/>
        </w:rPr>
        <w:t xml:space="preserve"> or other </w:t>
      </w:r>
      <w:r>
        <w:rPr>
          <w:rFonts w:ascii="Times New Roman" w:eastAsia="Times New Roman" w:hAnsi="Times New Roman" w:cs="Times New Roman"/>
          <w:color w:val="000000" w:themeColor="text1"/>
        </w:rPr>
        <w:t xml:space="preserve">uncollectable debt, DEQ </w:t>
      </w:r>
      <w:r w:rsidR="00BE3484">
        <w:rPr>
          <w:rFonts w:ascii="Times New Roman" w:eastAsia="Times New Roman" w:hAnsi="Times New Roman" w:cs="Times New Roman"/>
          <w:color w:val="000000" w:themeColor="text1"/>
        </w:rPr>
        <w:t xml:space="preserve">could </w:t>
      </w:r>
      <w:r>
        <w:rPr>
          <w:rFonts w:ascii="Times New Roman" w:eastAsia="Times New Roman" w:hAnsi="Times New Roman" w:cs="Times New Roman"/>
          <w:color w:val="000000" w:themeColor="text1"/>
        </w:rPr>
        <w:t xml:space="preserve">add the amount of uncollected revenue to the revenue need in a subsequent year as necessary to cover program costs. To support accountability, the proposed rules also provide that DEQ </w:t>
      </w:r>
      <w:r w:rsidR="00FD7A96">
        <w:rPr>
          <w:rFonts w:ascii="Times New Roman" w:eastAsia="Times New Roman" w:hAnsi="Times New Roman" w:cs="Times New Roman"/>
          <w:color w:val="000000" w:themeColor="text1"/>
        </w:rPr>
        <w:t xml:space="preserve">will </w:t>
      </w:r>
      <w:r>
        <w:rPr>
          <w:rFonts w:ascii="Times New Roman" w:eastAsia="Times New Roman" w:hAnsi="Times New Roman" w:cs="Times New Roman"/>
          <w:color w:val="000000" w:themeColor="text1"/>
        </w:rPr>
        <w:t xml:space="preserve">report its current and projected program expenditures and revenue each year; in </w:t>
      </w:r>
      <w:r>
        <w:rPr>
          <w:rFonts w:ascii="Times New Roman" w:eastAsia="Times New Roman" w:hAnsi="Times New Roman" w:cs="Times New Roman"/>
          <w:color w:val="000000" w:themeColor="text1"/>
        </w:rPr>
        <w:lastRenderedPageBreak/>
        <w:t>practice</w:t>
      </w:r>
      <w:r w:rsidR="00A5073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DEQ discusses E-Cycles financial information with stakeholders.</w:t>
      </w:r>
    </w:p>
    <w:p w:rsidR="00A004FF" w:rsidRDefault="00A004FF" w:rsidP="00A004FF">
      <w:pPr>
        <w:ind w:left="1080" w:right="630"/>
        <w:rPr>
          <w:rFonts w:ascii="Times New Roman" w:eastAsia="Times New Roman" w:hAnsi="Times New Roman" w:cs="Times New Roman"/>
          <w:color w:val="000000" w:themeColor="text1"/>
        </w:rPr>
      </w:pPr>
    </w:p>
    <w:p w:rsidR="00A004FF" w:rsidRPr="004F3DFD" w:rsidRDefault="00A004FF" w:rsidP="003845D8">
      <w:pPr>
        <w:pStyle w:val="ListParagraph"/>
        <w:numPr>
          <w:ilvl w:val="0"/>
          <w:numId w:val="54"/>
        </w:numPr>
        <w:spacing w:after="120"/>
        <w:ind w:right="634"/>
        <w:rPr>
          <w:rFonts w:asciiTheme="majorHAnsi" w:eastAsia="Times New Roman" w:hAnsiTheme="majorHAnsi" w:cstheme="majorHAnsi"/>
          <w:color w:val="463D38" w:themeColor="accent4" w:themeShade="80"/>
          <w:sz w:val="22"/>
          <w:szCs w:val="22"/>
        </w:rPr>
      </w:pPr>
      <w:r w:rsidRPr="004F3DFD">
        <w:rPr>
          <w:rFonts w:asciiTheme="majorHAnsi" w:eastAsia="Times New Roman" w:hAnsiTheme="majorHAnsi" w:cstheme="majorHAnsi"/>
          <w:color w:val="463D38" w:themeColor="accent4" w:themeShade="80"/>
          <w:sz w:val="22"/>
          <w:szCs w:val="22"/>
        </w:rPr>
        <w:t>Fee structure</w:t>
      </w:r>
    </w:p>
    <w:p w:rsidR="00A004FF" w:rsidRDefault="00A004FF" w:rsidP="00F045A8">
      <w:pPr>
        <w:ind w:left="1080" w:right="630"/>
        <w:rPr>
          <w:rFonts w:asciiTheme="minorHAnsi" w:hAnsiTheme="minorHAnsi" w:cstheme="minorHAnsi"/>
          <w:color w:val="000000"/>
        </w:rPr>
      </w:pPr>
      <w:r w:rsidRPr="00ED274C">
        <w:rPr>
          <w:rFonts w:asciiTheme="minorHAnsi" w:hAnsiTheme="minorHAnsi" w:cstheme="minorHAnsi"/>
          <w:color w:val="000000"/>
        </w:rPr>
        <w:t xml:space="preserve">The proposed registration fee structure, shown </w:t>
      </w:r>
      <w:r w:rsidRPr="00552641">
        <w:rPr>
          <w:rFonts w:asciiTheme="minorHAnsi" w:hAnsiTheme="minorHAnsi" w:cstheme="minorHAnsi"/>
          <w:color w:val="000000"/>
        </w:rPr>
        <w:t xml:space="preserve">in Table </w:t>
      </w:r>
      <w:r w:rsidR="001725E9">
        <w:rPr>
          <w:rFonts w:asciiTheme="minorHAnsi" w:hAnsiTheme="minorHAnsi" w:cstheme="minorHAnsi"/>
          <w:color w:val="000000"/>
        </w:rPr>
        <w:t>3</w:t>
      </w:r>
      <w:r w:rsidRPr="00552641">
        <w:rPr>
          <w:rFonts w:asciiTheme="minorHAnsi" w:hAnsiTheme="minorHAnsi" w:cstheme="minorHAnsi"/>
          <w:color w:val="000000"/>
        </w:rPr>
        <w:t>, includes</w:t>
      </w:r>
      <w:r w:rsidRPr="00ED274C">
        <w:rPr>
          <w:rFonts w:asciiTheme="minorHAnsi" w:hAnsiTheme="minorHAnsi" w:cstheme="minorHAnsi"/>
          <w:color w:val="000000"/>
        </w:rPr>
        <w:t xml:space="preserve"> </w:t>
      </w:r>
      <w:r>
        <w:rPr>
          <w:rFonts w:asciiTheme="minorHAnsi" w:hAnsiTheme="minorHAnsi" w:cstheme="minorHAnsi"/>
          <w:color w:val="000000"/>
        </w:rPr>
        <w:t>seven</w:t>
      </w:r>
      <w:r w:rsidRPr="00ED274C">
        <w:rPr>
          <w:rFonts w:asciiTheme="minorHAnsi" w:hAnsiTheme="minorHAnsi" w:cstheme="minorHAnsi"/>
          <w:color w:val="000000"/>
        </w:rPr>
        <w:t xml:space="preserve"> fee tiers based on market share with a $35,000 cap on fees</w:t>
      </w:r>
      <w:r>
        <w:rPr>
          <w:rFonts w:asciiTheme="minorHAnsi" w:hAnsiTheme="minorHAnsi" w:cstheme="minorHAnsi"/>
          <w:color w:val="000000"/>
        </w:rPr>
        <w:t>, fixed fees for lower tiers and a $200</w:t>
      </w:r>
      <w:r w:rsidRPr="00ED274C">
        <w:rPr>
          <w:rFonts w:asciiTheme="minorHAnsi" w:hAnsiTheme="minorHAnsi" w:cstheme="minorHAnsi"/>
          <w:color w:val="000000"/>
        </w:rPr>
        <w:t xml:space="preserve"> minimum fee</w:t>
      </w:r>
      <w:r>
        <w:rPr>
          <w:rFonts w:asciiTheme="minorHAnsi" w:hAnsiTheme="minorHAnsi" w:cstheme="minorHAnsi"/>
          <w:color w:val="000000"/>
        </w:rPr>
        <w:t xml:space="preserve"> </w:t>
      </w:r>
      <w:r w:rsidR="006F61F5">
        <w:rPr>
          <w:rFonts w:asciiTheme="minorHAnsi" w:hAnsiTheme="minorHAnsi" w:cstheme="minorHAnsi"/>
          <w:color w:val="000000"/>
        </w:rPr>
        <w:t xml:space="preserve">for </w:t>
      </w:r>
      <w:r>
        <w:rPr>
          <w:rFonts w:asciiTheme="minorHAnsi" w:hAnsiTheme="minorHAnsi" w:cstheme="minorHAnsi"/>
          <w:color w:val="000000"/>
        </w:rPr>
        <w:t>upper tiers</w:t>
      </w:r>
      <w:r w:rsidRPr="00ED274C">
        <w:rPr>
          <w:rFonts w:asciiTheme="minorHAnsi" w:hAnsiTheme="minorHAnsi" w:cstheme="minorHAnsi"/>
          <w:color w:val="000000"/>
        </w:rPr>
        <w:t xml:space="preserve">. </w:t>
      </w:r>
      <w:r>
        <w:rPr>
          <w:rFonts w:asciiTheme="minorHAnsi" w:hAnsiTheme="minorHAnsi" w:cstheme="minorHAnsi"/>
          <w:color w:val="000000"/>
        </w:rPr>
        <w:t>It is designed so that each year the registration fees assessed equal</w:t>
      </w:r>
      <w:r w:rsidRPr="008326BC">
        <w:rPr>
          <w:rFonts w:asciiTheme="minorHAnsi" w:hAnsiTheme="minorHAnsi" w:cstheme="minorHAnsi"/>
          <w:color w:val="000000"/>
        </w:rPr>
        <w:t xml:space="preserve"> the revenue need. </w:t>
      </w:r>
    </w:p>
    <w:p w:rsidR="00A004FF" w:rsidRDefault="00A004FF" w:rsidP="00A004FF">
      <w:pPr>
        <w:ind w:left="1080" w:right="630"/>
        <w:jc w:val="center"/>
        <w:rPr>
          <w:rFonts w:asciiTheme="minorHAnsi" w:hAnsiTheme="minorHAnsi" w:cstheme="minorHAnsi"/>
          <w:b/>
          <w:color w:val="000000"/>
        </w:rPr>
      </w:pPr>
    </w:p>
    <w:p w:rsidR="00F751EF" w:rsidRDefault="00F751EF" w:rsidP="00A004FF">
      <w:pPr>
        <w:ind w:left="1080" w:right="630"/>
        <w:jc w:val="center"/>
        <w:rPr>
          <w:rFonts w:asciiTheme="minorHAnsi" w:hAnsiTheme="minorHAnsi" w:cstheme="minorHAnsi"/>
          <w:b/>
          <w:color w:val="000000"/>
        </w:rPr>
      </w:pPr>
    </w:p>
    <w:tbl>
      <w:tblPr>
        <w:tblW w:w="9180" w:type="dxa"/>
        <w:jc w:val="center"/>
        <w:tblLook w:val="04A0"/>
      </w:tblPr>
      <w:tblGrid>
        <w:gridCol w:w="799"/>
        <w:gridCol w:w="1910"/>
        <w:gridCol w:w="6471"/>
      </w:tblGrid>
      <w:tr w:rsidR="00F751EF" w:rsidRPr="00200692" w:rsidTr="00AB50EA">
        <w:trPr>
          <w:trHeight w:val="864"/>
          <w:jc w:val="center"/>
        </w:trPr>
        <w:tc>
          <w:tcPr>
            <w:tcW w:w="9180" w:type="dxa"/>
            <w:gridSpan w:val="3"/>
            <w:tcBorders>
              <w:top w:val="single" w:sz="8" w:space="0" w:color="auto"/>
              <w:left w:val="single" w:sz="8" w:space="0" w:color="auto"/>
              <w:bottom w:val="single" w:sz="8" w:space="0" w:color="auto"/>
              <w:right w:val="single" w:sz="8" w:space="0" w:color="auto"/>
            </w:tcBorders>
            <w:shd w:val="clear" w:color="auto" w:fill="008272"/>
            <w:vAlign w:val="center"/>
            <w:hideMark/>
          </w:tcPr>
          <w:p w:rsidR="009D69C4" w:rsidRDefault="009D69C4" w:rsidP="00F751EF">
            <w:pPr>
              <w:spacing w:line="276" w:lineRule="auto"/>
              <w:jc w:val="center"/>
              <w:rPr>
                <w:rFonts w:eastAsia="Times New Roman"/>
                <w:bCs/>
                <w:color w:val="FFFFFF" w:themeColor="background1"/>
              </w:rPr>
            </w:pPr>
          </w:p>
          <w:p w:rsidR="009D69C4" w:rsidRDefault="009D69C4" w:rsidP="00F751EF">
            <w:pPr>
              <w:spacing w:line="276" w:lineRule="auto"/>
              <w:jc w:val="center"/>
              <w:rPr>
                <w:rFonts w:eastAsia="Times New Roman"/>
                <w:bCs/>
                <w:color w:val="FFFFFF" w:themeColor="background1"/>
              </w:rPr>
            </w:pPr>
            <w:r>
              <w:rPr>
                <w:rFonts w:eastAsia="Times New Roman"/>
                <w:bCs/>
                <w:color w:val="FFFFFF" w:themeColor="background1"/>
                <w:sz w:val="22"/>
                <w:szCs w:val="22"/>
              </w:rPr>
              <w:t>Table 3</w:t>
            </w:r>
          </w:p>
          <w:p w:rsidR="00F751EF" w:rsidRPr="00A120B0" w:rsidRDefault="00F751EF" w:rsidP="00F751EF">
            <w:pPr>
              <w:spacing w:line="276" w:lineRule="auto"/>
              <w:jc w:val="center"/>
              <w:rPr>
                <w:rFonts w:eastAsia="Times New Roman"/>
                <w:b/>
                <w:bCs/>
                <w:color w:val="FFFFFF" w:themeColor="background1"/>
              </w:rPr>
            </w:pPr>
            <w:r w:rsidRPr="00A120B0">
              <w:rPr>
                <w:rFonts w:eastAsia="Times New Roman"/>
                <w:b/>
                <w:bCs/>
                <w:color w:val="FFFFFF" w:themeColor="background1"/>
                <w:sz w:val="22"/>
                <w:szCs w:val="22"/>
              </w:rPr>
              <w:t>Proposed Oregon E-Cycles Registration Fee Structure</w:t>
            </w:r>
          </w:p>
          <w:p w:rsidR="00F751EF" w:rsidRDefault="00F751EF" w:rsidP="00F751EF">
            <w:pPr>
              <w:jc w:val="center"/>
              <w:rPr>
                <w:rFonts w:eastAsia="Times New Roman"/>
                <w:b/>
                <w:bCs/>
                <w:color w:val="FFFFFF" w:themeColor="background1"/>
                <w:szCs w:val="20"/>
              </w:rPr>
            </w:pPr>
            <w:r w:rsidRPr="00A120B0">
              <w:rPr>
                <w:rFonts w:eastAsia="Times New Roman"/>
                <w:b/>
                <w:bCs/>
                <w:color w:val="FFFFFF" w:themeColor="background1"/>
                <w:sz w:val="22"/>
                <w:szCs w:val="22"/>
              </w:rPr>
              <w:t>To Distribute Annual Revenue Need</w:t>
            </w:r>
            <w:r w:rsidRPr="00200692">
              <w:rPr>
                <w:rFonts w:eastAsia="Times New Roman"/>
                <w:b/>
                <w:bCs/>
                <w:color w:val="FFFFFF" w:themeColor="background1"/>
                <w:szCs w:val="20"/>
              </w:rPr>
              <w:t xml:space="preserve"> </w:t>
            </w:r>
          </w:p>
          <w:p w:rsidR="009D69C4" w:rsidRPr="00200692" w:rsidRDefault="009D69C4" w:rsidP="00F751EF">
            <w:pPr>
              <w:jc w:val="center"/>
              <w:rPr>
                <w:rFonts w:eastAsia="Times New Roman"/>
                <w:b/>
                <w:bCs/>
                <w:color w:val="FFFFFF" w:themeColor="background1"/>
                <w:szCs w:val="20"/>
              </w:rPr>
            </w:pPr>
          </w:p>
        </w:tc>
      </w:tr>
      <w:tr w:rsidR="00F751EF" w:rsidRPr="00200692" w:rsidTr="00AB50EA">
        <w:trPr>
          <w:trHeight w:val="315"/>
          <w:jc w:val="center"/>
        </w:trPr>
        <w:tc>
          <w:tcPr>
            <w:tcW w:w="799" w:type="dxa"/>
            <w:tcBorders>
              <w:top w:val="single" w:sz="8" w:space="0" w:color="auto"/>
              <w:left w:val="single" w:sz="8" w:space="0" w:color="auto"/>
              <w:bottom w:val="single" w:sz="8" w:space="0" w:color="auto"/>
              <w:right w:val="single" w:sz="8" w:space="0" w:color="auto"/>
            </w:tcBorders>
            <w:shd w:val="clear" w:color="auto" w:fill="B1DDCD"/>
            <w:hideMark/>
          </w:tcPr>
          <w:p w:rsidR="00F751EF" w:rsidRPr="00A120B0" w:rsidRDefault="00F751EF" w:rsidP="00F751EF">
            <w:pPr>
              <w:jc w:val="center"/>
              <w:rPr>
                <w:rFonts w:eastAsia="Times New Roman"/>
                <w:b/>
                <w:bCs/>
              </w:rPr>
            </w:pPr>
            <w:r w:rsidRPr="00A120B0">
              <w:rPr>
                <w:rFonts w:eastAsia="Times New Roman"/>
                <w:b/>
                <w:bCs/>
                <w:sz w:val="22"/>
                <w:szCs w:val="22"/>
              </w:rPr>
              <w:t>Tier</w:t>
            </w:r>
          </w:p>
        </w:tc>
        <w:tc>
          <w:tcPr>
            <w:tcW w:w="1910" w:type="dxa"/>
            <w:tcBorders>
              <w:top w:val="single" w:sz="8" w:space="0" w:color="auto"/>
              <w:left w:val="nil"/>
              <w:bottom w:val="single" w:sz="8" w:space="0" w:color="auto"/>
              <w:right w:val="single" w:sz="8" w:space="0" w:color="auto"/>
            </w:tcBorders>
            <w:shd w:val="clear" w:color="auto" w:fill="B1DDCD"/>
            <w:hideMark/>
          </w:tcPr>
          <w:p w:rsidR="00F751EF" w:rsidRPr="00A120B0" w:rsidRDefault="00F751EF" w:rsidP="00F751EF">
            <w:pPr>
              <w:jc w:val="center"/>
              <w:rPr>
                <w:rFonts w:eastAsia="Times New Roman"/>
                <w:b/>
                <w:bCs/>
              </w:rPr>
            </w:pPr>
            <w:r w:rsidRPr="00A120B0">
              <w:rPr>
                <w:rFonts w:eastAsia="Times New Roman"/>
                <w:b/>
                <w:bCs/>
                <w:sz w:val="22"/>
                <w:szCs w:val="22"/>
              </w:rPr>
              <w:t xml:space="preserve">Market Share </w:t>
            </w:r>
          </w:p>
        </w:tc>
        <w:tc>
          <w:tcPr>
            <w:tcW w:w="6471" w:type="dxa"/>
            <w:tcBorders>
              <w:top w:val="single" w:sz="8" w:space="0" w:color="auto"/>
              <w:left w:val="nil"/>
              <w:bottom w:val="single" w:sz="8" w:space="0" w:color="auto"/>
              <w:right w:val="single" w:sz="8" w:space="0" w:color="auto"/>
            </w:tcBorders>
            <w:shd w:val="clear" w:color="auto" w:fill="B1DDCD"/>
            <w:hideMark/>
          </w:tcPr>
          <w:p w:rsidR="00F751EF" w:rsidRPr="00A120B0" w:rsidRDefault="00F751EF" w:rsidP="00F751EF">
            <w:pPr>
              <w:jc w:val="center"/>
              <w:rPr>
                <w:rFonts w:eastAsia="Times New Roman"/>
                <w:b/>
                <w:bCs/>
              </w:rPr>
            </w:pPr>
            <w:r w:rsidRPr="00A120B0">
              <w:rPr>
                <w:rFonts w:eastAsia="Times New Roman"/>
                <w:b/>
                <w:bCs/>
                <w:sz w:val="22"/>
                <w:szCs w:val="22"/>
              </w:rPr>
              <w:t>Fee</w:t>
            </w:r>
          </w:p>
        </w:tc>
      </w:tr>
      <w:tr w:rsidR="001F5BF4" w:rsidRPr="00200692" w:rsidTr="00F21154">
        <w:trPr>
          <w:trHeight w:val="360"/>
          <w:jc w:val="center"/>
        </w:trPr>
        <w:tc>
          <w:tcPr>
            <w:tcW w:w="799" w:type="dxa"/>
            <w:tcBorders>
              <w:top w:val="single" w:sz="8" w:space="0" w:color="auto"/>
              <w:left w:val="single" w:sz="8" w:space="0" w:color="auto"/>
              <w:bottom w:val="single" w:sz="4" w:space="0" w:color="auto"/>
              <w:right w:val="single" w:sz="8" w:space="0" w:color="auto"/>
            </w:tcBorders>
            <w:shd w:val="clear" w:color="D8D8D8"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1 </w:t>
            </w:r>
          </w:p>
        </w:tc>
        <w:tc>
          <w:tcPr>
            <w:tcW w:w="1910" w:type="dxa"/>
            <w:tcBorders>
              <w:top w:val="single" w:sz="8" w:space="0" w:color="auto"/>
              <w:left w:val="single" w:sz="8" w:space="0" w:color="auto"/>
              <w:bottom w:val="single" w:sz="4" w:space="0" w:color="auto"/>
              <w:right w:val="single" w:sz="8" w:space="0" w:color="auto"/>
            </w:tcBorders>
            <w:shd w:val="clear" w:color="D8D8D8"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5% or greate</w:t>
            </w:r>
            <w:r w:rsidRPr="00A120B0">
              <w:rPr>
                <w:rFonts w:asciiTheme="minorHAnsi" w:eastAsia="Times New Roman" w:hAnsiTheme="minorHAnsi" w:cstheme="minorHAnsi"/>
                <w:color w:val="000000"/>
                <w:sz w:val="22"/>
                <w:szCs w:val="22"/>
              </w:rPr>
              <w:lastRenderedPageBreak/>
              <w:t>r</w:t>
            </w:r>
          </w:p>
        </w:tc>
        <w:tc>
          <w:tcPr>
            <w:tcW w:w="647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hAnsiTheme="minorHAnsi" w:cstheme="minorHAnsi"/>
              </w:rPr>
            </w:pPr>
            <w:r w:rsidRPr="00A120B0">
              <w:rPr>
                <w:rFonts w:asciiTheme="minorHAnsi" w:hAnsiTheme="minorHAnsi" w:cstheme="minorHAnsi"/>
                <w:sz w:val="22"/>
                <w:szCs w:val="22"/>
              </w:rPr>
              <w:lastRenderedPageBreak/>
              <w:t>Calculate fees for Tiers 1-5 as follows:</w:t>
            </w:r>
          </w:p>
          <w:p w:rsidR="001F5BF4" w:rsidRPr="00A120B0" w:rsidRDefault="001F5BF4" w:rsidP="00F751EF">
            <w:pPr>
              <w:pStyle w:val="ListParagraph"/>
              <w:numPr>
                <w:ilvl w:val="0"/>
                <w:numId w:val="11"/>
              </w:numPr>
              <w:rPr>
                <w:rFonts w:asciiTheme="minorHAnsi" w:hAnsiTheme="minorHAnsi" w:cstheme="minorHAnsi"/>
              </w:rPr>
            </w:pPr>
            <w:r w:rsidRPr="00A120B0">
              <w:rPr>
                <w:rFonts w:asciiTheme="minorHAnsi" w:hAnsiTheme="minorHAnsi" w:cstheme="minorHAnsi"/>
                <w:sz w:val="22"/>
                <w:szCs w:val="22"/>
              </w:rPr>
              <w:lastRenderedPageBreak/>
              <w:t xml:space="preserve">Determine fee revenue expected from Tiers 6 &amp; 7 </w:t>
            </w:r>
          </w:p>
          <w:p w:rsidR="00192E08" w:rsidRDefault="00BE3484">
            <w:pPr>
              <w:spacing w:before="120" w:after="120"/>
              <w:rPr>
                <w:rFonts w:asciiTheme="minorHAnsi" w:hAnsiTheme="minorHAnsi" w:cstheme="minorHAnsi"/>
              </w:rPr>
            </w:pPr>
            <w:r>
              <w:rPr>
                <w:rFonts w:asciiTheme="minorHAnsi" w:hAnsiTheme="minorHAnsi" w:cstheme="minorHAnsi"/>
                <w:sz w:val="22"/>
                <w:szCs w:val="22"/>
              </w:rPr>
              <w:t xml:space="preserve">      </w:t>
            </w:r>
            <w:r w:rsidR="001F5BF4" w:rsidRPr="00A120B0">
              <w:rPr>
                <w:rFonts w:asciiTheme="minorHAnsi" w:hAnsiTheme="minorHAnsi" w:cstheme="minorHAnsi"/>
                <w:sz w:val="22"/>
                <w:szCs w:val="22"/>
              </w:rPr>
              <w:t>[# manufacturers in tier] x [tier fee] = expected revenue from tier</w:t>
            </w:r>
          </w:p>
          <w:p w:rsidR="001F5BF4" w:rsidRPr="00A120B0" w:rsidRDefault="001F5BF4" w:rsidP="00F751EF">
            <w:pPr>
              <w:pStyle w:val="ListParagraph"/>
              <w:numPr>
                <w:ilvl w:val="0"/>
                <w:numId w:val="11"/>
              </w:numPr>
              <w:rPr>
                <w:rFonts w:asciiTheme="minorHAnsi" w:hAnsiTheme="minorHAnsi" w:cstheme="minorHAnsi"/>
              </w:rPr>
            </w:pPr>
            <w:r w:rsidRPr="00A120B0">
              <w:rPr>
                <w:rFonts w:asciiTheme="minorHAnsi" w:hAnsiTheme="minorHAnsi" w:cstheme="minorHAnsi"/>
                <w:sz w:val="22"/>
                <w:szCs w:val="22"/>
              </w:rPr>
              <w:t>Determine remaining revenue need to be distributed to Tiers 1-5:</w:t>
            </w:r>
          </w:p>
          <w:p w:rsidR="00192E08" w:rsidRDefault="00616723">
            <w:pPr>
              <w:ind w:left="360"/>
              <w:rPr>
                <w:rFonts w:asciiTheme="minorHAnsi" w:hAnsiTheme="minorHAnsi" w:cstheme="minorHAnsi"/>
              </w:rPr>
            </w:pPr>
            <w:r>
              <w:rPr>
                <w:rFonts w:asciiTheme="minorHAnsi" w:hAnsiTheme="minorHAnsi" w:cstheme="minorHAnsi"/>
                <w:sz w:val="22"/>
                <w:szCs w:val="22"/>
              </w:rPr>
              <w:t xml:space="preserve"> </w:t>
            </w:r>
            <w:r w:rsidR="001F5BF4" w:rsidRPr="00A120B0">
              <w:rPr>
                <w:rFonts w:asciiTheme="minorHAnsi" w:hAnsiTheme="minorHAnsi" w:cstheme="minorHAnsi"/>
                <w:sz w:val="22"/>
                <w:szCs w:val="22"/>
              </w:rPr>
              <w:t xml:space="preserve"> [revenue need] – [revenue from Tiers 6 &amp; 7] = remaining</w:t>
            </w:r>
          </w:p>
          <w:p w:rsidR="00192E08" w:rsidRDefault="00BE3484">
            <w:pPr>
              <w:ind w:left="360"/>
              <w:rPr>
                <w:rFonts w:asciiTheme="minorHAnsi" w:hAnsiTheme="minorHAnsi" w:cstheme="minorHAnsi"/>
              </w:rPr>
            </w:pPr>
            <w:r>
              <w:rPr>
                <w:rFonts w:asciiTheme="minorHAnsi" w:hAnsiTheme="minorHAnsi" w:cstheme="minorHAnsi"/>
                <w:sz w:val="22"/>
                <w:szCs w:val="22"/>
              </w:rPr>
              <w:t xml:space="preserve">                                                                            </w:t>
            </w:r>
            <w:r w:rsidR="001F5BF4" w:rsidRPr="00A120B0">
              <w:rPr>
                <w:rFonts w:asciiTheme="minorHAnsi" w:hAnsiTheme="minorHAnsi" w:cstheme="minorHAnsi"/>
                <w:sz w:val="22"/>
                <w:szCs w:val="22"/>
              </w:rPr>
              <w:t xml:space="preserve"> revenue need </w:t>
            </w:r>
          </w:p>
          <w:p w:rsidR="001F5BF4" w:rsidRPr="00A120B0" w:rsidRDefault="001F5BF4" w:rsidP="00F751EF">
            <w:pPr>
              <w:pStyle w:val="ListParagraph"/>
              <w:numPr>
                <w:ilvl w:val="0"/>
                <w:numId w:val="11"/>
              </w:numPr>
              <w:rPr>
                <w:rFonts w:asciiTheme="minorHAnsi" w:hAnsiTheme="minorHAnsi" w:cstheme="minorHAnsi"/>
                <w:u w:val="single"/>
              </w:rPr>
            </w:pPr>
            <w:r w:rsidRPr="00A120B0">
              <w:rPr>
                <w:rFonts w:asciiTheme="minorHAnsi" w:hAnsiTheme="minorHAnsi" w:cstheme="minorHAnsi"/>
                <w:sz w:val="22"/>
                <w:szCs w:val="22"/>
              </w:rPr>
              <w:t>Determine fee for each tier:</w:t>
            </w:r>
            <w:r w:rsidRPr="00A120B0">
              <w:rPr>
                <w:rFonts w:asciiTheme="minorHAnsi" w:hAnsiTheme="minorHAnsi" w:cstheme="minorHAnsi"/>
                <w:sz w:val="22"/>
                <w:szCs w:val="22"/>
                <w:u w:val="single"/>
              </w:rPr>
              <w:t xml:space="preserve"> </w:t>
            </w:r>
          </w:p>
          <w:p w:rsidR="001F5BF4" w:rsidRPr="00A120B0" w:rsidRDefault="00192E08" w:rsidP="00F751EF">
            <w:pPr>
              <w:spacing w:before="120" w:after="120"/>
              <w:ind w:left="360"/>
              <w:jc w:val="center"/>
              <w:rPr>
                <w:oMath/>
                <w:rFonts w:hAnsiTheme="minorHAnsi" w:cstheme="minorHAnsi"/>
              </w:rPr>
            </w:pPr>
            <m:oMath>
              <m:d>
                <m:dPr>
                  <m:begChr m:val="["/>
                  <m:endChr m:val="]"/>
                  <m:shp m:val="match"/>
                  <m:ctrlPr>
                    <w:rPr>
                      <w:rFonts w:ascii="Cambria Math" w:hAnsiTheme="minorHAnsi" w:cstheme="minorHAnsi"/>
                      <w:sz w:val="22"/>
                      <w:szCs w:val="22"/>
                      <w:u w:val="single"/>
                    </w:rPr>
                  </m:ctrlPr>
                </m:dPr>
                <m:e>
                  <m:m>
                    <m:mPr>
                      <m:rSpRule m:val="1"/>
                      <m:mcs>
                        <m:mc>
                          <m:mcPr>
                            <m:count m:val="1"/>
                            <m:mcJc m:val="center"/>
                          </m:mcPr>
                        </m:mc>
                      </m:mcs>
                      <m:ctrlPr>
                        <w:rPr>
                          <w:rFonts w:ascii="Cambria Math" w:hAnsiTheme="minorHAnsi" w:cstheme="minorHAnsi"/>
                          <w:sz w:val="22"/>
                          <w:szCs w:val="22"/>
                          <w:u w:val="single"/>
                        </w:rPr>
                      </m:ctrlPr>
                    </m:mPr>
                    <m:mr>
                      <m:e>
                        <m:r>
                          <m:rPr>
                            <m:nor/>
                          </m:rPr>
                          <w:rPr>
                            <w:rFonts w:asciiTheme="minorHAnsi" w:hAnsiTheme="minorHAnsi" w:cstheme="minorHAnsi"/>
                            <w:sz w:val="22"/>
                            <w:szCs w:val="22"/>
                            <w:u w:val="single"/>
                          </w:rPr>
                          <m:t>(total market share of tier) x (remaining revenue need)</m:t>
                        </m:r>
                      </m:e>
                    </m:mr>
                    <m:mr>
                      <m:e>
                        <m:r>
                          <m:rPr>
                            <m:nor/>
                          </m:rPr>
                          <w:rPr>
                            <w:rFonts w:asciiTheme="minorHAnsi" w:hAnsiTheme="minorHAnsi" w:cstheme="minorHAnsi"/>
                            <w:sz w:val="22"/>
                            <w:szCs w:val="22"/>
                            <w:u w:val="single"/>
                          </w:rPr>
                          <m:t># manufacturers in tier</m:t>
                        </m:r>
                      </m:e>
                    </m:mr>
                  </m:m>
                </m:e>
              </m:d>
            </m:oMath>
            <w:r w:rsidR="001F5BF4" w:rsidRPr="00A120B0">
              <w:rPr>
                <w:rFonts w:asciiTheme="minorHAnsi" w:eastAsiaTheme="minorEastAsia" w:hAnsiTheme="minorHAnsi" w:cstheme="minorHAnsi"/>
                <w:sz w:val="22"/>
                <w:szCs w:val="22"/>
              </w:rPr>
              <w:t xml:space="preserve"> </w:t>
            </w:r>
            <m:oMath>
              <m:r>
                <m:rPr>
                  <m:nor/>
                </m:rPr>
                <w:rPr>
                  <w:rFonts w:asciiTheme="minorHAnsi" w:hAnsiTheme="minorHAnsi" w:cstheme="minorHAnsi"/>
                  <w:sz w:val="22"/>
                  <w:szCs w:val="22"/>
                </w:rPr>
                <m:t>= tier fee</m:t>
              </m:r>
            </m:oMath>
          </w:p>
          <w:p w:rsidR="001F5BF4" w:rsidRPr="00A120B0" w:rsidRDefault="001F5BF4" w:rsidP="00F751EF">
            <w:pPr>
              <w:pStyle w:val="ListParagraph"/>
              <w:numPr>
                <w:ilvl w:val="0"/>
                <w:numId w:val="11"/>
              </w:numPr>
              <w:rPr>
                <w:rFonts w:asciiTheme="minorHAnsi" w:hAnsiTheme="minorHAnsi" w:cstheme="minorHAnsi"/>
              </w:rPr>
            </w:pPr>
            <w:r w:rsidRPr="00A120B0">
              <w:rPr>
                <w:rFonts w:asciiTheme="minorHAnsi" w:hAnsiTheme="minorHAnsi" w:cstheme="minorHAnsi"/>
                <w:sz w:val="22"/>
                <w:szCs w:val="22"/>
              </w:rPr>
              <w:t>Adjust tier fees so none is &gt;$35,000 or &lt;$200</w:t>
            </w:r>
          </w:p>
          <w:p w:rsidR="001F5BF4" w:rsidRPr="00A120B0" w:rsidRDefault="001F5BF4" w:rsidP="00F751EF">
            <w:pPr>
              <w:pStyle w:val="ListParagraph"/>
              <w:numPr>
                <w:ilvl w:val="0"/>
                <w:numId w:val="12"/>
              </w:numPr>
              <w:rPr>
                <w:rFonts w:asciiTheme="minorHAnsi" w:hAnsiTheme="minorHAnsi" w:cstheme="minorHAnsi"/>
              </w:rPr>
            </w:pPr>
            <w:r w:rsidRPr="00A120B0">
              <w:rPr>
                <w:rFonts w:asciiTheme="minorHAnsi" w:hAnsiTheme="minorHAnsi" w:cstheme="minorHAnsi"/>
                <w:sz w:val="22"/>
                <w:szCs w:val="22"/>
              </w:rPr>
              <w:t xml:space="preserve">Cap any fee over $35,000; distribute revenue above cap to lower tiers in proportion to their market share </w:t>
            </w:r>
          </w:p>
          <w:p w:rsidR="001F5BF4" w:rsidRPr="00A120B0" w:rsidRDefault="001F5BF4" w:rsidP="00F751EF">
            <w:pPr>
              <w:pStyle w:val="ListParagraph"/>
              <w:numPr>
                <w:ilvl w:val="0"/>
                <w:numId w:val="12"/>
              </w:numPr>
              <w:rPr>
                <w:rFonts w:asciiTheme="minorHAnsi" w:eastAsia="Times New Roman" w:hAnsiTheme="minorHAnsi" w:cstheme="minorHAnsi"/>
                <w:color w:val="000000"/>
                <w:u w:val="single"/>
              </w:rPr>
            </w:pPr>
            <w:r w:rsidRPr="00A120B0">
              <w:rPr>
                <w:rFonts w:asciiTheme="minorHAnsi" w:hAnsiTheme="minorHAnsi" w:cstheme="minorHAnsi"/>
                <w:sz w:val="22"/>
                <w:szCs w:val="22"/>
              </w:rPr>
              <w:t xml:space="preserve">Raise any fee &lt;$200 to $200; recalculate fees for higher tiers </w:t>
            </w:r>
          </w:p>
        </w:tc>
      </w:tr>
      <w:tr w:rsidR="001F5BF4" w:rsidRPr="00200692" w:rsidTr="00F21154">
        <w:trPr>
          <w:trHeight w:val="315"/>
          <w:jc w:val="center"/>
        </w:trPr>
        <w:tc>
          <w:tcPr>
            <w:tcW w:w="79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lastRenderedPageBreak/>
              <w:t xml:space="preserve">Tier 2 </w:t>
            </w:r>
          </w:p>
        </w:tc>
        <w:tc>
          <w:tcPr>
            <w:tcW w:w="1910" w:type="dxa"/>
            <w:tcBorders>
              <w:top w:val="single" w:sz="4" w:space="0" w:color="auto"/>
              <w:left w:val="nil"/>
              <w:bottom w:val="single" w:sz="8" w:space="0" w:color="auto"/>
              <w:right w:val="nil"/>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1% to &lt; 5%</w:t>
            </w:r>
          </w:p>
        </w:tc>
        <w:tc>
          <w:tcPr>
            <w:tcW w:w="6471" w:type="dxa"/>
            <w:vMerge/>
            <w:tcBorders>
              <w:left w:val="single" w:sz="8" w:space="0" w:color="auto"/>
              <w:bottom w:val="single" w:sz="8" w:space="0" w:color="auto"/>
              <w:right w:val="single" w:sz="8" w:space="0" w:color="auto"/>
            </w:tcBorders>
            <w:shd w:val="clear" w:color="auto" w:fill="auto"/>
            <w:noWrap/>
            <w:vAlign w:val="bottom"/>
            <w:hideMark/>
          </w:tcPr>
          <w:p w:rsidR="003801B6" w:rsidRDefault="003801B6" w:rsidP="00981F50">
            <w:pPr>
              <w:ind w:firstLineChars="400" w:firstLine="960"/>
              <w:rPr>
                <w:rFonts w:asciiTheme="minorHAnsi" w:eastAsia="Times New Roman" w:hAnsiTheme="minorHAnsi" w:cstheme="minorHAnsi"/>
                <w:color w:val="000000"/>
              </w:rPr>
            </w:pPr>
          </w:p>
        </w:tc>
      </w:tr>
      <w:tr w:rsidR="001F5BF4" w:rsidRPr="00200692" w:rsidTr="00F21154">
        <w:trPr>
          <w:trHeight w:val="315"/>
          <w:jc w:val="center"/>
        </w:trPr>
        <w:tc>
          <w:tcPr>
            <w:tcW w:w="799" w:type="dxa"/>
            <w:tcBorders>
              <w:top w:val="nil"/>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3 </w:t>
            </w:r>
          </w:p>
        </w:tc>
        <w:tc>
          <w:tcPr>
            <w:tcW w:w="1910" w:type="dxa"/>
            <w:tcBorders>
              <w:top w:val="nil"/>
              <w:left w:val="nil"/>
              <w:bottom w:val="single" w:sz="8" w:space="0" w:color="auto"/>
              <w:right w:val="nil"/>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0.1% to &lt; 1%</w:t>
            </w:r>
          </w:p>
        </w:tc>
        <w:tc>
          <w:tcPr>
            <w:tcW w:w="6471" w:type="dxa"/>
            <w:vMerge/>
            <w:tcBorders>
              <w:left w:val="single" w:sz="8" w:space="0" w:color="auto"/>
              <w:bottom w:val="single" w:sz="8" w:space="0" w:color="auto"/>
              <w:right w:val="single" w:sz="8" w:space="0" w:color="auto"/>
            </w:tcBorders>
            <w:shd w:val="clear" w:color="auto" w:fill="auto"/>
            <w:noWrap/>
            <w:hideMark/>
          </w:tcPr>
          <w:p w:rsidR="003801B6" w:rsidRDefault="003801B6" w:rsidP="00981F50">
            <w:pPr>
              <w:ind w:firstLineChars="400" w:firstLine="960"/>
              <w:rPr>
                <w:rFonts w:asciiTheme="minorHAnsi" w:eastAsia="Times New Roman" w:hAnsiTheme="minorHAnsi" w:cstheme="minorHAnsi"/>
                <w:color w:val="000000"/>
              </w:rPr>
            </w:pPr>
          </w:p>
        </w:tc>
      </w:tr>
      <w:tr w:rsidR="001F5BF4" w:rsidRPr="00200692" w:rsidTr="00F21154">
        <w:trPr>
          <w:trHeight w:val="315"/>
          <w:jc w:val="center"/>
        </w:trPr>
        <w:tc>
          <w:tcPr>
            <w:tcW w:w="7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4 </w:t>
            </w:r>
          </w:p>
        </w:tc>
        <w:tc>
          <w:tcPr>
            <w:tcW w:w="1910" w:type="dxa"/>
            <w:tcBorders>
              <w:top w:val="single" w:sz="8" w:space="0" w:color="auto"/>
              <w:left w:val="nil"/>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0.03% to &lt; 0.1%</w:t>
            </w:r>
          </w:p>
        </w:tc>
        <w:tc>
          <w:tcPr>
            <w:tcW w:w="6471"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801B6" w:rsidRDefault="003801B6" w:rsidP="00981F50">
            <w:pPr>
              <w:ind w:firstLineChars="400" w:firstLine="960"/>
              <w:rPr>
                <w:rFonts w:asciiTheme="minorHAnsi" w:eastAsia="Times New Roman" w:hAnsiTheme="minorHAnsi" w:cstheme="minorHAnsi"/>
                <w:color w:val="000000"/>
              </w:rPr>
            </w:pPr>
          </w:p>
        </w:tc>
      </w:tr>
      <w:tr w:rsidR="001F5BF4" w:rsidRPr="00200692" w:rsidTr="00F21154">
        <w:trPr>
          <w:trHeight w:val="2230"/>
          <w:jc w:val="center"/>
        </w:trPr>
        <w:tc>
          <w:tcPr>
            <w:tcW w:w="799" w:type="dxa"/>
            <w:tcBorders>
              <w:top w:val="nil"/>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Tier 5 </w:t>
            </w:r>
          </w:p>
        </w:tc>
        <w:tc>
          <w:tcPr>
            <w:tcW w:w="1910" w:type="dxa"/>
            <w:tcBorders>
              <w:top w:val="nil"/>
              <w:left w:val="nil"/>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0.01% to &lt; 0.03%</w:t>
            </w:r>
          </w:p>
        </w:tc>
        <w:tc>
          <w:tcPr>
            <w:tcW w:w="6471" w:type="dxa"/>
            <w:vMerge/>
            <w:tcBorders>
              <w:left w:val="single" w:sz="8" w:space="0" w:color="auto"/>
              <w:bottom w:val="single" w:sz="8" w:space="0" w:color="auto"/>
              <w:right w:val="single" w:sz="8" w:space="0" w:color="auto"/>
            </w:tcBorders>
            <w:shd w:val="clear" w:color="auto" w:fill="auto"/>
            <w:vAlign w:val="bottom"/>
            <w:hideMark/>
          </w:tcPr>
          <w:p w:rsidR="003801B6" w:rsidRDefault="003801B6" w:rsidP="00981F50">
            <w:pPr>
              <w:ind w:firstLineChars="400" w:firstLine="960"/>
              <w:rPr>
                <w:rFonts w:asciiTheme="minorHAnsi" w:eastAsia="Times New Roman" w:hAnsiTheme="minorHAnsi" w:cstheme="minorHAnsi"/>
                <w:color w:val="000000"/>
              </w:rPr>
            </w:pPr>
          </w:p>
        </w:tc>
      </w:tr>
      <w:tr w:rsidR="001F5BF4" w:rsidRPr="00200692" w:rsidTr="00F21154">
        <w:trPr>
          <w:trHeight w:val="315"/>
          <w:jc w:val="center"/>
        </w:trPr>
        <w:tc>
          <w:tcPr>
            <w:tcW w:w="799" w:type="dxa"/>
            <w:tcBorders>
              <w:top w:val="nil"/>
              <w:left w:val="single" w:sz="8" w:space="0" w:color="auto"/>
              <w:bottom w:val="single" w:sz="8" w:space="0" w:color="auto"/>
              <w:right w:val="single" w:sz="8" w:space="0" w:color="auto"/>
            </w:tcBorders>
            <w:shd w:val="clear" w:color="D8D8D8" w:fill="D9D9D9" w:themeFill="background1" w:themeFillShade="D9"/>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Tier 6</w:t>
            </w:r>
          </w:p>
        </w:tc>
        <w:tc>
          <w:tcPr>
            <w:tcW w:w="1910" w:type="dxa"/>
            <w:tcBorders>
              <w:top w:val="nil"/>
              <w:left w:val="nil"/>
              <w:bottom w:val="single" w:sz="8" w:space="0" w:color="auto"/>
              <w:right w:val="single" w:sz="8" w:space="0" w:color="auto"/>
            </w:tcBorders>
            <w:shd w:val="clear" w:color="D8D8D8" w:fill="D9D9D9" w:themeFill="background1" w:themeFillShade="D9"/>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 xml:space="preserve">50 units </w:t>
            </w:r>
            <w:r w:rsidRPr="00A120B0">
              <w:rPr>
                <w:rFonts w:asciiTheme="minorHAnsi" w:eastAsia="Times New Roman" w:hAnsiTheme="minorHAnsi" w:cstheme="minorHAnsi"/>
                <w:color w:val="000000"/>
                <w:sz w:val="22"/>
                <w:szCs w:val="22"/>
              </w:rPr>
              <w:lastRenderedPageBreak/>
              <w:t>to&lt; 0.01%</w:t>
            </w:r>
          </w:p>
        </w:tc>
        <w:tc>
          <w:tcPr>
            <w:tcW w:w="6471" w:type="dxa"/>
            <w:tcBorders>
              <w:top w:val="single" w:sz="8" w:space="0" w:color="auto"/>
              <w:left w:val="single" w:sz="8" w:space="0" w:color="auto"/>
              <w:bottom w:val="single" w:sz="8" w:space="0" w:color="auto"/>
              <w:right w:val="single" w:sz="8" w:space="0" w:color="auto"/>
            </w:tcBorders>
            <w:shd w:val="clear" w:color="D8D8D8" w:fill="D9D9D9" w:themeFill="background1" w:themeFillShade="D9"/>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lastRenderedPageBreak/>
              <w:t>$200</w:t>
            </w:r>
          </w:p>
        </w:tc>
      </w:tr>
      <w:tr w:rsidR="001F5BF4" w:rsidRPr="00200692" w:rsidTr="00F21154">
        <w:trPr>
          <w:trHeight w:val="315"/>
          <w:jc w:val="center"/>
        </w:trPr>
        <w:tc>
          <w:tcPr>
            <w:tcW w:w="799" w:type="dxa"/>
            <w:tcBorders>
              <w:top w:val="nil"/>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lastRenderedPageBreak/>
              <w:t>Tier 7</w:t>
            </w:r>
          </w:p>
        </w:tc>
        <w:tc>
          <w:tcPr>
            <w:tcW w:w="1910" w:type="dxa"/>
            <w:tcBorders>
              <w:top w:val="nil"/>
              <w:left w:val="nil"/>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&lt; 50 units</w:t>
            </w:r>
          </w:p>
        </w:tc>
        <w:tc>
          <w:tcPr>
            <w:tcW w:w="64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5BF4" w:rsidRPr="00A120B0" w:rsidRDefault="001F5BF4" w:rsidP="00F751EF">
            <w:pPr>
              <w:jc w:val="center"/>
              <w:rPr>
                <w:rFonts w:asciiTheme="minorHAnsi" w:eastAsia="Times New Roman" w:hAnsiTheme="minorHAnsi" w:cstheme="minorHAnsi"/>
                <w:color w:val="000000"/>
              </w:rPr>
            </w:pPr>
            <w:r w:rsidRPr="00A120B0">
              <w:rPr>
                <w:rFonts w:asciiTheme="minorHAnsi" w:eastAsia="Times New Roman" w:hAnsiTheme="minorHAnsi" w:cstheme="minorHAnsi"/>
                <w:color w:val="000000"/>
                <w:sz w:val="22"/>
                <w:szCs w:val="22"/>
              </w:rPr>
              <w:t>$40</w:t>
            </w:r>
          </w:p>
        </w:tc>
      </w:tr>
    </w:tbl>
    <w:p w:rsidR="00A004FF" w:rsidRDefault="00A004FF" w:rsidP="00A004FF">
      <w:pPr>
        <w:ind w:left="1080" w:right="630"/>
        <w:rPr>
          <w:rFonts w:asciiTheme="minorHAnsi" w:hAnsiTheme="minorHAnsi" w:cstheme="minorHAnsi"/>
          <w:color w:val="000000"/>
        </w:rPr>
      </w:pPr>
    </w:p>
    <w:p w:rsidR="005A7DF4" w:rsidRDefault="005A7DF4">
      <w:pPr>
        <w:ind w:left="1080" w:right="634"/>
        <w:rPr>
          <w:rFonts w:asciiTheme="minorHAnsi" w:hAnsiTheme="minorHAnsi" w:cstheme="minorHAnsi"/>
          <w:color w:val="000000"/>
        </w:rPr>
      </w:pPr>
    </w:p>
    <w:p w:rsidR="00E51C22" w:rsidRDefault="00F751EF">
      <w:pPr>
        <w:ind w:left="1080" w:right="634"/>
        <w:rPr>
          <w:rFonts w:asciiTheme="minorHAnsi" w:hAnsiTheme="minorHAnsi" w:cstheme="minorHAnsi"/>
          <w:color w:val="000000"/>
        </w:rPr>
      </w:pPr>
      <w:r w:rsidRPr="008326BC">
        <w:rPr>
          <w:rFonts w:asciiTheme="minorHAnsi" w:hAnsiTheme="minorHAnsi" w:cstheme="minorHAnsi"/>
          <w:color w:val="000000"/>
        </w:rPr>
        <w:t>DEQ assigns manufacture</w:t>
      </w:r>
      <w:r>
        <w:rPr>
          <w:rFonts w:asciiTheme="minorHAnsi" w:hAnsiTheme="minorHAnsi" w:cstheme="minorHAnsi"/>
          <w:color w:val="000000"/>
        </w:rPr>
        <w:t xml:space="preserve">rs to </w:t>
      </w:r>
      <w:r w:rsidR="006F61F5">
        <w:rPr>
          <w:rFonts w:asciiTheme="minorHAnsi" w:hAnsiTheme="minorHAnsi" w:cstheme="minorHAnsi"/>
          <w:color w:val="000000"/>
        </w:rPr>
        <w:t xml:space="preserve">Tiers </w:t>
      </w:r>
      <w:r>
        <w:rPr>
          <w:rFonts w:asciiTheme="minorHAnsi" w:hAnsiTheme="minorHAnsi" w:cstheme="minorHAnsi"/>
          <w:color w:val="000000"/>
        </w:rPr>
        <w:t>1-7</w:t>
      </w:r>
      <w:r w:rsidRPr="008326BC">
        <w:rPr>
          <w:rFonts w:asciiTheme="minorHAnsi" w:hAnsiTheme="minorHAnsi" w:cstheme="minorHAnsi"/>
          <w:color w:val="000000"/>
        </w:rPr>
        <w:t xml:space="preserve"> based on their market share. All manufacturers within a tier pay the same fee in any given year. </w:t>
      </w:r>
      <w:r>
        <w:rPr>
          <w:rFonts w:asciiTheme="minorHAnsi" w:hAnsiTheme="minorHAnsi" w:cstheme="minorHAnsi"/>
          <w:color w:val="000000"/>
        </w:rPr>
        <w:t>M</w:t>
      </w:r>
      <w:r w:rsidRPr="008326BC">
        <w:rPr>
          <w:rFonts w:asciiTheme="minorHAnsi" w:hAnsiTheme="minorHAnsi" w:cstheme="minorHAnsi"/>
          <w:color w:val="000000"/>
        </w:rPr>
        <w:t>anufacturers in Tier</w:t>
      </w:r>
      <w:r>
        <w:rPr>
          <w:rFonts w:asciiTheme="minorHAnsi" w:hAnsiTheme="minorHAnsi" w:cstheme="minorHAnsi"/>
          <w:color w:val="000000"/>
        </w:rPr>
        <w:t>s</w:t>
      </w:r>
      <w:r w:rsidRPr="008326BC">
        <w:rPr>
          <w:rFonts w:asciiTheme="minorHAnsi" w:hAnsiTheme="minorHAnsi" w:cstheme="minorHAnsi"/>
          <w:color w:val="000000"/>
        </w:rPr>
        <w:t xml:space="preserve"> 6</w:t>
      </w:r>
      <w:r>
        <w:rPr>
          <w:rFonts w:asciiTheme="minorHAnsi" w:hAnsiTheme="minorHAnsi" w:cstheme="minorHAnsi"/>
          <w:color w:val="000000"/>
        </w:rPr>
        <w:t xml:space="preserve"> and 7</w:t>
      </w:r>
      <w:r w:rsidRPr="008326BC">
        <w:rPr>
          <w:rFonts w:asciiTheme="minorHAnsi" w:hAnsiTheme="minorHAnsi" w:cstheme="minorHAnsi"/>
          <w:color w:val="000000"/>
        </w:rPr>
        <w:t>, with the smallest market share</w:t>
      </w:r>
      <w:r>
        <w:rPr>
          <w:rFonts w:asciiTheme="minorHAnsi" w:hAnsiTheme="minorHAnsi" w:cstheme="minorHAnsi"/>
          <w:color w:val="000000"/>
        </w:rPr>
        <w:t>s</w:t>
      </w:r>
      <w:r w:rsidRPr="008326BC">
        <w:rPr>
          <w:rFonts w:asciiTheme="minorHAnsi" w:hAnsiTheme="minorHAnsi" w:cstheme="minorHAnsi"/>
          <w:color w:val="000000"/>
        </w:rPr>
        <w:t xml:space="preserve">, pay a </w:t>
      </w:r>
      <w:r>
        <w:rPr>
          <w:rFonts w:asciiTheme="minorHAnsi" w:hAnsiTheme="minorHAnsi" w:cstheme="minorHAnsi"/>
          <w:color w:val="000000"/>
        </w:rPr>
        <w:t xml:space="preserve">fixed </w:t>
      </w:r>
      <w:r w:rsidRPr="008326BC">
        <w:rPr>
          <w:rFonts w:asciiTheme="minorHAnsi" w:hAnsiTheme="minorHAnsi" w:cstheme="minorHAnsi"/>
          <w:color w:val="000000"/>
        </w:rPr>
        <w:t>fee of $200</w:t>
      </w:r>
      <w:r>
        <w:rPr>
          <w:rFonts w:asciiTheme="minorHAnsi" w:hAnsiTheme="minorHAnsi" w:cstheme="minorHAnsi"/>
          <w:color w:val="000000"/>
        </w:rPr>
        <w:t xml:space="preserve"> and $40, respectively. Fees for manufacturers in Tiers 1-5 are calculated each year to total the</w:t>
      </w:r>
      <w:r w:rsidRPr="008326BC">
        <w:rPr>
          <w:rFonts w:asciiTheme="minorHAnsi" w:hAnsiTheme="minorHAnsi" w:cstheme="minorHAnsi"/>
          <w:color w:val="000000"/>
        </w:rPr>
        <w:t xml:space="preserve"> </w:t>
      </w:r>
      <w:r>
        <w:rPr>
          <w:rFonts w:asciiTheme="minorHAnsi" w:hAnsiTheme="minorHAnsi" w:cstheme="minorHAnsi"/>
          <w:color w:val="000000"/>
        </w:rPr>
        <w:t>revenue need remaining</w:t>
      </w:r>
      <w:r w:rsidRPr="008326BC">
        <w:rPr>
          <w:rFonts w:asciiTheme="minorHAnsi" w:hAnsiTheme="minorHAnsi" w:cstheme="minorHAnsi"/>
          <w:color w:val="000000"/>
        </w:rPr>
        <w:t xml:space="preserve"> after subtracting the revenue </w:t>
      </w:r>
      <w:r>
        <w:rPr>
          <w:rFonts w:asciiTheme="minorHAnsi" w:hAnsiTheme="minorHAnsi" w:cstheme="minorHAnsi"/>
          <w:color w:val="000000"/>
        </w:rPr>
        <w:t xml:space="preserve">expected </w:t>
      </w:r>
      <w:r w:rsidRPr="008326BC">
        <w:rPr>
          <w:rFonts w:asciiTheme="minorHAnsi" w:hAnsiTheme="minorHAnsi" w:cstheme="minorHAnsi"/>
          <w:color w:val="000000"/>
        </w:rPr>
        <w:t>from Tier</w:t>
      </w:r>
      <w:r>
        <w:rPr>
          <w:rFonts w:asciiTheme="minorHAnsi" w:hAnsiTheme="minorHAnsi" w:cstheme="minorHAnsi"/>
          <w:color w:val="000000"/>
        </w:rPr>
        <w:t>s</w:t>
      </w:r>
      <w:r w:rsidRPr="008326BC">
        <w:rPr>
          <w:rFonts w:asciiTheme="minorHAnsi" w:hAnsiTheme="minorHAnsi" w:cstheme="minorHAnsi"/>
          <w:color w:val="000000"/>
        </w:rPr>
        <w:t xml:space="preserve"> 6 </w:t>
      </w:r>
      <w:r>
        <w:rPr>
          <w:rFonts w:asciiTheme="minorHAnsi" w:hAnsiTheme="minorHAnsi" w:cstheme="minorHAnsi"/>
          <w:color w:val="000000"/>
        </w:rPr>
        <w:t xml:space="preserve">and </w:t>
      </w:r>
      <w:r w:rsidRPr="001569F3">
        <w:rPr>
          <w:rFonts w:asciiTheme="minorHAnsi" w:hAnsiTheme="minorHAnsi" w:cstheme="minorHAnsi"/>
          <w:color w:val="000000"/>
        </w:rPr>
        <w:t xml:space="preserve">7. To determine the manufacturer fee for each of Tiers 1-5, the </w:t>
      </w:r>
      <w:r w:rsidR="008A4F44">
        <w:rPr>
          <w:rFonts w:asciiTheme="minorHAnsi" w:hAnsiTheme="minorHAnsi" w:cstheme="minorHAnsi"/>
          <w:color w:val="000000"/>
        </w:rPr>
        <w:t xml:space="preserve">total </w:t>
      </w:r>
      <w:r w:rsidRPr="001569F3">
        <w:rPr>
          <w:rFonts w:asciiTheme="minorHAnsi" w:hAnsiTheme="minorHAnsi" w:cstheme="minorHAnsi"/>
          <w:color w:val="000000"/>
        </w:rPr>
        <w:t>market share for all manufacturers in a tier is multiplied by the remaining revenue need. That revenue share for the tier is then divided by the number of manufacturers</w:t>
      </w:r>
      <w:r w:rsidRPr="008326BC">
        <w:rPr>
          <w:rFonts w:asciiTheme="minorHAnsi" w:hAnsiTheme="minorHAnsi" w:cstheme="minorHAnsi"/>
          <w:color w:val="000000"/>
        </w:rPr>
        <w:t xml:space="preserve"> in th</w:t>
      </w:r>
      <w:r>
        <w:rPr>
          <w:rFonts w:asciiTheme="minorHAnsi" w:hAnsiTheme="minorHAnsi" w:cstheme="minorHAnsi"/>
          <w:color w:val="000000"/>
        </w:rPr>
        <w:t>e</w:t>
      </w:r>
      <w:r w:rsidRPr="008326BC">
        <w:rPr>
          <w:rFonts w:asciiTheme="minorHAnsi" w:hAnsiTheme="minorHAnsi" w:cstheme="minorHAnsi"/>
          <w:color w:val="000000"/>
        </w:rPr>
        <w:t xml:space="preserve"> tier to determine </w:t>
      </w:r>
      <w:r>
        <w:rPr>
          <w:rFonts w:asciiTheme="minorHAnsi" w:hAnsiTheme="minorHAnsi" w:cstheme="minorHAnsi"/>
          <w:color w:val="000000"/>
        </w:rPr>
        <w:t>the fee for th</w:t>
      </w:r>
      <w:r w:rsidR="008A4F44">
        <w:rPr>
          <w:rFonts w:asciiTheme="minorHAnsi" w:hAnsiTheme="minorHAnsi" w:cstheme="minorHAnsi"/>
          <w:color w:val="000000"/>
        </w:rPr>
        <w:t>os</w:t>
      </w:r>
      <w:r>
        <w:rPr>
          <w:rFonts w:asciiTheme="minorHAnsi" w:hAnsiTheme="minorHAnsi" w:cstheme="minorHAnsi"/>
          <w:color w:val="000000"/>
        </w:rPr>
        <w:t xml:space="preserve">e manufacturers. </w:t>
      </w:r>
      <w:r w:rsidRPr="008326BC">
        <w:rPr>
          <w:rFonts w:asciiTheme="minorHAnsi" w:hAnsiTheme="minorHAnsi" w:cstheme="minorHAnsi"/>
          <w:color w:val="000000"/>
        </w:rPr>
        <w:t xml:space="preserve">DEQ then adjusts the fees for Tiers 1-5 so that no </w:t>
      </w:r>
      <w:r>
        <w:rPr>
          <w:rFonts w:asciiTheme="minorHAnsi" w:hAnsiTheme="minorHAnsi" w:cstheme="minorHAnsi"/>
          <w:color w:val="000000"/>
        </w:rPr>
        <w:t>fee is</w:t>
      </w:r>
      <w:r w:rsidRPr="008326BC">
        <w:rPr>
          <w:rFonts w:asciiTheme="minorHAnsi" w:hAnsiTheme="minorHAnsi" w:cstheme="minorHAnsi"/>
          <w:color w:val="000000"/>
        </w:rPr>
        <w:t xml:space="preserve"> more than $35,000 or less than $200. </w:t>
      </w:r>
      <w:r>
        <w:rPr>
          <w:rFonts w:asciiTheme="minorHAnsi" w:hAnsiTheme="minorHAnsi" w:cstheme="minorHAnsi"/>
          <w:color w:val="000000"/>
        </w:rPr>
        <w:t xml:space="preserve">If the fee for any tier is over $35,000, DEQ caps the fee at $35,000, and </w:t>
      </w:r>
      <w:r>
        <w:rPr>
          <w:rFonts w:asciiTheme="minorHAnsi" w:hAnsiTheme="minorHAnsi" w:cstheme="minorHAnsi"/>
          <w:color w:val="000000"/>
        </w:rPr>
        <w:lastRenderedPageBreak/>
        <w:t xml:space="preserve">distributes the amount of unallocated revenue from that tier to lower tiers in proportion with their market share (excluding Tiers 6 and 7), resulting in a fee increase for those tiers. </w:t>
      </w:r>
      <w:r w:rsidRPr="008326BC">
        <w:rPr>
          <w:rFonts w:asciiTheme="minorHAnsi" w:hAnsiTheme="minorHAnsi" w:cstheme="minorHAnsi"/>
          <w:color w:val="000000"/>
        </w:rPr>
        <w:t>If the resulting fee for any tier</w:t>
      </w:r>
      <w:r>
        <w:rPr>
          <w:rFonts w:asciiTheme="minorHAnsi" w:hAnsiTheme="minorHAnsi" w:cstheme="minorHAnsi"/>
          <w:color w:val="000000"/>
        </w:rPr>
        <w:t xml:space="preserve"> </w:t>
      </w:r>
      <w:r w:rsidRPr="008326BC">
        <w:rPr>
          <w:rFonts w:asciiTheme="minorHAnsi" w:hAnsiTheme="minorHAnsi" w:cstheme="minorHAnsi"/>
          <w:color w:val="000000"/>
        </w:rPr>
        <w:t>is below $200, DEQ raises the fee to $200</w:t>
      </w:r>
      <w:r>
        <w:rPr>
          <w:rFonts w:asciiTheme="minorHAnsi" w:hAnsiTheme="minorHAnsi" w:cstheme="minorHAnsi"/>
          <w:color w:val="000000"/>
        </w:rPr>
        <w:t>, and recalculates the fee for each higher tier as described above, resulting in a fee decrease for those tiers.</w:t>
      </w:r>
    </w:p>
    <w:p w:rsidR="00A004FF" w:rsidRDefault="00A004FF" w:rsidP="00A004FF">
      <w:pPr>
        <w:ind w:left="2160" w:right="630"/>
        <w:rPr>
          <w:rFonts w:ascii="Times New Roman" w:eastAsia="Times New Roman" w:hAnsi="Times New Roman" w:cs="Times New Roman"/>
          <w:color w:val="000000" w:themeColor="text1"/>
        </w:rPr>
      </w:pPr>
    </w:p>
    <w:p w:rsidR="00A004FF" w:rsidRPr="001F2D3C" w:rsidRDefault="00A004FF" w:rsidP="00A004FF">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alternatives considered </w:t>
      </w:r>
    </w:p>
    <w:p w:rsidR="00F25F25" w:rsidRDefault="00352B2C" w:rsidP="00352B2C">
      <w:pPr>
        <w:ind w:left="1080" w:right="630"/>
        <w:outlineLvl w:val="0"/>
        <w:rPr>
          <w:rFonts w:ascii="Times New Roman" w:eastAsia="Times New Roman" w:hAnsi="Times New Roman" w:cs="Times New Roman"/>
          <w:color w:val="000000"/>
        </w:rPr>
      </w:pPr>
      <w:r w:rsidRPr="00122466">
        <w:rPr>
          <w:rFonts w:ascii="Times New Roman" w:eastAsia="Times New Roman" w:hAnsi="Times New Roman" w:cs="Times New Roman"/>
          <w:color w:val="000000"/>
        </w:rPr>
        <w:t xml:space="preserve">DEQ </w:t>
      </w:r>
      <w:r w:rsidR="00465FA5">
        <w:rPr>
          <w:rFonts w:ascii="Times New Roman" w:eastAsia="Times New Roman" w:hAnsi="Times New Roman" w:cs="Times New Roman"/>
          <w:color w:val="000000"/>
        </w:rPr>
        <w:t xml:space="preserve">and the advisory committee </w:t>
      </w:r>
      <w:r>
        <w:rPr>
          <w:rFonts w:ascii="Times New Roman" w:eastAsia="Times New Roman" w:hAnsi="Times New Roman" w:cs="Times New Roman"/>
          <w:color w:val="000000"/>
        </w:rPr>
        <w:t xml:space="preserve">evaluated several alternative fee structures </w:t>
      </w:r>
      <w:r w:rsidR="00465FA5">
        <w:rPr>
          <w:rFonts w:ascii="Times New Roman" w:eastAsia="Times New Roman" w:hAnsi="Times New Roman" w:cs="Times New Roman"/>
          <w:color w:val="000000"/>
        </w:rPr>
        <w:t xml:space="preserve">using registration data from Oregon E-Cycles operations since 2008 and hypothetical scenarios for future market changes. </w:t>
      </w:r>
      <w:r>
        <w:rPr>
          <w:rFonts w:ascii="Times New Roman" w:eastAsia="Times New Roman" w:hAnsi="Times New Roman" w:cs="Times New Roman"/>
          <w:color w:val="000000"/>
        </w:rPr>
        <w:t xml:space="preserve">Alternatives that did not reliably generate revenue to cover DEQ’s costs each year were eliminated. </w:t>
      </w:r>
    </w:p>
    <w:p w:rsidR="00F25F25" w:rsidRDefault="00F25F25" w:rsidP="00352B2C">
      <w:pPr>
        <w:ind w:left="1080" w:right="630"/>
        <w:outlineLvl w:val="0"/>
        <w:rPr>
          <w:rFonts w:ascii="Times New Roman" w:eastAsia="Times New Roman" w:hAnsi="Times New Roman" w:cs="Times New Roman"/>
          <w:color w:val="000000"/>
        </w:rPr>
      </w:pPr>
    </w:p>
    <w:p w:rsidR="00352B2C" w:rsidRDefault="00352B2C" w:rsidP="00352B2C">
      <w:pPr>
        <w:ind w:left="108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Another consideration was how closely fees matched – or should match - market share. The law simply requires fees to be based on market share and established the existing fee tiers with fees increasing with market share. The more </w:t>
      </w:r>
      <w:r>
        <w:rPr>
          <w:rFonts w:ascii="Times New Roman" w:eastAsia="Times New Roman" w:hAnsi="Times New Roman" w:cs="Times New Roman"/>
          <w:color w:val="000000"/>
        </w:rPr>
        <w:lastRenderedPageBreak/>
        <w:t>closely fees are tied to market share (e.g. a manufacturer with a 10 percent market share pays 10 percent of total revenue), the more comparable the fee</w:t>
      </w:r>
      <w:r w:rsidR="00F25F25">
        <w:rPr>
          <w:rFonts w:ascii="Times New Roman" w:eastAsia="Times New Roman" w:hAnsi="Times New Roman" w:cs="Times New Roman"/>
          <w:color w:val="000000"/>
        </w:rPr>
        <w:t xml:space="preserve"> per</w:t>
      </w:r>
      <w:r w:rsidR="00465FA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unit sold in Oregon is among all manufacturers, which is one measure of equity in ability to pay. Viewed differently, though, since DEQ’s activities and costs to implement Oregon E-Cycles are not directly related to the size of any manufacturer, some thought all but the smallest manufacturers should share costs equally and pay the same fee. Other key considerations were the predictability of fees for manufacturers from year to year and the impact of fees on small businesses.</w:t>
      </w:r>
    </w:p>
    <w:p w:rsidR="00A004FF" w:rsidRDefault="00A004FF" w:rsidP="00A004FF">
      <w:pPr>
        <w:ind w:left="1080" w:right="630"/>
        <w:outlineLvl w:val="0"/>
        <w:rPr>
          <w:rFonts w:ascii="Times New Roman" w:eastAsia="Times New Roman" w:hAnsi="Times New Roman" w:cs="Times New Roman"/>
          <w:color w:val="000000"/>
        </w:rPr>
      </w:pPr>
    </w:p>
    <w:p w:rsidR="00A004FF" w:rsidRDefault="00A004FF" w:rsidP="00A004FF">
      <w:pPr>
        <w:ind w:left="108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Following are the alternative fee structures evaluated with the advisory committee:</w:t>
      </w:r>
    </w:p>
    <w:p w:rsidR="00A004FF" w:rsidRPr="00F25F25" w:rsidRDefault="00C32AE3" w:rsidP="0035250D">
      <w:pPr>
        <w:ind w:left="1350" w:right="630"/>
        <w:outlineLvl w:val="0"/>
        <w:rPr>
          <w:rFonts w:ascii="Times New Roman" w:eastAsia="Times New Roman" w:hAnsi="Times New Roman" w:cs="Times New Roman"/>
          <w:i/>
          <w:color w:val="000000"/>
        </w:rPr>
      </w:pPr>
      <w:r w:rsidRPr="00C32AE3">
        <w:rPr>
          <w:rFonts w:ascii="Times New Roman" w:eastAsia="Times New Roman" w:hAnsi="Times New Roman" w:cs="Times New Roman"/>
          <w:i/>
          <w:color w:val="000000"/>
        </w:rPr>
        <w:t xml:space="preserve">Please see the </w:t>
      </w:r>
      <w:hyperlink r:id="rId16" w:history="1">
        <w:r w:rsidRPr="00C32AE3">
          <w:rPr>
            <w:rStyle w:val="Hyperlink"/>
            <w:rFonts w:ascii="Times New Roman" w:eastAsia="Times New Roman" w:hAnsi="Times New Roman" w:cs="Times New Roman"/>
            <w:i/>
            <w:color w:val="002060"/>
          </w:rPr>
          <w:t>Oregon E-Cycles Registration Fee Advisory Committee</w:t>
        </w:r>
      </w:hyperlink>
      <w:r w:rsidRPr="00C32AE3">
        <w:rPr>
          <w:rFonts w:ascii="Times New Roman" w:eastAsia="Times New Roman" w:hAnsi="Times New Roman" w:cs="Times New Roman"/>
          <w:i/>
          <w:color w:val="000000"/>
        </w:rPr>
        <w:t xml:space="preserve"> web page for more information.</w:t>
      </w:r>
    </w:p>
    <w:p w:rsidR="00F045A8" w:rsidRDefault="00F045A8" w:rsidP="0035250D">
      <w:pPr>
        <w:ind w:left="1350" w:right="630"/>
        <w:outlineLvl w:val="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F045A8">
        <w:rPr>
          <w:rFonts w:ascii="Times New Roman" w:eastAsia="Times New Roman" w:hAnsi="Times New Roman" w:cs="Times New Roman"/>
          <w:b/>
          <w:color w:val="000000"/>
        </w:rPr>
        <w:t>Fixed fees</w:t>
      </w:r>
      <w:r w:rsidR="00786B1B">
        <w:rPr>
          <w:rFonts w:ascii="Times New Roman" w:eastAsia="Times New Roman" w:hAnsi="Times New Roman" w:cs="Times New Roman"/>
          <w:b/>
          <w:color w:val="000000"/>
        </w:rPr>
        <w:tab/>
      </w:r>
    </w:p>
    <w:p w:rsidR="00352B2C" w:rsidRDefault="00352B2C" w:rsidP="00786B1B">
      <w:pPr>
        <w:pStyle w:val="ListParagraph"/>
        <w:ind w:left="180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Variations evaluated included increasing fees in the existing fee structure, </w:t>
      </w:r>
      <w:r>
        <w:rPr>
          <w:rFonts w:ascii="Times New Roman" w:eastAsia="Times New Roman" w:hAnsi="Times New Roman" w:cs="Times New Roman"/>
          <w:color w:val="000000"/>
        </w:rPr>
        <w:lastRenderedPageBreak/>
        <w:t>expanding to eight tiers, and assessing a flat fee for all manufacture</w:t>
      </w:r>
      <w:r w:rsidR="00C071E0">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s. None reliably generated DEQ’s annual revenue need and </w:t>
      </w:r>
      <w:r w:rsidR="00630F21">
        <w:rPr>
          <w:rFonts w:ascii="Times New Roman" w:eastAsia="Times New Roman" w:hAnsi="Times New Roman" w:cs="Times New Roman"/>
          <w:color w:val="000000"/>
        </w:rPr>
        <w:t xml:space="preserve">all </w:t>
      </w:r>
      <w:r>
        <w:rPr>
          <w:rFonts w:ascii="Times New Roman" w:eastAsia="Times New Roman" w:hAnsi="Times New Roman" w:cs="Times New Roman"/>
          <w:color w:val="000000"/>
        </w:rPr>
        <w:t>were eliminated.</w:t>
      </w:r>
    </w:p>
    <w:p w:rsidR="00352B2C" w:rsidRPr="00DF4AEF" w:rsidRDefault="00352B2C" w:rsidP="00F045A8">
      <w:pPr>
        <w:ind w:left="1800" w:right="630"/>
        <w:outlineLvl w:val="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Fixed fees with a surcharge</w:t>
      </w:r>
      <w:r w:rsidR="00786B1B">
        <w:rPr>
          <w:rFonts w:ascii="Times New Roman" w:eastAsia="Times New Roman" w:hAnsi="Times New Roman" w:cs="Times New Roman"/>
          <w:b/>
          <w:color w:val="000000"/>
        </w:rPr>
        <w:tab/>
      </w:r>
    </w:p>
    <w:p w:rsidR="00352B2C" w:rsidRPr="00786B1B" w:rsidRDefault="00352B2C" w:rsidP="00786B1B">
      <w:p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color w:val="000000"/>
        </w:rPr>
        <w:t>This model used a six-tier fixed fees structure and added a surcharge to be distributed to the top two tiers to cover the revenue shortfall in any year the fixed fees did not generate the revenue need. This model provided fee certainty for roughly 90 percent of manufacturers, but the surcharge created uncertainty for upper tier manufacturers that was a concern for some on the committee. As with any fixed-fee model, fees are less closely tied to market share than fees under the more market share driven models discussed next.</w:t>
      </w:r>
    </w:p>
    <w:p w:rsidR="00352B2C" w:rsidRPr="004E6F39" w:rsidRDefault="00352B2C" w:rsidP="00F045A8">
      <w:pPr>
        <w:pStyle w:val="ListParagraph"/>
        <w:ind w:left="180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Straight market share</w:t>
      </w:r>
    </w:p>
    <w:p w:rsidR="00352B2C" w:rsidRDefault="00352B2C" w:rsidP="00786B1B">
      <w:pPr>
        <w:pStyle w:val="ListParagraph"/>
        <w:ind w:left="180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This model assessed each manufacturer’s fee based on its market share percentage of total revenue need (e.g. a manufacturer with 10 percent market share paid 10 percent of revenue need). All manufacturers have the same cost</w:t>
      </w:r>
      <w:r w:rsidR="00320EFF">
        <w:rPr>
          <w:rFonts w:ascii="Times New Roman" w:eastAsia="Times New Roman" w:hAnsi="Times New Roman" w:cs="Times New Roman"/>
          <w:color w:val="000000"/>
        </w:rPr>
        <w:t xml:space="preserve"> per </w:t>
      </w:r>
      <w:r>
        <w:rPr>
          <w:rFonts w:ascii="Times New Roman" w:eastAsia="Times New Roman" w:hAnsi="Times New Roman" w:cs="Times New Roman"/>
          <w:color w:val="000000"/>
        </w:rPr>
        <w:t>unit sold in Oregon for fees under this model. Fees for manufacture</w:t>
      </w:r>
      <w:r w:rsidR="004F29F3">
        <w:rPr>
          <w:rFonts w:ascii="Times New Roman" w:eastAsia="Times New Roman" w:hAnsi="Times New Roman" w:cs="Times New Roman"/>
          <w:color w:val="000000"/>
        </w:rPr>
        <w:t>r</w:t>
      </w:r>
      <w:r>
        <w:rPr>
          <w:rFonts w:ascii="Times New Roman" w:eastAsia="Times New Roman" w:hAnsi="Times New Roman" w:cs="Times New Roman"/>
          <w:color w:val="000000"/>
        </w:rPr>
        <w:t>s with the largest market shares were significantly higher under this v</w:t>
      </w:r>
      <w:r w:rsidR="00320EFF">
        <w:rPr>
          <w:rFonts w:ascii="Times New Roman" w:eastAsia="Times New Roman" w:hAnsi="Times New Roman" w:cs="Times New Roman"/>
          <w:color w:val="000000"/>
        </w:rPr>
        <w:t>ersus</w:t>
      </w:r>
      <w:r>
        <w:rPr>
          <w:rFonts w:ascii="Times New Roman" w:eastAsia="Times New Roman" w:hAnsi="Times New Roman" w:cs="Times New Roman"/>
          <w:color w:val="000000"/>
        </w:rPr>
        <w:t xml:space="preserve"> other models</w:t>
      </w:r>
      <w:r w:rsidR="00320EFF">
        <w:rPr>
          <w:rFonts w:ascii="Times New Roman" w:eastAsia="Times New Roman" w:hAnsi="Times New Roman" w:cs="Times New Roman"/>
          <w:color w:val="000000"/>
        </w:rPr>
        <w:t xml:space="preserve">, with </w:t>
      </w:r>
      <w:r>
        <w:rPr>
          <w:rFonts w:ascii="Times New Roman" w:eastAsia="Times New Roman" w:hAnsi="Times New Roman" w:cs="Times New Roman"/>
          <w:color w:val="000000"/>
        </w:rPr>
        <w:t>$70,000 for the largest. The fee for any manufacturer varies with its market share each year.</w:t>
      </w:r>
    </w:p>
    <w:p w:rsidR="004269D9" w:rsidRDefault="004269D9" w:rsidP="00F045A8">
      <w:pPr>
        <w:pStyle w:val="ListParagraph"/>
        <w:ind w:left="180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Six tiered market share</w:t>
      </w:r>
    </w:p>
    <w:p w:rsidR="00352B2C" w:rsidRDefault="00352B2C" w:rsidP="00786B1B">
      <w:pPr>
        <w:pStyle w:val="ListParagraph"/>
        <w:ind w:left="180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model is </w:t>
      </w:r>
      <w:r w:rsidR="00320EFF">
        <w:rPr>
          <w:rFonts w:ascii="Times New Roman" w:eastAsia="Times New Roman" w:hAnsi="Times New Roman" w:cs="Times New Roman"/>
          <w:color w:val="000000"/>
        </w:rPr>
        <w:t xml:space="preserve">the same as </w:t>
      </w:r>
      <w:r>
        <w:rPr>
          <w:rFonts w:ascii="Times New Roman" w:eastAsia="Times New Roman" w:hAnsi="Times New Roman" w:cs="Times New Roman"/>
          <w:color w:val="000000"/>
        </w:rPr>
        <w:t xml:space="preserve">the proposed fee structure without the fee caps or minimums or Tier 7. Each tier pays for its total market share percentage of revenue need, but that amount is divided evenly among the manufacturers in that tier. Using tiers and averaging fees within tiers, particularly Tier 1, reduces the highest fees seen with the straight market share </w:t>
      </w:r>
      <w:r>
        <w:rPr>
          <w:rFonts w:ascii="Times New Roman" w:eastAsia="Times New Roman" w:hAnsi="Times New Roman" w:cs="Times New Roman"/>
          <w:color w:val="000000"/>
        </w:rPr>
        <w:lastRenderedPageBreak/>
        <w:t xml:space="preserve">model, but not as much as fee caps used in the next model. Fees in this model vary by tier each year, based on the number and total market share of all manufacturers in </w:t>
      </w:r>
      <w:r w:rsidR="00630F21">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fee tier, instead of by each manufacturer’s market share.</w:t>
      </w:r>
    </w:p>
    <w:p w:rsidR="00352B2C" w:rsidRPr="004E6F39" w:rsidRDefault="00352B2C" w:rsidP="00F045A8">
      <w:pPr>
        <w:pStyle w:val="ListParagraph"/>
        <w:ind w:left="1800" w:right="63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Six tiered market share with a fee cap</w:t>
      </w:r>
    </w:p>
    <w:p w:rsidR="00352B2C" w:rsidRPr="00786B1B" w:rsidRDefault="00352B2C" w:rsidP="00786B1B">
      <w:p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color w:val="000000"/>
        </w:rPr>
        <w:t xml:space="preserve">This model is the </w:t>
      </w:r>
      <w:r w:rsidR="00320EFF">
        <w:rPr>
          <w:rFonts w:ascii="Times New Roman" w:eastAsia="Times New Roman" w:hAnsi="Times New Roman" w:cs="Times New Roman"/>
          <w:color w:val="000000"/>
        </w:rPr>
        <w:t xml:space="preserve">same as the </w:t>
      </w:r>
      <w:r w:rsidRPr="00786B1B">
        <w:rPr>
          <w:rFonts w:ascii="Times New Roman" w:eastAsia="Times New Roman" w:hAnsi="Times New Roman" w:cs="Times New Roman"/>
          <w:color w:val="000000"/>
        </w:rPr>
        <w:t xml:space="preserve">proposed fee structure without minimum fees or Tier 7. After fees for each tier are calculated, the fee cap is applied. If the fee for any tier is over the cap, the </w:t>
      </w:r>
      <w:r w:rsidR="00630F21" w:rsidRPr="00786B1B">
        <w:rPr>
          <w:rFonts w:ascii="Times New Roman" w:eastAsia="Times New Roman" w:hAnsi="Times New Roman" w:cs="Times New Roman"/>
          <w:color w:val="000000"/>
        </w:rPr>
        <w:t xml:space="preserve">amount of </w:t>
      </w:r>
      <w:r w:rsidRPr="00786B1B">
        <w:rPr>
          <w:rFonts w:ascii="Times New Roman" w:eastAsia="Times New Roman" w:hAnsi="Times New Roman" w:cs="Times New Roman"/>
          <w:color w:val="000000"/>
        </w:rPr>
        <w:t>revenue over the cap is distributed through the lower tiers. A cap limits fees and provides more certainty for budgeting for manufacturers in the highest tiers, but less certainty for lower-tier manufacturers, whose fees increase with the redistribution of any revenue amounts over the cap. The larger the cap, the smaller the impact on fees for lower tiers.</w:t>
      </w:r>
    </w:p>
    <w:p w:rsidR="00352B2C" w:rsidRPr="00FD4875" w:rsidRDefault="00352B2C" w:rsidP="00F045A8">
      <w:pPr>
        <w:pStyle w:val="ListParagraph"/>
        <w:ind w:left="1800" w:right="630"/>
        <w:rPr>
          <w:rFonts w:ascii="Times New Roman" w:eastAsia="Times New Roman" w:hAnsi="Times New Roman" w:cs="Times New Roman"/>
          <w:color w:val="000000"/>
        </w:rPr>
      </w:pPr>
    </w:p>
    <w:p w:rsidR="00352B2C" w:rsidRPr="00F045A8" w:rsidRDefault="00352B2C" w:rsidP="00F045A8">
      <w:pPr>
        <w:pStyle w:val="ListParagraph"/>
        <w:ind w:left="1800" w:right="630"/>
        <w:outlineLvl w:val="0"/>
        <w:rPr>
          <w:rFonts w:ascii="Times New Roman" w:eastAsia="Times New Roman" w:hAnsi="Times New Roman" w:cs="Times New Roman"/>
          <w:color w:val="000000"/>
        </w:rPr>
      </w:pPr>
      <w:r w:rsidRPr="00F045A8">
        <w:rPr>
          <w:rFonts w:ascii="Times New Roman" w:eastAsia="Times New Roman" w:hAnsi="Times New Roman" w:cs="Times New Roman"/>
          <w:color w:val="000000"/>
        </w:rPr>
        <w:lastRenderedPageBreak/>
        <w:t>Modeling fee caps from $20,000 to $40,000 under various market scenarios demonstrated the potential for future market consolidation to cause significant fee increases for lower tier manufacturers. In 2010 and 2011, for example, approximately 70</w:t>
      </w:r>
      <w:r w:rsidR="00320EFF">
        <w:rPr>
          <w:rFonts w:ascii="Times New Roman" w:eastAsia="Times New Roman" w:hAnsi="Times New Roman" w:cs="Times New Roman"/>
          <w:color w:val="000000"/>
        </w:rPr>
        <w:t xml:space="preserve"> to </w:t>
      </w:r>
      <w:r w:rsidRPr="00F045A8">
        <w:rPr>
          <w:rFonts w:ascii="Times New Roman" w:eastAsia="Times New Roman" w:hAnsi="Times New Roman" w:cs="Times New Roman"/>
          <w:color w:val="000000"/>
        </w:rPr>
        <w:t xml:space="preserve">80 percent of the market was held by </w:t>
      </w:r>
      <w:r w:rsidR="00320EFF">
        <w:rPr>
          <w:rFonts w:ascii="Times New Roman" w:eastAsia="Times New Roman" w:hAnsi="Times New Roman" w:cs="Times New Roman"/>
          <w:color w:val="000000"/>
        </w:rPr>
        <w:t>eight or nine</w:t>
      </w:r>
      <w:r w:rsidRPr="00F045A8">
        <w:rPr>
          <w:rFonts w:ascii="Times New Roman" w:eastAsia="Times New Roman" w:hAnsi="Times New Roman" w:cs="Times New Roman"/>
          <w:color w:val="000000"/>
        </w:rPr>
        <w:t xml:space="preserve"> manufacturers that each had over 5 percent market share. If the market consolidated so only a few manufacturers accounted for 70</w:t>
      </w:r>
      <w:r w:rsidR="00320EFF">
        <w:rPr>
          <w:rFonts w:ascii="Times New Roman" w:eastAsia="Times New Roman" w:hAnsi="Times New Roman" w:cs="Times New Roman"/>
          <w:color w:val="000000"/>
        </w:rPr>
        <w:t xml:space="preserve"> to </w:t>
      </w:r>
      <w:r w:rsidRPr="00F045A8">
        <w:rPr>
          <w:rFonts w:ascii="Times New Roman" w:eastAsia="Times New Roman" w:hAnsi="Times New Roman" w:cs="Times New Roman"/>
          <w:color w:val="000000"/>
        </w:rPr>
        <w:t>80 percent of the market, the caps considered would result in large over-cap revenue amounts being distributed to lower tiers.</w:t>
      </w:r>
    </w:p>
    <w:p w:rsidR="00352B2C" w:rsidRPr="00FD4875" w:rsidRDefault="00352B2C" w:rsidP="00F045A8">
      <w:pPr>
        <w:ind w:left="1800" w:right="630"/>
        <w:outlineLvl w:val="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imes New Roman" w:eastAsia="Times New Roman" w:hAnsi="Times New Roman" w:cs="Times New Roman"/>
          <w:b/>
          <w:color w:val="000000"/>
        </w:rPr>
        <w:t>Minimum fees</w:t>
      </w:r>
    </w:p>
    <w:p w:rsidR="00352B2C" w:rsidRDefault="00352B2C" w:rsidP="00786B1B">
      <w:pPr>
        <w:pStyle w:val="ListParagraph"/>
        <w:ind w:left="1800" w:right="63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DEQ and the advisory committee discussed different minimum fee amounts and the impacts those would have on the manufacturers paying those fees and the fees for other tiers. Committee members supported a $200 fee for the smallest </w:t>
      </w:r>
      <w:r>
        <w:rPr>
          <w:rFonts w:ascii="Times New Roman" w:eastAsia="Times New Roman" w:hAnsi="Times New Roman" w:cs="Times New Roman"/>
          <w:color w:val="000000"/>
        </w:rPr>
        <w:lastRenderedPageBreak/>
        <w:t>manufacturers</w:t>
      </w:r>
      <w:r w:rsidR="00320E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which included proposed Tiers 6 and 7.</w:t>
      </w:r>
    </w:p>
    <w:p w:rsidR="00352B2C" w:rsidRDefault="00352B2C" w:rsidP="00F045A8">
      <w:pPr>
        <w:pStyle w:val="ListParagraph"/>
        <w:ind w:left="1800" w:right="630"/>
        <w:outlineLvl w:val="0"/>
        <w:rPr>
          <w:rFonts w:ascii="Times New Roman" w:eastAsia="Times New Roman" w:hAnsi="Times New Roman" w:cs="Times New Roman"/>
          <w:color w:val="000000"/>
        </w:rPr>
      </w:pPr>
    </w:p>
    <w:p w:rsidR="00786B1B" w:rsidRPr="00786B1B" w:rsidRDefault="00352B2C" w:rsidP="00F045A8">
      <w:pPr>
        <w:pStyle w:val="ListParagraph"/>
        <w:numPr>
          <w:ilvl w:val="0"/>
          <w:numId w:val="34"/>
        </w:numPr>
        <w:ind w:left="1800" w:right="630"/>
        <w:outlineLvl w:val="0"/>
        <w:rPr>
          <w:rFonts w:ascii="Times New Roman" w:eastAsia="Times New Roman" w:hAnsi="Times New Roman" w:cs="Times New Roman"/>
          <w:color w:val="000000"/>
        </w:rPr>
      </w:pPr>
      <w:r w:rsidRPr="00786B1B">
        <w:rPr>
          <w:rFonts w:asciiTheme="minorHAnsi" w:hAnsiTheme="minorHAnsi" w:cstheme="minorHAnsi"/>
          <w:b/>
        </w:rPr>
        <w:t>Tier structures</w:t>
      </w:r>
    </w:p>
    <w:p w:rsidR="00352B2C" w:rsidRDefault="00320EFF" w:rsidP="00786B1B">
      <w:pPr>
        <w:pStyle w:val="ListParagraph"/>
        <w:ind w:left="1800" w:right="630"/>
        <w:outlineLvl w:val="0"/>
        <w:rPr>
          <w:rFonts w:ascii="Times New Roman" w:eastAsia="Times New Roman" w:hAnsi="Times New Roman" w:cs="Times New Roman"/>
          <w:color w:val="000000"/>
        </w:rPr>
      </w:pPr>
      <w:r>
        <w:rPr>
          <w:rFonts w:asciiTheme="minorHAnsi" w:hAnsiTheme="minorHAnsi" w:cstheme="minorHAnsi"/>
        </w:rPr>
        <w:t>DEQ and the advisory committee also evaluated d</w:t>
      </w:r>
      <w:r w:rsidR="00352B2C" w:rsidRPr="00141037">
        <w:rPr>
          <w:rFonts w:asciiTheme="minorHAnsi" w:hAnsiTheme="minorHAnsi" w:cstheme="minorHAnsi"/>
        </w:rPr>
        <w:t xml:space="preserve">ifferent </w:t>
      </w:r>
      <w:r w:rsidR="00352B2C">
        <w:rPr>
          <w:rFonts w:asciiTheme="minorHAnsi" w:hAnsiTheme="minorHAnsi" w:cstheme="minorHAnsi"/>
        </w:rPr>
        <w:t xml:space="preserve">numbers of tiers and market share ranges within tiers. Adding tiers and reducing the ranges of market share within tiers </w:t>
      </w:r>
      <w:r w:rsidR="00BE3484">
        <w:rPr>
          <w:rFonts w:asciiTheme="minorHAnsi" w:hAnsiTheme="minorHAnsi" w:cstheme="minorHAnsi"/>
        </w:rPr>
        <w:t xml:space="preserve">better </w:t>
      </w:r>
      <w:r w:rsidR="00352B2C">
        <w:rPr>
          <w:rFonts w:asciiTheme="minorHAnsi" w:hAnsiTheme="minorHAnsi" w:cstheme="minorHAnsi"/>
        </w:rPr>
        <w:t>group</w:t>
      </w:r>
      <w:r w:rsidR="00BE3484">
        <w:rPr>
          <w:rFonts w:asciiTheme="minorHAnsi" w:hAnsiTheme="minorHAnsi" w:cstheme="minorHAnsi"/>
        </w:rPr>
        <w:t>s</w:t>
      </w:r>
      <w:r w:rsidR="00352B2C">
        <w:rPr>
          <w:rFonts w:asciiTheme="minorHAnsi" w:hAnsiTheme="minorHAnsi" w:cstheme="minorHAnsi"/>
        </w:rPr>
        <w:t xml:space="preserve"> manufacturers more similar in size</w:t>
      </w:r>
      <w:r>
        <w:rPr>
          <w:rFonts w:asciiTheme="minorHAnsi" w:hAnsiTheme="minorHAnsi" w:cstheme="minorHAnsi"/>
        </w:rPr>
        <w:t xml:space="preserve">. </w:t>
      </w:r>
      <w:r w:rsidR="00352B2C">
        <w:rPr>
          <w:rFonts w:asciiTheme="minorHAnsi" w:hAnsiTheme="minorHAnsi" w:cstheme="minorHAnsi"/>
        </w:rPr>
        <w:t xml:space="preserve">Grouping similarly sized manufacturers across all tiers provides more uniformity among tiers and helps moderate </w:t>
      </w:r>
      <w:r w:rsidR="00630F21">
        <w:rPr>
          <w:rFonts w:asciiTheme="minorHAnsi" w:hAnsiTheme="minorHAnsi" w:cstheme="minorHAnsi"/>
        </w:rPr>
        <w:t xml:space="preserve">year-to-year </w:t>
      </w:r>
      <w:r w:rsidR="00352B2C">
        <w:rPr>
          <w:rFonts w:asciiTheme="minorHAnsi" w:hAnsiTheme="minorHAnsi" w:cstheme="minorHAnsi"/>
        </w:rPr>
        <w:t>changes in tier</w:t>
      </w:r>
      <w:r w:rsidR="00BB42A0">
        <w:rPr>
          <w:rFonts w:asciiTheme="minorHAnsi" w:hAnsiTheme="minorHAnsi" w:cstheme="minorHAnsi"/>
        </w:rPr>
        <w:t xml:space="preserve"> fee</w:t>
      </w:r>
      <w:r w:rsidR="00352B2C">
        <w:rPr>
          <w:rFonts w:asciiTheme="minorHAnsi" w:hAnsiTheme="minorHAnsi" w:cstheme="minorHAnsi"/>
        </w:rPr>
        <w:t>s</w:t>
      </w:r>
      <w:r>
        <w:rPr>
          <w:rFonts w:asciiTheme="minorHAnsi" w:hAnsiTheme="minorHAnsi" w:cstheme="minorHAnsi"/>
        </w:rPr>
        <w:t xml:space="preserve">, including </w:t>
      </w:r>
      <w:r w:rsidR="00352B2C">
        <w:rPr>
          <w:rFonts w:asciiTheme="minorHAnsi" w:hAnsiTheme="minorHAnsi" w:cstheme="minorHAnsi"/>
        </w:rPr>
        <w:t>preventing large fee increases for manufacturers at the smaller end of each tier.</w:t>
      </w:r>
    </w:p>
    <w:p w:rsidR="00352B2C" w:rsidRPr="004D3FB1" w:rsidRDefault="00352B2C" w:rsidP="004269D9">
      <w:pPr>
        <w:autoSpaceDE w:val="0"/>
        <w:autoSpaceDN w:val="0"/>
        <w:adjustRightInd w:val="0"/>
        <w:ind w:left="1440" w:right="630"/>
        <w:rPr>
          <w:rFonts w:ascii="Times New Roman" w:eastAsia="Times New Roman" w:hAnsi="Times New Roman" w:cs="Times New Roman"/>
          <w:color w:val="000000"/>
        </w:rPr>
      </w:pPr>
    </w:p>
    <w:p w:rsidR="00786B1B" w:rsidRDefault="00786B1B">
      <w:pPr>
        <w:spacing w:after="200" w:line="276" w:lineRule="auto"/>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A004FF" w:rsidRPr="0066114D" w:rsidRDefault="00A004FF" w:rsidP="004269D9">
      <w:pPr>
        <w:tabs>
          <w:tab w:val="left" w:pos="810"/>
        </w:tabs>
        <w:spacing w:after="240"/>
        <w:ind w:left="72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Basis for recommending the proposed fees</w:t>
      </w:r>
    </w:p>
    <w:p w:rsidR="003845D8" w:rsidRDefault="00A004FF">
      <w:pPr>
        <w:pStyle w:val="ListParagraph"/>
        <w:numPr>
          <w:ilvl w:val="0"/>
          <w:numId w:val="32"/>
        </w:numPr>
        <w:autoSpaceDE w:val="0"/>
        <w:autoSpaceDN w:val="0"/>
        <w:adjustRightInd w:val="0"/>
        <w:spacing w:after="13"/>
        <w:ind w:right="630"/>
        <w:rPr>
          <w:rFonts w:ascii="Times New Roman" w:eastAsia="Times New Roman" w:hAnsi="Times New Roman" w:cs="Times New Roman"/>
          <w:color w:val="000000"/>
        </w:rPr>
      </w:pPr>
      <w:r w:rsidRPr="001A7A34">
        <w:rPr>
          <w:rFonts w:ascii="Times New Roman" w:eastAsia="Times New Roman" w:hAnsi="Times New Roman" w:cs="Times New Roman"/>
          <w:color w:val="000000"/>
        </w:rPr>
        <w:t xml:space="preserve">The proposed fees </w:t>
      </w:r>
      <w:r w:rsidR="005E7616">
        <w:rPr>
          <w:rFonts w:ascii="Times New Roman" w:eastAsia="Times New Roman" w:hAnsi="Times New Roman" w:cs="Times New Roman"/>
          <w:color w:val="000000"/>
        </w:rPr>
        <w:t>would</w:t>
      </w:r>
      <w:r w:rsidR="005E7616" w:rsidRPr="001A7A34">
        <w:rPr>
          <w:rFonts w:ascii="Times New Roman" w:eastAsia="Times New Roman" w:hAnsi="Times New Roman" w:cs="Times New Roman"/>
          <w:color w:val="000000"/>
        </w:rPr>
        <w:t xml:space="preserve"> </w:t>
      </w:r>
      <w:r w:rsidRPr="001A7A34">
        <w:rPr>
          <w:rFonts w:ascii="Times New Roman" w:eastAsia="Times New Roman" w:hAnsi="Times New Roman" w:cs="Times New Roman"/>
          <w:color w:val="000000"/>
        </w:rPr>
        <w:t>consistently generate the revenue needed to cover DEQ’s costs each year</w:t>
      </w:r>
      <w:r>
        <w:rPr>
          <w:rFonts w:ascii="Times New Roman" w:eastAsia="Times New Roman" w:hAnsi="Times New Roman" w:cs="Times New Roman"/>
          <w:color w:val="000000"/>
        </w:rPr>
        <w:t>, even as revenue needs change</w:t>
      </w:r>
      <w:r w:rsidRPr="001A7A34">
        <w:rPr>
          <w:rFonts w:ascii="Times New Roman" w:eastAsia="Times New Roman" w:hAnsi="Times New Roman" w:cs="Times New Roman"/>
          <w:color w:val="000000"/>
        </w:rPr>
        <w:t>.</w:t>
      </w:r>
    </w:p>
    <w:p w:rsidR="003845D8" w:rsidRDefault="003845D8">
      <w:pPr>
        <w:autoSpaceDE w:val="0"/>
        <w:autoSpaceDN w:val="0"/>
        <w:adjustRightInd w:val="0"/>
        <w:spacing w:after="13"/>
        <w:ind w:left="1440" w:right="630"/>
        <w:rPr>
          <w:rFonts w:ascii="Times New Roman" w:eastAsia="Times New Roman" w:hAnsi="Times New Roman" w:cs="Times New Roman"/>
          <w:color w:val="000000"/>
        </w:rPr>
      </w:pPr>
    </w:p>
    <w:p w:rsidR="003845D8" w:rsidRDefault="00A004FF">
      <w:pPr>
        <w:pStyle w:val="ListParagraph"/>
        <w:numPr>
          <w:ilvl w:val="0"/>
          <w:numId w:val="32"/>
        </w:numPr>
        <w:autoSpaceDE w:val="0"/>
        <w:autoSpaceDN w:val="0"/>
        <w:adjustRightInd w:val="0"/>
        <w:ind w:right="634"/>
        <w:rPr>
          <w:rFonts w:ascii="Times New Roman" w:eastAsia="Times New Roman" w:hAnsi="Times New Roman" w:cs="Times New Roman"/>
          <w:color w:val="000000"/>
        </w:rPr>
      </w:pPr>
      <w:r w:rsidRPr="00B36FD1">
        <w:rPr>
          <w:rFonts w:ascii="Times New Roman" w:eastAsia="Times New Roman" w:hAnsi="Times New Roman" w:cs="Times New Roman"/>
          <w:color w:val="000000"/>
        </w:rPr>
        <w:t xml:space="preserve">The proposed fee structure </w:t>
      </w:r>
      <w:r w:rsidR="005E7616">
        <w:rPr>
          <w:rFonts w:ascii="Times New Roman" w:eastAsia="Times New Roman" w:hAnsi="Times New Roman" w:cs="Times New Roman"/>
          <w:color w:val="000000"/>
        </w:rPr>
        <w:t>would tie</w:t>
      </w:r>
      <w:r w:rsidRPr="00B36FD1">
        <w:rPr>
          <w:rFonts w:ascii="Times New Roman" w:eastAsia="Times New Roman" w:hAnsi="Times New Roman" w:cs="Times New Roman"/>
          <w:color w:val="000000"/>
        </w:rPr>
        <w:t xml:space="preserve"> fees more closely to market share than </w:t>
      </w:r>
      <w:r w:rsidR="007D7E1F">
        <w:rPr>
          <w:rFonts w:ascii="Times New Roman" w:eastAsia="Times New Roman" w:hAnsi="Times New Roman" w:cs="Times New Roman"/>
          <w:color w:val="000000"/>
        </w:rPr>
        <w:t>the existing</w:t>
      </w:r>
      <w:r w:rsidRPr="00B36FD1">
        <w:rPr>
          <w:rFonts w:ascii="Times New Roman" w:eastAsia="Times New Roman" w:hAnsi="Times New Roman" w:cs="Times New Roman"/>
          <w:color w:val="000000"/>
        </w:rPr>
        <w:t xml:space="preserve"> fee </w:t>
      </w:r>
      <w:r w:rsidR="007D7E1F">
        <w:rPr>
          <w:rFonts w:ascii="Times New Roman" w:eastAsia="Times New Roman" w:hAnsi="Times New Roman" w:cs="Times New Roman"/>
          <w:color w:val="000000"/>
        </w:rPr>
        <w:t xml:space="preserve">structure but it </w:t>
      </w:r>
      <w:r w:rsidR="005E7616">
        <w:rPr>
          <w:rFonts w:ascii="Times New Roman" w:eastAsia="Times New Roman" w:hAnsi="Times New Roman" w:cs="Times New Roman"/>
          <w:color w:val="000000"/>
        </w:rPr>
        <w:t xml:space="preserve">would </w:t>
      </w:r>
      <w:r w:rsidR="007D7E1F">
        <w:rPr>
          <w:rFonts w:ascii="Times New Roman" w:eastAsia="Times New Roman" w:hAnsi="Times New Roman" w:cs="Times New Roman"/>
          <w:color w:val="000000"/>
        </w:rPr>
        <w:t>also include modifications to limit fees for manufacturers with a large market share</w:t>
      </w:r>
      <w:r>
        <w:rPr>
          <w:rFonts w:ascii="Times New Roman" w:eastAsia="Times New Roman" w:hAnsi="Times New Roman" w:cs="Times New Roman"/>
          <w:color w:val="000000"/>
        </w:rPr>
        <w:t>. E</w:t>
      </w:r>
      <w:r w:rsidRPr="00B36FD1">
        <w:rPr>
          <w:rFonts w:ascii="Times New Roman" w:eastAsia="Times New Roman" w:hAnsi="Times New Roman" w:cs="Times New Roman"/>
          <w:color w:val="000000"/>
        </w:rPr>
        <w:t>venly distributing</w:t>
      </w:r>
      <w:r>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fees</w:t>
      </w:r>
      <w:r>
        <w:rPr>
          <w:rFonts w:ascii="Times New Roman" w:eastAsia="Times New Roman" w:hAnsi="Times New Roman" w:cs="Times New Roman"/>
          <w:color w:val="000000"/>
        </w:rPr>
        <w:t xml:space="preserve"> </w:t>
      </w:r>
      <w:r w:rsidRPr="00B36FD1">
        <w:rPr>
          <w:rFonts w:ascii="Times New Roman" w:eastAsia="Times New Roman" w:hAnsi="Times New Roman" w:cs="Times New Roman"/>
          <w:color w:val="000000"/>
        </w:rPr>
        <w:t xml:space="preserve">within tiers </w:t>
      </w:r>
      <w:r w:rsidR="005E7616">
        <w:rPr>
          <w:rFonts w:ascii="Times New Roman" w:eastAsia="Times New Roman" w:hAnsi="Times New Roman" w:cs="Times New Roman"/>
          <w:color w:val="000000"/>
        </w:rPr>
        <w:t xml:space="preserve">would </w:t>
      </w:r>
      <w:r>
        <w:rPr>
          <w:rFonts w:ascii="Times New Roman" w:eastAsia="Times New Roman" w:hAnsi="Times New Roman" w:cs="Times New Roman"/>
          <w:color w:val="000000"/>
        </w:rPr>
        <w:t xml:space="preserve">moderate the year-to-year fluctuation of fees and reduce fees for manufacturers with higher market shares in each tier. </w:t>
      </w:r>
      <w:r w:rsidRPr="00B36FD1">
        <w:rPr>
          <w:rFonts w:ascii="Times New Roman" w:eastAsia="Times New Roman" w:hAnsi="Times New Roman" w:cs="Times New Roman"/>
          <w:color w:val="000000"/>
        </w:rPr>
        <w:t>The addition</w:t>
      </w:r>
      <w:r>
        <w:rPr>
          <w:rFonts w:ascii="Times New Roman" w:eastAsia="Times New Roman" w:hAnsi="Times New Roman" w:cs="Times New Roman"/>
          <w:color w:val="000000"/>
        </w:rPr>
        <w:t>al</w:t>
      </w:r>
      <w:r w:rsidRPr="00B36FD1">
        <w:rPr>
          <w:rFonts w:ascii="Times New Roman" w:eastAsia="Times New Roman" w:hAnsi="Times New Roman" w:cs="Times New Roman"/>
          <w:color w:val="000000"/>
        </w:rPr>
        <w:t xml:space="preserve"> tiers and smaller market share ranges within tiers </w:t>
      </w:r>
      <w:r w:rsidR="005E7616">
        <w:rPr>
          <w:rFonts w:ascii="Times New Roman" w:eastAsia="Times New Roman" w:hAnsi="Times New Roman" w:cs="Times New Roman"/>
          <w:color w:val="000000"/>
        </w:rPr>
        <w:t xml:space="preserve">would </w:t>
      </w:r>
      <w:r w:rsidRPr="00B36FD1">
        <w:rPr>
          <w:rFonts w:ascii="Times New Roman" w:eastAsia="Times New Roman" w:hAnsi="Times New Roman" w:cs="Times New Roman"/>
          <w:color w:val="000000"/>
        </w:rPr>
        <w:t xml:space="preserve">distribute fees among more similarly sized manufacturers, which </w:t>
      </w:r>
      <w:r w:rsidR="004269D9">
        <w:rPr>
          <w:rFonts w:ascii="Times New Roman" w:eastAsia="Times New Roman" w:hAnsi="Times New Roman" w:cs="Times New Roman"/>
          <w:color w:val="000000"/>
        </w:rPr>
        <w:t xml:space="preserve">would </w:t>
      </w:r>
      <w:r>
        <w:rPr>
          <w:rFonts w:ascii="Times New Roman" w:eastAsia="Times New Roman" w:hAnsi="Times New Roman" w:cs="Times New Roman"/>
          <w:color w:val="000000"/>
        </w:rPr>
        <w:t xml:space="preserve">also </w:t>
      </w:r>
      <w:r w:rsidRPr="00B36FD1">
        <w:rPr>
          <w:rFonts w:ascii="Times New Roman" w:eastAsia="Times New Roman" w:hAnsi="Times New Roman" w:cs="Times New Roman"/>
          <w:color w:val="000000"/>
        </w:rPr>
        <w:t xml:space="preserve">help </w:t>
      </w:r>
      <w:r>
        <w:rPr>
          <w:rFonts w:ascii="Times New Roman" w:eastAsia="Times New Roman" w:hAnsi="Times New Roman" w:cs="Times New Roman"/>
          <w:color w:val="000000"/>
        </w:rPr>
        <w:t xml:space="preserve">temper fee changes and </w:t>
      </w:r>
      <w:r w:rsidRPr="00B36FD1">
        <w:rPr>
          <w:rFonts w:ascii="Times New Roman" w:eastAsia="Times New Roman" w:hAnsi="Times New Roman" w:cs="Times New Roman"/>
          <w:color w:val="000000"/>
        </w:rPr>
        <w:t>prevent</w:t>
      </w:r>
      <w:r w:rsidRPr="00B36FD1">
        <w:rPr>
          <w:rFonts w:asciiTheme="minorHAnsi" w:hAnsiTheme="minorHAnsi" w:cstheme="minorHAnsi"/>
        </w:rPr>
        <w:t xml:space="preserve"> large fee increases for </w:t>
      </w:r>
      <w:r w:rsidRPr="00786B1B">
        <w:rPr>
          <w:rFonts w:asciiTheme="minorHAnsi" w:hAnsiTheme="minorHAnsi" w:cstheme="minorHAnsi"/>
        </w:rPr>
        <w:t>the manufacturers with the lower market shares in each tier.</w:t>
      </w:r>
    </w:p>
    <w:p w:rsidR="004269D9" w:rsidRPr="00786B1B" w:rsidRDefault="004269D9" w:rsidP="004269D9">
      <w:pPr>
        <w:pStyle w:val="ListParagraph"/>
        <w:autoSpaceDE w:val="0"/>
        <w:autoSpaceDN w:val="0"/>
        <w:adjustRightInd w:val="0"/>
        <w:spacing w:after="18"/>
        <w:ind w:left="1800"/>
        <w:rPr>
          <w:rFonts w:ascii="Times New Roman" w:eastAsia="Times New Roman" w:hAnsi="Times New Roman" w:cs="Times New Roman"/>
          <w:color w:val="000000"/>
        </w:rPr>
      </w:pPr>
    </w:p>
    <w:p w:rsidR="003845D8" w:rsidRDefault="00A004FF">
      <w:pPr>
        <w:pStyle w:val="ListParagraph"/>
        <w:numPr>
          <w:ilvl w:val="0"/>
          <w:numId w:val="32"/>
        </w:numPr>
        <w:autoSpaceDE w:val="0"/>
        <w:autoSpaceDN w:val="0"/>
        <w:adjustRightInd w:val="0"/>
        <w:spacing w:after="18"/>
        <w:ind w:right="634"/>
        <w:rPr>
          <w:rFonts w:asciiTheme="minorHAnsi" w:eastAsia="Times New Roman" w:hAnsiTheme="minorHAnsi" w:cstheme="minorHAnsi"/>
          <w:color w:val="000000"/>
        </w:rPr>
      </w:pPr>
      <w:r w:rsidRPr="00786B1B">
        <w:rPr>
          <w:rFonts w:asciiTheme="minorHAnsi" w:eastAsia="Times New Roman" w:hAnsiTheme="minorHAnsi" w:cstheme="minorHAnsi"/>
          <w:color w:val="000000"/>
        </w:rPr>
        <w:lastRenderedPageBreak/>
        <w:t xml:space="preserve">Capping fees at $35,000 </w:t>
      </w:r>
      <w:r w:rsidR="005E7616">
        <w:rPr>
          <w:rFonts w:asciiTheme="minorHAnsi" w:eastAsia="Times New Roman" w:hAnsiTheme="minorHAnsi" w:cstheme="minorHAnsi"/>
          <w:color w:val="000000"/>
        </w:rPr>
        <w:t xml:space="preserve">would </w:t>
      </w:r>
      <w:r w:rsidRPr="00786B1B">
        <w:rPr>
          <w:rFonts w:asciiTheme="minorHAnsi" w:eastAsia="Times New Roman" w:hAnsiTheme="minorHAnsi" w:cstheme="minorHAnsi"/>
          <w:color w:val="000000"/>
        </w:rPr>
        <w:t xml:space="preserve">limit the fee and provide some certainty for </w:t>
      </w:r>
      <w:r w:rsidR="00320EFF">
        <w:rPr>
          <w:rFonts w:asciiTheme="minorHAnsi" w:eastAsia="Times New Roman" w:hAnsiTheme="minorHAnsi" w:cstheme="minorHAnsi"/>
          <w:color w:val="000000"/>
        </w:rPr>
        <w:t>m</w:t>
      </w:r>
      <w:r w:rsidRPr="00786B1B">
        <w:rPr>
          <w:rFonts w:asciiTheme="minorHAnsi" w:eastAsia="Times New Roman" w:hAnsiTheme="minorHAnsi" w:cstheme="minorHAnsi"/>
          <w:color w:val="000000"/>
        </w:rPr>
        <w:t>anufacturers in Tier 1. For manufacturers in Tiers 2</w:t>
      </w:r>
      <w:r w:rsidR="00320EFF">
        <w:rPr>
          <w:rFonts w:asciiTheme="minorHAnsi" w:eastAsia="Times New Roman" w:hAnsiTheme="minorHAnsi" w:cstheme="minorHAnsi"/>
          <w:color w:val="000000"/>
        </w:rPr>
        <w:t xml:space="preserve"> through </w:t>
      </w:r>
      <w:r w:rsidRPr="00786B1B">
        <w:rPr>
          <w:rFonts w:asciiTheme="minorHAnsi" w:eastAsia="Times New Roman" w:hAnsiTheme="minorHAnsi" w:cstheme="minorHAnsi"/>
          <w:color w:val="000000"/>
        </w:rPr>
        <w:t xml:space="preserve">5, the $35,000 cap </w:t>
      </w:r>
      <w:r w:rsidR="00AB50EA">
        <w:rPr>
          <w:rFonts w:asciiTheme="minorHAnsi" w:eastAsia="Times New Roman" w:hAnsiTheme="minorHAnsi" w:cstheme="minorHAnsi"/>
          <w:color w:val="000000"/>
        </w:rPr>
        <w:t xml:space="preserve">would </w:t>
      </w:r>
      <w:r w:rsidRPr="00786B1B">
        <w:rPr>
          <w:rFonts w:asciiTheme="minorHAnsi" w:eastAsia="Times New Roman" w:hAnsiTheme="minorHAnsi" w:cstheme="minorHAnsi"/>
          <w:color w:val="000000"/>
        </w:rPr>
        <w:t>provide more of a buffer against significant fee increases from market consolidation than lower caps.</w:t>
      </w:r>
    </w:p>
    <w:p w:rsidR="003845D8" w:rsidRDefault="003845D8">
      <w:pPr>
        <w:autoSpaceDE w:val="0"/>
        <w:autoSpaceDN w:val="0"/>
        <w:adjustRightInd w:val="0"/>
        <w:spacing w:after="18"/>
        <w:ind w:left="1620" w:right="634"/>
        <w:rPr>
          <w:rFonts w:asciiTheme="minorHAnsi" w:eastAsia="Times New Roman" w:hAnsiTheme="minorHAnsi" w:cstheme="minorHAnsi"/>
          <w:color w:val="000000"/>
        </w:rPr>
      </w:pPr>
    </w:p>
    <w:p w:rsidR="003845D8" w:rsidRDefault="00A004FF">
      <w:pPr>
        <w:pStyle w:val="ListParagraph"/>
        <w:numPr>
          <w:ilvl w:val="0"/>
          <w:numId w:val="32"/>
        </w:numPr>
        <w:autoSpaceDE w:val="0"/>
        <w:autoSpaceDN w:val="0"/>
        <w:adjustRightInd w:val="0"/>
        <w:spacing w:after="18"/>
        <w:ind w:right="634"/>
        <w:rPr>
          <w:rFonts w:asciiTheme="minorHAnsi" w:eastAsia="Times New Roman" w:hAnsiTheme="minorHAnsi" w:cstheme="minorHAnsi"/>
          <w:color w:val="000000"/>
        </w:rPr>
      </w:pPr>
      <w:r w:rsidRPr="00786B1B">
        <w:rPr>
          <w:rFonts w:asciiTheme="minorHAnsi" w:eastAsia="Times New Roman" w:hAnsiTheme="minorHAnsi" w:cstheme="minorHAnsi"/>
          <w:color w:val="000000"/>
        </w:rPr>
        <w:t xml:space="preserve">Setting $200 and $40 fixed fees for Tiers 6 and 7, respectively, </w:t>
      </w:r>
      <w:r w:rsidR="00AB50EA">
        <w:rPr>
          <w:rFonts w:asciiTheme="minorHAnsi" w:eastAsia="Times New Roman" w:hAnsiTheme="minorHAnsi" w:cstheme="minorHAnsi"/>
          <w:color w:val="000000"/>
        </w:rPr>
        <w:t xml:space="preserve">would </w:t>
      </w:r>
      <w:r w:rsidRPr="00786B1B">
        <w:rPr>
          <w:rFonts w:asciiTheme="minorHAnsi" w:eastAsia="Times New Roman" w:hAnsiTheme="minorHAnsi" w:cstheme="minorHAnsi"/>
          <w:color w:val="000000"/>
        </w:rPr>
        <w:t>provide fee certainty for all small manufacturers and maintain existing fees for the smallest.</w:t>
      </w:r>
    </w:p>
    <w:p w:rsidR="003845D8" w:rsidRDefault="003845D8">
      <w:pPr>
        <w:autoSpaceDE w:val="0"/>
        <w:autoSpaceDN w:val="0"/>
        <w:adjustRightInd w:val="0"/>
        <w:spacing w:after="18"/>
        <w:ind w:left="1620" w:right="634"/>
        <w:rPr>
          <w:rFonts w:asciiTheme="minorHAnsi" w:eastAsia="Times New Roman" w:hAnsiTheme="minorHAnsi" w:cstheme="minorHAnsi"/>
          <w:color w:val="000000"/>
        </w:rPr>
      </w:pPr>
    </w:p>
    <w:p w:rsidR="003845D8" w:rsidRDefault="00A004FF">
      <w:pPr>
        <w:pStyle w:val="ListParagraph"/>
        <w:numPr>
          <w:ilvl w:val="0"/>
          <w:numId w:val="32"/>
        </w:numPr>
        <w:autoSpaceDE w:val="0"/>
        <w:autoSpaceDN w:val="0"/>
        <w:adjustRightInd w:val="0"/>
        <w:spacing w:after="18"/>
        <w:ind w:right="634"/>
        <w:rPr>
          <w:rFonts w:asciiTheme="minorHAnsi" w:eastAsia="Times New Roman" w:hAnsiTheme="minorHAnsi" w:cstheme="minorHAnsi"/>
          <w:color w:val="000000"/>
        </w:rPr>
      </w:pPr>
      <w:r w:rsidRPr="00786B1B">
        <w:rPr>
          <w:rFonts w:asciiTheme="minorHAnsi" w:eastAsia="Times New Roman" w:hAnsiTheme="minorHAnsi" w:cstheme="minorHAnsi"/>
          <w:color w:val="000000"/>
        </w:rPr>
        <w:t>The proposed fee structure is very similar to the registration fee structure for E-Cycles Washington</w:t>
      </w:r>
      <w:r w:rsidR="00AB1CE2">
        <w:rPr>
          <w:rFonts w:asciiTheme="minorHAnsi" w:eastAsia="Times New Roman" w:hAnsiTheme="minorHAnsi" w:cstheme="minorHAnsi"/>
          <w:color w:val="000000"/>
        </w:rPr>
        <w:t xml:space="preserve">, which </w:t>
      </w:r>
      <w:r w:rsidRPr="00786B1B">
        <w:rPr>
          <w:rFonts w:asciiTheme="minorHAnsi" w:eastAsia="Times New Roman" w:hAnsiTheme="minorHAnsi" w:cstheme="minorHAnsi"/>
          <w:color w:val="000000"/>
        </w:rPr>
        <w:t xml:space="preserve">does not cap fees, </w:t>
      </w:r>
      <w:r w:rsidR="00AB1CE2">
        <w:rPr>
          <w:rFonts w:asciiTheme="minorHAnsi" w:eastAsia="Times New Roman" w:hAnsiTheme="minorHAnsi" w:cstheme="minorHAnsi"/>
          <w:color w:val="000000"/>
        </w:rPr>
        <w:t xml:space="preserve">and </w:t>
      </w:r>
      <w:r w:rsidR="005E7616">
        <w:rPr>
          <w:rFonts w:asciiTheme="minorHAnsi" w:eastAsia="Times New Roman" w:hAnsiTheme="minorHAnsi" w:cstheme="minorHAnsi"/>
          <w:color w:val="000000"/>
        </w:rPr>
        <w:t xml:space="preserve">would </w:t>
      </w:r>
      <w:r w:rsidR="00AB1CE2">
        <w:rPr>
          <w:rFonts w:asciiTheme="minorHAnsi" w:eastAsia="Times New Roman" w:hAnsiTheme="minorHAnsi" w:cstheme="minorHAnsi"/>
          <w:color w:val="000000"/>
        </w:rPr>
        <w:t>s</w:t>
      </w:r>
      <w:r w:rsidRPr="00786B1B">
        <w:rPr>
          <w:rFonts w:asciiTheme="minorHAnsi" w:eastAsia="Times New Roman" w:hAnsiTheme="minorHAnsi" w:cstheme="minorHAnsi"/>
          <w:color w:val="000000"/>
        </w:rPr>
        <w:t>upport consistency between these two quite similar programs.</w:t>
      </w:r>
    </w:p>
    <w:p w:rsidR="00FD7A96" w:rsidRDefault="00FD7A96" w:rsidP="00A004FF">
      <w:pPr>
        <w:spacing w:after="120"/>
        <w:ind w:left="720"/>
        <w:rPr>
          <w:rFonts w:asciiTheme="majorHAnsi" w:eastAsia="Times New Roman" w:hAnsiTheme="majorHAnsi" w:cstheme="majorHAnsi"/>
          <w:bCs/>
          <w:color w:val="463D38" w:themeColor="accent4" w:themeShade="80"/>
          <w:sz w:val="22"/>
          <w:szCs w:val="22"/>
        </w:rPr>
      </w:pPr>
    </w:p>
    <w:p w:rsidR="00A004FF" w:rsidRPr="004F3DFD" w:rsidRDefault="00C259C6" w:rsidP="00A004FF">
      <w:pPr>
        <w:spacing w:after="120"/>
        <w:ind w:left="720"/>
        <w:rPr>
          <w:rFonts w:asciiTheme="majorHAnsi" w:eastAsia="Times New Roman" w:hAnsiTheme="majorHAnsi" w:cstheme="majorHAnsi"/>
          <w:bCs/>
          <w:color w:val="463D38" w:themeColor="accent4" w:themeShade="80"/>
          <w:sz w:val="22"/>
          <w:szCs w:val="22"/>
        </w:rPr>
      </w:pPr>
      <w:r w:rsidRPr="004F3DFD">
        <w:rPr>
          <w:rFonts w:asciiTheme="majorHAnsi" w:eastAsia="Times New Roman" w:hAnsiTheme="majorHAnsi" w:cstheme="majorHAnsi"/>
          <w:bCs/>
          <w:color w:val="463D38" w:themeColor="accent4" w:themeShade="80"/>
          <w:sz w:val="22"/>
          <w:szCs w:val="22"/>
        </w:rPr>
        <w:t>Summary of impacts</w:t>
      </w:r>
    </w:p>
    <w:p w:rsidR="00A004FF" w:rsidRPr="00FE4243" w:rsidRDefault="00C259C6" w:rsidP="004F4412">
      <w:pPr>
        <w:pStyle w:val="ListParagraph"/>
        <w:ind w:left="1080" w:right="630"/>
        <w:rPr>
          <w:rFonts w:asciiTheme="minorHAnsi" w:eastAsia="Times New Roman" w:hAnsiTheme="minorHAnsi" w:cstheme="minorHAnsi"/>
          <w:bCs/>
        </w:rPr>
      </w:pPr>
      <w:r w:rsidRPr="00C259C6">
        <w:rPr>
          <w:rFonts w:asciiTheme="minorHAnsi" w:eastAsia="Times New Roman" w:hAnsiTheme="minorHAnsi" w:cstheme="minorHAnsi"/>
          <w:bCs/>
        </w:rPr>
        <w:t xml:space="preserve">Even under the current fee structure, a manufacturer’s registration fee may change from </w:t>
      </w:r>
      <w:r w:rsidRPr="00C259C6">
        <w:rPr>
          <w:rFonts w:asciiTheme="minorHAnsi" w:eastAsia="Times New Roman" w:hAnsiTheme="minorHAnsi" w:cstheme="minorHAnsi"/>
          <w:bCs/>
        </w:rPr>
        <w:lastRenderedPageBreak/>
        <w:t>year to year if its market share changes. In order to measure the impact of the proposed fee change on manufacturers, DEQ calculated each manufacturer’s fee under the proposed fee structure using E-Cycles manufacturer and market share data for 2008-2012 and compared those fees to fees under the current fee structure. Table 4 shows the results of that analysis.</w:t>
      </w:r>
      <w:r w:rsidR="00616723">
        <w:rPr>
          <w:rFonts w:asciiTheme="minorHAnsi" w:eastAsia="Times New Roman" w:hAnsiTheme="minorHAnsi" w:cstheme="minorHAnsi"/>
          <w:bCs/>
        </w:rPr>
        <w:t xml:space="preserve"> </w:t>
      </w:r>
      <w:r w:rsidRPr="00C259C6">
        <w:rPr>
          <w:rFonts w:asciiTheme="minorHAnsi" w:eastAsia="Times New Roman" w:hAnsiTheme="minorHAnsi" w:cstheme="minorHAnsi"/>
          <w:bCs/>
        </w:rPr>
        <w:t xml:space="preserve">Fees under the proposed fee structure using 2012 data increased by $20,000 for six Tier 1 manufacturers, increased $2,468 for nine Tier 2 manufacturers, decreased $3,153 for nineteen Tier 3 manufacturers, </w:t>
      </w:r>
      <w:r w:rsidR="00FE4243">
        <w:rPr>
          <w:rFonts w:asciiTheme="minorHAnsi" w:eastAsia="Times New Roman" w:hAnsiTheme="minorHAnsi" w:cstheme="minorHAnsi"/>
          <w:bCs/>
        </w:rPr>
        <w:t>in</w:t>
      </w:r>
      <w:r w:rsidRPr="00C259C6">
        <w:rPr>
          <w:rFonts w:asciiTheme="minorHAnsi" w:eastAsia="Times New Roman" w:hAnsiTheme="minorHAnsi" w:cstheme="minorHAnsi"/>
          <w:bCs/>
        </w:rPr>
        <w:t xml:space="preserve">creased $206 for eight Tier 4 manufacturers, and increased $160 for fifteen Tier 6 manufacturers. Fees remained the same for eight manufacturers in Tier 5 and </w:t>
      </w:r>
      <w:r w:rsidR="0073490E">
        <w:rPr>
          <w:rFonts w:asciiTheme="minorHAnsi" w:eastAsia="Times New Roman" w:hAnsiTheme="minorHAnsi" w:cstheme="minorHAnsi"/>
          <w:bCs/>
        </w:rPr>
        <w:t>94</w:t>
      </w:r>
      <w:r w:rsidRPr="00C259C6">
        <w:rPr>
          <w:rFonts w:asciiTheme="minorHAnsi" w:eastAsia="Times New Roman" w:hAnsiTheme="minorHAnsi" w:cstheme="minorHAnsi"/>
          <w:bCs/>
        </w:rPr>
        <w:t xml:space="preserve"> in Tier 7.</w:t>
      </w:r>
    </w:p>
    <w:p w:rsidR="00A004FF" w:rsidRDefault="00A004FF" w:rsidP="00A004FF">
      <w:pPr>
        <w:pStyle w:val="ListParagraph"/>
        <w:rPr>
          <w:rFonts w:asciiTheme="minorHAnsi" w:eastAsia="Times New Roman" w:hAnsiTheme="minorHAnsi" w:cstheme="minorHAnsi"/>
          <w:bCs/>
          <w:color w:val="504938"/>
        </w:rPr>
      </w:pPr>
    </w:p>
    <w:p w:rsidR="00352B2C" w:rsidRPr="004F4412" w:rsidRDefault="00352B2C" w:rsidP="004F4412">
      <w:pPr>
        <w:ind w:left="1080" w:right="630"/>
        <w:rPr>
          <w:rFonts w:asciiTheme="minorHAnsi" w:eastAsia="Times New Roman" w:hAnsiTheme="minorHAnsi" w:cstheme="minorHAnsi"/>
          <w:bCs/>
          <w:color w:val="000000" w:themeColor="text1"/>
        </w:rPr>
      </w:pPr>
      <w:r w:rsidRPr="004F4412">
        <w:rPr>
          <w:rFonts w:asciiTheme="minorHAnsi" w:eastAsia="Times New Roman" w:hAnsiTheme="minorHAnsi" w:cstheme="minorHAnsi"/>
          <w:bCs/>
          <w:color w:val="000000" w:themeColor="text1"/>
        </w:rPr>
        <w:t xml:space="preserve">Manufacturers </w:t>
      </w:r>
      <w:r w:rsidR="0073490E">
        <w:rPr>
          <w:rFonts w:asciiTheme="minorHAnsi" w:eastAsia="Times New Roman" w:hAnsiTheme="minorHAnsi" w:cstheme="minorHAnsi"/>
          <w:bCs/>
          <w:color w:val="000000" w:themeColor="text1"/>
        </w:rPr>
        <w:t xml:space="preserve">would </w:t>
      </w:r>
      <w:r w:rsidRPr="004F4412">
        <w:rPr>
          <w:rFonts w:asciiTheme="minorHAnsi" w:eastAsia="Times New Roman" w:hAnsiTheme="minorHAnsi" w:cstheme="minorHAnsi"/>
          <w:bCs/>
          <w:color w:val="000000" w:themeColor="text1"/>
        </w:rPr>
        <w:t>begin paying fees under the proposed fee structure in 2013.</w:t>
      </w:r>
      <w:r w:rsidR="00616723">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For 2012 only, </w:t>
      </w:r>
      <w:r w:rsidR="00CB474C" w:rsidRPr="004F4412">
        <w:rPr>
          <w:rFonts w:asciiTheme="minorHAnsi" w:eastAsia="Times New Roman" w:hAnsiTheme="minorHAnsi" w:cstheme="minorHAnsi"/>
          <w:bCs/>
          <w:color w:val="000000" w:themeColor="text1"/>
        </w:rPr>
        <w:t xml:space="preserve">manufacturers </w:t>
      </w:r>
      <w:r w:rsidR="005E7616">
        <w:rPr>
          <w:rFonts w:asciiTheme="minorHAnsi" w:eastAsia="Times New Roman" w:hAnsiTheme="minorHAnsi" w:cstheme="minorHAnsi"/>
          <w:bCs/>
          <w:color w:val="000000" w:themeColor="text1"/>
        </w:rPr>
        <w:t xml:space="preserve">would </w:t>
      </w:r>
      <w:r w:rsidRPr="004F4412">
        <w:rPr>
          <w:rFonts w:asciiTheme="minorHAnsi" w:eastAsia="Times New Roman" w:hAnsiTheme="minorHAnsi" w:cstheme="minorHAnsi"/>
          <w:bCs/>
          <w:color w:val="000000" w:themeColor="text1"/>
        </w:rPr>
        <w:t xml:space="preserve">pay fees </w:t>
      </w:r>
      <w:r w:rsidR="00CB474C" w:rsidRPr="004F4412">
        <w:rPr>
          <w:rFonts w:asciiTheme="minorHAnsi" w:eastAsia="Times New Roman" w:hAnsiTheme="minorHAnsi" w:cstheme="minorHAnsi"/>
          <w:bCs/>
          <w:color w:val="000000" w:themeColor="text1"/>
        </w:rPr>
        <w:t xml:space="preserve">to meet the $415,000 revenue need </w:t>
      </w:r>
      <w:r w:rsidRPr="004F4412">
        <w:rPr>
          <w:rFonts w:asciiTheme="minorHAnsi" w:eastAsia="Times New Roman" w:hAnsiTheme="minorHAnsi" w:cstheme="minorHAnsi"/>
          <w:bCs/>
          <w:color w:val="000000" w:themeColor="text1"/>
        </w:rPr>
        <w:t xml:space="preserve">as follows. All manufacturers </w:t>
      </w:r>
      <w:r w:rsidR="00F73FD6">
        <w:rPr>
          <w:rFonts w:asciiTheme="minorHAnsi" w:eastAsia="Times New Roman" w:hAnsiTheme="minorHAnsi" w:cstheme="minorHAnsi"/>
          <w:bCs/>
          <w:color w:val="000000" w:themeColor="text1"/>
        </w:rPr>
        <w:t xml:space="preserve">will </w:t>
      </w:r>
      <w:r w:rsidRPr="004F4412">
        <w:rPr>
          <w:rFonts w:asciiTheme="minorHAnsi" w:eastAsia="Times New Roman" w:hAnsiTheme="minorHAnsi" w:cstheme="minorHAnsi"/>
          <w:bCs/>
          <w:color w:val="000000" w:themeColor="text1"/>
        </w:rPr>
        <w:t>pay fees under the existing fee structure, due July 1</w:t>
      </w:r>
      <w:r w:rsidR="0073490E">
        <w:rPr>
          <w:rFonts w:asciiTheme="minorHAnsi" w:eastAsia="Times New Roman" w:hAnsiTheme="minorHAnsi" w:cstheme="minorHAnsi"/>
          <w:bCs/>
          <w:color w:val="000000" w:themeColor="text1"/>
        </w:rPr>
        <w:t>, 2012</w:t>
      </w:r>
      <w:r w:rsidRPr="004F4412">
        <w:rPr>
          <w:rFonts w:asciiTheme="minorHAnsi" w:eastAsia="Times New Roman" w:hAnsiTheme="minorHAnsi" w:cstheme="minorHAnsi"/>
          <w:bCs/>
          <w:color w:val="000000" w:themeColor="text1"/>
        </w:rPr>
        <w:t>.</w:t>
      </w:r>
      <w:r w:rsidR="00616723">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The total revenue to be collected from those fees</w:t>
      </w:r>
      <w:r w:rsidR="0073490E">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$327,560</w:t>
      </w:r>
      <w:r w:rsidR="0073490E">
        <w:rPr>
          <w:rFonts w:asciiTheme="minorHAnsi" w:eastAsia="Times New Roman" w:hAnsiTheme="minorHAnsi" w:cstheme="minorHAnsi"/>
          <w:bCs/>
          <w:color w:val="000000" w:themeColor="text1"/>
        </w:rPr>
        <w:t>,</w:t>
      </w:r>
      <w:r w:rsidRPr="004F4412">
        <w:rPr>
          <w:rFonts w:asciiTheme="minorHAnsi" w:eastAsia="Times New Roman" w:hAnsiTheme="minorHAnsi" w:cstheme="minorHAnsi"/>
          <w:bCs/>
          <w:color w:val="000000" w:themeColor="text1"/>
        </w:rPr>
        <w:t xml:space="preserve"> is $87,440 </w:t>
      </w:r>
      <w:r w:rsidRPr="004F4412">
        <w:rPr>
          <w:rFonts w:asciiTheme="minorHAnsi" w:eastAsia="Times New Roman" w:hAnsiTheme="minorHAnsi" w:cstheme="minorHAnsi"/>
          <w:bCs/>
          <w:color w:val="000000" w:themeColor="text1"/>
        </w:rPr>
        <w:lastRenderedPageBreak/>
        <w:t>short of the $415,000 need</w:t>
      </w:r>
      <w:r w:rsidR="00CB474C" w:rsidRPr="004F4412">
        <w:rPr>
          <w:rFonts w:asciiTheme="minorHAnsi" w:eastAsia="Times New Roman" w:hAnsiTheme="minorHAnsi" w:cstheme="minorHAnsi"/>
          <w:bCs/>
          <w:color w:val="000000" w:themeColor="text1"/>
        </w:rPr>
        <w:t>ed</w:t>
      </w:r>
      <w:r w:rsidRPr="004F4412">
        <w:rPr>
          <w:rFonts w:asciiTheme="minorHAnsi" w:eastAsia="Times New Roman" w:hAnsiTheme="minorHAnsi" w:cstheme="minorHAnsi"/>
          <w:bCs/>
          <w:color w:val="000000" w:themeColor="text1"/>
        </w:rPr>
        <w:t xml:space="preserve"> for 2012.</w:t>
      </w:r>
      <w:r w:rsidR="00616723">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To meet revenue need, DEQ </w:t>
      </w:r>
      <w:r w:rsidR="005E7616">
        <w:rPr>
          <w:rFonts w:asciiTheme="minorHAnsi" w:eastAsia="Times New Roman" w:hAnsiTheme="minorHAnsi" w:cstheme="minorHAnsi"/>
          <w:bCs/>
          <w:color w:val="000000" w:themeColor="text1"/>
        </w:rPr>
        <w:t>would</w:t>
      </w:r>
      <w:r w:rsidR="0073490E">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allocate </w:t>
      </w:r>
      <w:r w:rsidR="00EC7426" w:rsidRPr="004F4412">
        <w:rPr>
          <w:rFonts w:asciiTheme="minorHAnsi" w:eastAsia="Times New Roman" w:hAnsiTheme="minorHAnsi" w:cstheme="minorHAnsi"/>
          <w:bCs/>
          <w:color w:val="000000" w:themeColor="text1"/>
        </w:rPr>
        <w:t xml:space="preserve">the </w:t>
      </w:r>
      <w:r w:rsidRPr="004F4412">
        <w:rPr>
          <w:rFonts w:asciiTheme="minorHAnsi" w:eastAsia="Times New Roman" w:hAnsiTheme="minorHAnsi" w:cstheme="minorHAnsi"/>
          <w:bCs/>
          <w:color w:val="000000" w:themeColor="text1"/>
        </w:rPr>
        <w:t>shortfall among manufacturers whose fees for 2012 would be at least $250 higher under the proposed fee structure.</w:t>
      </w:r>
      <w:r w:rsidR="00616723">
        <w:rPr>
          <w:rFonts w:asciiTheme="minorHAnsi" w:eastAsia="Times New Roman" w:hAnsiTheme="minorHAnsi" w:cstheme="minorHAnsi"/>
          <w:bCs/>
          <w:color w:val="000000" w:themeColor="text1"/>
        </w:rPr>
        <w:t xml:space="preserve"> </w:t>
      </w:r>
      <w:r w:rsidR="00630F21" w:rsidRPr="004F4412">
        <w:rPr>
          <w:rFonts w:asciiTheme="minorHAnsi" w:eastAsia="Times New Roman" w:hAnsiTheme="minorHAnsi" w:cstheme="minorHAnsi"/>
          <w:bCs/>
          <w:color w:val="000000" w:themeColor="text1"/>
        </w:rPr>
        <w:t xml:space="preserve">The shortfall </w:t>
      </w:r>
      <w:r w:rsidR="005E7616">
        <w:rPr>
          <w:rFonts w:asciiTheme="minorHAnsi" w:eastAsia="Times New Roman" w:hAnsiTheme="minorHAnsi" w:cstheme="minorHAnsi"/>
          <w:bCs/>
          <w:color w:val="000000" w:themeColor="text1"/>
        </w:rPr>
        <w:t>would</w:t>
      </w:r>
      <w:r w:rsidR="005E7616" w:rsidRPr="004F4412">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be allocated in proportion with their market share.</w:t>
      </w:r>
      <w:r w:rsidR="00616723">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The result is that the six manufacturers in proposed Tier 1 </w:t>
      </w:r>
      <w:r w:rsidR="00F73FD6">
        <w:rPr>
          <w:rFonts w:asciiTheme="minorHAnsi" w:eastAsia="Times New Roman" w:hAnsiTheme="minorHAnsi" w:cstheme="minorHAnsi"/>
          <w:bCs/>
          <w:color w:val="000000" w:themeColor="text1"/>
        </w:rPr>
        <w:t xml:space="preserve">would </w:t>
      </w:r>
      <w:r w:rsidR="007948EE" w:rsidRPr="004F4412">
        <w:rPr>
          <w:rFonts w:asciiTheme="minorHAnsi" w:eastAsia="Times New Roman" w:hAnsiTheme="minorHAnsi" w:cstheme="minorHAnsi"/>
          <w:bCs/>
          <w:color w:val="000000" w:themeColor="text1"/>
        </w:rPr>
        <w:t xml:space="preserve">each </w:t>
      </w:r>
      <w:r w:rsidRPr="004F4412">
        <w:rPr>
          <w:rFonts w:asciiTheme="minorHAnsi" w:eastAsia="Times New Roman" w:hAnsiTheme="minorHAnsi" w:cstheme="minorHAnsi"/>
          <w:bCs/>
          <w:color w:val="000000" w:themeColor="text1"/>
        </w:rPr>
        <w:t>pay an additional $10,573</w:t>
      </w:r>
      <w:r w:rsidR="0073490E">
        <w:rPr>
          <w:rFonts w:asciiTheme="minorHAnsi" w:eastAsia="Times New Roman" w:hAnsiTheme="minorHAnsi" w:cstheme="minorHAnsi"/>
          <w:bCs/>
          <w:color w:val="000000" w:themeColor="text1"/>
        </w:rPr>
        <w:t xml:space="preserve">, for </w:t>
      </w:r>
      <w:r w:rsidRPr="004F4412">
        <w:rPr>
          <w:rFonts w:asciiTheme="minorHAnsi" w:eastAsia="Times New Roman" w:hAnsiTheme="minorHAnsi" w:cstheme="minorHAnsi"/>
          <w:bCs/>
          <w:color w:val="000000" w:themeColor="text1"/>
        </w:rPr>
        <w:t>$25,573 total</w:t>
      </w:r>
      <w:r w:rsidR="0073490E">
        <w:rPr>
          <w:rFonts w:asciiTheme="minorHAnsi" w:eastAsia="Times New Roman" w:hAnsiTheme="minorHAnsi" w:cstheme="minorHAnsi"/>
          <w:bCs/>
          <w:color w:val="000000" w:themeColor="text1"/>
        </w:rPr>
        <w:t xml:space="preserve">, </w:t>
      </w:r>
      <w:r w:rsidRPr="004F4412">
        <w:rPr>
          <w:rFonts w:asciiTheme="minorHAnsi" w:eastAsia="Times New Roman" w:hAnsiTheme="minorHAnsi" w:cstheme="minorHAnsi"/>
          <w:bCs/>
          <w:color w:val="000000" w:themeColor="text1"/>
        </w:rPr>
        <w:t xml:space="preserve">and the nine manufacturers in </w:t>
      </w:r>
      <w:r w:rsidR="00CB474C" w:rsidRPr="004F4412">
        <w:rPr>
          <w:rFonts w:asciiTheme="minorHAnsi" w:eastAsia="Times New Roman" w:hAnsiTheme="minorHAnsi" w:cstheme="minorHAnsi"/>
          <w:bCs/>
          <w:color w:val="000000" w:themeColor="text1"/>
        </w:rPr>
        <w:t xml:space="preserve">proposed </w:t>
      </w:r>
      <w:r w:rsidRPr="004F4412">
        <w:rPr>
          <w:rFonts w:asciiTheme="minorHAnsi" w:eastAsia="Times New Roman" w:hAnsiTheme="minorHAnsi" w:cstheme="minorHAnsi"/>
          <w:bCs/>
          <w:color w:val="000000" w:themeColor="text1"/>
        </w:rPr>
        <w:t xml:space="preserve">Tier 2 </w:t>
      </w:r>
      <w:r w:rsidR="00F73FD6">
        <w:rPr>
          <w:rFonts w:asciiTheme="minorHAnsi" w:eastAsia="Times New Roman" w:hAnsiTheme="minorHAnsi" w:cstheme="minorHAnsi"/>
          <w:bCs/>
          <w:color w:val="000000" w:themeColor="text1"/>
        </w:rPr>
        <w:t>would</w:t>
      </w:r>
      <w:r w:rsidR="00F73FD6" w:rsidRPr="004F4412">
        <w:rPr>
          <w:rFonts w:asciiTheme="minorHAnsi" w:eastAsia="Times New Roman" w:hAnsiTheme="minorHAnsi" w:cstheme="minorHAnsi"/>
          <w:bCs/>
          <w:color w:val="000000" w:themeColor="text1"/>
        </w:rPr>
        <w:t xml:space="preserve"> </w:t>
      </w:r>
      <w:r w:rsidR="007948EE" w:rsidRPr="004F4412">
        <w:rPr>
          <w:rFonts w:asciiTheme="minorHAnsi" w:eastAsia="Times New Roman" w:hAnsiTheme="minorHAnsi" w:cstheme="minorHAnsi"/>
          <w:bCs/>
          <w:color w:val="000000" w:themeColor="text1"/>
        </w:rPr>
        <w:t xml:space="preserve">each </w:t>
      </w:r>
      <w:r w:rsidRPr="004F4412">
        <w:rPr>
          <w:rFonts w:asciiTheme="minorHAnsi" w:eastAsia="Times New Roman" w:hAnsiTheme="minorHAnsi" w:cstheme="minorHAnsi"/>
          <w:bCs/>
          <w:color w:val="000000" w:themeColor="text1"/>
        </w:rPr>
        <w:t>pay an additional $2,667</w:t>
      </w:r>
      <w:r w:rsidR="0073490E">
        <w:rPr>
          <w:rFonts w:asciiTheme="minorHAnsi" w:eastAsia="Times New Roman" w:hAnsiTheme="minorHAnsi" w:cstheme="minorHAnsi"/>
          <w:bCs/>
          <w:color w:val="000000" w:themeColor="text1"/>
        </w:rPr>
        <w:t xml:space="preserve">, for </w:t>
      </w:r>
      <w:r w:rsidRPr="004F4412">
        <w:rPr>
          <w:rFonts w:asciiTheme="minorHAnsi" w:eastAsia="Times New Roman" w:hAnsiTheme="minorHAnsi" w:cstheme="minorHAnsi"/>
          <w:bCs/>
          <w:color w:val="000000" w:themeColor="text1"/>
        </w:rPr>
        <w:t>$17,667 total</w:t>
      </w:r>
      <w:r w:rsidR="0073490E">
        <w:rPr>
          <w:rFonts w:asciiTheme="minorHAnsi" w:eastAsia="Times New Roman" w:hAnsiTheme="minorHAnsi" w:cstheme="minorHAnsi"/>
          <w:bCs/>
          <w:color w:val="000000" w:themeColor="text1"/>
        </w:rPr>
        <w:t>,</w:t>
      </w:r>
      <w:r w:rsidRPr="004F4412">
        <w:rPr>
          <w:rFonts w:asciiTheme="minorHAnsi" w:eastAsia="Times New Roman" w:hAnsiTheme="minorHAnsi" w:cstheme="minorHAnsi"/>
          <w:bCs/>
          <w:color w:val="000000" w:themeColor="text1"/>
        </w:rPr>
        <w:t xml:space="preserve"> in 2012. The $250 threshold for allocating the shortfall </w:t>
      </w:r>
      <w:r w:rsidR="00F73FD6">
        <w:rPr>
          <w:rFonts w:asciiTheme="minorHAnsi" w:eastAsia="Times New Roman" w:hAnsiTheme="minorHAnsi" w:cstheme="minorHAnsi"/>
          <w:bCs/>
          <w:color w:val="000000" w:themeColor="text1"/>
        </w:rPr>
        <w:t xml:space="preserve">would </w:t>
      </w:r>
      <w:r w:rsidRPr="004F4412">
        <w:rPr>
          <w:rFonts w:asciiTheme="minorHAnsi" w:eastAsia="Times New Roman" w:hAnsiTheme="minorHAnsi" w:cstheme="minorHAnsi"/>
          <w:bCs/>
          <w:color w:val="000000" w:themeColor="text1"/>
        </w:rPr>
        <w:t xml:space="preserve">eliminate eight manufacturers who </w:t>
      </w:r>
      <w:r w:rsidR="006F61F5" w:rsidRPr="004F4412">
        <w:rPr>
          <w:rFonts w:asciiTheme="minorHAnsi" w:eastAsia="Times New Roman" w:hAnsiTheme="minorHAnsi" w:cstheme="minorHAnsi"/>
          <w:bCs/>
          <w:color w:val="000000" w:themeColor="text1"/>
        </w:rPr>
        <w:t xml:space="preserve">otherwise would </w:t>
      </w:r>
      <w:r w:rsidRPr="004F4412">
        <w:rPr>
          <w:rFonts w:asciiTheme="minorHAnsi" w:eastAsia="Times New Roman" w:hAnsiTheme="minorHAnsi" w:cstheme="minorHAnsi"/>
          <w:bCs/>
          <w:color w:val="000000" w:themeColor="text1"/>
        </w:rPr>
        <w:t>collectively pay an additional $493 in fees</w:t>
      </w:r>
      <w:r w:rsidR="006F61F5" w:rsidRPr="004F4412">
        <w:rPr>
          <w:rFonts w:asciiTheme="minorHAnsi" w:eastAsia="Times New Roman" w:hAnsiTheme="minorHAnsi" w:cstheme="minorHAnsi"/>
          <w:bCs/>
          <w:color w:val="000000" w:themeColor="text1"/>
        </w:rPr>
        <w:t xml:space="preserve"> in 2012</w:t>
      </w:r>
      <w:r w:rsidRPr="004F4412">
        <w:rPr>
          <w:rFonts w:asciiTheme="minorHAnsi" w:eastAsia="Times New Roman" w:hAnsiTheme="minorHAnsi" w:cstheme="minorHAnsi"/>
          <w:bCs/>
          <w:color w:val="000000" w:themeColor="text1"/>
        </w:rPr>
        <w:t xml:space="preserve">. </w:t>
      </w:r>
    </w:p>
    <w:tbl>
      <w:tblPr>
        <w:tblpPr w:leftFromText="180" w:rightFromText="180" w:vertAnchor="page" w:horzAnchor="margin" w:tblpXSpec="center" w:tblpY="1321"/>
        <w:tblW w:w="10656" w:type="dxa"/>
        <w:tblLayout w:type="fixed"/>
        <w:tblLook w:val="04A0"/>
      </w:tblPr>
      <w:tblGrid>
        <w:gridCol w:w="673"/>
        <w:gridCol w:w="515"/>
        <w:gridCol w:w="151"/>
        <w:gridCol w:w="874"/>
        <w:gridCol w:w="505"/>
        <w:gridCol w:w="102"/>
        <w:gridCol w:w="868"/>
        <w:gridCol w:w="470"/>
        <w:gridCol w:w="128"/>
        <w:gridCol w:w="768"/>
        <w:gridCol w:w="454"/>
        <w:gridCol w:w="144"/>
        <w:gridCol w:w="623"/>
        <w:gridCol w:w="598"/>
        <w:gridCol w:w="658"/>
        <w:gridCol w:w="497"/>
        <w:gridCol w:w="101"/>
        <w:gridCol w:w="623"/>
        <w:gridCol w:w="598"/>
        <w:gridCol w:w="658"/>
        <w:gridCol w:w="648"/>
      </w:tblGrid>
      <w:tr w:rsidR="00981F50" w:rsidRPr="00FB6695" w:rsidTr="00981F50">
        <w:trPr>
          <w:trHeight w:val="970"/>
        </w:trPr>
        <w:tc>
          <w:tcPr>
            <w:tcW w:w="10656" w:type="dxa"/>
            <w:gridSpan w:val="21"/>
            <w:tcBorders>
              <w:top w:val="single" w:sz="8" w:space="0" w:color="auto"/>
              <w:left w:val="single" w:sz="8" w:space="0" w:color="000000"/>
              <w:bottom w:val="single" w:sz="4" w:space="0" w:color="auto"/>
              <w:right w:val="single" w:sz="8" w:space="0" w:color="000000"/>
            </w:tcBorders>
            <w:shd w:val="clear" w:color="auto" w:fill="008272"/>
            <w:noWrap/>
            <w:vAlign w:val="center"/>
            <w:hideMark/>
          </w:tcPr>
          <w:p w:rsidR="00981F50" w:rsidRDefault="00981F50" w:rsidP="00981F50">
            <w:pPr>
              <w:ind w:right="450"/>
              <w:jc w:val="center"/>
              <w:rPr>
                <w:rFonts w:asciiTheme="majorHAnsi" w:eastAsia="Times New Roman" w:hAnsiTheme="majorHAnsi" w:cstheme="majorHAnsi"/>
                <w:bCs/>
                <w:color w:val="FFFFFF" w:themeColor="background1"/>
              </w:rPr>
            </w:pPr>
          </w:p>
          <w:p w:rsidR="00981F50" w:rsidRPr="005A7DF4" w:rsidRDefault="00981F50" w:rsidP="00981F50">
            <w:pPr>
              <w:jc w:val="center"/>
              <w:rPr>
                <w:rFonts w:asciiTheme="majorHAnsi" w:eastAsia="Times New Roman" w:hAnsiTheme="majorHAnsi" w:cstheme="majorHAnsi"/>
                <w:bCs/>
                <w:color w:val="FFFFFF" w:themeColor="background1"/>
              </w:rPr>
            </w:pPr>
            <w:r w:rsidRPr="005A7DF4">
              <w:rPr>
                <w:rFonts w:asciiTheme="majorHAnsi" w:eastAsia="Times New Roman" w:hAnsiTheme="majorHAnsi" w:cstheme="majorHAnsi"/>
                <w:bCs/>
                <w:color w:val="FFFFFF" w:themeColor="background1"/>
                <w:sz w:val="22"/>
                <w:szCs w:val="22"/>
              </w:rPr>
              <w:t>Table 4</w:t>
            </w:r>
          </w:p>
          <w:p w:rsidR="00981F50" w:rsidRPr="004269D9" w:rsidRDefault="00981F50" w:rsidP="00981F50">
            <w:pPr>
              <w:jc w:val="center"/>
              <w:rPr>
                <w:rFonts w:asciiTheme="majorHAnsi" w:eastAsia="Times New Roman" w:hAnsiTheme="majorHAnsi" w:cstheme="majorHAnsi"/>
                <w:b/>
                <w:bCs/>
                <w:color w:val="FFFFFF" w:themeColor="background1"/>
              </w:rPr>
            </w:pPr>
            <w:r w:rsidRPr="004269D9">
              <w:rPr>
                <w:rFonts w:asciiTheme="majorHAnsi" w:eastAsia="Times New Roman" w:hAnsiTheme="majorHAnsi" w:cstheme="majorHAnsi"/>
                <w:b/>
                <w:bCs/>
                <w:color w:val="FFFFFF" w:themeColor="background1"/>
                <w:sz w:val="22"/>
                <w:szCs w:val="22"/>
              </w:rPr>
              <w:t>Comparison:</w:t>
            </w:r>
            <w:r>
              <w:rPr>
                <w:rFonts w:asciiTheme="majorHAnsi" w:eastAsia="Times New Roman" w:hAnsiTheme="majorHAnsi" w:cstheme="majorHAnsi"/>
                <w:b/>
                <w:bCs/>
                <w:color w:val="FFFFFF" w:themeColor="background1"/>
                <w:sz w:val="22"/>
                <w:szCs w:val="22"/>
              </w:rPr>
              <w:t xml:space="preserve"> </w:t>
            </w:r>
            <w:r w:rsidRPr="004269D9">
              <w:rPr>
                <w:rFonts w:asciiTheme="majorHAnsi" w:eastAsia="Times New Roman" w:hAnsiTheme="majorHAnsi" w:cstheme="majorHAnsi"/>
                <w:b/>
                <w:bCs/>
                <w:color w:val="FFFFFF" w:themeColor="background1"/>
                <w:sz w:val="22"/>
                <w:szCs w:val="22"/>
              </w:rPr>
              <w:t>Proposed to Existing Registration Fees</w:t>
            </w:r>
          </w:p>
          <w:p w:rsidR="00981F50" w:rsidRPr="004269D9" w:rsidRDefault="00981F50" w:rsidP="00981F50">
            <w:pPr>
              <w:jc w:val="center"/>
              <w:rPr>
                <w:rFonts w:asciiTheme="majorHAnsi" w:eastAsia="Times New Roman" w:hAnsiTheme="majorHAnsi" w:cstheme="majorHAnsi"/>
                <w:b/>
                <w:bCs/>
                <w:color w:val="FFFFFF" w:themeColor="background1"/>
              </w:rPr>
            </w:pPr>
            <w:r w:rsidRPr="004269D9">
              <w:rPr>
                <w:rFonts w:asciiTheme="majorHAnsi" w:eastAsia="Times New Roman" w:hAnsiTheme="majorHAnsi" w:cstheme="majorHAnsi"/>
                <w:b/>
                <w:bCs/>
                <w:color w:val="FFFFFF" w:themeColor="background1"/>
                <w:sz w:val="22"/>
                <w:szCs w:val="22"/>
              </w:rPr>
              <w:t>Using E-Cycles Manufacturer Data for 2008 – 2012</w:t>
            </w:r>
          </w:p>
          <w:p w:rsidR="00981F50" w:rsidRDefault="00981F50" w:rsidP="00981F50">
            <w:pPr>
              <w:jc w:val="center"/>
              <w:rPr>
                <w:rFonts w:asciiTheme="majorHAnsi" w:eastAsia="Times New Roman" w:hAnsiTheme="majorHAnsi" w:cstheme="majorHAnsi"/>
                <w:b/>
                <w:bCs/>
                <w:color w:val="FFFFFF" w:themeColor="background1"/>
              </w:rPr>
            </w:pPr>
            <w:r w:rsidRPr="004269D9">
              <w:rPr>
                <w:rFonts w:asciiTheme="majorHAnsi" w:eastAsia="Times New Roman" w:hAnsiTheme="majorHAnsi" w:cstheme="majorHAnsi"/>
                <w:b/>
                <w:bCs/>
                <w:color w:val="FFFFFF" w:themeColor="background1"/>
                <w:sz w:val="22"/>
                <w:szCs w:val="22"/>
              </w:rPr>
              <w:t>and $415,000 as the Revenue Need</w:t>
            </w:r>
          </w:p>
          <w:p w:rsidR="00981F50" w:rsidRPr="004269D9" w:rsidRDefault="00981F50" w:rsidP="00981F50">
            <w:pPr>
              <w:jc w:val="center"/>
              <w:rPr>
                <w:rFonts w:asciiTheme="majorHAnsi" w:eastAsia="Times New Roman" w:hAnsiTheme="majorHAnsi" w:cstheme="majorHAnsi"/>
                <w:color w:val="FFFFFF" w:themeColor="background1"/>
                <w:sz w:val="20"/>
                <w:szCs w:val="20"/>
              </w:rPr>
            </w:pPr>
          </w:p>
        </w:tc>
      </w:tr>
      <w:tr w:rsidR="00981F50" w:rsidRPr="004F5FE3" w:rsidTr="00981F50">
        <w:trPr>
          <w:trHeight w:val="300"/>
        </w:trPr>
        <w:tc>
          <w:tcPr>
            <w:tcW w:w="10656" w:type="dxa"/>
            <w:gridSpan w:val="21"/>
            <w:tcBorders>
              <w:top w:val="single" w:sz="8" w:space="0" w:color="auto"/>
              <w:left w:val="single" w:sz="8" w:space="0" w:color="000000"/>
              <w:bottom w:val="single" w:sz="4" w:space="0" w:color="auto"/>
              <w:right w:val="single" w:sz="8" w:space="0" w:color="000000"/>
            </w:tcBorders>
            <w:shd w:val="clear" w:color="auto" w:fill="B1DDCD"/>
            <w:noWrap/>
            <w:vAlign w:val="bottom"/>
            <w:hideMark/>
          </w:tcPr>
          <w:p w:rsidR="00981F50" w:rsidRPr="004269D9" w:rsidRDefault="00981F50" w:rsidP="00981F50">
            <w:pPr>
              <w:jc w:val="center"/>
              <w:rPr>
                <w:rFonts w:asciiTheme="majorHAnsi" w:eastAsia="Times New Roman" w:hAnsiTheme="majorHAnsi" w:cstheme="majorHAnsi"/>
                <w:b/>
                <w:color w:val="000000" w:themeColor="text1"/>
              </w:rPr>
            </w:pPr>
            <w:r w:rsidRPr="004269D9">
              <w:rPr>
                <w:rFonts w:asciiTheme="majorHAnsi" w:eastAsia="Times New Roman" w:hAnsiTheme="majorHAnsi" w:cstheme="majorHAnsi"/>
                <w:b/>
                <w:color w:val="000000" w:themeColor="text1"/>
                <w:sz w:val="22"/>
                <w:szCs w:val="22"/>
              </w:rPr>
              <w:t>Proposed Fees</w:t>
            </w:r>
            <w:r w:rsidRPr="004269D9">
              <w:rPr>
                <w:rFonts w:asciiTheme="majorHAnsi" w:eastAsia="Times New Roman" w:hAnsiTheme="majorHAnsi" w:cstheme="majorHAnsi"/>
                <w:b/>
                <w:color w:val="000000" w:themeColor="text1"/>
                <w:sz w:val="22"/>
                <w:szCs w:val="22"/>
                <w:vertAlign w:val="superscript"/>
              </w:rPr>
              <w:t>1</w:t>
            </w:r>
          </w:p>
        </w:tc>
      </w:tr>
      <w:tr w:rsidR="00981F50" w:rsidRPr="00FB6695" w:rsidTr="00981F50">
        <w:trPr>
          <w:trHeight w:val="300"/>
        </w:trPr>
        <w:tc>
          <w:tcPr>
            <w:tcW w:w="673" w:type="dxa"/>
            <w:tcBorders>
              <w:top w:val="single" w:sz="8" w:space="0" w:color="auto"/>
              <w:left w:val="single" w:sz="8" w:space="0" w:color="000000"/>
              <w:bottom w:val="single" w:sz="4" w:space="0" w:color="auto"/>
              <w:right w:val="nil"/>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color w:val="000000" w:themeColor="text1"/>
              </w:rPr>
            </w:pPr>
          </w:p>
        </w:tc>
        <w:tc>
          <w:tcPr>
            <w:tcW w:w="1540" w:type="dxa"/>
            <w:gridSpan w:val="3"/>
            <w:tcBorders>
              <w:top w:val="single" w:sz="8" w:space="0" w:color="auto"/>
              <w:left w:val="single" w:sz="8" w:space="0" w:color="auto"/>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1</w:t>
            </w:r>
          </w:p>
        </w:tc>
        <w:tc>
          <w:tcPr>
            <w:tcW w:w="1475" w:type="dxa"/>
            <w:gridSpan w:val="3"/>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2</w:t>
            </w:r>
          </w:p>
        </w:tc>
        <w:tc>
          <w:tcPr>
            <w:tcW w:w="1366" w:type="dxa"/>
            <w:gridSpan w:val="3"/>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3</w:t>
            </w:r>
          </w:p>
        </w:tc>
        <w:tc>
          <w:tcPr>
            <w:tcW w:w="1221" w:type="dxa"/>
            <w:gridSpan w:val="3"/>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4</w:t>
            </w:r>
          </w:p>
        </w:tc>
        <w:tc>
          <w:tcPr>
            <w:tcW w:w="1256" w:type="dxa"/>
            <w:gridSpan w:val="2"/>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5</w:t>
            </w:r>
          </w:p>
        </w:tc>
        <w:tc>
          <w:tcPr>
            <w:tcW w:w="1221" w:type="dxa"/>
            <w:gridSpan w:val="3"/>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6</w:t>
            </w:r>
          </w:p>
        </w:tc>
        <w:tc>
          <w:tcPr>
            <w:tcW w:w="1256" w:type="dxa"/>
            <w:gridSpan w:val="2"/>
            <w:tcBorders>
              <w:top w:val="single" w:sz="8" w:space="0" w:color="auto"/>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Tier 7</w:t>
            </w:r>
          </w:p>
        </w:tc>
        <w:tc>
          <w:tcPr>
            <w:tcW w:w="648" w:type="dxa"/>
            <w:tcBorders>
              <w:top w:val="single" w:sz="8" w:space="0" w:color="auto"/>
              <w:left w:val="nil"/>
              <w:bottom w:val="single" w:sz="4" w:space="0" w:color="auto"/>
              <w:right w:val="single" w:sz="8" w:space="0" w:color="000000"/>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color w:val="000000" w:themeColor="text1"/>
              </w:rPr>
            </w:pPr>
          </w:p>
        </w:tc>
      </w:tr>
      <w:tr w:rsidR="00981F50" w:rsidRPr="00EB2943" w:rsidTr="00981F50">
        <w:trPr>
          <w:trHeight w:val="432"/>
        </w:trPr>
        <w:tc>
          <w:tcPr>
            <w:tcW w:w="673" w:type="dxa"/>
            <w:tcBorders>
              <w:top w:val="nil"/>
              <w:left w:val="single" w:sz="8" w:space="0" w:color="000000"/>
              <w:bottom w:val="single" w:sz="4" w:space="0" w:color="auto"/>
              <w:right w:val="nil"/>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Year</w:t>
            </w:r>
          </w:p>
        </w:tc>
        <w:tc>
          <w:tcPr>
            <w:tcW w:w="666" w:type="dxa"/>
            <w:gridSpan w:val="2"/>
            <w:tcBorders>
              <w:top w:val="nil"/>
              <w:left w:val="single" w:sz="8" w:space="0" w:color="auto"/>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874"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607" w:type="dxa"/>
            <w:gridSpan w:val="2"/>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868"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gridSpan w:val="2"/>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768"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gridSpan w:val="2"/>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623"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658"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gridSpan w:val="2"/>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623"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598" w:type="dxa"/>
            <w:tcBorders>
              <w:top w:val="nil"/>
              <w:left w:val="nil"/>
              <w:bottom w:val="single" w:sz="4" w:space="0" w:color="auto"/>
              <w:right w:val="single" w:sz="4" w:space="0" w:color="auto"/>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Mfrs</w:t>
            </w:r>
          </w:p>
        </w:tc>
        <w:tc>
          <w:tcPr>
            <w:tcW w:w="658" w:type="dxa"/>
            <w:tcBorders>
              <w:top w:val="nil"/>
              <w:left w:val="nil"/>
              <w:bottom w:val="single" w:sz="4" w:space="0" w:color="auto"/>
              <w:right w:val="single" w:sz="8" w:space="0" w:color="auto"/>
            </w:tcBorders>
            <w:shd w:val="clear" w:color="auto" w:fill="C9E8DD"/>
            <w:noWrap/>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Fee</w:t>
            </w:r>
          </w:p>
        </w:tc>
        <w:tc>
          <w:tcPr>
            <w:tcW w:w="648" w:type="dxa"/>
            <w:tcBorders>
              <w:top w:val="nil"/>
              <w:left w:val="nil"/>
              <w:bottom w:val="single" w:sz="4" w:space="0" w:color="auto"/>
              <w:right w:val="single" w:sz="8" w:space="0" w:color="000000"/>
            </w:tcBorders>
            <w:shd w:val="clear" w:color="auto" w:fill="C9E8DD"/>
            <w:vAlign w:val="bottom"/>
            <w:hideMark/>
          </w:tcPr>
          <w:p w:rsidR="00981F50" w:rsidRPr="004269D9" w:rsidRDefault="00981F50" w:rsidP="00981F50">
            <w:pPr>
              <w:jc w:val="center"/>
              <w:rPr>
                <w:rFonts w:asciiTheme="majorHAnsi" w:eastAsia="Times New Roman" w:hAnsiTheme="majorHAnsi" w:cstheme="majorHAnsi"/>
                <w:b/>
                <w:bCs/>
                <w:color w:val="000000" w:themeColor="text1"/>
                <w:sz w:val="18"/>
                <w:szCs w:val="18"/>
              </w:rPr>
            </w:pPr>
            <w:r w:rsidRPr="004269D9">
              <w:rPr>
                <w:rFonts w:asciiTheme="majorHAnsi" w:eastAsia="Times New Roman" w:hAnsiTheme="majorHAnsi" w:cstheme="majorHAnsi"/>
                <w:b/>
                <w:bCs/>
                <w:color w:val="000000" w:themeColor="text1"/>
                <w:sz w:val="18"/>
                <w:szCs w:val="18"/>
              </w:rPr>
              <w:t>Total Mfrs</w:t>
            </w:r>
          </w:p>
        </w:tc>
      </w:tr>
      <w:tr w:rsidR="00981F50" w:rsidRPr="00EB2943" w:rsidTr="00981F50">
        <w:trPr>
          <w:trHeight w:val="300"/>
        </w:trPr>
        <w:tc>
          <w:tcPr>
            <w:tcW w:w="673" w:type="dxa"/>
            <w:tcBorders>
              <w:top w:val="single" w:sz="4" w:space="0" w:color="auto"/>
              <w:left w:val="single" w:sz="8" w:space="0" w:color="000000"/>
              <w:bottom w:val="single" w:sz="4" w:space="0" w:color="auto"/>
              <w:right w:val="nil"/>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2008</w:t>
            </w:r>
          </w:p>
        </w:tc>
        <w:tc>
          <w:tcPr>
            <w:tcW w:w="666"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874"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$30,917</w:t>
            </w:r>
          </w:p>
        </w:tc>
        <w:tc>
          <w:tcPr>
            <w:tcW w:w="607"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14</w:t>
            </w:r>
          </w:p>
        </w:tc>
        <w:tc>
          <w:tcPr>
            <w:tcW w:w="8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$9,717</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17</w:t>
            </w:r>
          </w:p>
        </w:tc>
        <w:tc>
          <w:tcPr>
            <w:tcW w:w="7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$1,327</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7</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$211</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107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single" w:sz="4" w:space="0" w:color="auto"/>
              <w:right w:val="single" w:sz="8" w:space="0" w:color="000000"/>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161</w:t>
            </w:r>
          </w:p>
        </w:tc>
      </w:tr>
      <w:tr w:rsidR="00981F50" w:rsidRPr="00EB2943" w:rsidTr="00981F50">
        <w:trPr>
          <w:trHeight w:val="300"/>
        </w:trPr>
        <w:tc>
          <w:tcPr>
            <w:tcW w:w="673" w:type="dxa"/>
            <w:tcBorders>
              <w:top w:val="single" w:sz="4" w:space="0" w:color="auto"/>
              <w:left w:val="single" w:sz="8" w:space="0" w:color="000000"/>
              <w:bottom w:val="single" w:sz="4" w:space="0" w:color="auto"/>
              <w:right w:val="nil"/>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2009</w:t>
            </w:r>
          </w:p>
        </w:tc>
        <w:tc>
          <w:tcPr>
            <w:tcW w:w="666" w:type="dxa"/>
            <w:gridSpan w:val="2"/>
            <w:tcBorders>
              <w:top w:val="nil"/>
              <w:left w:val="single" w:sz="8" w:space="0" w:color="auto"/>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6</w:t>
            </w:r>
          </w:p>
        </w:tc>
        <w:tc>
          <w:tcPr>
            <w:tcW w:w="874"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$35,000</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13</w:t>
            </w:r>
          </w:p>
        </w:tc>
        <w:tc>
          <w:tcPr>
            <w:tcW w:w="86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$12,678</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16</w:t>
            </w:r>
          </w:p>
        </w:tc>
        <w:tc>
          <w:tcPr>
            <w:tcW w:w="76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$2,073</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15</w:t>
            </w:r>
          </w:p>
        </w:tc>
        <w:tc>
          <w:tcPr>
            <w:tcW w:w="623"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$274</w:t>
            </w:r>
          </w:p>
        </w:tc>
        <w:tc>
          <w:tcPr>
            <w:tcW w:w="598" w:type="dxa"/>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5</w:t>
            </w:r>
          </w:p>
        </w:tc>
        <w:tc>
          <w:tcPr>
            <w:tcW w:w="65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w:t>
            </w:r>
          </w:p>
        </w:tc>
        <w:tc>
          <w:tcPr>
            <w:tcW w:w="623"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111</w:t>
            </w:r>
          </w:p>
        </w:tc>
        <w:tc>
          <w:tcPr>
            <w:tcW w:w="65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single" w:sz="4" w:space="0" w:color="auto"/>
              <w:right w:val="single" w:sz="8" w:space="0" w:color="000000"/>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167</w:t>
            </w:r>
          </w:p>
        </w:tc>
      </w:tr>
      <w:tr w:rsidR="00981F50" w:rsidRPr="00EB2943" w:rsidTr="00981F50">
        <w:trPr>
          <w:trHeight w:val="300"/>
        </w:trPr>
        <w:tc>
          <w:tcPr>
            <w:tcW w:w="673" w:type="dxa"/>
            <w:tcBorders>
              <w:top w:val="single" w:sz="4" w:space="0" w:color="auto"/>
              <w:left w:val="single" w:sz="8" w:space="0" w:color="000000"/>
              <w:bottom w:val="single" w:sz="4" w:space="0" w:color="auto"/>
              <w:right w:val="nil"/>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2010</w:t>
            </w:r>
          </w:p>
        </w:tc>
        <w:tc>
          <w:tcPr>
            <w:tcW w:w="666"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874"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$35,000</w:t>
            </w:r>
          </w:p>
        </w:tc>
        <w:tc>
          <w:tcPr>
            <w:tcW w:w="607"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8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$11,937</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19</w:t>
            </w:r>
          </w:p>
        </w:tc>
        <w:tc>
          <w:tcPr>
            <w:tcW w:w="76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$1,725</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11</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$573</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7</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0</w:t>
            </w:r>
          </w:p>
        </w:tc>
        <w:tc>
          <w:tcPr>
            <w:tcW w:w="623"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w:t>
            </w:r>
          </w:p>
        </w:tc>
        <w:tc>
          <w:tcPr>
            <w:tcW w:w="598" w:type="dxa"/>
            <w:tcBorders>
              <w:top w:val="single" w:sz="4" w:space="0" w:color="auto"/>
              <w:left w:val="single" w:sz="8" w:space="0" w:color="auto"/>
              <w:bottom w:val="sing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108</w:t>
            </w:r>
          </w:p>
        </w:tc>
        <w:tc>
          <w:tcPr>
            <w:tcW w:w="658" w:type="dxa"/>
            <w:tcBorders>
              <w:top w:val="single" w:sz="4" w:space="0" w:color="auto"/>
              <w:left w:val="single" w:sz="4" w:space="0" w:color="auto"/>
              <w:bottom w:val="sing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single" w:sz="4" w:space="0" w:color="auto"/>
              <w:right w:val="single" w:sz="8" w:space="0" w:color="000000"/>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161</w:t>
            </w:r>
          </w:p>
        </w:tc>
      </w:tr>
      <w:tr w:rsidR="00981F50" w:rsidRPr="00EB2943" w:rsidTr="00981F50">
        <w:trPr>
          <w:trHeight w:val="300"/>
        </w:trPr>
        <w:tc>
          <w:tcPr>
            <w:tcW w:w="673" w:type="dxa"/>
            <w:tcBorders>
              <w:top w:val="single" w:sz="4" w:space="0" w:color="auto"/>
              <w:left w:val="single" w:sz="8" w:space="0" w:color="000000"/>
              <w:bottom w:val="single" w:sz="4" w:space="0" w:color="auto"/>
              <w:right w:val="nil"/>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2011</w:t>
            </w:r>
          </w:p>
        </w:tc>
        <w:tc>
          <w:tcPr>
            <w:tcW w:w="666" w:type="dxa"/>
            <w:gridSpan w:val="2"/>
            <w:tcBorders>
              <w:top w:val="nil"/>
              <w:left w:val="single" w:sz="8" w:space="0" w:color="auto"/>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9</w:t>
            </w:r>
          </w:p>
        </w:tc>
        <w:tc>
          <w:tcPr>
            <w:tcW w:w="874"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$35,000</w:t>
            </w:r>
          </w:p>
        </w:tc>
        <w:tc>
          <w:tcPr>
            <w:tcW w:w="607"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5</w:t>
            </w:r>
          </w:p>
        </w:tc>
        <w:tc>
          <w:tcPr>
            <w:tcW w:w="86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$12,332</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15</w:t>
            </w:r>
          </w:p>
        </w:tc>
        <w:tc>
          <w:tcPr>
            <w:tcW w:w="76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$1,841</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623"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$284</w:t>
            </w:r>
          </w:p>
        </w:tc>
        <w:tc>
          <w:tcPr>
            <w:tcW w:w="598" w:type="dxa"/>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12</w:t>
            </w:r>
          </w:p>
        </w:tc>
        <w:tc>
          <w:tcPr>
            <w:tcW w:w="65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w:t>
            </w:r>
          </w:p>
        </w:tc>
        <w:tc>
          <w:tcPr>
            <w:tcW w:w="623"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tcBorders>
              <w:top w:val="nil"/>
              <w:left w:val="nil"/>
              <w:bottom w:val="single" w:sz="4" w:space="0" w:color="auto"/>
              <w:right w:val="single" w:sz="4"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117</w:t>
            </w:r>
          </w:p>
        </w:tc>
        <w:tc>
          <w:tcPr>
            <w:tcW w:w="658" w:type="dxa"/>
            <w:tcBorders>
              <w:top w:val="nil"/>
              <w:left w:val="nil"/>
              <w:bottom w:val="single" w:sz="4" w:space="0" w:color="auto"/>
              <w:right w:val="single" w:sz="8" w:space="0" w:color="auto"/>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single" w:sz="4" w:space="0" w:color="auto"/>
              <w:right w:val="single" w:sz="8" w:space="0" w:color="000000"/>
            </w:tcBorders>
            <w:shd w:val="clear" w:color="auto" w:fill="auto"/>
            <w:noWrap/>
            <w:vAlign w:val="bottom"/>
            <w:hideMark/>
          </w:tcPr>
          <w:p w:rsidR="00981F50" w:rsidRPr="004F4412" w:rsidRDefault="00981F50" w:rsidP="00981F50">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168</w:t>
            </w:r>
          </w:p>
        </w:tc>
      </w:tr>
      <w:tr w:rsidR="00981F50" w:rsidRPr="00EB2943" w:rsidTr="00981F50">
        <w:trPr>
          <w:trHeight w:val="315"/>
        </w:trPr>
        <w:tc>
          <w:tcPr>
            <w:tcW w:w="673" w:type="dxa"/>
            <w:tcBorders>
              <w:top w:val="single" w:sz="4" w:space="0" w:color="auto"/>
              <w:left w:val="single" w:sz="8" w:space="0" w:color="000000"/>
              <w:bottom w:val="double" w:sz="4" w:space="0" w:color="auto"/>
              <w:right w:val="nil"/>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2012</w:t>
            </w:r>
          </w:p>
        </w:tc>
        <w:tc>
          <w:tcPr>
            <w:tcW w:w="666"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6</w:t>
            </w:r>
          </w:p>
        </w:tc>
        <w:tc>
          <w:tcPr>
            <w:tcW w:w="874"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$35,000</w:t>
            </w:r>
          </w:p>
        </w:tc>
        <w:tc>
          <w:tcPr>
            <w:tcW w:w="607"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9</w:t>
            </w:r>
          </w:p>
        </w:tc>
        <w:tc>
          <w:tcPr>
            <w:tcW w:w="86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$17,468</w:t>
            </w:r>
          </w:p>
        </w:tc>
        <w:tc>
          <w:tcPr>
            <w:tcW w:w="598"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19</w:t>
            </w:r>
          </w:p>
        </w:tc>
        <w:tc>
          <w:tcPr>
            <w:tcW w:w="76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$1,847</w:t>
            </w:r>
          </w:p>
        </w:tc>
        <w:tc>
          <w:tcPr>
            <w:tcW w:w="598"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623"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$406</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8</w:t>
            </w:r>
          </w:p>
        </w:tc>
        <w:tc>
          <w:tcPr>
            <w:tcW w:w="65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gridSpan w:val="2"/>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15</w:t>
            </w:r>
          </w:p>
        </w:tc>
        <w:tc>
          <w:tcPr>
            <w:tcW w:w="623"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$200</w:t>
            </w:r>
          </w:p>
        </w:tc>
        <w:tc>
          <w:tcPr>
            <w:tcW w:w="598" w:type="dxa"/>
            <w:tcBorders>
              <w:top w:val="single" w:sz="4" w:space="0" w:color="auto"/>
              <w:left w:val="single" w:sz="8" w:space="0" w:color="auto"/>
              <w:bottom w:val="double" w:sz="4" w:space="0" w:color="auto"/>
              <w:right w:val="single" w:sz="4"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b/>
                <w:bCs/>
                <w:color w:val="000000"/>
                <w:sz w:val="20"/>
                <w:szCs w:val="20"/>
              </w:rPr>
            </w:pPr>
            <w:r w:rsidRPr="004F4412">
              <w:rPr>
                <w:rFonts w:asciiTheme="minorHAnsi" w:eastAsia="Times New Roman" w:hAnsiTheme="minorHAnsi" w:cstheme="minorHAnsi"/>
                <w:b/>
                <w:bCs/>
                <w:color w:val="000000"/>
                <w:sz w:val="20"/>
                <w:szCs w:val="20"/>
              </w:rPr>
              <w:t>94</w:t>
            </w:r>
          </w:p>
        </w:tc>
        <w:tc>
          <w:tcPr>
            <w:tcW w:w="658" w:type="dxa"/>
            <w:tcBorders>
              <w:top w:val="single" w:sz="4" w:space="0" w:color="auto"/>
              <w:left w:val="single" w:sz="4" w:space="0" w:color="auto"/>
              <w:bottom w:val="double" w:sz="4" w:space="0" w:color="auto"/>
              <w:right w:val="single" w:sz="8" w:space="0" w:color="auto"/>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sz w:val="20"/>
                <w:szCs w:val="20"/>
              </w:rPr>
            </w:pPr>
            <w:r w:rsidRPr="004F4412">
              <w:rPr>
                <w:rFonts w:asciiTheme="minorHAnsi" w:eastAsia="Times New Roman" w:hAnsiTheme="minorHAnsi" w:cstheme="minorHAnsi"/>
                <w:sz w:val="20"/>
                <w:szCs w:val="20"/>
              </w:rPr>
              <w:t>$40</w:t>
            </w:r>
          </w:p>
        </w:tc>
        <w:tc>
          <w:tcPr>
            <w:tcW w:w="648" w:type="dxa"/>
            <w:tcBorders>
              <w:top w:val="single" w:sz="4" w:space="0" w:color="auto"/>
              <w:left w:val="nil"/>
              <w:bottom w:val="double" w:sz="4" w:space="0" w:color="auto"/>
              <w:right w:val="single" w:sz="8" w:space="0" w:color="000000"/>
            </w:tcBorders>
            <w:shd w:val="clear" w:color="D8D8D8" w:fill="D8D8D8"/>
            <w:noWrap/>
            <w:vAlign w:val="bottom"/>
            <w:hideMark/>
          </w:tcPr>
          <w:p w:rsidR="00981F50" w:rsidRPr="004F4412" w:rsidRDefault="00981F50" w:rsidP="00981F50">
            <w:pPr>
              <w:jc w:val="center"/>
              <w:rPr>
                <w:rFonts w:asciiTheme="minorHAnsi" w:eastAsia="Times New Roman" w:hAnsiTheme="minorHAnsi" w:cstheme="minorHAnsi"/>
                <w:color w:val="000000"/>
                <w:sz w:val="20"/>
                <w:szCs w:val="20"/>
              </w:rPr>
            </w:pPr>
            <w:r w:rsidRPr="004F4412">
              <w:rPr>
                <w:rFonts w:asciiTheme="minorHAnsi" w:eastAsia="Times New Roman" w:hAnsiTheme="minorHAnsi" w:cstheme="minorHAnsi"/>
                <w:color w:val="000000"/>
                <w:sz w:val="20"/>
                <w:szCs w:val="20"/>
              </w:rPr>
              <w:t>159</w:t>
            </w:r>
          </w:p>
        </w:tc>
      </w:tr>
      <w:tr w:rsidR="00981F50" w:rsidRPr="004F5FE3" w:rsidTr="00981F50">
        <w:trPr>
          <w:trHeight w:val="315"/>
        </w:trPr>
        <w:tc>
          <w:tcPr>
            <w:tcW w:w="10656" w:type="dxa"/>
            <w:gridSpan w:val="21"/>
            <w:tcBorders>
              <w:top w:val="double" w:sz="4" w:space="0" w:color="auto"/>
              <w:left w:val="single" w:sz="8" w:space="0" w:color="000000"/>
              <w:bottom w:val="double" w:sz="4" w:space="0" w:color="auto"/>
              <w:right w:val="single" w:sz="8" w:space="0" w:color="000000"/>
            </w:tcBorders>
            <w:shd w:val="clear" w:color="auto" w:fill="C9E8DD"/>
            <w:noWrap/>
            <w:vAlign w:val="center"/>
            <w:hideMark/>
          </w:tcPr>
          <w:p w:rsidR="00981F50" w:rsidRPr="004269D9" w:rsidRDefault="00981F50" w:rsidP="00981F50">
            <w:pPr>
              <w:jc w:val="center"/>
              <w:rPr>
                <w:rFonts w:asciiTheme="majorHAnsi" w:eastAsia="Times New Roman" w:hAnsiTheme="majorHAnsi" w:cstheme="majorHAnsi"/>
                <w:color w:val="000000" w:themeColor="text1"/>
              </w:rPr>
            </w:pPr>
            <w:r w:rsidRPr="004269D9">
              <w:rPr>
                <w:rFonts w:asciiTheme="majorHAnsi" w:eastAsia="Times New Roman" w:hAnsiTheme="majorHAnsi" w:cstheme="majorHAnsi"/>
                <w:b/>
                <w:bCs/>
                <w:color w:val="000000" w:themeColor="text1"/>
                <w:sz w:val="22"/>
                <w:szCs w:val="22"/>
              </w:rPr>
              <w:t>Existing fees</w:t>
            </w:r>
          </w:p>
        </w:tc>
      </w:tr>
      <w:tr w:rsidR="00981F50" w:rsidRPr="00EB2943" w:rsidTr="00981F50">
        <w:trPr>
          <w:trHeight w:val="315"/>
        </w:trPr>
        <w:tc>
          <w:tcPr>
            <w:tcW w:w="673" w:type="dxa"/>
            <w:tcBorders>
              <w:top w:val="double" w:sz="4" w:space="0" w:color="auto"/>
              <w:left w:val="single" w:sz="8" w:space="0" w:color="000000"/>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All Yrs</w:t>
            </w:r>
          </w:p>
        </w:tc>
        <w:tc>
          <w:tcPr>
            <w:tcW w:w="666" w:type="dxa"/>
            <w:gridSpan w:val="2"/>
            <w:tcBorders>
              <w:top w:val="double" w:sz="4" w:space="0" w:color="auto"/>
              <w:left w:val="single" w:sz="8" w:space="0" w:color="000000"/>
              <w:bottom w:val="double" w:sz="4" w:space="0" w:color="auto"/>
              <w:right w:val="single" w:sz="4" w:space="0" w:color="auto"/>
            </w:tcBorders>
            <w:shd w:val="clear" w:color="D8D8D8" w:fill="auto"/>
            <w:vAlign w:val="bottom"/>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874"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$15,000</w:t>
            </w:r>
          </w:p>
        </w:tc>
        <w:tc>
          <w:tcPr>
            <w:tcW w:w="607" w:type="dxa"/>
            <w:gridSpan w:val="2"/>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86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$15,000</w:t>
            </w:r>
          </w:p>
        </w:tc>
        <w:tc>
          <w:tcPr>
            <w:tcW w:w="470"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896"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$5,000</w:t>
            </w:r>
          </w:p>
        </w:tc>
        <w:tc>
          <w:tcPr>
            <w:tcW w:w="454"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767"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$200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$200</w:t>
            </w:r>
          </w:p>
        </w:tc>
        <w:tc>
          <w:tcPr>
            <w:tcW w:w="497"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724"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$40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$40</w:t>
            </w:r>
          </w:p>
        </w:tc>
        <w:tc>
          <w:tcPr>
            <w:tcW w:w="648" w:type="dxa"/>
            <w:tcBorders>
              <w:top w:val="double" w:sz="4" w:space="0" w:color="auto"/>
              <w:left w:val="nil"/>
              <w:bottom w:val="double" w:sz="4" w:space="0" w:color="auto"/>
              <w:right w:val="single" w:sz="8" w:space="0" w:color="000000"/>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color w:val="000000"/>
                <w:sz w:val="18"/>
                <w:szCs w:val="18"/>
              </w:rPr>
            </w:pPr>
          </w:p>
        </w:tc>
      </w:tr>
      <w:tr w:rsidR="00981F50" w:rsidRPr="004F4412" w:rsidTr="00981F50">
        <w:trPr>
          <w:trHeight w:val="315"/>
        </w:trPr>
        <w:tc>
          <w:tcPr>
            <w:tcW w:w="10656" w:type="dxa"/>
            <w:gridSpan w:val="21"/>
            <w:tcBorders>
              <w:top w:val="double" w:sz="4" w:space="0" w:color="auto"/>
              <w:left w:val="single" w:sz="4" w:space="0" w:color="auto"/>
              <w:bottom w:val="double" w:sz="4" w:space="0" w:color="auto"/>
              <w:right w:val="single" w:sz="4" w:space="0" w:color="auto"/>
            </w:tcBorders>
            <w:shd w:val="clear" w:color="auto" w:fill="C9E8DD"/>
            <w:noWrap/>
            <w:vAlign w:val="center"/>
            <w:hideMark/>
          </w:tcPr>
          <w:p w:rsidR="00981F50" w:rsidRPr="004F4412" w:rsidRDefault="00981F50" w:rsidP="00981F50">
            <w:pPr>
              <w:jc w:val="center"/>
              <w:rPr>
                <w:rFonts w:asciiTheme="majorHAnsi" w:eastAsia="Times New Roman" w:hAnsiTheme="majorHAnsi" w:cstheme="majorHAnsi"/>
                <w:b/>
                <w:bCs/>
                <w:color w:val="000000" w:themeColor="text1"/>
              </w:rPr>
            </w:pPr>
            <w:r w:rsidRPr="004269D9">
              <w:rPr>
                <w:rFonts w:asciiTheme="majorHAnsi" w:eastAsia="Times New Roman" w:hAnsiTheme="majorHAnsi" w:cstheme="majorHAnsi"/>
                <w:b/>
                <w:bCs/>
                <w:color w:val="000000" w:themeColor="text1"/>
                <w:sz w:val="22"/>
                <w:szCs w:val="22"/>
              </w:rPr>
              <w:t>Proposed to existing fee changes</w:t>
            </w:r>
          </w:p>
        </w:tc>
      </w:tr>
      <w:tr w:rsidR="00981F50" w:rsidRPr="00EB2943" w:rsidTr="00981F50">
        <w:trPr>
          <w:trHeight w:val="315"/>
        </w:trPr>
        <w:tc>
          <w:tcPr>
            <w:tcW w:w="673" w:type="dxa"/>
            <w:tcBorders>
              <w:top w:val="double" w:sz="4" w:space="0" w:color="auto"/>
              <w:left w:val="single" w:sz="8" w:space="0" w:color="000000"/>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2012</w:t>
            </w:r>
          </w:p>
        </w:tc>
        <w:tc>
          <w:tcPr>
            <w:tcW w:w="515" w:type="dxa"/>
            <w:tcBorders>
              <w:top w:val="double" w:sz="4" w:space="0" w:color="auto"/>
              <w:left w:val="single" w:sz="8" w:space="0" w:color="000000"/>
              <w:bottom w:val="double" w:sz="4" w:space="0" w:color="auto"/>
              <w:right w:val="single" w:sz="4" w:space="0" w:color="auto"/>
            </w:tcBorders>
            <w:shd w:val="clear" w:color="D8D8D8" w:fill="auto"/>
            <w:vAlign w:val="bottom"/>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6</w:t>
            </w:r>
          </w:p>
        </w:tc>
        <w:tc>
          <w:tcPr>
            <w:tcW w:w="1025"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+$20,000</w:t>
            </w:r>
          </w:p>
        </w:tc>
        <w:tc>
          <w:tcPr>
            <w:tcW w:w="505"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9</w:t>
            </w:r>
          </w:p>
        </w:tc>
        <w:tc>
          <w:tcPr>
            <w:tcW w:w="970"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+$2,468</w:t>
            </w:r>
          </w:p>
        </w:tc>
        <w:tc>
          <w:tcPr>
            <w:tcW w:w="470"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19</w:t>
            </w:r>
          </w:p>
        </w:tc>
        <w:tc>
          <w:tcPr>
            <w:tcW w:w="896"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-$3,153</w:t>
            </w:r>
          </w:p>
        </w:tc>
        <w:tc>
          <w:tcPr>
            <w:tcW w:w="454"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8</w:t>
            </w:r>
          </w:p>
        </w:tc>
        <w:tc>
          <w:tcPr>
            <w:tcW w:w="767"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+$206</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8</w:t>
            </w: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same</w:t>
            </w:r>
          </w:p>
        </w:tc>
        <w:tc>
          <w:tcPr>
            <w:tcW w:w="497"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15</w:t>
            </w:r>
          </w:p>
        </w:tc>
        <w:tc>
          <w:tcPr>
            <w:tcW w:w="724" w:type="dxa"/>
            <w:gridSpan w:val="2"/>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+$160</w:t>
            </w:r>
          </w:p>
        </w:tc>
        <w:tc>
          <w:tcPr>
            <w:tcW w:w="598" w:type="dxa"/>
            <w:tcBorders>
              <w:top w:val="double" w:sz="4" w:space="0" w:color="auto"/>
              <w:left w:val="single" w:sz="8" w:space="0" w:color="auto"/>
              <w:bottom w:val="double" w:sz="4" w:space="0" w:color="auto"/>
              <w:right w:val="single" w:sz="4"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b/>
                <w:bCs/>
                <w:color w:val="000000"/>
                <w:sz w:val="18"/>
                <w:szCs w:val="18"/>
              </w:rPr>
            </w:pPr>
            <w:r w:rsidRPr="004269D9">
              <w:rPr>
                <w:rFonts w:asciiTheme="minorHAnsi" w:eastAsia="Times New Roman" w:hAnsiTheme="minorHAnsi" w:cstheme="minorHAnsi"/>
                <w:b/>
                <w:bCs/>
                <w:color w:val="000000"/>
                <w:sz w:val="18"/>
                <w:szCs w:val="18"/>
              </w:rPr>
              <w:t>94</w:t>
            </w:r>
          </w:p>
        </w:tc>
        <w:tc>
          <w:tcPr>
            <w:tcW w:w="658" w:type="dxa"/>
            <w:tcBorders>
              <w:top w:val="double" w:sz="4" w:space="0" w:color="auto"/>
              <w:left w:val="single" w:sz="4" w:space="0" w:color="auto"/>
              <w:bottom w:val="double" w:sz="4" w:space="0" w:color="auto"/>
              <w:right w:val="single" w:sz="8" w:space="0" w:color="auto"/>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sz w:val="18"/>
                <w:szCs w:val="18"/>
              </w:rPr>
            </w:pPr>
            <w:r w:rsidRPr="004269D9">
              <w:rPr>
                <w:rFonts w:asciiTheme="minorHAnsi" w:eastAsia="Times New Roman" w:hAnsiTheme="minorHAnsi" w:cstheme="minorHAnsi"/>
                <w:sz w:val="18"/>
                <w:szCs w:val="18"/>
              </w:rPr>
              <w:t>same</w:t>
            </w:r>
          </w:p>
        </w:tc>
        <w:tc>
          <w:tcPr>
            <w:tcW w:w="648" w:type="dxa"/>
            <w:tcBorders>
              <w:top w:val="double" w:sz="4" w:space="0" w:color="auto"/>
              <w:left w:val="nil"/>
              <w:bottom w:val="double" w:sz="4" w:space="0" w:color="auto"/>
              <w:right w:val="single" w:sz="8" w:space="0" w:color="000000"/>
            </w:tcBorders>
            <w:shd w:val="clear" w:color="D8D8D8" w:fill="auto"/>
            <w:noWrap/>
            <w:vAlign w:val="bottom"/>
            <w:hideMark/>
          </w:tcPr>
          <w:p w:rsidR="00981F50" w:rsidRPr="004269D9" w:rsidRDefault="00981F50" w:rsidP="00981F50">
            <w:pPr>
              <w:jc w:val="center"/>
              <w:rPr>
                <w:rFonts w:asciiTheme="minorHAnsi" w:eastAsia="Times New Roman" w:hAnsiTheme="minorHAnsi" w:cstheme="minorHAnsi"/>
                <w:color w:val="000000"/>
                <w:sz w:val="18"/>
                <w:szCs w:val="18"/>
              </w:rPr>
            </w:pPr>
          </w:p>
        </w:tc>
      </w:tr>
      <w:tr w:rsidR="00981F50" w:rsidRPr="004F4412" w:rsidTr="00981F50">
        <w:trPr>
          <w:trHeight w:val="315"/>
        </w:trPr>
        <w:tc>
          <w:tcPr>
            <w:tcW w:w="10656" w:type="dxa"/>
            <w:gridSpan w:val="21"/>
            <w:tcBorders>
              <w:top w:val="double" w:sz="4" w:space="0" w:color="auto"/>
            </w:tcBorders>
            <w:shd w:val="clear" w:color="D8D8D8" w:fill="auto"/>
            <w:noWrap/>
            <w:vAlign w:val="bottom"/>
            <w:hideMark/>
          </w:tcPr>
          <w:p w:rsidR="00981F50" w:rsidRDefault="00981F50" w:rsidP="00981F50">
            <w:pPr>
              <w:ind w:right="634"/>
              <w:rPr>
                <w:rFonts w:asciiTheme="minorHAnsi" w:eastAsia="Times New Roman" w:hAnsiTheme="minorHAnsi" w:cstheme="minorHAnsi"/>
                <w:color w:val="000000"/>
              </w:rPr>
            </w:pPr>
            <w:r w:rsidRPr="004F4412">
              <w:rPr>
                <w:rFonts w:asciiTheme="minorHAnsi" w:eastAsia="Times New Roman" w:hAnsiTheme="minorHAnsi" w:cstheme="minorHAnsi"/>
                <w:color w:val="000000"/>
                <w:sz w:val="22"/>
                <w:szCs w:val="22"/>
                <w:vertAlign w:val="superscript"/>
              </w:rPr>
              <w:t>1</w:t>
            </w:r>
            <w:r w:rsidRPr="004F4412">
              <w:rPr>
                <w:rFonts w:asciiTheme="minorHAnsi" w:eastAsia="Times New Roman" w:hAnsiTheme="minorHAnsi" w:cstheme="minorHAnsi"/>
                <w:color w:val="000000"/>
                <w:sz w:val="22"/>
                <w:szCs w:val="22"/>
              </w:rPr>
              <w:t>The fee for each tier depends on the total market share of manufacturers in the tier, the number of manufacturers in the tier, revenue need for the year, and the amount of revenue over the $35,000 cap distributed to lower tiers.</w:t>
            </w:r>
          </w:p>
        </w:tc>
      </w:tr>
    </w:tbl>
    <w:p w:rsidR="00FD7A96" w:rsidRDefault="00FD7A96" w:rsidP="00FD7A96">
      <w:pPr>
        <w:pStyle w:val="ListParagraph"/>
        <w:rPr>
          <w:rFonts w:asciiTheme="minorHAnsi" w:eastAsia="Times New Roman" w:hAnsiTheme="minorHAnsi" w:cstheme="minorHAnsi"/>
          <w:color w:val="000000"/>
        </w:rPr>
      </w:pPr>
    </w:p>
    <w:p w:rsidR="00FD7A96" w:rsidRDefault="0097451D" w:rsidP="00FD7A96">
      <w:pPr>
        <w:pStyle w:val="ListParagraph"/>
        <w:rPr>
          <w:rFonts w:asciiTheme="minorHAnsi" w:eastAsia="Times New Roman" w:hAnsiTheme="minorHAnsi" w:cstheme="minorHAnsi"/>
          <w:color w:val="000000"/>
        </w:rPr>
      </w:pPr>
      <w:r>
        <w:br w:type="page"/>
      </w:r>
    </w:p>
    <w:tbl>
      <w:tblPr>
        <w:tblW w:w="11430" w:type="dxa"/>
        <w:tblInd w:w="108" w:type="dxa"/>
        <w:tblLook w:val="04A0"/>
      </w:tblPr>
      <w:tblGrid>
        <w:gridCol w:w="11430"/>
      </w:tblGrid>
      <w:tr w:rsidR="001E443D" w:rsidRPr="00B15DF7" w:rsidTr="001E443D">
        <w:trPr>
          <w:trHeight w:val="600"/>
        </w:trPr>
        <w:tc>
          <w:tcPr>
            <w:tcW w:w="11430" w:type="dxa"/>
            <w:tcBorders>
              <w:top w:val="nil"/>
              <w:left w:val="nil"/>
              <w:bottom w:val="double" w:sz="6" w:space="0" w:color="7F7F7F"/>
              <w:right w:val="nil"/>
            </w:tcBorders>
            <w:shd w:val="clear" w:color="000000" w:fill="D8D3C6"/>
            <w:noWrap/>
            <w:vAlign w:val="bottom"/>
            <w:hideMark/>
          </w:tcPr>
          <w:p w:rsidR="001E443D" w:rsidRPr="00B15DF7" w:rsidRDefault="001E443D" w:rsidP="001E443D">
            <w:pPr>
              <w:outlineLvl w:val="0"/>
              <w:rPr>
                <w:rFonts w:eastAsia="Times New Roman"/>
                <w:bCs/>
                <w:color w:val="32525C"/>
                <w:sz w:val="28"/>
                <w:szCs w:val="28"/>
              </w:rPr>
            </w:pPr>
          </w:p>
          <w:p w:rsidR="001E443D" w:rsidRPr="00DC07BD" w:rsidRDefault="001E443D" w:rsidP="001E443D">
            <w:pPr>
              <w:outlineLvl w:val="0"/>
              <w:rPr>
                <w:rFonts w:eastAsia="Times New Roman"/>
                <w:bCs/>
                <w:color w:val="00494F"/>
                <w:sz w:val="28"/>
                <w:szCs w:val="28"/>
              </w:rPr>
            </w:pPr>
            <w:bookmarkStart w:id="5" w:name="Fiscal"/>
            <w:r w:rsidRPr="00DC07BD">
              <w:rPr>
                <w:rFonts w:eastAsia="Times New Roman"/>
                <w:bCs/>
                <w:color w:val="00494F"/>
                <w:sz w:val="28"/>
                <w:szCs w:val="28"/>
              </w:rPr>
              <w:t>Fiscal impact statement</w:t>
            </w:r>
            <w:bookmarkEnd w:id="5"/>
          </w:p>
        </w:tc>
      </w:tr>
    </w:tbl>
    <w:p w:rsidR="001E443D" w:rsidRPr="00B15DF7" w:rsidRDefault="001E443D" w:rsidP="001E443D"/>
    <w:p w:rsidR="001E443D" w:rsidRPr="00C65D06" w:rsidRDefault="001E443D" w:rsidP="001E443D">
      <w:pPr>
        <w:spacing w:after="120"/>
        <w:ind w:left="720"/>
        <w:rPr>
          <w:rFonts w:asciiTheme="majorHAnsi" w:eastAsia="Times New Roman" w:hAnsiTheme="majorHAnsi" w:cstheme="majorHAnsi"/>
          <w:bCs/>
          <w:color w:val="504938"/>
          <w:sz w:val="22"/>
          <w:szCs w:val="22"/>
        </w:rPr>
      </w:pPr>
      <w:r w:rsidRPr="004F3DFD">
        <w:rPr>
          <w:rFonts w:asciiTheme="majorHAnsi" w:eastAsia="Times New Roman" w:hAnsiTheme="majorHAnsi" w:cstheme="majorHAnsi"/>
          <w:bCs/>
          <w:color w:val="463D38" w:themeColor="accent4" w:themeShade="80"/>
          <w:sz w:val="22"/>
          <w:szCs w:val="22"/>
        </w:rPr>
        <w:t>Fiscal and economic</w:t>
      </w:r>
      <w:r w:rsidRPr="00C65D06">
        <w:rPr>
          <w:rFonts w:asciiTheme="majorHAnsi" w:eastAsia="Times New Roman" w:hAnsiTheme="majorHAnsi" w:cstheme="majorHAnsi"/>
          <w:bCs/>
          <w:color w:val="504938"/>
          <w:sz w:val="22"/>
          <w:szCs w:val="22"/>
        </w:rPr>
        <w:t xml:space="preserve"> impact</w:t>
      </w:r>
    </w:p>
    <w:p w:rsidR="001E443D" w:rsidRPr="00B15DF7" w:rsidRDefault="001E443D" w:rsidP="001E443D">
      <w:pPr>
        <w:ind w:left="1080" w:right="63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The fiscal impact on large businesses and tribal nations would be similar to the impact described under 2 below.</w:t>
      </w:r>
    </w:p>
    <w:p w:rsidR="003845D8" w:rsidRPr="00D17CDB" w:rsidRDefault="00192E08" w:rsidP="003845D8">
      <w:pPr>
        <w:ind w:right="630"/>
        <w:jc w:val="right"/>
        <w:outlineLvl w:val="0"/>
        <w:rPr>
          <w:rFonts w:asciiTheme="minorHAnsi" w:eastAsia="Times New Roman" w:hAnsiTheme="minorHAnsi" w:cstheme="minorHAnsi"/>
          <w:color w:val="504938"/>
          <w:sz w:val="16"/>
          <w:szCs w:val="16"/>
          <w:u w:val="single"/>
        </w:rPr>
      </w:pPr>
      <w:hyperlink r:id="rId17" w:history="1">
        <w:r w:rsidR="003845D8" w:rsidRPr="00D17CDB">
          <w:rPr>
            <w:rFonts w:asciiTheme="minorHAnsi" w:eastAsia="Times New Roman" w:hAnsiTheme="minorHAnsi" w:cstheme="minorHAnsi"/>
            <w:color w:val="504938"/>
            <w:sz w:val="16"/>
            <w:u w:val="single"/>
          </w:rPr>
          <w:t>ORS 183.33</w:t>
        </w:r>
        <w:r w:rsidR="003845D8">
          <w:rPr>
            <w:rFonts w:asciiTheme="minorHAnsi" w:eastAsia="Times New Roman" w:hAnsiTheme="minorHAnsi" w:cstheme="minorHAnsi"/>
            <w:color w:val="504938"/>
            <w:sz w:val="16"/>
            <w:u w:val="single"/>
          </w:rPr>
          <w:t>6 (10)</w:t>
        </w:r>
      </w:hyperlink>
    </w:p>
    <w:p w:rsidR="001E443D" w:rsidRPr="00B15DF7" w:rsidRDefault="001E443D" w:rsidP="001E443D">
      <w:pPr>
        <w:ind w:left="1080" w:right="630"/>
        <w:rPr>
          <w:rFonts w:ascii="Times New Roman" w:eastAsia="Times New Roman" w:hAnsi="Times New Roman" w:cs="Times New Roman"/>
          <w:bCs/>
          <w:color w:val="000000" w:themeColor="text1"/>
        </w:rPr>
      </w:pPr>
    </w:p>
    <w:p w:rsidR="001E443D" w:rsidRPr="004F3DFD" w:rsidRDefault="001E443D" w:rsidP="001E443D">
      <w:pPr>
        <w:tabs>
          <w:tab w:val="left" w:pos="12453"/>
          <w:tab w:val="left" w:pos="13188"/>
          <w:tab w:val="left" w:pos="13964"/>
          <w:tab w:val="left" w:pos="14699"/>
          <w:tab w:val="left" w:pos="16283"/>
        </w:tabs>
        <w:spacing w:after="120"/>
        <w:ind w:left="1080"/>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1.</w:t>
      </w:r>
      <w:r w:rsidR="00616723">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Impact on state agencies, units of local government and</w:t>
      </w:r>
      <w:r w:rsidRPr="004F3DFD">
        <w:rPr>
          <w:rFonts w:asciiTheme="majorHAnsi" w:eastAsia="Times New Roman" w:hAnsiTheme="majorHAnsi" w:cstheme="majorHAnsi"/>
          <w:bCs/>
          <w:color w:val="504938"/>
          <w:sz w:val="22"/>
          <w:szCs w:val="22"/>
        </w:rPr>
        <w:t xml:space="preserve"> the public. </w:t>
      </w:r>
    </w:p>
    <w:p w:rsidR="001E443D" w:rsidRDefault="001E443D" w:rsidP="0097451D">
      <w:pPr>
        <w:tabs>
          <w:tab w:val="left" w:pos="12453"/>
          <w:tab w:val="left" w:pos="13188"/>
          <w:tab w:val="left" w:pos="13964"/>
          <w:tab w:val="left" w:pos="14699"/>
          <w:tab w:val="left" w:pos="16283"/>
        </w:tabs>
        <w:ind w:left="1440" w:right="630"/>
        <w:outlineLvl w:val="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The proposed rules do not impact state agencies, units of local governments or the public unless they are manufacturers of electronic devices covered under the E-Cycles program. Any registration fees passed onto consumers as cost increases in covered electronic devices would be negligible.</w:t>
      </w:r>
    </w:p>
    <w:p w:rsidR="001E443D" w:rsidRPr="00CB54E6" w:rsidRDefault="001E443D" w:rsidP="001E443D">
      <w:pPr>
        <w:tabs>
          <w:tab w:val="left" w:pos="12453"/>
          <w:tab w:val="left" w:pos="13188"/>
          <w:tab w:val="left" w:pos="13964"/>
          <w:tab w:val="left" w:pos="14699"/>
          <w:tab w:val="left" w:pos="16283"/>
        </w:tabs>
        <w:ind w:left="1800"/>
        <w:outlineLvl w:val="0"/>
        <w:rPr>
          <w:rFonts w:ascii="Times New Roman" w:eastAsia="Times New Roman" w:hAnsi="Times New Roman" w:cs="Times New Roman"/>
          <w:color w:val="000000" w:themeColor="text1"/>
        </w:rPr>
      </w:pPr>
    </w:p>
    <w:p w:rsidR="001E443D" w:rsidRPr="000D07CA" w:rsidRDefault="001E443D" w:rsidP="001E443D">
      <w:pPr>
        <w:tabs>
          <w:tab w:val="left" w:pos="12453"/>
          <w:tab w:val="left" w:pos="13188"/>
          <w:tab w:val="left" w:pos="13964"/>
          <w:tab w:val="left" w:pos="14699"/>
          <w:tab w:val="left" w:pos="16283"/>
        </w:tabs>
        <w:spacing w:after="120"/>
        <w:ind w:left="1080"/>
        <w:outlineLvl w:val="0"/>
        <w:rPr>
          <w:rFonts w:asciiTheme="majorHAnsi" w:eastAsia="Times New Roman" w:hAnsiTheme="majorHAnsi" w:cstheme="majorHAnsi"/>
        </w:rPr>
      </w:pPr>
      <w:r w:rsidRPr="000D07CA">
        <w:rPr>
          <w:rFonts w:asciiTheme="majorHAnsi" w:eastAsia="Times New Roman" w:hAnsiTheme="majorHAnsi" w:cstheme="majorHAnsi"/>
          <w:bCs/>
          <w:color w:val="786E54"/>
        </w:rPr>
        <w:t xml:space="preserve"> </w:t>
      </w:r>
      <w:r w:rsidRPr="000D07CA">
        <w:rPr>
          <w:rFonts w:asciiTheme="majorHAnsi" w:eastAsia="Times New Roman" w:hAnsiTheme="majorHAnsi" w:cstheme="majorHAnsi"/>
          <w:bCs/>
          <w:color w:val="504938"/>
          <w:sz w:val="22"/>
          <w:szCs w:val="22"/>
        </w:rPr>
        <w:t>2. Cost of compliance on small businesses with 50 or fewer employees</w:t>
      </w:r>
      <w:r w:rsidRPr="000D07CA">
        <w:rPr>
          <w:rFonts w:asciiTheme="majorHAnsi" w:eastAsia="Times New Roman" w:hAnsiTheme="majorHAnsi" w:cstheme="majorHAnsi"/>
          <w:bCs/>
          <w:color w:val="786E54"/>
        </w:rPr>
        <w:t>.</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5310"/>
      </w:tblGrid>
      <w:tr w:rsidR="001E443D" w:rsidRPr="00B15DF7" w:rsidTr="001E443D">
        <w:tc>
          <w:tcPr>
            <w:tcW w:w="396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786E54"/>
                <w:sz w:val="24"/>
                <w:szCs w:val="24"/>
              </w:rPr>
            </w:pPr>
            <w:r w:rsidRPr="0097451D">
              <w:rPr>
                <w:rFonts w:ascii="Times New Roman" w:eastAsia="Times New Roman" w:hAnsi="Times New Roman" w:cs="Times New Roman"/>
                <w:bCs/>
                <w:color w:val="786E54"/>
                <w:sz w:val="24"/>
                <w:szCs w:val="24"/>
              </w:rPr>
              <w:t xml:space="preserve">a) </w:t>
            </w:r>
            <w:r w:rsidRPr="0097451D">
              <w:rPr>
                <w:rFonts w:ascii="Times New Roman" w:eastAsia="Times New Roman" w:hAnsi="Times New Roman" w:cs="Times New Roman"/>
                <w:color w:val="786E54"/>
                <w:sz w:val="24"/>
                <w:szCs w:val="24"/>
              </w:rPr>
              <w:t xml:space="preserve">Estimated number of small </w:t>
            </w:r>
            <w:r w:rsidRPr="0097451D">
              <w:rPr>
                <w:rFonts w:ascii="Times New Roman" w:eastAsia="Times New Roman" w:hAnsi="Times New Roman" w:cs="Times New Roman"/>
                <w:color w:val="786E54"/>
                <w:sz w:val="24"/>
                <w:szCs w:val="24"/>
              </w:rPr>
              <w:lastRenderedPageBreak/>
              <w:t>businesses and types of businesses and industries with small businesses subject to proposed rule.</w:t>
            </w:r>
          </w:p>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sz w:val="24"/>
                <w:szCs w:val="24"/>
              </w:rPr>
            </w:pPr>
            <w:r w:rsidRPr="0097451D">
              <w:rPr>
                <w:rFonts w:ascii="Times New Roman" w:eastAsia="Times New Roman" w:hAnsi="Times New Roman" w:cs="Times New Roman"/>
                <w:color w:val="786E54"/>
                <w:sz w:val="24"/>
                <w:szCs w:val="24"/>
              </w:rPr>
              <w:tab/>
            </w:r>
          </w:p>
        </w:tc>
        <w:tc>
          <w:tcPr>
            <w:tcW w:w="531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sz w:val="24"/>
                <w:szCs w:val="24"/>
              </w:rPr>
            </w:pPr>
            <w:r w:rsidRPr="0097451D">
              <w:rPr>
                <w:rFonts w:ascii="Times New Roman" w:eastAsia="Times New Roman" w:hAnsi="Times New Roman" w:cs="Times New Roman"/>
                <w:bCs/>
                <w:color w:val="000000" w:themeColor="text1"/>
                <w:sz w:val="24"/>
                <w:szCs w:val="24"/>
              </w:rPr>
              <w:lastRenderedPageBreak/>
              <w:t>Ass</w:t>
            </w:r>
            <w:r w:rsidRPr="0097451D">
              <w:rPr>
                <w:rFonts w:ascii="Times New Roman" w:eastAsia="Times New Roman" w:hAnsi="Times New Roman" w:cs="Times New Roman"/>
                <w:bCs/>
                <w:color w:val="000000" w:themeColor="text1"/>
                <w:sz w:val="24"/>
                <w:szCs w:val="24"/>
              </w:rPr>
              <w:lastRenderedPageBreak/>
              <w:t xml:space="preserve">uming all manufacturers in the lowest fee tier are small businesses, 109 small businesses </w:t>
            </w:r>
            <w:r w:rsidRPr="0097451D">
              <w:rPr>
                <w:rFonts w:ascii="Times New Roman" w:eastAsia="Times New Roman" w:hAnsi="Times New Roman" w:cs="Times New Roman"/>
                <w:bCs/>
                <w:color w:val="000000" w:themeColor="text1"/>
                <w:sz w:val="24"/>
                <w:szCs w:val="24"/>
              </w:rPr>
              <w:lastRenderedPageBreak/>
              <w:t>could be affected by this rule.</w:t>
            </w:r>
          </w:p>
        </w:tc>
      </w:tr>
      <w:tr w:rsidR="001E443D" w:rsidRPr="00B15DF7" w:rsidTr="001E443D">
        <w:tc>
          <w:tcPr>
            <w:tcW w:w="396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786E54"/>
                <w:sz w:val="24"/>
                <w:szCs w:val="24"/>
              </w:rPr>
            </w:pPr>
            <w:r w:rsidRPr="0097451D">
              <w:rPr>
                <w:rFonts w:ascii="Times New Roman" w:eastAsia="Times New Roman" w:hAnsi="Times New Roman" w:cs="Times New Roman"/>
                <w:bCs/>
                <w:color w:val="786E54"/>
                <w:sz w:val="24"/>
                <w:szCs w:val="24"/>
              </w:rPr>
              <w:lastRenderedPageBreak/>
              <w:t>b)</w:t>
            </w:r>
            <w:r w:rsidRPr="0097451D">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sz w:val="24"/>
                <w:szCs w:val="24"/>
              </w:rPr>
            </w:pPr>
          </w:p>
        </w:tc>
        <w:tc>
          <w:tcPr>
            <w:tcW w:w="531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sz w:val="24"/>
                <w:szCs w:val="24"/>
              </w:rPr>
            </w:pPr>
            <w:r w:rsidRPr="0097451D">
              <w:rPr>
                <w:rFonts w:ascii="Times New Roman" w:eastAsia="Times New Roman" w:hAnsi="Times New Roman" w:cs="Times New Roman"/>
                <w:bCs/>
                <w:color w:val="000000" w:themeColor="text1"/>
                <w:sz w:val="24"/>
                <w:szCs w:val="24"/>
              </w:rPr>
              <w:t xml:space="preserve">No additional activities are required for compliance with the </w:t>
            </w:r>
            <w:r w:rsidRPr="0097451D">
              <w:rPr>
                <w:rFonts w:ascii="Times New Roman" w:eastAsia="Times New Roman" w:hAnsi="Times New Roman" w:cs="Times New Roman"/>
                <w:bCs/>
                <w:color w:val="000000" w:themeColor="text1"/>
                <w:sz w:val="24"/>
                <w:szCs w:val="24"/>
              </w:rPr>
              <w:lastRenderedPageBreak/>
              <w:t>proposed rules. All manufacturers already pay registration fees.</w:t>
            </w:r>
          </w:p>
        </w:tc>
      </w:tr>
      <w:tr w:rsidR="001E443D" w:rsidRPr="00B15DF7" w:rsidTr="001E443D">
        <w:tc>
          <w:tcPr>
            <w:tcW w:w="396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786E54"/>
                <w:sz w:val="24"/>
                <w:szCs w:val="24"/>
              </w:rPr>
            </w:pPr>
            <w:r w:rsidRPr="0097451D">
              <w:rPr>
                <w:rFonts w:ascii="Times New Roman" w:eastAsia="Times New Roman" w:hAnsi="Times New Roman" w:cs="Times New Roman"/>
                <w:bCs/>
                <w:color w:val="786E54"/>
                <w:sz w:val="24"/>
                <w:szCs w:val="24"/>
              </w:rPr>
              <w:lastRenderedPageBreak/>
              <w:t>c)</w:t>
            </w:r>
            <w:r w:rsidRPr="0097451D">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sz w:val="24"/>
                <w:szCs w:val="24"/>
              </w:rPr>
            </w:pPr>
          </w:p>
        </w:tc>
        <w:tc>
          <w:tcPr>
            <w:tcW w:w="531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sz w:val="24"/>
                <w:szCs w:val="24"/>
              </w:rPr>
            </w:pPr>
            <w:r w:rsidRPr="0097451D">
              <w:rPr>
                <w:rFonts w:ascii="Times New Roman" w:eastAsia="Times New Roman" w:hAnsi="Times New Roman" w:cs="Times New Roman"/>
                <w:bCs/>
                <w:color w:val="000000" w:themeColor="text1"/>
                <w:sz w:val="24"/>
                <w:szCs w:val="24"/>
              </w:rPr>
              <w:t xml:space="preserve">No additional </w:t>
            </w:r>
            <w:r w:rsidR="00691E26" w:rsidRPr="0097451D">
              <w:rPr>
                <w:rFonts w:ascii="Times New Roman" w:eastAsia="Times New Roman" w:hAnsi="Times New Roman" w:cs="Times New Roman"/>
                <w:bCs/>
                <w:color w:val="000000" w:themeColor="text1"/>
                <w:sz w:val="24"/>
                <w:szCs w:val="24"/>
              </w:rPr>
              <w:t>equipme</w:t>
            </w:r>
            <w:r w:rsidR="00691E26" w:rsidRPr="0097451D">
              <w:rPr>
                <w:rFonts w:ascii="Times New Roman" w:eastAsia="Times New Roman" w:hAnsi="Times New Roman" w:cs="Times New Roman"/>
                <w:bCs/>
                <w:color w:val="000000" w:themeColor="text1"/>
                <w:sz w:val="24"/>
                <w:szCs w:val="24"/>
              </w:rPr>
              <w:lastRenderedPageBreak/>
              <w:t xml:space="preserve">nt, supplies, labor or administrative </w:t>
            </w:r>
            <w:r w:rsidRPr="0097451D">
              <w:rPr>
                <w:rFonts w:ascii="Times New Roman" w:eastAsia="Times New Roman" w:hAnsi="Times New Roman" w:cs="Times New Roman"/>
                <w:bCs/>
                <w:color w:val="000000" w:themeColor="text1"/>
                <w:sz w:val="24"/>
                <w:szCs w:val="24"/>
              </w:rPr>
              <w:t>resources are required for compliance with the propos</w:t>
            </w:r>
            <w:r w:rsidRPr="0097451D">
              <w:rPr>
                <w:rFonts w:ascii="Times New Roman" w:eastAsia="Times New Roman" w:hAnsi="Times New Roman" w:cs="Times New Roman"/>
                <w:bCs/>
                <w:color w:val="000000" w:themeColor="text1"/>
                <w:sz w:val="24"/>
                <w:szCs w:val="24"/>
              </w:rPr>
              <w:lastRenderedPageBreak/>
              <w:t>ed rules. All manufacturers already pay registration fees.</w:t>
            </w:r>
          </w:p>
        </w:tc>
      </w:tr>
      <w:tr w:rsidR="001E443D" w:rsidRPr="00B15DF7" w:rsidTr="001E443D">
        <w:tc>
          <w:tcPr>
            <w:tcW w:w="396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786E54"/>
                <w:sz w:val="24"/>
                <w:szCs w:val="24"/>
              </w:rPr>
            </w:pPr>
            <w:r w:rsidRPr="0097451D">
              <w:rPr>
                <w:rFonts w:ascii="Times New Roman" w:eastAsia="Times New Roman" w:hAnsi="Times New Roman" w:cs="Times New Roman"/>
                <w:bCs/>
                <w:color w:val="786E54"/>
                <w:sz w:val="24"/>
                <w:szCs w:val="24"/>
              </w:rPr>
              <w:lastRenderedPageBreak/>
              <w:t>d)</w:t>
            </w:r>
            <w:r w:rsidRPr="0097451D">
              <w:rPr>
                <w:rFonts w:ascii="Times New Roman" w:eastAsia="Times New Roman" w:hAnsi="Times New Roman" w:cs="Times New Roman"/>
                <w:color w:val="786E54"/>
                <w:sz w:val="24"/>
                <w:szCs w:val="24"/>
              </w:rPr>
              <w:t xml:space="preserve"> Describe how DEQ involved small businesses in developing this proposed rule.</w:t>
            </w:r>
          </w:p>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sz w:val="24"/>
                <w:szCs w:val="24"/>
              </w:rPr>
            </w:pPr>
          </w:p>
        </w:tc>
        <w:tc>
          <w:tcPr>
            <w:tcW w:w="5310" w:type="dxa"/>
          </w:tcPr>
          <w:p w:rsidR="001E443D" w:rsidRPr="0097451D" w:rsidRDefault="001E443D" w:rsidP="001E443D">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sz w:val="24"/>
                <w:szCs w:val="24"/>
              </w:rPr>
            </w:pPr>
            <w:r w:rsidRPr="0097451D">
              <w:rPr>
                <w:rFonts w:ascii="Times New Roman" w:eastAsia="Times New Roman" w:hAnsi="Times New Roman" w:cs="Times New Roman"/>
                <w:bCs/>
                <w:color w:val="000000" w:themeColor="text1"/>
                <w:sz w:val="24"/>
                <w:szCs w:val="24"/>
              </w:rPr>
              <w:t>DEQ included small busi</w:t>
            </w:r>
            <w:r w:rsidRPr="0097451D">
              <w:rPr>
                <w:rFonts w:ascii="Times New Roman" w:eastAsia="Times New Roman" w:hAnsi="Times New Roman" w:cs="Times New Roman"/>
                <w:bCs/>
                <w:color w:val="000000" w:themeColor="text1"/>
                <w:sz w:val="24"/>
                <w:szCs w:val="24"/>
              </w:rPr>
              <w:lastRenderedPageBreak/>
              <w:t>ness representatives on the Oregon E-Cycles Registration Fee Advisory Committee that advi</w:t>
            </w:r>
            <w:r w:rsidRPr="0097451D">
              <w:rPr>
                <w:rFonts w:ascii="Times New Roman" w:eastAsia="Times New Roman" w:hAnsi="Times New Roman" w:cs="Times New Roman"/>
                <w:bCs/>
                <w:color w:val="000000" w:themeColor="text1"/>
                <w:sz w:val="24"/>
                <w:szCs w:val="24"/>
              </w:rPr>
              <w:lastRenderedPageBreak/>
              <w:t xml:space="preserve">sed DEQ on the cost of compliance for small businesses. DEQ also provided notice </w:t>
            </w:r>
            <w:r w:rsidRPr="0097451D">
              <w:rPr>
                <w:rFonts w:ascii="Times New Roman" w:eastAsia="Times New Roman" w:hAnsi="Times New Roman" w:cs="Times New Roman"/>
                <w:bCs/>
                <w:color w:val="000000" w:themeColor="text1"/>
                <w:sz w:val="24"/>
                <w:szCs w:val="24"/>
              </w:rPr>
              <w:lastRenderedPageBreak/>
              <w:t>of the proposed rules to all manufacturers registered under Oregon E-Cycles, the fee-</w:t>
            </w:r>
            <w:r w:rsidRPr="0097451D">
              <w:rPr>
                <w:rFonts w:ascii="Times New Roman" w:eastAsia="Times New Roman" w:hAnsi="Times New Roman" w:cs="Times New Roman"/>
                <w:bCs/>
                <w:color w:val="000000" w:themeColor="text1"/>
                <w:sz w:val="24"/>
                <w:szCs w:val="24"/>
              </w:rPr>
              <w:lastRenderedPageBreak/>
              <w:t>payers, including those that are small businesses.</w:t>
            </w:r>
          </w:p>
        </w:tc>
      </w:tr>
    </w:tbl>
    <w:p w:rsidR="00296A9D" w:rsidRPr="00B15DF7" w:rsidRDefault="00296A9D" w:rsidP="001E443D">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1E443D" w:rsidRPr="00C65D06" w:rsidRDefault="001E443D" w:rsidP="001E443D">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35740D" w:rsidRDefault="00296A9D">
      <w:pPr>
        <w:ind w:left="1080"/>
        <w:rPr>
          <w:rFonts w:ascii="Times New Roman" w:hAnsi="Times New Roman" w:cs="Times New Roman"/>
        </w:rPr>
        <w:sectPr w:rsidR="0035740D" w:rsidSect="008F3499">
          <w:footerReference w:type="default" r:id="rId18"/>
          <w:pgSz w:w="12240" w:h="15840"/>
          <w:pgMar w:top="1350" w:right="360" w:bottom="1080" w:left="450" w:header="720" w:footer="720" w:gutter="0"/>
          <w:cols w:space="720"/>
          <w:docGrid w:linePitch="360"/>
        </w:sectPr>
      </w:pPr>
      <w:r>
        <w:rPr>
          <w:rFonts w:ascii="Times New Roman" w:hAnsi="Times New Roman" w:cs="Times New Roman"/>
        </w:rPr>
        <w:t>DEQ determined the proposed rulemaking will have no effect on the development cost of a 6,000 square foot parcel and construction of a 1,200 square foot detached single family dwelling on that parcel. The proposed fee affects only manufacturers of electronic devices sold in or into Oregon.</w:t>
      </w:r>
    </w:p>
    <w:tbl>
      <w:tblPr>
        <w:tblW w:w="11430" w:type="dxa"/>
        <w:tblInd w:w="108" w:type="dxa"/>
        <w:tblLook w:val="04A0"/>
      </w:tblPr>
      <w:tblGrid>
        <w:gridCol w:w="11430"/>
      </w:tblGrid>
      <w:tr w:rsidR="002405F8"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2405F8" w:rsidRPr="00B15DF7" w:rsidRDefault="002405F8" w:rsidP="00B1210C">
            <w:pPr>
              <w:outlineLvl w:val="0"/>
              <w:rPr>
                <w:rFonts w:eastAsia="Times New Roman"/>
                <w:bCs/>
                <w:color w:val="32525C"/>
                <w:sz w:val="28"/>
                <w:szCs w:val="28"/>
              </w:rPr>
            </w:pPr>
          </w:p>
          <w:p w:rsidR="002405F8" w:rsidRPr="004F673A" w:rsidRDefault="002405F8" w:rsidP="00D17CDB">
            <w:pPr>
              <w:outlineLvl w:val="0"/>
              <w:rPr>
                <w:rFonts w:eastAsia="Times New Roman"/>
                <w:b/>
                <w:bCs/>
                <w:color w:val="32525C"/>
                <w:sz w:val="28"/>
                <w:szCs w:val="28"/>
              </w:rPr>
            </w:pPr>
            <w:bookmarkStart w:id="6" w:name="FedRelationship"/>
            <w:r w:rsidRPr="004F673A">
              <w:rPr>
                <w:rFonts w:eastAsia="Times New Roman"/>
                <w:b/>
                <w:bCs/>
                <w:color w:val="32525C"/>
                <w:sz w:val="28"/>
                <w:szCs w:val="28"/>
              </w:rPr>
              <w:t>Federal relationship</w:t>
            </w:r>
            <w:r w:rsidR="00596D65" w:rsidRPr="008D52B1">
              <w:rPr>
                <w:rFonts w:ascii="Times New Roman" w:eastAsia="Times New Roman" w:hAnsi="Times New Roman" w:cs="Times New Roman"/>
                <w:bCs/>
                <w:color w:val="504938"/>
                <w:sz w:val="16"/>
                <w:szCs w:val="16"/>
              </w:rPr>
              <w:t xml:space="preserve"> </w:t>
            </w:r>
            <w:bookmarkEnd w:id="6"/>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hyperlink r:id="rId19" w:history="1"/>
          </w:p>
        </w:tc>
      </w:tr>
    </w:tbl>
    <w:p w:rsidR="002405F8" w:rsidRPr="00B15DF7" w:rsidRDefault="002405F8" w:rsidP="002405F8">
      <w:pPr>
        <w:ind w:left="720" w:right="630"/>
      </w:pPr>
    </w:p>
    <w:p w:rsidR="00D17CDB" w:rsidRPr="00B15DF7" w:rsidRDefault="002405F8" w:rsidP="00C53F0F">
      <w:pPr>
        <w:ind w:left="360" w:right="630"/>
        <w:outlineLvl w:val="0"/>
        <w:rPr>
          <w:rFonts w:eastAsia="Times New Roman"/>
          <w:bCs/>
          <w:color w:val="2A363D" w:themeColor="background2" w:themeShade="40"/>
          <w:sz w:val="28"/>
          <w:szCs w:val="28"/>
        </w:rPr>
      </w:pPr>
      <w:r w:rsidRPr="00B15DF7">
        <w:rPr>
          <w:rFonts w:ascii="Times New Roman" w:eastAsia="Times New Roman" w:hAnsi="Times New Roman" w:cs="Times New Roman"/>
          <w:i/>
          <w:iCs/>
          <w:color w:val="2A363D" w:themeColor="background2" w:themeShade="40"/>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D17CDB" w:rsidRPr="00D17CDB" w:rsidRDefault="00192E08" w:rsidP="005A7DF4">
      <w:pPr>
        <w:ind w:right="630"/>
        <w:jc w:val="right"/>
        <w:outlineLvl w:val="0"/>
        <w:rPr>
          <w:rFonts w:asciiTheme="minorHAnsi" w:eastAsia="Times New Roman" w:hAnsiTheme="minorHAnsi" w:cstheme="minorHAnsi"/>
          <w:color w:val="504938"/>
          <w:sz w:val="16"/>
          <w:szCs w:val="16"/>
          <w:u w:val="single"/>
        </w:rPr>
      </w:pPr>
      <w:hyperlink r:id="rId20" w:history="1">
        <w:r w:rsidR="00D17CDB" w:rsidRPr="00D17CDB">
          <w:rPr>
            <w:rFonts w:asciiTheme="minorHAnsi" w:eastAsia="Times New Roman" w:hAnsiTheme="minorHAnsi" w:cstheme="minorHAnsi"/>
            <w:color w:val="504938"/>
            <w:sz w:val="16"/>
            <w:u w:val="single"/>
          </w:rPr>
          <w:t>ORS 183.332</w:t>
        </w:r>
      </w:hyperlink>
    </w:p>
    <w:p w:rsidR="00D17CDB" w:rsidRPr="00D17CDB" w:rsidRDefault="00D17CDB" w:rsidP="005A7DF4">
      <w:pPr>
        <w:ind w:right="630"/>
        <w:jc w:val="right"/>
        <w:outlineLvl w:val="0"/>
        <w:rPr>
          <w:rFonts w:asciiTheme="minorHAnsi" w:eastAsia="Times New Roman" w:hAnsiTheme="minorHAnsi" w:cstheme="minorHAnsi"/>
          <w:color w:val="504938"/>
          <w:sz w:val="16"/>
          <w:szCs w:val="16"/>
          <w:u w:val="single"/>
        </w:rPr>
      </w:pPr>
      <w:r w:rsidRPr="00D17CDB">
        <w:rPr>
          <w:rFonts w:asciiTheme="minorHAnsi" w:eastAsia="Times New Roman" w:hAnsiTheme="minorHAnsi" w:cstheme="minorHAnsi"/>
          <w:color w:val="504938"/>
          <w:sz w:val="16"/>
          <w:szCs w:val="16"/>
          <w:u w:val="single"/>
        </w:rPr>
        <w:t>OAR 340-011-0029</w:t>
      </w:r>
    </w:p>
    <w:p w:rsidR="00D17CDB" w:rsidRDefault="00192E08" w:rsidP="005A7DF4">
      <w:pPr>
        <w:ind w:right="630" w:firstLineChars="100" w:firstLine="240"/>
        <w:jc w:val="right"/>
        <w:outlineLvl w:val="0"/>
        <w:rPr>
          <w:color w:val="504938"/>
          <w:sz w:val="16"/>
          <w:szCs w:val="16"/>
          <w:u w:val="single"/>
        </w:rPr>
      </w:pPr>
      <w:hyperlink r:id="rId21" w:history="1">
        <w:r w:rsidR="00D17CDB" w:rsidRPr="00D17CDB">
          <w:rPr>
            <w:rStyle w:val="Hyperlink"/>
            <w:rFonts w:asciiTheme="minorHAnsi" w:hAnsiTheme="minorHAnsi" w:cstheme="minorHAnsi"/>
            <w:color w:val="504938"/>
            <w:sz w:val="16"/>
            <w:szCs w:val="16"/>
          </w:rPr>
          <w:t>ORS 468A.327</w:t>
        </w:r>
      </w:hyperlink>
    </w:p>
    <w:p w:rsidR="00C53F0F" w:rsidRPr="008D52B1" w:rsidRDefault="00593446" w:rsidP="00AD0243">
      <w:pPr>
        <w:ind w:left="720" w:right="630"/>
        <w:rPr>
          <w:rFonts w:ascii="Times New Roman" w:eastAsia="Times New Roman" w:hAnsi="Times New Roman" w:cs="Times New Roman"/>
          <w:bCs/>
          <w:color w:val="463D38" w:themeColor="accent4" w:themeShade="80"/>
          <w:sz w:val="20"/>
          <w:u w:val="single"/>
        </w:rPr>
      </w:pPr>
      <w:r w:rsidRPr="00B15DF7">
        <w:rPr>
          <w:rFonts w:ascii="Times New Roman" w:eastAsia="Times New Roman" w:hAnsi="Times New Roman" w:cs="Times New Roman"/>
          <w:bCs/>
          <w:color w:val="504938"/>
        </w:rPr>
        <w:t>The proposal adopts the federal requirement verbatim or by reference.</w:t>
      </w:r>
      <w:r w:rsidR="00616723">
        <w:rPr>
          <w:rFonts w:ascii="Times New Roman" w:eastAsia="Times New Roman" w:hAnsi="Times New Roman" w:cs="Times New Roman"/>
          <w:bCs/>
          <w:color w:val="504938"/>
        </w:rPr>
        <w:t xml:space="preserve"> </w:t>
      </w:r>
      <w:sdt>
        <w:sdtPr>
          <w:rPr>
            <w:rFonts w:ascii="Times New Roman" w:eastAsia="Times New Roman" w:hAnsi="Times New Roman" w:cs="Times New Roman"/>
            <w:bCs/>
            <w:color w:val="000000" w:themeColor="text1"/>
            <w:u w:val="single"/>
          </w:rPr>
          <w:alias w:val="FederalRequirement"/>
          <w:tag w:val="TrueFalse"/>
          <w:id w:val="30361523"/>
          <w:placeholder>
            <w:docPart w:val="DefaultPlaceholder_22675704"/>
          </w:placeholder>
          <w:dropDownList>
            <w:listItem w:value="Choose an item."/>
            <w:listItem w:displayText="TRUE" w:value="TRUE"/>
            <w:listItem w:displayText="FALSE" w:value="FALSE"/>
          </w:dropDownList>
        </w:sdtPr>
        <w:sdtContent>
          <w:r w:rsidR="00C53F0F" w:rsidRPr="00B15DF7">
            <w:rPr>
              <w:rFonts w:ascii="Times New Roman" w:eastAsia="Times New Roman" w:hAnsi="Times New Roman" w:cs="Times New Roman"/>
              <w:bCs/>
              <w:color w:val="000000" w:themeColor="text1"/>
              <w:u w:val="single"/>
            </w:rPr>
            <w:t>FALSE</w:t>
          </w:r>
        </w:sdtContent>
      </w:sdt>
      <w:r w:rsidRPr="00B15DF7">
        <w:rPr>
          <w:rFonts w:ascii="Times New Roman" w:eastAsia="Times New Roman" w:hAnsi="Times New Roman" w:cs="Times New Roman"/>
          <w:bCs/>
          <w:color w:val="000000" w:themeColor="text1"/>
          <w:u w:val="single"/>
        </w:rPr>
        <w:t xml:space="preserve"> </w:t>
      </w:r>
      <w:r w:rsidR="00C53F0F" w:rsidRPr="00B15DF7">
        <w:rPr>
          <w:rFonts w:ascii="Times New Roman" w:eastAsia="Times New Roman" w:hAnsi="Times New Roman" w:cs="Times New Roman"/>
          <w:bCs/>
          <w:color w:val="504938"/>
        </w:rPr>
        <w:tab/>
      </w:r>
      <w:r w:rsidR="008D52B1">
        <w:rPr>
          <w:rFonts w:ascii="Times New Roman" w:eastAsia="Times New Roman" w:hAnsi="Times New Roman" w:cs="Times New Roman"/>
          <w:bCs/>
          <w:color w:val="504938"/>
        </w:rPr>
        <w:tab/>
      </w:r>
    </w:p>
    <w:p w:rsidR="00B51723" w:rsidRPr="00B15DF7" w:rsidRDefault="00B51723" w:rsidP="00B51723">
      <w:pPr>
        <w:ind w:left="720" w:right="630"/>
        <w:rPr>
          <w:rFonts w:ascii="Times New Roman" w:eastAsia="Times New Roman" w:hAnsi="Times New Roman" w:cs="Times New Roman"/>
          <w:bCs/>
          <w:color w:val="504938"/>
          <w:sz w:val="20"/>
          <w:u w:val="single"/>
        </w:rPr>
      </w:pPr>
    </w:p>
    <w:p w:rsidR="00AD0243" w:rsidRPr="00B15DF7" w:rsidRDefault="00B51723" w:rsidP="00D17CDB">
      <w:pPr>
        <w:spacing w:after="120"/>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 xml:space="preserve">This rule proposal is </w:t>
      </w:r>
      <w:r w:rsidRPr="00E82FA7">
        <w:rPr>
          <w:rFonts w:ascii="Times New Roman" w:eastAsia="Times New Roman" w:hAnsi="Times New Roman" w:cs="Times New Roman"/>
          <w:bCs/>
          <w:color w:val="000000" w:themeColor="text1"/>
        </w:rPr>
        <w:t>in addition to</w:t>
      </w:r>
      <w:r w:rsidRPr="00B15DF7">
        <w:rPr>
          <w:rFonts w:ascii="Times New Roman" w:eastAsia="Times New Roman" w:hAnsi="Times New Roman" w:cs="Times New Roman"/>
          <w:bCs/>
          <w:color w:val="000000" w:themeColor="text1"/>
        </w:rPr>
        <w:t xml:space="preserve"> federal requirements. The following exemption from adopting rules that correspond with equivalent federal laws and rules applies to this proposal</w:t>
      </w:r>
      <w:r w:rsidR="00AD0243" w:rsidRPr="00B15DF7">
        <w:rPr>
          <w:rFonts w:ascii="Times New Roman" w:eastAsia="Times New Roman" w:hAnsi="Times New Roman" w:cs="Times New Roman"/>
          <w:bCs/>
          <w:color w:val="000000" w:themeColor="text1"/>
        </w:rPr>
        <w:t>:</w:t>
      </w:r>
    </w:p>
    <w:p w:rsidR="00B51723" w:rsidRPr="00B15DF7" w:rsidRDefault="00192E08" w:rsidP="00115219">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left="1440" w:right="630"/>
        <w:rPr>
          <w:rFonts w:ascii="Times New Roman" w:eastAsia="Times New Roman" w:hAnsi="Times New Roman" w:cs="Times New Roman"/>
          <w:bCs/>
          <w:color w:val="000000" w:themeColor="text1"/>
        </w:rPr>
      </w:pPr>
      <w:sdt>
        <w:sdtPr>
          <w:rPr>
            <w:rFonts w:ascii="Times New Roman" w:eastAsia="Times New Roman" w:hAnsi="Times New Roman" w:cs="Times New Roman"/>
            <w:bCs/>
            <w:color w:val="000000" w:themeColor="text1"/>
          </w:rPr>
          <w:alias w:val="FedReqReasonForDifference"/>
          <w:tag w:val="FedReqReasonForDifference"/>
          <w:id w:val="30361532"/>
          <w:lock w:val="sdtLocked"/>
          <w:placeholder>
            <w:docPart w:val="C17A291BC1AC438AAB5A994E043F4EC4"/>
          </w:placeholder>
          <w:dropDownList>
            <w:listItem w:value="Choose an item."/>
            <w:listItem w:displayText="ORS 183.332 does not list an exemption." w:value="ORS 183.332 does not list an exemption."/>
            <w:listItem w:displayText="here is specific statutory direction to the agency that authorizes the adoption of the rule. ORS 183.332 (1) " w:value="here is specific statutory direction to the agency that authorizes the adoption of the rule. ORS 183.332 (1) "/>
            <w:listItem w:displayText="A federal waiver has been granted that authorizes the adoption of the rule. ORS 183.332 (2) " w:value="A federal waiver has been granted that authorizes the adoption of the rule. ORS 183.332 (2) "/>
            <w:listItem w:displayText="Local or special conditions exist in this state that warrant a different rule; ORS 183.332 (3) " w:value="Local or special conditions exist in this state that warrant a different rule; ORS 183.332 (3) "/>
            <w:listItem w:displayText="The state rule has the effect of clarifying the federal rules, standards, procedures or requirements. ORS 183.332 (4) " w:value="The state rule has the effect of clarifying the federal rules, standards, procedures or requirements. ORS 183.332 (4) "/>
            <w:listItem w:displayText="The state rule achieves the goals of the federal and state law with the least impact on public and private resources; ORS 183.332 (5)" w:value="The state rule achieves the goals of the federal and state law with the least impact on public and private resources; ORS 183.332 (5)"/>
            <w:listItem w:displayText="There is no corresponding federal regulation. ORS 183.332 (6)" w:value="There is no corresponding federal regulation. ORS 183.332 (6)"/>
          </w:dropDownList>
        </w:sdtPr>
        <w:sdtContent>
          <w:r w:rsidR="00D37DC4">
            <w:rPr>
              <w:rFonts w:ascii="Times New Roman" w:eastAsia="Times New Roman" w:hAnsi="Times New Roman" w:cs="Times New Roman"/>
              <w:bCs/>
              <w:color w:val="000000" w:themeColor="text1"/>
            </w:rPr>
            <w:t>There is no corresponding federal regulation. ORS 183.332 (6)</w:t>
          </w:r>
        </w:sdtContent>
      </w:sdt>
    </w:p>
    <w:p w:rsidR="002E283F" w:rsidRPr="00B15DF7" w:rsidRDefault="002E283F" w:rsidP="00B51723">
      <w:pPr>
        <w:ind w:left="720" w:right="630"/>
        <w:rPr>
          <w:rFonts w:ascii="Times New Roman" w:eastAsia="Times New Roman" w:hAnsi="Times New Roman" w:cs="Times New Roman"/>
          <w:bCs/>
          <w:color w:val="504938"/>
          <w:sz w:val="20"/>
          <w:u w:val="single"/>
        </w:rPr>
      </w:pPr>
    </w:p>
    <w:p w:rsidR="00AD0243" w:rsidRPr="0009694C" w:rsidRDefault="00AD0243" w:rsidP="005A7DF4">
      <w:pPr>
        <w:spacing w:after="120"/>
        <w:ind w:left="72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lastRenderedPageBreak/>
        <w:t>Discuss HOW the proposal is different from or in addition to federal requirements.</w:t>
      </w:r>
    </w:p>
    <w:p w:rsidR="0009694C" w:rsidRPr="00C60C35" w:rsidRDefault="0009694C" w:rsidP="00115219">
      <w:pPr>
        <w:ind w:left="1440" w:right="630"/>
        <w:rPr>
          <w:rFonts w:ascii="Times New Roman" w:hAnsi="Times New Roman" w:cs="Times New Roman"/>
        </w:rPr>
      </w:pPr>
      <w:r w:rsidRPr="00C60C35">
        <w:rPr>
          <w:rFonts w:ascii="Times New Roman" w:hAnsi="Times New Roman" w:cs="Times New Roman"/>
        </w:rPr>
        <w:t>The proposed fees apply to an Oregon program</w:t>
      </w:r>
      <w:r>
        <w:rPr>
          <w:rFonts w:ascii="Times New Roman" w:hAnsi="Times New Roman" w:cs="Times New Roman"/>
        </w:rPr>
        <w:t>; no comparable federal program or requirement exists.</w:t>
      </w:r>
    </w:p>
    <w:p w:rsidR="00470AD8" w:rsidRPr="00B15DF7" w:rsidRDefault="00470AD8" w:rsidP="00470AD8">
      <w:pPr>
        <w:ind w:left="2160" w:right="634"/>
        <w:rPr>
          <w:rFonts w:ascii="Times New Roman" w:eastAsia="Times New Roman" w:hAnsi="Times New Roman" w:cs="Times New Roman"/>
          <w:bCs/>
        </w:rPr>
      </w:pPr>
    </w:p>
    <w:p w:rsidR="00AD0243" w:rsidRPr="0009694C" w:rsidRDefault="00AD0243" w:rsidP="005A7DF4">
      <w:pPr>
        <w:spacing w:after="120"/>
        <w:ind w:left="72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WHY the proposal is different from or in addition to federal requirements.</w:t>
      </w:r>
    </w:p>
    <w:p w:rsidR="0009694C" w:rsidRDefault="0009694C" w:rsidP="00115219">
      <w:pPr>
        <w:ind w:left="1440" w:right="634"/>
        <w:rPr>
          <w:rFonts w:ascii="Times New Roman" w:eastAsia="Times New Roman" w:hAnsi="Times New Roman" w:cs="Times New Roman"/>
          <w:bCs/>
        </w:rPr>
      </w:pPr>
      <w:r w:rsidRPr="0009694C">
        <w:rPr>
          <w:rFonts w:ascii="Times New Roman" w:eastAsia="Times New Roman" w:hAnsi="Times New Roman" w:cs="Times New Roman"/>
          <w:bCs/>
        </w:rPr>
        <w:t>No comparable federal program or requirement exists.</w:t>
      </w:r>
    </w:p>
    <w:p w:rsidR="00DA0AA5" w:rsidRPr="00B15DF7" w:rsidRDefault="00DA0AA5" w:rsidP="0097451D">
      <w:pPr>
        <w:ind w:left="1440" w:right="634"/>
        <w:rPr>
          <w:rFonts w:ascii="Times New Roman" w:eastAsia="Times New Roman" w:hAnsi="Times New Roman" w:cs="Times New Roman"/>
          <w:bCs/>
        </w:rPr>
      </w:pPr>
    </w:p>
    <w:p w:rsidR="00B1210C" w:rsidRPr="00B15DF7" w:rsidRDefault="00B1210C" w:rsidP="00B1210C"/>
    <w:tbl>
      <w:tblPr>
        <w:tblW w:w="11430" w:type="dxa"/>
        <w:tblInd w:w="108" w:type="dxa"/>
        <w:tblLook w:val="04A0"/>
      </w:tblPr>
      <w:tblGrid>
        <w:gridCol w:w="11430"/>
      </w:tblGrid>
      <w:tr w:rsidR="00B1210C" w:rsidRPr="00B15DF7" w:rsidTr="00B1210C">
        <w:trPr>
          <w:trHeight w:val="600"/>
        </w:trPr>
        <w:tc>
          <w:tcPr>
            <w:tcW w:w="11430" w:type="dxa"/>
            <w:tcBorders>
              <w:top w:val="nil"/>
              <w:left w:val="nil"/>
              <w:bottom w:val="double" w:sz="6" w:space="0" w:color="7F7F7F"/>
              <w:right w:val="nil"/>
            </w:tcBorders>
            <w:shd w:val="clear" w:color="000000" w:fill="D8D3C6"/>
            <w:noWrap/>
            <w:vAlign w:val="bottom"/>
            <w:hideMark/>
          </w:tcPr>
          <w:p w:rsidR="00B1210C" w:rsidRPr="00DC07BD" w:rsidRDefault="00B1210C" w:rsidP="00B1210C">
            <w:pPr>
              <w:outlineLvl w:val="0"/>
              <w:rPr>
                <w:rFonts w:eastAsia="Times New Roman"/>
                <w:bCs/>
                <w:color w:val="00494F"/>
                <w:sz w:val="28"/>
                <w:szCs w:val="28"/>
              </w:rPr>
            </w:pPr>
          </w:p>
          <w:p w:rsidR="00B1210C" w:rsidRPr="00B15DF7" w:rsidRDefault="00B1210C" w:rsidP="00B1210C">
            <w:pPr>
              <w:outlineLvl w:val="0"/>
              <w:rPr>
                <w:rFonts w:eastAsia="Times New Roman"/>
                <w:bCs/>
                <w:color w:val="32525C"/>
                <w:sz w:val="28"/>
                <w:szCs w:val="28"/>
              </w:rPr>
            </w:pPr>
            <w:r w:rsidRPr="00DC07BD">
              <w:rPr>
                <w:rFonts w:eastAsia="Times New Roman"/>
                <w:bCs/>
                <w:color w:val="00494F"/>
                <w:sz w:val="28"/>
                <w:szCs w:val="28"/>
              </w:rPr>
              <w:t>Rules affected, authorities, supporting documents</w:t>
            </w:r>
          </w:p>
        </w:tc>
      </w:tr>
    </w:tbl>
    <w:p w:rsidR="00B1210C" w:rsidRPr="00B15DF7" w:rsidRDefault="00B1210C" w:rsidP="00B1210C"/>
    <w:p w:rsidR="00B1210C" w:rsidRPr="004F673A" w:rsidRDefault="00B1210C" w:rsidP="00B1210C">
      <w:pPr>
        <w:spacing w:after="120"/>
        <w:ind w:left="720"/>
        <w:rPr>
          <w:rFonts w:asciiTheme="majorHAnsi" w:eastAsia="Times New Roman" w:hAnsiTheme="majorHAnsi" w:cstheme="majorHAnsi"/>
          <w:b/>
          <w:bCs/>
          <w:color w:val="435D40"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435D40" w:themeColor="accent5" w:themeShade="80"/>
          <w:sz w:val="22"/>
          <w:szCs w:val="22"/>
        </w:rPr>
        <w:t xml:space="preserve"> </w:t>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E51C22" w:rsidRDefault="000D0B4D">
      <w:pPr>
        <w:tabs>
          <w:tab w:val="left" w:pos="5400"/>
          <w:tab w:val="left" w:pos="6840"/>
        </w:tabs>
        <w:ind w:left="1080" w:right="634"/>
        <w:rPr>
          <w:rFonts w:ascii="Times New Roman" w:hAnsi="Times New Roman" w:cs="Times New Roman"/>
          <w:color w:val="000000" w:themeColor="text1"/>
        </w:rPr>
      </w:pPr>
      <w:r>
        <w:rPr>
          <w:rFonts w:ascii="Times New Roman" w:eastAsia="Times New Roman" w:hAnsi="Times New Roman" w:cs="Times New Roman"/>
          <w:bCs/>
        </w:rPr>
        <w:t>Land Quality</w:t>
      </w:r>
      <w:r w:rsidR="0073490E">
        <w:rPr>
          <w:rFonts w:ascii="Times New Roman" w:eastAsia="Times New Roman" w:hAnsi="Times New Roman" w:cs="Times New Roman"/>
          <w:bCs/>
        </w:rPr>
        <w:tab/>
      </w:r>
      <w:r>
        <w:rPr>
          <w:rFonts w:ascii="Times New Roman" w:eastAsia="Times New Roman" w:hAnsi="Times New Roman" w:cs="Times New Roman"/>
          <w:bCs/>
        </w:rPr>
        <w:t>SW PPD, Oregon E-Cycles</w:t>
      </w:r>
    </w:p>
    <w:p w:rsidR="00B51723" w:rsidRPr="00B15DF7" w:rsidRDefault="00B51723" w:rsidP="00F42724">
      <w:pPr>
        <w:tabs>
          <w:tab w:val="left" w:pos="7020"/>
        </w:tabs>
        <w:ind w:right="630"/>
      </w:pPr>
    </w:p>
    <w:p w:rsidR="00FC28B7" w:rsidRPr="004F673A" w:rsidRDefault="00F42724" w:rsidP="00FE235D">
      <w:pPr>
        <w:spacing w:after="120"/>
        <w:outlineLvl w:val="0"/>
        <w:rPr>
          <w:rFonts w:ascii="Times New Roman" w:eastAsia="Times New Roman" w:hAnsi="Times New Roman" w:cs="Times New Roman"/>
          <w:b/>
          <w:bCs/>
          <w:color w:val="435D40" w:themeColor="accent5" w:themeShade="80"/>
        </w:rPr>
      </w:pPr>
      <w:r w:rsidRPr="00B15DF7">
        <w:rPr>
          <w:rFonts w:ascii="Times New Roman" w:eastAsia="Times New Roman" w:hAnsi="Times New Roman" w:cs="Times New Roman"/>
          <w:bCs/>
          <w:color w:val="504938"/>
        </w:rPr>
        <w:t xml:space="preserve"> </w:t>
      </w:r>
      <w:r w:rsidR="00FC28B7"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22" w:history="1">
        <w:r w:rsidR="007667BF"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p>
    <w:p w:rsidR="00F42724" w:rsidRPr="000D07CA" w:rsidRDefault="00FC28B7" w:rsidP="00FE235D">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lastRenderedPageBreak/>
        <w:tab/>
      </w:r>
      <w:r w:rsidRPr="000D07CA">
        <w:rPr>
          <w:rFonts w:ascii="Times New Roman" w:eastAsia="Times New Roman" w:hAnsi="Times New Roman" w:cs="Times New Roman"/>
          <w:color w:val="463D38" w:themeColor="accent4" w:themeShade="80"/>
          <w:sz w:val="20"/>
        </w:rPr>
        <w:t>Recommendation</w:t>
      </w:r>
      <w:hyperlink r:id="rId23" w:history="1">
        <w:r w:rsidR="007667BF"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00F42724" w:rsidRPr="000D07CA">
        <w:rPr>
          <w:rFonts w:ascii="Times New Roman" w:eastAsia="Times New Roman" w:hAnsi="Times New Roman" w:cs="Times New Roman"/>
          <w:color w:val="463D38" w:themeColor="accent4" w:themeShade="80"/>
          <w:sz w:val="20"/>
        </w:rPr>
        <w:t>Division</w:t>
      </w:r>
      <w:r w:rsidR="00F42724" w:rsidRPr="000D07CA">
        <w:rPr>
          <w:rFonts w:ascii="Times New Roman" w:eastAsia="Times New Roman" w:hAnsi="Times New Roman" w:cs="Times New Roman"/>
          <w:color w:val="463D38" w:themeColor="accent4" w:themeShade="80"/>
          <w:sz w:val="20"/>
        </w:rPr>
        <w:tab/>
        <w:t>Rule</w:t>
      </w:r>
      <w:r w:rsidR="00F42724"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r>
      <w:r w:rsidR="00F42724" w:rsidRPr="000D07CA">
        <w:rPr>
          <w:rFonts w:ascii="Times New Roman" w:eastAsia="Times New Roman" w:hAnsi="Times New Roman" w:cs="Times New Roman"/>
          <w:color w:val="463D38" w:themeColor="accent4" w:themeShade="80"/>
          <w:sz w:val="20"/>
        </w:rPr>
        <w:t>SIP/Land use</w:t>
      </w:r>
      <w:r w:rsidR="00AD33B5" w:rsidRPr="000D07CA">
        <w:rPr>
          <w:rFonts w:ascii="Times New Roman" w:eastAsia="Times New Roman" w:hAnsi="Times New Roman" w:cs="Times New Roman"/>
          <w:color w:val="463D38" w:themeColor="accent4" w:themeShade="80"/>
          <w:sz w:val="20"/>
        </w:rPr>
        <w:t>*</w:t>
      </w:r>
    </w:p>
    <w:p w:rsidR="002405F8"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30361547"/>
          <w:placeholder>
            <w:docPart w:val="0EB185DD7D07431B8DAC12F27EA60F4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00F42724" w:rsidRPr="00B15DF7">
        <w:rPr>
          <w:rFonts w:ascii="Times New Roman" w:hAnsi="Times New Roman" w:cs="Times New Roman"/>
          <w:color w:val="000000" w:themeColor="text1"/>
        </w:rPr>
        <w:tab/>
      </w:r>
      <w:r w:rsidR="0009694C">
        <w:rPr>
          <w:rFonts w:ascii="Times New Roman" w:hAnsi="Times New Roman" w:cs="Times New Roman"/>
          <w:color w:val="000000" w:themeColor="text1"/>
        </w:rPr>
        <w:t>098</w:t>
      </w:r>
      <w:r w:rsidR="00F42724"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0"/>
          <w:placeholder>
            <w:docPart w:val="F57D3D14D68446CB87BE762BDFB2DA2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0009694C">
        <w:rPr>
          <w:rFonts w:ascii="Times New Roman" w:hAnsi="Times New Roman" w:cs="Times New Roman"/>
          <w:color w:val="000000" w:themeColor="text1"/>
        </w:rPr>
        <w:tab/>
        <w:t>098</w:t>
      </w:r>
      <w:r w:rsidRPr="00B15DF7">
        <w:rPr>
          <w:rFonts w:ascii="Times New Roman" w:hAnsi="Times New Roman" w:cs="Times New Roman"/>
          <w:color w:val="000000" w:themeColor="text1"/>
        </w:rPr>
        <w:tab/>
        <w:t>00</w:t>
      </w:r>
      <w:r w:rsidR="0009694C">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2"/>
          <w:placeholder>
            <w:docPart w:val="DEDF1061CBCE49C1B48125D2A6E4F4B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0009694C">
        <w:rPr>
          <w:rFonts w:ascii="Times New Roman" w:hAnsi="Times New Roman" w:cs="Times New Roman"/>
          <w:color w:val="000000" w:themeColor="text1"/>
        </w:rPr>
        <w:tab/>
        <w:t>098</w:t>
      </w:r>
      <w:r w:rsidRPr="00B15DF7">
        <w:rPr>
          <w:rFonts w:ascii="Times New Roman" w:hAnsi="Times New Roman" w:cs="Times New Roman"/>
          <w:color w:val="000000" w:themeColor="text1"/>
        </w:rPr>
        <w:tab/>
        <w:t>0</w:t>
      </w:r>
      <w:r w:rsidR="0009694C">
        <w:rPr>
          <w:rFonts w:ascii="Times New Roman" w:hAnsi="Times New Roman" w:cs="Times New Roman"/>
          <w:color w:val="000000" w:themeColor="text1"/>
        </w:rPr>
        <w:t>1</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Revenue need</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4"/>
          <w:placeholder>
            <w:docPart w:val="BFD667EE4FA54AD59C0219C0376E6A4D"/>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0009694C">
        <w:rPr>
          <w:rFonts w:ascii="Times New Roman" w:hAnsi="Times New Roman" w:cs="Times New Roman"/>
          <w:color w:val="000000" w:themeColor="text1"/>
        </w:rPr>
        <w:tab/>
        <w:t>098</w:t>
      </w:r>
      <w:r w:rsidRPr="00B15DF7">
        <w:rPr>
          <w:rFonts w:ascii="Times New Roman" w:hAnsi="Times New Roman" w:cs="Times New Roman"/>
          <w:color w:val="000000" w:themeColor="text1"/>
        </w:rPr>
        <w:tab/>
        <w:t>0</w:t>
      </w:r>
      <w:r w:rsidR="0009694C">
        <w:rPr>
          <w:rFonts w:ascii="Times New Roman" w:hAnsi="Times New Roman" w:cs="Times New Roman"/>
          <w:color w:val="000000" w:themeColor="text1"/>
        </w:rPr>
        <w:t>15</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Registration fees</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6"/>
          <w:placeholder>
            <w:docPart w:val="A67B9E2E86774764A0E498B0565A1E8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09694C">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sidR="0009694C">
        <w:rPr>
          <w:rFonts w:ascii="Times New Roman" w:hAnsi="Times New Roman" w:cs="Times New Roman"/>
          <w:color w:val="000000" w:themeColor="text1"/>
        </w:rPr>
        <w:t>098</w:t>
      </w:r>
      <w:r w:rsidRPr="00B15DF7">
        <w:rPr>
          <w:rFonts w:ascii="Times New Roman" w:hAnsi="Times New Roman" w:cs="Times New Roman"/>
          <w:color w:val="000000" w:themeColor="text1"/>
        </w:rPr>
        <w:tab/>
        <w:t>0</w:t>
      </w:r>
      <w:r w:rsidR="0009694C">
        <w:rPr>
          <w:rFonts w:ascii="Times New Roman" w:hAnsi="Times New Roman" w:cs="Times New Roman"/>
          <w:color w:val="000000" w:themeColor="text1"/>
        </w:rPr>
        <w:t>2</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0009694C" w:rsidRPr="0009694C">
        <w:rPr>
          <w:rFonts w:ascii="Times New Roman" w:hAnsi="Times New Roman" w:cs="Times New Roman"/>
          <w:color w:val="000000" w:themeColor="text1"/>
        </w:rPr>
        <w:t>Notifications</w:t>
      </w:r>
      <w:r w:rsidRPr="00B15DF7">
        <w:rPr>
          <w:rFonts w:ascii="Times New Roman" w:hAnsi="Times New Roman" w:cs="Times New Roman"/>
          <w:color w:val="000000" w:themeColor="text1"/>
        </w:rPr>
        <w:tab/>
      </w:r>
    </w:p>
    <w:p w:rsidR="00FC28B7" w:rsidRPr="00B15DF7" w:rsidRDefault="00FC28B7" w:rsidP="00FC28B7">
      <w:pPr>
        <w:tabs>
          <w:tab w:val="left" w:pos="1080"/>
          <w:tab w:val="left" w:pos="2880"/>
          <w:tab w:val="left" w:pos="3870"/>
          <w:tab w:val="left" w:pos="4680"/>
          <w:tab w:val="left" w:pos="9630"/>
        </w:tabs>
        <w:rPr>
          <w:rFonts w:ascii="Times New Roman" w:hAnsi="Times New Roman" w:cs="Times New Roman"/>
          <w:color w:val="000000" w:themeColor="text1"/>
        </w:rPr>
      </w:pPr>
    </w:p>
    <w:p w:rsidR="00AD33B5" w:rsidRPr="00CB54E6" w:rsidRDefault="00AD33B5" w:rsidP="00CB54E6">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8D52B1" w:rsidRPr="00540AFE">
        <w:rPr>
          <w:rFonts w:asciiTheme="majorHAnsi" w:eastAsia="Times New Roman" w:hAnsiTheme="majorHAnsi" w:cstheme="majorHAnsi"/>
          <w:bCs/>
          <w:color w:val="BFBFBF" w:themeColor="background1" w:themeShade="BF"/>
          <w:sz w:val="22"/>
          <w:szCs w:val="22"/>
        </w:rPr>
        <w:sym w:font="Wingdings 3" w:char="F07D"/>
      </w:r>
      <w:r w:rsidR="00CB54E6">
        <w:rPr>
          <w:rFonts w:asciiTheme="majorHAnsi" w:eastAsia="Times New Roman" w:hAnsiTheme="majorHAnsi" w:cstheme="majorHAnsi"/>
          <w:bCs/>
          <w:color w:val="504938"/>
          <w:sz w:val="22"/>
          <w:szCs w:val="22"/>
        </w:rPr>
        <w:tab/>
      </w:r>
      <w:r w:rsidR="00CB54E6" w:rsidRPr="00CB54E6">
        <w:rPr>
          <w:rFonts w:asciiTheme="majorHAnsi" w:eastAsia="Times New Roman" w:hAnsiTheme="majorHAnsi" w:cstheme="majorHAnsi"/>
          <w:bCs/>
          <w:color w:val="504938"/>
          <w:sz w:val="18"/>
          <w:szCs w:val="18"/>
        </w:rPr>
        <w:t>Legislation</w:t>
      </w:r>
      <w:r w:rsidR="00CB54E6">
        <w:rPr>
          <w:rFonts w:asciiTheme="majorHAnsi" w:eastAsia="Times New Roman" w:hAnsiTheme="majorHAnsi" w:cstheme="majorHAnsi"/>
          <w:bCs/>
          <w:color w:val="504938"/>
          <w:sz w:val="18"/>
          <w:szCs w:val="18"/>
        </w:rPr>
        <w:tab/>
        <w:t>Year</w:t>
      </w:r>
    </w:p>
    <w:p w:rsidR="00733A49" w:rsidRDefault="0009694C" w:rsidP="00CB54E6">
      <w:pPr>
        <w:tabs>
          <w:tab w:val="left" w:pos="6480"/>
          <w:tab w:val="left" w:pos="9180"/>
        </w:tabs>
        <w:ind w:left="108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ORS 459A.305, ORS 459A.315</w:t>
      </w:r>
      <w:r w:rsidR="00CB54E6">
        <w:rPr>
          <w:rFonts w:ascii="Times New Roman" w:eastAsia="Times New Roman" w:hAnsi="Times New Roman" w:cs="Times New Roman"/>
          <w:bCs/>
          <w:color w:val="000000" w:themeColor="text1"/>
        </w:rPr>
        <w:tab/>
        <w:t>HB 2626</w:t>
      </w:r>
      <w:r w:rsidR="00CB54E6">
        <w:rPr>
          <w:rFonts w:ascii="Times New Roman" w:eastAsia="Times New Roman" w:hAnsi="Times New Roman" w:cs="Times New Roman"/>
          <w:bCs/>
          <w:color w:val="000000" w:themeColor="text1"/>
        </w:rPr>
        <w:tab/>
        <w:t>2007</w:t>
      </w:r>
    </w:p>
    <w:p w:rsidR="0009694C" w:rsidRPr="000D07CA" w:rsidRDefault="0009694C"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or other legal authority </w:t>
      </w:r>
    </w:p>
    <w:p w:rsidR="00733A49" w:rsidRDefault="00CB54E6" w:rsidP="004F673A">
      <w:pPr>
        <w:ind w:left="108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468.065, 459A.345</w:t>
      </w:r>
    </w:p>
    <w:p w:rsidR="0097451D" w:rsidRDefault="0097451D">
      <w:pPr>
        <w:spacing w:after="200" w:line="276"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br w:type="page"/>
      </w:r>
    </w:p>
    <w:tbl>
      <w:tblPr>
        <w:tblW w:w="11430" w:type="dxa"/>
        <w:tblInd w:w="108" w:type="dxa"/>
        <w:tblLook w:val="04A0"/>
      </w:tblPr>
      <w:tblGrid>
        <w:gridCol w:w="11430"/>
      </w:tblGrid>
      <w:tr w:rsidR="00823C9D" w:rsidRPr="00B15DF7" w:rsidTr="00823C9D">
        <w:trPr>
          <w:trHeight w:val="600"/>
        </w:trPr>
        <w:tc>
          <w:tcPr>
            <w:tcW w:w="11430" w:type="dxa"/>
            <w:tcBorders>
              <w:top w:val="nil"/>
              <w:left w:val="nil"/>
              <w:bottom w:val="double" w:sz="6" w:space="0" w:color="7F7F7F"/>
              <w:right w:val="nil"/>
            </w:tcBorders>
            <w:shd w:val="clear" w:color="000000" w:fill="D8D3C6"/>
            <w:noWrap/>
            <w:vAlign w:val="bottom"/>
            <w:hideMark/>
          </w:tcPr>
          <w:p w:rsidR="00823C9D" w:rsidRPr="00823C9D" w:rsidRDefault="00823C9D" w:rsidP="00823C9D">
            <w:pPr>
              <w:outlineLvl w:val="0"/>
              <w:rPr>
                <w:rFonts w:eastAsia="Times New Roman"/>
                <w:b/>
                <w:bCs/>
                <w:color w:val="32525C"/>
                <w:sz w:val="28"/>
                <w:szCs w:val="28"/>
              </w:rPr>
            </w:pPr>
          </w:p>
          <w:p w:rsidR="00823C9D" w:rsidRPr="00DC07BD" w:rsidRDefault="00823C9D" w:rsidP="00823C9D">
            <w:pPr>
              <w:outlineLvl w:val="0"/>
              <w:rPr>
                <w:rFonts w:eastAsia="Times New Roman"/>
                <w:bCs/>
                <w:color w:val="00494F"/>
                <w:sz w:val="28"/>
                <w:szCs w:val="28"/>
              </w:rPr>
            </w:pPr>
            <w:bookmarkStart w:id="7" w:name="LandUse"/>
            <w:r w:rsidRPr="00DC07BD">
              <w:rPr>
                <w:rFonts w:eastAsia="Times New Roman"/>
                <w:bCs/>
                <w:color w:val="00494F"/>
                <w:sz w:val="28"/>
                <w:szCs w:val="28"/>
              </w:rPr>
              <w:t xml:space="preserve">Land use </w:t>
            </w:r>
            <w:bookmarkEnd w:id="7"/>
          </w:p>
        </w:tc>
      </w:tr>
    </w:tbl>
    <w:p w:rsidR="00BF347E" w:rsidRPr="00A17802" w:rsidRDefault="00BF347E" w:rsidP="00BF347E">
      <w:pPr>
        <w:ind w:left="720" w:right="630"/>
        <w:rPr>
          <w:rFonts w:ascii="Times New Roman" w:eastAsia="Times New Roman" w:hAnsi="Times New Roman" w:cs="Times New Roman"/>
          <w:i/>
          <w:iCs/>
          <w:color w:val="1D1D1D"/>
          <w:sz w:val="28"/>
          <w:szCs w:val="28"/>
        </w:rPr>
      </w:pPr>
    </w:p>
    <w:p w:rsidR="00A17802" w:rsidRPr="0073490E" w:rsidRDefault="007A4786" w:rsidP="005A7DF4">
      <w:pPr>
        <w:tabs>
          <w:tab w:val="right" w:pos="10800"/>
        </w:tabs>
        <w:ind w:left="360" w:right="630"/>
        <w:rPr>
          <w:rFonts w:ascii="Times New Roman" w:eastAsia="Times New Roman" w:hAnsi="Times New Roman" w:cs="Times New Roman"/>
          <w:i/>
          <w:iCs/>
          <w:color w:val="1D1D1D"/>
          <w:sz w:val="22"/>
          <w:szCs w:val="22"/>
        </w:rPr>
      </w:pPr>
      <w:r w:rsidRPr="007A4786">
        <w:rPr>
          <w:rFonts w:ascii="Times New Roman" w:eastAsia="Times New Roman" w:hAnsi="Times New Roman" w:cs="Times New Roman"/>
          <w:i/>
          <w:iCs/>
          <w:color w:val="1D1D1D"/>
          <w:sz w:val="22"/>
          <w:szCs w:val="22"/>
        </w:rPr>
        <w:t>“It is the Commission's policy to coordinate the Department's programs, rules and actions that affect land use with local acknowledged plans to the fullest degree possible.”</w:t>
      </w:r>
      <w:r w:rsidRPr="007A4786">
        <w:rPr>
          <w:rFonts w:ascii="Times New Roman" w:eastAsia="Times New Roman" w:hAnsi="Times New Roman" w:cs="Times New Roman"/>
          <w:i/>
          <w:iCs/>
          <w:color w:val="1D1D1D"/>
          <w:sz w:val="22"/>
          <w:szCs w:val="22"/>
        </w:rPr>
        <w:tab/>
      </w:r>
    </w:p>
    <w:p w:rsidR="00182C5A" w:rsidRPr="00B15DF7" w:rsidRDefault="00A17802" w:rsidP="00906139">
      <w:pPr>
        <w:tabs>
          <w:tab w:val="right" w:pos="10800"/>
        </w:tabs>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hyperlink r:id="rId24" w:history="1">
        <w:r w:rsidR="00182C5A" w:rsidRPr="00B15DF7">
          <w:rPr>
            <w:rFonts w:ascii="Times New Roman" w:eastAsia="Times New Roman" w:hAnsi="Times New Roman" w:cs="Times New Roman"/>
            <w:color w:val="504938"/>
            <w:sz w:val="16"/>
            <w:u w:val="single"/>
          </w:rPr>
          <w:t>OAR 340-018</w:t>
        </w:r>
      </w:hyperlink>
    </w:p>
    <w:p w:rsidR="007F4318" w:rsidRPr="00B15DF7" w:rsidRDefault="00192E08" w:rsidP="00182C5A">
      <w:pPr>
        <w:ind w:right="630"/>
        <w:jc w:val="right"/>
        <w:outlineLvl w:val="0"/>
        <w:rPr>
          <w:rFonts w:ascii="Times New Roman" w:eastAsia="Times New Roman" w:hAnsi="Times New Roman" w:cs="Times New Roman"/>
          <w:color w:val="504938"/>
          <w:sz w:val="16"/>
          <w:szCs w:val="16"/>
          <w:u w:val="single"/>
        </w:rPr>
      </w:pPr>
      <w:hyperlink r:id="rId25" w:history="1">
        <w:r w:rsidR="007F4318" w:rsidRPr="00B15DF7">
          <w:rPr>
            <w:rFonts w:ascii="Times New Roman" w:eastAsia="Times New Roman" w:hAnsi="Times New Roman" w:cs="Times New Roman"/>
            <w:color w:val="504938"/>
            <w:sz w:val="16"/>
            <w:u w:val="single"/>
          </w:rPr>
          <w:t>ORS 197.180</w:t>
        </w:r>
      </w:hyperlink>
    </w:p>
    <w:p w:rsidR="007F4318" w:rsidRPr="00B15DF7" w:rsidRDefault="00192E08" w:rsidP="00182C5A">
      <w:pPr>
        <w:ind w:right="630"/>
        <w:jc w:val="right"/>
        <w:outlineLvl w:val="0"/>
        <w:rPr>
          <w:rFonts w:ascii="Times New Roman" w:eastAsia="Times New Roman" w:hAnsi="Times New Roman" w:cs="Times New Roman"/>
          <w:color w:val="504938"/>
          <w:sz w:val="16"/>
          <w:szCs w:val="16"/>
          <w:u w:val="single"/>
        </w:rPr>
      </w:pPr>
      <w:hyperlink r:id="rId26"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705C22">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 use considerations</w:t>
      </w:r>
    </w:p>
    <w:p w:rsidR="00705C22" w:rsidRPr="00B82764" w:rsidRDefault="00705C22" w:rsidP="00705C22">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land-use program</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705C22" w:rsidP="00241046">
      <w:pPr>
        <w:pStyle w:val="ListParagraph"/>
        <w:numPr>
          <w:ilvl w:val="0"/>
          <w:numId w:val="1"/>
        </w:numPr>
        <w:ind w:left="1440" w:right="630"/>
        <w:rPr>
          <w:rFonts w:asciiTheme="minorHAnsi" w:eastAsia="Times New Roman" w:hAnsiTheme="minorHAnsi" w:cstheme="minorHAnsi"/>
          <w:color w:val="000000" w:themeColor="text1"/>
        </w:rPr>
      </w:pPr>
      <w:r w:rsidRPr="00B82764">
        <w:rPr>
          <w:rFonts w:asciiTheme="minorHAnsi" w:eastAsia="Times New Roman" w:hAnsiTheme="minorHAnsi" w:cstheme="minorHAnsi"/>
          <w:color w:val="000000" w:themeColor="text1"/>
        </w:rPr>
        <w:t xml:space="preserve">The statewide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7"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that relates to DEQ's authority:</w:t>
      </w:r>
    </w:p>
    <w:p w:rsidR="00705C22" w:rsidRPr="00B82764" w:rsidRDefault="00705C22" w:rsidP="00705C22">
      <w:pPr>
        <w:tabs>
          <w:tab w:val="decimal" w:pos="2880"/>
        </w:tabs>
        <w:ind w:left="810"/>
        <w:rPr>
          <w:rFonts w:ascii="Cambria" w:eastAsia="Times New Roman" w:hAnsi="Cambria" w:cs="Times New Roman"/>
          <w:color w:val="000000" w:themeColor="text1"/>
        </w:rPr>
      </w:pPr>
    </w:p>
    <w:p w:rsidR="00705C22" w:rsidRPr="0073490E" w:rsidRDefault="007A4786" w:rsidP="00705C22">
      <w:pPr>
        <w:tabs>
          <w:tab w:val="left" w:pos="1422"/>
          <w:tab w:val="center" w:pos="2160"/>
          <w:tab w:val="left" w:pos="2880"/>
        </w:tabs>
        <w:ind w:left="1422"/>
        <w:rPr>
          <w:rFonts w:asciiTheme="minorHAnsi" w:eastAsia="Times New Roman" w:hAnsiTheme="minorHAnsi" w:cstheme="minorHAnsi"/>
          <w:b/>
          <w:color w:val="000000" w:themeColor="text1"/>
        </w:rPr>
      </w:pPr>
      <w:r w:rsidRPr="007A4786">
        <w:rPr>
          <w:rFonts w:asciiTheme="minorHAnsi" w:eastAsia="Times New Roman" w:hAnsiTheme="minorHAnsi" w:cstheme="minorHAnsi"/>
          <w:b/>
          <w:color w:val="000000" w:themeColor="text1"/>
        </w:rPr>
        <w:tab/>
        <w:t>Goal</w:t>
      </w:r>
      <w:r w:rsidRPr="007A4786">
        <w:rPr>
          <w:rFonts w:asciiTheme="minorHAnsi" w:eastAsia="Times New Roman" w:hAnsiTheme="minorHAnsi" w:cstheme="minorHAnsi"/>
          <w:b/>
          <w:color w:val="000000" w:themeColor="text1"/>
        </w:rPr>
        <w:tab/>
        <w:t>Title</w:t>
      </w:r>
    </w:p>
    <w:p w:rsidR="00705C22" w:rsidRPr="0073490E" w:rsidRDefault="007A4786"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 xml:space="preserve">6 </w:t>
      </w:r>
      <w:r w:rsidRPr="007A4786">
        <w:rPr>
          <w:rFonts w:asciiTheme="minorHAnsi" w:eastAsia="Times New Roman" w:hAnsiTheme="minorHAnsi" w:cstheme="minorHAnsi"/>
          <w:color w:val="000000" w:themeColor="text1"/>
        </w:rPr>
        <w:tab/>
        <w:t>Air, Water and Land Resources Quality</w:t>
      </w:r>
    </w:p>
    <w:p w:rsidR="00705C22" w:rsidRPr="0073490E" w:rsidRDefault="007A4786"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lastRenderedPageBreak/>
        <w:tab/>
        <w:t xml:space="preserve">5 </w:t>
      </w:r>
      <w:r w:rsidRPr="007A4786">
        <w:rPr>
          <w:rFonts w:asciiTheme="minorHAnsi" w:eastAsia="Times New Roman" w:hAnsiTheme="minorHAnsi" w:cstheme="minorHAnsi"/>
          <w:color w:val="000000" w:themeColor="text1"/>
        </w:rPr>
        <w:tab/>
        <w:t>Open Spaces, Scenic and Historic Areas, and Natural Resources</w:t>
      </w:r>
    </w:p>
    <w:p w:rsidR="00705C22" w:rsidRPr="0073490E" w:rsidRDefault="007A4786"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 xml:space="preserve">11 </w:t>
      </w:r>
      <w:r w:rsidRPr="007A4786">
        <w:rPr>
          <w:rFonts w:asciiTheme="minorHAnsi" w:eastAsia="Times New Roman" w:hAnsiTheme="minorHAnsi" w:cstheme="minorHAnsi"/>
          <w:color w:val="000000" w:themeColor="text1"/>
        </w:rPr>
        <w:tab/>
        <w:t>Public Facilities and Services</w:t>
      </w:r>
    </w:p>
    <w:p w:rsidR="00705C22" w:rsidRPr="0073490E" w:rsidRDefault="007A4786" w:rsidP="00705C22">
      <w:pPr>
        <w:tabs>
          <w:tab w:val="decimal" w:pos="702"/>
          <w:tab w:val="center" w:pos="1062"/>
          <w:tab w:val="left" w:pos="1422"/>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16</w:t>
      </w:r>
      <w:r w:rsidRPr="007A4786">
        <w:rPr>
          <w:rFonts w:asciiTheme="minorHAnsi" w:eastAsia="Times New Roman" w:hAnsiTheme="minorHAnsi" w:cstheme="minorHAnsi"/>
          <w:color w:val="000000" w:themeColor="text1"/>
        </w:rPr>
        <w:tab/>
        <w:t>Estuarian resources</w:t>
      </w:r>
    </w:p>
    <w:p w:rsidR="00705C22" w:rsidRPr="0073490E" w:rsidRDefault="007A4786" w:rsidP="00705C22">
      <w:pPr>
        <w:tabs>
          <w:tab w:val="center" w:pos="2160"/>
          <w:tab w:val="left" w:pos="2880"/>
        </w:tabs>
        <w:ind w:left="1422"/>
        <w:rPr>
          <w:rFonts w:asciiTheme="minorHAnsi" w:eastAsia="Times New Roman" w:hAnsiTheme="minorHAnsi" w:cstheme="minorHAnsi"/>
          <w:color w:val="000000" w:themeColor="text1"/>
        </w:rPr>
      </w:pPr>
      <w:r w:rsidRPr="007A4786">
        <w:rPr>
          <w:rFonts w:asciiTheme="minorHAnsi" w:eastAsia="Times New Roman" w:hAnsiTheme="minorHAnsi" w:cstheme="minorHAnsi"/>
          <w:color w:val="000000" w:themeColor="text1"/>
        </w:rPr>
        <w:tab/>
        <w:t>19</w:t>
      </w:r>
      <w:r w:rsidRPr="007A4786">
        <w:rPr>
          <w:rFonts w:asciiTheme="minorHAnsi" w:eastAsia="Times New Roman" w:hAnsiTheme="minorHAnsi" w:cstheme="minorHAnsi"/>
          <w:color w:val="000000" w:themeColor="text1"/>
        </w:rPr>
        <w:tab/>
        <w:t>Ocean Resources</w:t>
      </w:r>
    </w:p>
    <w:p w:rsidR="00705C22" w:rsidRPr="00B82764" w:rsidRDefault="00705C22" w:rsidP="00705C22">
      <w:pPr>
        <w:ind w:left="1422"/>
        <w:rPr>
          <w:rFonts w:ascii="Cambria" w:eastAsia="Times New Roman" w:hAnsi="Cambria" w:cs="Times New Roman"/>
          <w:color w:val="000000" w:themeColor="text1"/>
        </w:rPr>
      </w:pPr>
    </w:p>
    <w:p w:rsidR="000B685A" w:rsidRPr="000B685A" w:rsidRDefault="00705C22" w:rsidP="00241046">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rPr>
        <w:t>OAR 340-018-0030 for programs or actions that relate to the proposed rules.</w:t>
      </w:r>
    </w:p>
    <w:p w:rsidR="000B685A" w:rsidRPr="00FF2CB9" w:rsidRDefault="000B685A" w:rsidP="00241046">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bCs/>
        </w:rPr>
        <w:t>DEQ’s mandate to protect public health and safety and the environment.</w:t>
      </w:r>
    </w:p>
    <w:p w:rsidR="00FF2CB9" w:rsidRPr="000B685A" w:rsidRDefault="00FF2CB9" w:rsidP="00241046">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 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41046">
      <w:pPr>
        <w:pStyle w:val="ListParagraph"/>
        <w:numPr>
          <w:ilvl w:val="0"/>
          <w:numId w:val="1"/>
        </w:numPr>
        <w:ind w:left="1440"/>
      </w:pPr>
      <w:r w:rsidRPr="000B685A">
        <w:rPr>
          <w:rFonts w:ascii="Times New Roman" w:eastAsia="Times New Roman" w:hAnsi="Times New Roman" w:cs="Times New Roman"/>
          <w:bCs/>
        </w:rPr>
        <w:t>Present or future land uses identified in acknowledged comprehensive plans.</w:t>
      </w:r>
    </w:p>
    <w:p w:rsidR="00FF2CB9" w:rsidRDefault="00FF2CB9">
      <w:pPr>
        <w:spacing w:after="200" w:line="276" w:lineRule="auto"/>
        <w:rPr>
          <w:rFonts w:asciiTheme="majorHAnsi" w:eastAsia="Times New Roman" w:hAnsiTheme="majorHAnsi" w:cstheme="majorHAnsi"/>
          <w:bCs/>
          <w:color w:val="504938"/>
          <w:sz w:val="22"/>
          <w:szCs w:val="22"/>
        </w:rPr>
      </w:pPr>
    </w:p>
    <w:p w:rsidR="002E4AA0" w:rsidRPr="001F2D3C" w:rsidRDefault="006416C7" w:rsidP="006416C7">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616723">
        <w:rPr>
          <w:rFonts w:asciiTheme="majorHAnsi" w:eastAsia="Times New Roman" w:hAnsiTheme="majorHAnsi" w:cstheme="majorHAnsi"/>
          <w:bCs/>
          <w:color w:val="504938"/>
          <w:sz w:val="22"/>
          <w:szCs w:val="22"/>
        </w:rPr>
        <w:t xml:space="preserve"> </w:t>
      </w:r>
    </w:p>
    <w:p w:rsidR="006416C7" w:rsidRPr="005857AA" w:rsidRDefault="006416C7" w:rsidP="00B041EC">
      <w:pPr>
        <w:spacing w:after="120"/>
        <w:ind w:left="720" w:right="634"/>
        <w:rPr>
          <w:rFonts w:ascii="Times New Roman" w:eastAsia="Times New Roman" w:hAnsi="Times New Roman" w:cs="Times New Roman"/>
          <w:b/>
          <w:bCs/>
          <w:color w:val="504938"/>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 xml:space="preserve">existing rules, programs or activities that are </w:t>
      </w:r>
      <w:r w:rsidRPr="005857AA">
        <w:rPr>
          <w:rFonts w:ascii="Times New Roman" w:eastAsia="Times New Roman" w:hAnsi="Times New Roman" w:cs="Times New Roman"/>
          <w:color w:val="000000"/>
        </w:rPr>
        <w:lastRenderedPageBreak/>
        <w:t>considered land use programs in the DEQ State Agency Coordination Program.</w:t>
      </w:r>
    </w:p>
    <w:p w:rsidR="0097451D" w:rsidRDefault="0097451D">
      <w:pPr>
        <w:spacing w:after="200" w:line="276" w:lineRule="auto"/>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1430" w:type="dxa"/>
        <w:tblInd w:w="108" w:type="dxa"/>
        <w:tblLook w:val="04A0"/>
      </w:tblPr>
      <w:tblGrid>
        <w:gridCol w:w="11430"/>
      </w:tblGrid>
      <w:tr w:rsidR="00241046" w:rsidRPr="00B15DF7" w:rsidTr="001E443D">
        <w:trPr>
          <w:trHeight w:val="600"/>
        </w:trPr>
        <w:tc>
          <w:tcPr>
            <w:tcW w:w="11430" w:type="dxa"/>
            <w:tcBorders>
              <w:top w:val="nil"/>
              <w:left w:val="nil"/>
              <w:bottom w:val="double" w:sz="6" w:space="0" w:color="7F7F7F"/>
              <w:right w:val="nil"/>
            </w:tcBorders>
            <w:shd w:val="clear" w:color="000000" w:fill="D8D3C6"/>
            <w:noWrap/>
            <w:vAlign w:val="bottom"/>
          </w:tcPr>
          <w:p w:rsidR="00241046" w:rsidRPr="00DC07BD" w:rsidRDefault="00241046" w:rsidP="001E443D">
            <w:pPr>
              <w:outlineLvl w:val="0"/>
              <w:rPr>
                <w:rFonts w:eastAsia="Times New Roman"/>
                <w:b/>
                <w:bCs/>
                <w:color w:val="00494F"/>
                <w:sz w:val="28"/>
                <w:szCs w:val="28"/>
              </w:rPr>
            </w:pPr>
          </w:p>
          <w:p w:rsidR="00241046" w:rsidRPr="00AB50EA" w:rsidRDefault="00241046" w:rsidP="001E443D">
            <w:pPr>
              <w:outlineLvl w:val="0"/>
              <w:rPr>
                <w:rFonts w:eastAsia="Times New Roman"/>
                <w:bCs/>
                <w:color w:val="00494F"/>
                <w:sz w:val="28"/>
                <w:szCs w:val="28"/>
              </w:rPr>
            </w:pPr>
            <w:bookmarkStart w:id="8" w:name="Implementation"/>
            <w:r w:rsidRPr="00AB50EA">
              <w:rPr>
                <w:rFonts w:eastAsia="Times New Roman"/>
                <w:bCs/>
                <w:color w:val="00494F"/>
                <w:sz w:val="28"/>
                <w:szCs w:val="28"/>
              </w:rPr>
              <w:t xml:space="preserve">Implementation </w:t>
            </w:r>
            <w:bookmarkEnd w:id="8"/>
          </w:p>
        </w:tc>
      </w:tr>
    </w:tbl>
    <w:p w:rsidR="00241046" w:rsidRPr="00B15DF7" w:rsidRDefault="00241046" w:rsidP="00241046">
      <w:pPr>
        <w:rPr>
          <w:rFonts w:ascii="Times New Roman" w:eastAsia="Times New Roman" w:hAnsi="Times New Roman" w:cs="Times New Roman"/>
          <w:color w:val="32525C"/>
        </w:rPr>
      </w:pPr>
    </w:p>
    <w:p w:rsidR="00241046" w:rsidRDefault="00241046" w:rsidP="00241046">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41046" w:rsidRPr="001F2D3C" w:rsidRDefault="0073490E" w:rsidP="00241046">
      <w:pPr>
        <w:ind w:left="720"/>
        <w:outlineLvl w:val="0"/>
        <w:rPr>
          <w:rFonts w:asciiTheme="minorHAnsi" w:eastAsia="Times New Roman" w:hAnsiTheme="minorHAnsi" w:cstheme="minorHAnsi"/>
          <w:color w:val="000000"/>
        </w:rPr>
      </w:pPr>
      <w:r>
        <w:rPr>
          <w:rFonts w:asciiTheme="minorHAnsi" w:eastAsia="Times New Roman" w:hAnsiTheme="minorHAnsi" w:cstheme="minorHAnsi"/>
          <w:color w:val="000000"/>
        </w:rPr>
        <w:t>If approved, t</w:t>
      </w:r>
      <w:r w:rsidR="00241046">
        <w:rPr>
          <w:rFonts w:asciiTheme="minorHAnsi" w:eastAsia="Times New Roman" w:hAnsiTheme="minorHAnsi" w:cstheme="minorHAnsi"/>
          <w:color w:val="000000"/>
        </w:rPr>
        <w:t xml:space="preserve">he proposed rules </w:t>
      </w:r>
      <w:r>
        <w:rPr>
          <w:rFonts w:asciiTheme="minorHAnsi" w:eastAsia="Times New Roman" w:hAnsiTheme="minorHAnsi" w:cstheme="minorHAnsi"/>
          <w:color w:val="000000"/>
        </w:rPr>
        <w:t xml:space="preserve">would </w:t>
      </w:r>
      <w:r w:rsidR="00241046">
        <w:rPr>
          <w:rFonts w:asciiTheme="minorHAnsi" w:eastAsia="Times New Roman" w:hAnsiTheme="minorHAnsi" w:cstheme="minorHAnsi"/>
          <w:color w:val="000000"/>
        </w:rPr>
        <w:t xml:space="preserve">become effective on filing, which is expected to be before the end of June 2012. DEQ will notify the approximately 160 affected parties by mail and e-mail. </w:t>
      </w:r>
      <w:r w:rsidR="005A7DF4">
        <w:rPr>
          <w:rFonts w:asciiTheme="minorHAnsi" w:eastAsia="Times New Roman" w:hAnsiTheme="minorHAnsi" w:cstheme="minorHAnsi"/>
          <w:color w:val="000000"/>
        </w:rPr>
        <w:t>DEQ will send a</w:t>
      </w:r>
      <w:r w:rsidR="00241046">
        <w:rPr>
          <w:rFonts w:asciiTheme="minorHAnsi" w:eastAsia="Times New Roman" w:hAnsiTheme="minorHAnsi" w:cstheme="minorHAnsi"/>
          <w:color w:val="000000"/>
        </w:rPr>
        <w:t xml:space="preserve"> GovDelivery notice to approximately 7,000 interested parties</w:t>
      </w:r>
      <w:r w:rsidR="005A7DF4">
        <w:rPr>
          <w:rFonts w:asciiTheme="minorHAnsi" w:eastAsia="Times New Roman" w:hAnsiTheme="minorHAnsi" w:cstheme="minorHAnsi"/>
          <w:color w:val="000000"/>
        </w:rPr>
        <w:t>, t</w:t>
      </w:r>
      <w:r w:rsidR="00241046">
        <w:rPr>
          <w:rFonts w:asciiTheme="minorHAnsi" w:eastAsia="Times New Roman" w:hAnsiTheme="minorHAnsi" w:cstheme="minorHAnsi"/>
          <w:color w:val="000000"/>
        </w:rPr>
        <w:t xml:space="preserve">he </w:t>
      </w:r>
      <w:r>
        <w:rPr>
          <w:rFonts w:asciiTheme="minorHAnsi" w:eastAsia="Times New Roman" w:hAnsiTheme="minorHAnsi" w:cstheme="minorHAnsi"/>
          <w:color w:val="000000"/>
        </w:rPr>
        <w:t>a</w:t>
      </w:r>
      <w:r w:rsidR="00241046">
        <w:rPr>
          <w:rFonts w:asciiTheme="minorHAnsi" w:eastAsia="Times New Roman" w:hAnsiTheme="minorHAnsi" w:cstheme="minorHAnsi"/>
          <w:color w:val="000000"/>
        </w:rPr>
        <w:t xml:space="preserve">dvisory </w:t>
      </w:r>
      <w:r w:rsidR="005A7DF4">
        <w:rPr>
          <w:rFonts w:asciiTheme="minorHAnsi" w:eastAsia="Times New Roman" w:hAnsiTheme="minorHAnsi" w:cstheme="minorHAnsi"/>
          <w:color w:val="000000"/>
        </w:rPr>
        <w:t>c</w:t>
      </w:r>
      <w:r w:rsidR="00241046">
        <w:rPr>
          <w:rFonts w:asciiTheme="minorHAnsi" w:eastAsia="Times New Roman" w:hAnsiTheme="minorHAnsi" w:cstheme="minorHAnsi"/>
          <w:color w:val="000000"/>
        </w:rPr>
        <w:t>ommittee members and commenters.</w:t>
      </w:r>
    </w:p>
    <w:p w:rsidR="00241046" w:rsidRDefault="00241046" w:rsidP="00241046">
      <w:pPr>
        <w:spacing w:after="120"/>
        <w:ind w:left="360"/>
        <w:outlineLvl w:val="0"/>
        <w:rPr>
          <w:rFonts w:asciiTheme="majorHAnsi" w:eastAsia="Times New Roman" w:hAnsiTheme="majorHAnsi" w:cstheme="majorHAnsi"/>
          <w:bCs/>
          <w:color w:val="504938"/>
          <w:sz w:val="22"/>
          <w:szCs w:val="22"/>
        </w:rPr>
      </w:pPr>
    </w:p>
    <w:p w:rsidR="00241046" w:rsidRPr="00A47B2C" w:rsidRDefault="00241046" w:rsidP="00241046">
      <w:pPr>
        <w:spacing w:after="120"/>
        <w:ind w:left="360"/>
        <w:outlineLvl w:val="0"/>
        <w:rPr>
          <w:rFonts w:asciiTheme="majorHAnsi" w:eastAsia="Times New Roman" w:hAnsiTheme="majorHAnsi" w:cstheme="majorHAnsi"/>
          <w:bCs/>
          <w:color w:val="504938"/>
        </w:rPr>
      </w:pPr>
      <w:r w:rsidRPr="00A47B2C">
        <w:rPr>
          <w:rFonts w:asciiTheme="majorHAnsi" w:eastAsia="Times New Roman" w:hAnsiTheme="majorHAnsi" w:cstheme="majorHAnsi"/>
          <w:bCs/>
          <w:color w:val="504938"/>
          <w:sz w:val="22"/>
          <w:szCs w:val="22"/>
        </w:rPr>
        <w:t>Systems</w:t>
      </w:r>
    </w:p>
    <w:p w:rsidR="00241046" w:rsidRPr="00A47B2C" w:rsidRDefault="00241046" w:rsidP="00241046">
      <w:pPr>
        <w:pStyle w:val="ListParagraph"/>
        <w:numPr>
          <w:ilvl w:val="0"/>
          <w:numId w:val="4"/>
        </w:numPr>
        <w:spacing w:after="120"/>
        <w:ind w:left="1080"/>
        <w:contextualSpacing w:val="0"/>
        <w:outlineLvl w:val="0"/>
        <w:rPr>
          <w:rFonts w:asciiTheme="minorHAnsi" w:eastAsia="Times New Roman" w:hAnsiTheme="minorHAnsi" w:cstheme="minorHAnsi"/>
          <w:color w:val="000000"/>
        </w:rPr>
      </w:pPr>
      <w:r w:rsidRPr="00A47B2C">
        <w:rPr>
          <w:rFonts w:asciiTheme="minorHAnsi" w:eastAsia="Times New Roman" w:hAnsiTheme="minorHAnsi" w:cstheme="minorHAnsi"/>
          <w:color w:val="000000"/>
        </w:rPr>
        <w:t xml:space="preserve">Website </w:t>
      </w:r>
      <w:r>
        <w:rPr>
          <w:rFonts w:asciiTheme="minorHAnsi" w:eastAsia="Times New Roman" w:hAnsiTheme="minorHAnsi" w:cstheme="minorHAnsi"/>
          <w:color w:val="000000"/>
        </w:rPr>
        <w:t>–</w:t>
      </w:r>
      <w:r w:rsidRPr="00A47B2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Update several Oregon E-Cycles web pages</w:t>
      </w:r>
    </w:p>
    <w:p w:rsidR="00241046" w:rsidRPr="00A47B2C" w:rsidRDefault="00241046" w:rsidP="00241046">
      <w:pPr>
        <w:pStyle w:val="ListParagraph"/>
        <w:numPr>
          <w:ilvl w:val="0"/>
          <w:numId w:val="4"/>
        </w:numPr>
        <w:spacing w:after="120"/>
        <w:ind w:left="1080"/>
        <w:contextualSpacing w:val="0"/>
        <w:outlineLvl w:val="0"/>
        <w:rPr>
          <w:rFonts w:asciiTheme="minorHAnsi" w:eastAsia="Times New Roman" w:hAnsiTheme="minorHAnsi" w:cstheme="minorHAnsi"/>
          <w:color w:val="000000"/>
        </w:rPr>
      </w:pPr>
      <w:r w:rsidRPr="00A47B2C">
        <w:rPr>
          <w:rFonts w:asciiTheme="minorHAnsi" w:eastAsia="Times New Roman" w:hAnsiTheme="minorHAnsi" w:cstheme="minorHAnsi"/>
          <w:color w:val="000000"/>
        </w:rPr>
        <w:t xml:space="preserve">Database </w:t>
      </w:r>
      <w:r>
        <w:rPr>
          <w:rFonts w:asciiTheme="minorHAnsi" w:eastAsia="Times New Roman" w:hAnsiTheme="minorHAnsi" w:cstheme="minorHAnsi"/>
          <w:color w:val="000000"/>
        </w:rPr>
        <w:t>–</w:t>
      </w:r>
      <w:r w:rsidRPr="00A47B2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Modify DEQ’s E-Waste database </w:t>
      </w:r>
      <w:r w:rsidR="00A86096">
        <w:rPr>
          <w:rFonts w:asciiTheme="minorHAnsi" w:eastAsia="Times New Roman" w:hAnsiTheme="minorHAnsi" w:cstheme="minorHAnsi"/>
          <w:color w:val="000000"/>
        </w:rPr>
        <w:t xml:space="preserve">to </w:t>
      </w:r>
      <w:r>
        <w:rPr>
          <w:rFonts w:asciiTheme="minorHAnsi" w:eastAsia="Times New Roman" w:hAnsiTheme="minorHAnsi" w:cstheme="minorHAnsi"/>
          <w:color w:val="000000"/>
        </w:rPr>
        <w:t xml:space="preserve">support invoicing for the </w:t>
      </w:r>
      <w:r w:rsidR="00A86096">
        <w:rPr>
          <w:rFonts w:asciiTheme="minorHAnsi" w:eastAsia="Times New Roman" w:hAnsiTheme="minorHAnsi" w:cstheme="minorHAnsi"/>
          <w:color w:val="000000"/>
        </w:rPr>
        <w:t xml:space="preserve">revised </w:t>
      </w:r>
      <w:r>
        <w:rPr>
          <w:rFonts w:asciiTheme="minorHAnsi" w:eastAsia="Times New Roman" w:hAnsiTheme="minorHAnsi" w:cstheme="minorHAnsi"/>
          <w:color w:val="000000"/>
        </w:rPr>
        <w:t>fee</w:t>
      </w:r>
      <w:r w:rsidR="00A86096">
        <w:rPr>
          <w:rFonts w:asciiTheme="minorHAnsi" w:eastAsia="Times New Roman" w:hAnsiTheme="minorHAnsi" w:cstheme="minorHAnsi"/>
          <w:color w:val="000000"/>
        </w:rPr>
        <w:t>s</w:t>
      </w:r>
      <w:r>
        <w:rPr>
          <w:rFonts w:asciiTheme="minorHAnsi" w:eastAsia="Times New Roman" w:hAnsiTheme="minorHAnsi" w:cstheme="minorHAnsi"/>
          <w:color w:val="000000"/>
        </w:rPr>
        <w:t>.</w:t>
      </w:r>
    </w:p>
    <w:p w:rsidR="00241046" w:rsidRDefault="00241046" w:rsidP="00241046">
      <w:pPr>
        <w:pStyle w:val="ListParagraph"/>
        <w:numPr>
          <w:ilvl w:val="0"/>
          <w:numId w:val="4"/>
        </w:numPr>
        <w:spacing w:after="120"/>
        <w:ind w:left="1080"/>
        <w:contextualSpacing w:val="0"/>
        <w:outlineLvl w:val="0"/>
        <w:rPr>
          <w:rFonts w:asciiTheme="minorHAnsi" w:eastAsia="Times New Roman" w:hAnsiTheme="minorHAnsi" w:cstheme="minorHAnsi"/>
          <w:color w:val="000000"/>
        </w:rPr>
      </w:pPr>
      <w:r w:rsidRPr="00A47B2C">
        <w:rPr>
          <w:rFonts w:asciiTheme="minorHAnsi" w:eastAsia="Times New Roman" w:hAnsiTheme="minorHAnsi" w:cstheme="minorHAnsi"/>
          <w:color w:val="000000"/>
        </w:rPr>
        <w:t>Invoicing</w:t>
      </w:r>
      <w:r>
        <w:rPr>
          <w:rFonts w:asciiTheme="minorHAnsi" w:eastAsia="Times New Roman" w:hAnsiTheme="minorHAnsi" w:cstheme="minorHAnsi"/>
          <w:color w:val="000000"/>
        </w:rPr>
        <w:t xml:space="preserve"> for 2012 only – Generate and track additional invoices for approximately fifteen manufacturers.</w:t>
      </w:r>
    </w:p>
    <w:p w:rsidR="00241046" w:rsidRPr="00FF2CB9" w:rsidRDefault="00241046" w:rsidP="00241046">
      <w:pPr>
        <w:ind w:left="806"/>
        <w:outlineLvl w:val="0"/>
        <w:rPr>
          <w:rFonts w:asciiTheme="minorHAnsi" w:eastAsia="Times New Roman" w:hAnsiTheme="minorHAnsi" w:cstheme="minorHAnsi"/>
          <w:color w:val="000000"/>
        </w:rPr>
      </w:pPr>
    </w:p>
    <w:p w:rsidR="00241046" w:rsidRPr="00B15DF7" w:rsidRDefault="00241046" w:rsidP="00241046">
      <w:pPr>
        <w:ind w:firstLineChars="100" w:firstLine="240"/>
        <w:outlineLvl w:val="0"/>
        <w:rPr>
          <w:rFonts w:eastAsia="Times New Roman"/>
          <w:bCs/>
          <w:color w:val="504938"/>
        </w:rPr>
      </w:pPr>
    </w:p>
    <w:tbl>
      <w:tblPr>
        <w:tblW w:w="11430" w:type="dxa"/>
        <w:tblInd w:w="108" w:type="dxa"/>
        <w:tblLook w:val="04A0"/>
      </w:tblPr>
      <w:tblGrid>
        <w:gridCol w:w="11430"/>
      </w:tblGrid>
      <w:tr w:rsidR="00241046" w:rsidRPr="00B15DF7" w:rsidTr="001E443D">
        <w:trPr>
          <w:trHeight w:val="600"/>
        </w:trPr>
        <w:tc>
          <w:tcPr>
            <w:tcW w:w="11430" w:type="dxa"/>
            <w:tcBorders>
              <w:top w:val="nil"/>
              <w:left w:val="nil"/>
              <w:bottom w:val="double" w:sz="6" w:space="0" w:color="7F7F7F"/>
              <w:right w:val="nil"/>
            </w:tcBorders>
            <w:shd w:val="clear" w:color="000000" w:fill="D8D3C6"/>
            <w:noWrap/>
            <w:vAlign w:val="bottom"/>
          </w:tcPr>
          <w:p w:rsidR="00241046" w:rsidRPr="00823C9D" w:rsidRDefault="00241046" w:rsidP="001E443D">
            <w:pPr>
              <w:outlineLvl w:val="0"/>
              <w:rPr>
                <w:rFonts w:eastAsia="Times New Roman"/>
                <w:b/>
                <w:bCs/>
                <w:color w:val="32525C"/>
                <w:sz w:val="28"/>
                <w:szCs w:val="28"/>
              </w:rPr>
            </w:pPr>
          </w:p>
          <w:p w:rsidR="00241046" w:rsidRPr="00DC07BD" w:rsidRDefault="00EF38E9" w:rsidP="001E443D">
            <w:pPr>
              <w:outlineLvl w:val="0"/>
              <w:rPr>
                <w:rFonts w:eastAsia="Times New Roman"/>
                <w:bCs/>
                <w:color w:val="00494F"/>
                <w:sz w:val="28"/>
                <w:szCs w:val="28"/>
              </w:rPr>
            </w:pPr>
            <w:bookmarkStart w:id="9" w:name="FiveYearReview"/>
            <w:r w:rsidRPr="00DC07BD">
              <w:rPr>
                <w:rFonts w:eastAsia="Times New Roman"/>
                <w:bCs/>
                <w:color w:val="00494F"/>
                <w:sz w:val="28"/>
                <w:szCs w:val="28"/>
              </w:rPr>
              <w:t>Five</w:t>
            </w:r>
            <w:r w:rsidR="00241046" w:rsidRPr="00DC07BD">
              <w:rPr>
                <w:rFonts w:eastAsia="Times New Roman"/>
                <w:bCs/>
                <w:color w:val="00494F"/>
                <w:sz w:val="28"/>
                <w:szCs w:val="28"/>
              </w:rPr>
              <w:t xml:space="preserve">-year review </w:t>
            </w:r>
            <w:bookmarkEnd w:id="9"/>
          </w:p>
        </w:tc>
      </w:tr>
    </w:tbl>
    <w:p w:rsidR="00241046" w:rsidRPr="00B15DF7" w:rsidRDefault="00241046" w:rsidP="00241046">
      <w:pPr>
        <w:rPr>
          <w:rFonts w:ascii="Times New Roman" w:eastAsia="Times New Roman" w:hAnsi="Times New Roman" w:cs="Times New Roman"/>
          <w:color w:val="32525C"/>
        </w:rPr>
      </w:pPr>
    </w:p>
    <w:p w:rsidR="005A7DF4" w:rsidRPr="00D17CDB" w:rsidRDefault="00241046" w:rsidP="005A7DF4">
      <w:pPr>
        <w:tabs>
          <w:tab w:val="right" w:pos="10800"/>
        </w:tabs>
        <w:spacing w:after="120"/>
        <w:ind w:left="360"/>
        <w:outlineLvl w:val="0"/>
        <w:rPr>
          <w:rFonts w:asciiTheme="minorHAnsi" w:eastAsia="Times New Roman" w:hAnsiTheme="minorHAnsi" w:cstheme="minorHAnsi"/>
          <w:color w:val="504938"/>
          <w:sz w:val="16"/>
          <w:szCs w:val="16"/>
          <w:u w:val="single"/>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hyperlink r:id="rId28" w:history="1">
        <w:r w:rsidR="005A7DF4" w:rsidRPr="00D17CDB">
          <w:rPr>
            <w:rFonts w:asciiTheme="minorHAnsi" w:eastAsia="Times New Roman" w:hAnsiTheme="minorHAnsi" w:cstheme="minorHAnsi"/>
            <w:color w:val="504938"/>
            <w:sz w:val="16"/>
            <w:u w:val="single"/>
          </w:rPr>
          <w:t>ORS 183.</w:t>
        </w:r>
        <w:r w:rsidR="005A7DF4">
          <w:rPr>
            <w:rFonts w:asciiTheme="minorHAnsi" w:eastAsia="Times New Roman" w:hAnsiTheme="minorHAnsi" w:cstheme="minorHAnsi"/>
            <w:color w:val="504938"/>
            <w:sz w:val="16"/>
            <w:u w:val="single"/>
          </w:rPr>
          <w:t>405</w:t>
        </w:r>
      </w:hyperlink>
    </w:p>
    <w:p w:rsidR="00241046" w:rsidRPr="006E68F8" w:rsidRDefault="00241046" w:rsidP="00241046">
      <w:pPr>
        <w:autoSpaceDE w:val="0"/>
        <w:autoSpaceDN w:val="0"/>
        <w:adjustRightInd w:val="0"/>
        <w:ind w:left="720" w:right="630"/>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rules within five years of the date the EQC adopts the proposed rules. Though the review will align with any changes to the law in the intervening years, DEQ based the analysis on the current law.</w:t>
      </w:r>
    </w:p>
    <w:p w:rsidR="00241046" w:rsidRDefault="00241046" w:rsidP="00241046">
      <w:pPr>
        <w:autoSpaceDE w:val="0"/>
        <w:autoSpaceDN w:val="0"/>
        <w:adjustRightInd w:val="0"/>
        <w:ind w:left="720" w:right="630"/>
        <w:rPr>
          <w:rFonts w:ascii="Verdana" w:hAnsi="Verdana" w:cs="Verdana"/>
          <w:color w:val="000000"/>
          <w:sz w:val="20"/>
          <w:szCs w:val="20"/>
        </w:rPr>
      </w:pPr>
    </w:p>
    <w:p w:rsidR="00241046" w:rsidRDefault="00241046" w:rsidP="00241046">
      <w:pPr>
        <w:spacing w:after="120"/>
        <w:ind w:left="360"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p>
    <w:p w:rsidR="00241046" w:rsidRPr="00D90062" w:rsidRDefault="00241046" w:rsidP="00241046">
      <w:pPr>
        <w:pStyle w:val="ListParagraph"/>
        <w:autoSpaceDE w:val="0"/>
        <w:autoSpaceDN w:val="0"/>
        <w:adjustRightInd w:val="0"/>
        <w:ind w:right="630"/>
        <w:rPr>
          <w:rFonts w:asciiTheme="minorHAnsi" w:hAnsiTheme="minorHAnsi" w:cstheme="minorHAnsi"/>
        </w:rPr>
      </w:pPr>
      <w:r w:rsidRPr="00D90062">
        <w:rPr>
          <w:rFonts w:asciiTheme="minorHAnsi" w:hAnsiTheme="minorHAnsi" w:cstheme="minorHAnsi"/>
        </w:rPr>
        <w:t xml:space="preserve">The APA exemptions from the </w:t>
      </w:r>
      <w:r w:rsidR="0073490E">
        <w:rPr>
          <w:rFonts w:asciiTheme="minorHAnsi" w:hAnsiTheme="minorHAnsi" w:cstheme="minorHAnsi"/>
        </w:rPr>
        <w:t>five</w:t>
      </w:r>
      <w:r w:rsidRPr="00D90062">
        <w:rPr>
          <w:rFonts w:asciiTheme="minorHAnsi" w:hAnsiTheme="minorHAnsi" w:cstheme="minorHAnsi"/>
        </w:rPr>
        <w:t xml:space="preserve">-year rule review </w:t>
      </w:r>
      <w:r>
        <w:rPr>
          <w:rFonts w:asciiTheme="minorHAnsi" w:hAnsiTheme="minorHAnsi" w:cstheme="minorHAnsi"/>
        </w:rPr>
        <w:t xml:space="preserve">under ORS 183.405(4) and 183.450(5) do not apply to the </w:t>
      </w:r>
      <w:r w:rsidRPr="00D90062">
        <w:rPr>
          <w:rFonts w:asciiTheme="minorHAnsi" w:hAnsiTheme="minorHAnsi" w:cstheme="minorHAnsi"/>
        </w:rPr>
        <w:t>proposed rules</w:t>
      </w:r>
      <w:r>
        <w:rPr>
          <w:rFonts w:asciiTheme="minorHAnsi" w:hAnsiTheme="minorHAnsi" w:cstheme="minorHAnsi"/>
        </w:rPr>
        <w:t>.</w:t>
      </w:r>
      <w:r w:rsidRPr="00D90062">
        <w:rPr>
          <w:rFonts w:asciiTheme="minorHAnsi" w:hAnsiTheme="minorHAnsi" w:cstheme="minorHAnsi"/>
        </w:rPr>
        <w:t xml:space="preserve"> </w:t>
      </w:r>
    </w:p>
    <w:p w:rsidR="00241046" w:rsidRDefault="00241046" w:rsidP="00241046">
      <w:pPr>
        <w:autoSpaceDE w:val="0"/>
        <w:autoSpaceDN w:val="0"/>
        <w:adjustRightInd w:val="0"/>
        <w:ind w:left="1080" w:right="630"/>
        <w:rPr>
          <w:rFonts w:asciiTheme="minorHAnsi" w:eastAsia="Times New Roman" w:hAnsiTheme="minorHAnsi" w:cstheme="minorHAnsi"/>
          <w:color w:val="618889" w:themeColor="accent3" w:themeShade="BF"/>
        </w:rPr>
      </w:pPr>
    </w:p>
    <w:p w:rsidR="00241046" w:rsidRDefault="0073490E" w:rsidP="00241046">
      <w:pPr>
        <w:spacing w:after="120"/>
        <w:ind w:left="360"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w:t>
      </w:r>
      <w:r w:rsidR="00241046">
        <w:rPr>
          <w:rFonts w:asciiTheme="majorHAnsi" w:eastAsia="Times New Roman" w:hAnsiTheme="majorHAnsi" w:cstheme="majorHAnsi"/>
          <w:bCs/>
          <w:color w:val="504938"/>
          <w:sz w:val="22"/>
          <w:szCs w:val="22"/>
        </w:rPr>
        <w:t>-year rule review required</w:t>
      </w:r>
    </w:p>
    <w:p w:rsidR="00241046" w:rsidRDefault="00241046" w:rsidP="00241046">
      <w:pPr>
        <w:autoSpaceDE w:val="0"/>
        <w:autoSpaceDN w:val="0"/>
        <w:adjustRightInd w:val="0"/>
        <w:spacing w:after="120"/>
        <w:ind w:left="720" w:right="630"/>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 xml:space="preserve">DEQ will review the newly adopted rules </w:t>
      </w:r>
      <w:r w:rsidR="00F73FD6">
        <w:rPr>
          <w:rFonts w:asciiTheme="minorHAnsi" w:hAnsiTheme="minorHAnsi" w:cstheme="minorHAnsi"/>
        </w:rPr>
        <w:t xml:space="preserve">as </w:t>
      </w:r>
      <w:r>
        <w:rPr>
          <w:rFonts w:asciiTheme="minorHAnsi" w:hAnsiTheme="minorHAnsi" w:cstheme="minorHAnsi"/>
        </w:rPr>
        <w:t>required under ORS 183.405 (1) to determine whether:</w:t>
      </w:r>
    </w:p>
    <w:p w:rsidR="00241046" w:rsidRDefault="00241046" w:rsidP="0097451D">
      <w:pPr>
        <w:pStyle w:val="ListParagraph"/>
        <w:numPr>
          <w:ilvl w:val="0"/>
          <w:numId w:val="5"/>
        </w:numPr>
        <w:autoSpaceDE w:val="0"/>
        <w:autoSpaceDN w:val="0"/>
        <w:adjustRightInd w:val="0"/>
        <w:spacing w:after="120"/>
        <w:ind w:left="1440" w:right="630"/>
        <w:rPr>
          <w:rFonts w:asciiTheme="minorHAnsi" w:hAnsiTheme="minorHAnsi" w:cstheme="minorHAnsi"/>
        </w:rPr>
      </w:pPr>
      <w:r>
        <w:rPr>
          <w:rFonts w:asciiTheme="minorHAnsi" w:hAnsiTheme="minorHAnsi" w:cstheme="minorHAnsi"/>
        </w:rPr>
        <w:lastRenderedPageBreak/>
        <w:t>T</w:t>
      </w:r>
      <w:r w:rsidRPr="00F1103E">
        <w:rPr>
          <w:rFonts w:asciiTheme="minorHAnsi" w:hAnsiTheme="minorHAnsi" w:cstheme="minorHAnsi"/>
        </w:rPr>
        <w:t>he rule has had the intended effect</w:t>
      </w:r>
      <w:r>
        <w:rPr>
          <w:rFonts w:asciiTheme="minorHAnsi" w:hAnsiTheme="minorHAnsi" w:cstheme="minorHAnsi"/>
        </w:rPr>
        <w:t>.</w:t>
      </w:r>
    </w:p>
    <w:p w:rsidR="00241046" w:rsidRPr="00F1103E" w:rsidRDefault="00241046" w:rsidP="0097451D">
      <w:pPr>
        <w:pStyle w:val="ListParagraph"/>
        <w:numPr>
          <w:ilvl w:val="0"/>
          <w:numId w:val="5"/>
        </w:numPr>
        <w:autoSpaceDE w:val="0"/>
        <w:autoSpaceDN w:val="0"/>
        <w:adjustRightInd w:val="0"/>
        <w:spacing w:after="120"/>
        <w:ind w:left="1440" w:right="63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241046" w:rsidRPr="00F1103E" w:rsidRDefault="00241046" w:rsidP="0097451D">
      <w:pPr>
        <w:pStyle w:val="ListParagraph"/>
        <w:numPr>
          <w:ilvl w:val="0"/>
          <w:numId w:val="5"/>
        </w:numPr>
        <w:autoSpaceDE w:val="0"/>
        <w:autoSpaceDN w:val="0"/>
        <w:adjustRightInd w:val="0"/>
        <w:spacing w:after="120"/>
        <w:ind w:left="1440" w:right="630"/>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241046" w:rsidRPr="00F1103E" w:rsidRDefault="00241046" w:rsidP="0097451D">
      <w:pPr>
        <w:pStyle w:val="ListParagraph"/>
        <w:numPr>
          <w:ilvl w:val="0"/>
          <w:numId w:val="5"/>
        </w:numPr>
        <w:autoSpaceDE w:val="0"/>
        <w:autoSpaceDN w:val="0"/>
        <w:adjustRightInd w:val="0"/>
        <w:spacing w:after="120"/>
        <w:ind w:left="1440" w:right="63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241046" w:rsidRPr="00732601" w:rsidRDefault="00241046" w:rsidP="00241046">
      <w:pPr>
        <w:autoSpaceDE w:val="0"/>
        <w:autoSpaceDN w:val="0"/>
        <w:adjustRightInd w:val="0"/>
        <w:spacing w:after="120"/>
        <w:ind w:left="720" w:right="630"/>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241046" w:rsidRPr="00732601" w:rsidRDefault="00241046" w:rsidP="00241046">
      <w:pPr>
        <w:autoSpaceDE w:val="0"/>
        <w:autoSpaceDN w:val="0"/>
        <w:adjustRightInd w:val="0"/>
        <w:spacing w:after="120"/>
        <w:ind w:left="720" w:right="630"/>
        <w:rPr>
          <w:rFonts w:asciiTheme="minorHAnsi" w:eastAsia="Times New Roman" w:hAnsiTheme="minorHAnsi" w:cstheme="minorHAnsi"/>
          <w:bCs/>
          <w:color w:val="32525C"/>
        </w:rPr>
      </w:pPr>
      <w:r>
        <w:rPr>
          <w:rFonts w:asciiTheme="minorHAnsi" w:hAnsiTheme="minorHAnsi" w:cstheme="minorHAnsi"/>
        </w:rPr>
        <w:t xml:space="preserve">DEQ will provide the </w:t>
      </w:r>
      <w:r w:rsidR="0073490E">
        <w:rPr>
          <w:rFonts w:asciiTheme="minorHAnsi" w:hAnsiTheme="minorHAnsi" w:cstheme="minorHAnsi"/>
        </w:rPr>
        <w:t>five</w:t>
      </w:r>
      <w:r>
        <w:rPr>
          <w:rFonts w:asciiTheme="minorHAnsi" w:hAnsiTheme="minorHAnsi" w:cstheme="minorHAnsi"/>
        </w:rPr>
        <w:t xml:space="preser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97451D" w:rsidRDefault="0097451D">
      <w:pPr>
        <w:spacing w:after="200" w:line="276" w:lineRule="auto"/>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1430" w:type="dxa"/>
        <w:tblInd w:w="108" w:type="dxa"/>
        <w:tblLook w:val="04A0"/>
      </w:tblPr>
      <w:tblGrid>
        <w:gridCol w:w="11430"/>
      </w:tblGrid>
      <w:tr w:rsidR="00C9239E" w:rsidRPr="00B15DF7" w:rsidTr="000B685A">
        <w:trPr>
          <w:trHeight w:val="600"/>
        </w:trPr>
        <w:tc>
          <w:tcPr>
            <w:tcW w:w="11430" w:type="dxa"/>
            <w:tcBorders>
              <w:top w:val="nil"/>
              <w:left w:val="nil"/>
              <w:bottom w:val="double" w:sz="6" w:space="0" w:color="7F7F7F"/>
              <w:right w:val="nil"/>
            </w:tcBorders>
            <w:shd w:val="clear" w:color="000000" w:fill="D8D3C6"/>
            <w:noWrap/>
            <w:vAlign w:val="bottom"/>
            <w:hideMark/>
          </w:tcPr>
          <w:p w:rsidR="00C9239E" w:rsidRPr="00DC07BD" w:rsidRDefault="00C9239E" w:rsidP="000B685A">
            <w:pPr>
              <w:outlineLvl w:val="0"/>
              <w:rPr>
                <w:rFonts w:eastAsia="Times New Roman"/>
                <w:b/>
                <w:bCs/>
                <w:color w:val="00494F"/>
                <w:sz w:val="28"/>
                <w:szCs w:val="28"/>
              </w:rPr>
            </w:pPr>
            <w:r w:rsidRPr="00B15DF7">
              <w:rPr>
                <w:rFonts w:eastAsia="Times New Roman"/>
                <w:bCs/>
                <w:color w:val="504938"/>
                <w:sz w:val="22"/>
                <w:szCs w:val="22"/>
              </w:rPr>
              <w:lastRenderedPageBreak/>
              <w:t> </w:t>
            </w:r>
          </w:p>
          <w:p w:rsidR="00C9239E" w:rsidRPr="00AB50EA" w:rsidRDefault="00C9239E" w:rsidP="00C9239E">
            <w:pPr>
              <w:outlineLvl w:val="0"/>
              <w:rPr>
                <w:rFonts w:eastAsia="Times New Roman"/>
                <w:bCs/>
                <w:color w:val="00494F"/>
                <w:sz w:val="28"/>
                <w:szCs w:val="28"/>
              </w:rPr>
            </w:pPr>
            <w:r w:rsidRPr="00AB50EA">
              <w:rPr>
                <w:rFonts w:eastAsia="Times New Roman"/>
                <w:bCs/>
                <w:color w:val="00494F"/>
                <w:sz w:val="28"/>
                <w:szCs w:val="28"/>
              </w:rPr>
              <w:t>Stakeholder involvement</w:t>
            </w:r>
          </w:p>
        </w:tc>
      </w:tr>
    </w:tbl>
    <w:p w:rsidR="0097451D" w:rsidRDefault="00616723" w:rsidP="00241046">
      <w:pPr>
        <w:spacing w:after="120"/>
        <w:ind w:left="360"/>
        <w:outlineLvl w:val="0"/>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241046" w:rsidRPr="00126135" w:rsidRDefault="00241046" w:rsidP="00241046">
      <w:pPr>
        <w:spacing w:after="120"/>
        <w:ind w:left="360"/>
        <w:outlineLvl w:val="0"/>
        <w:rPr>
          <w:rFonts w:asciiTheme="minorHAnsi" w:eastAsia="Times New Roman" w:hAnsiTheme="minorHAnsi" w:cstheme="minorHAnsi"/>
          <w:bCs/>
        </w:rPr>
      </w:pPr>
      <w:r>
        <w:rPr>
          <w:rFonts w:asciiTheme="majorHAnsi" w:eastAsia="Times New Roman" w:hAnsiTheme="majorHAnsi" w:cstheme="majorHAnsi"/>
          <w:bCs/>
          <w:color w:val="504938"/>
          <w:sz w:val="22"/>
          <w:szCs w:val="22"/>
        </w:rPr>
        <w:t>Advisory committee</w:t>
      </w:r>
    </w:p>
    <w:p w:rsidR="00241046" w:rsidRPr="001F2D3C" w:rsidRDefault="00241046" w:rsidP="005A7DF4">
      <w:pPr>
        <w:ind w:left="720" w:right="630"/>
        <w:outlineLvl w:val="0"/>
        <w:rPr>
          <w:rFonts w:asciiTheme="minorHAnsi" w:eastAsia="Times New Roman" w:hAnsiTheme="minorHAnsi" w:cstheme="minorHAnsi"/>
          <w:color w:val="000000"/>
        </w:rPr>
      </w:pPr>
      <w:r>
        <w:rPr>
          <w:rFonts w:asciiTheme="minorHAnsi" w:eastAsia="Times New Roman" w:hAnsiTheme="minorHAnsi" w:cstheme="minorHAnsi"/>
        </w:rPr>
        <w:t xml:space="preserve">A 12-member Oregon E-Cycles advisory work group met from 2007 to 2010 to help develop the Oregon E-Cycles program. In 2010, that work group provided input on the E-Cycles’ budget and fee structure in preparation for this rulemaking. </w:t>
      </w:r>
      <w:r w:rsidRPr="00126135">
        <w:rPr>
          <w:rFonts w:asciiTheme="minorHAnsi" w:eastAsia="Times New Roman" w:hAnsiTheme="minorHAnsi" w:cstheme="minorHAnsi"/>
        </w:rPr>
        <w:t xml:space="preserve">DEQ convened the Oregon E-Cycles </w:t>
      </w:r>
      <w:r>
        <w:rPr>
          <w:rFonts w:asciiTheme="minorHAnsi" w:eastAsia="Times New Roman" w:hAnsiTheme="minorHAnsi" w:cstheme="minorHAnsi"/>
        </w:rPr>
        <w:t>r</w:t>
      </w:r>
      <w:r w:rsidRPr="00126135">
        <w:rPr>
          <w:rFonts w:asciiTheme="minorHAnsi" w:eastAsia="Times New Roman" w:hAnsiTheme="minorHAnsi" w:cstheme="minorHAnsi"/>
        </w:rPr>
        <w:t xml:space="preserve">egistration </w:t>
      </w:r>
      <w:r>
        <w:rPr>
          <w:rFonts w:asciiTheme="minorHAnsi" w:eastAsia="Times New Roman" w:hAnsiTheme="minorHAnsi" w:cstheme="minorHAnsi"/>
        </w:rPr>
        <w:t>f</w:t>
      </w:r>
      <w:r w:rsidRPr="00126135">
        <w:rPr>
          <w:rFonts w:asciiTheme="minorHAnsi" w:eastAsia="Times New Roman" w:hAnsiTheme="minorHAnsi" w:cstheme="minorHAnsi"/>
        </w:rPr>
        <w:t>ee adviso</w:t>
      </w:r>
      <w:r>
        <w:rPr>
          <w:rFonts w:asciiTheme="minorHAnsi" w:eastAsia="Times New Roman" w:hAnsiTheme="minorHAnsi" w:cstheme="minorHAnsi"/>
        </w:rPr>
        <w:t>ry committee in November 2011</w:t>
      </w:r>
      <w:r w:rsidRPr="00FF2CB9">
        <w:rPr>
          <w:rFonts w:asciiTheme="minorHAnsi" w:eastAsia="Times New Roman" w:hAnsiTheme="minorHAnsi" w:cstheme="minorHAnsi"/>
          <w:color w:val="618889" w:themeColor="accent3" w:themeShade="BF"/>
        </w:rPr>
        <w:t>.</w:t>
      </w:r>
      <w:r w:rsidRPr="00C9239E">
        <w:rPr>
          <w:rFonts w:asciiTheme="minorHAnsi" w:eastAsia="Times New Roman" w:hAnsiTheme="minorHAnsi" w:cstheme="minorHAnsi"/>
        </w:rPr>
        <w:t xml:space="preserve"> </w:t>
      </w:r>
      <w:r>
        <w:rPr>
          <w:rFonts w:asciiTheme="minorHAnsi" w:eastAsia="Times New Roman" w:hAnsiTheme="minorHAnsi" w:cstheme="minorHAnsi"/>
        </w:rPr>
        <w:t>This advisory committee met three times between November and February to discuss E-Cycles revenue needs, alternative fee models, and related issues.</w:t>
      </w:r>
    </w:p>
    <w:p w:rsidR="00241046" w:rsidRDefault="00241046" w:rsidP="00241046">
      <w:pPr>
        <w:ind w:left="720" w:right="630"/>
        <w:outlineLvl w:val="0"/>
        <w:rPr>
          <w:rFonts w:asciiTheme="minorHAnsi" w:eastAsia="Times New Roman" w:hAnsiTheme="minorHAnsi" w:cstheme="minorHAnsi"/>
        </w:rPr>
      </w:pPr>
    </w:p>
    <w:p w:rsidR="00241046" w:rsidRPr="001E443D" w:rsidRDefault="00241046" w:rsidP="0097451D">
      <w:pPr>
        <w:spacing w:after="120"/>
        <w:ind w:left="720" w:right="634"/>
        <w:outlineLvl w:val="0"/>
        <w:rPr>
          <w:rFonts w:asciiTheme="minorHAnsi" w:eastAsia="Times New Roman" w:hAnsiTheme="minorHAnsi" w:cstheme="minorHAnsi"/>
          <w:color w:val="000000" w:themeColor="text1"/>
        </w:rPr>
      </w:pPr>
      <w:r>
        <w:rPr>
          <w:rFonts w:asciiTheme="minorHAnsi" w:eastAsia="Times New Roman" w:hAnsiTheme="minorHAnsi" w:cstheme="minorHAnsi"/>
        </w:rPr>
        <w:t xml:space="preserve">The 15-member advisory committee included representatives </w:t>
      </w:r>
      <w:r w:rsidRPr="007D2CA0">
        <w:rPr>
          <w:rFonts w:asciiTheme="minorHAnsi" w:eastAsia="Times New Roman" w:hAnsiTheme="minorHAnsi" w:cstheme="minorHAnsi"/>
        </w:rPr>
        <w:t xml:space="preserve">from </w:t>
      </w:r>
      <w:r>
        <w:rPr>
          <w:rFonts w:ascii="Times New Roman" w:hAnsi="Times New Roman" w:cs="Times New Roman"/>
        </w:rPr>
        <w:t>s</w:t>
      </w:r>
      <w:r w:rsidRPr="00485E75">
        <w:rPr>
          <w:rFonts w:ascii="Times New Roman" w:hAnsi="Times New Roman" w:cs="Times New Roman"/>
        </w:rPr>
        <w:t xml:space="preserve">even electronics manufacturers, </w:t>
      </w:r>
      <w:r>
        <w:rPr>
          <w:rFonts w:ascii="Times New Roman" w:hAnsi="Times New Roman" w:cs="Times New Roman"/>
        </w:rPr>
        <w:t xml:space="preserve">including </w:t>
      </w:r>
      <w:r w:rsidRPr="00485E75">
        <w:rPr>
          <w:rFonts w:ascii="Times New Roman" w:hAnsi="Times New Roman" w:cs="Times New Roman"/>
        </w:rPr>
        <w:t>three smaller companies with fewer than fifty employees</w:t>
      </w:r>
      <w:r w:rsidR="00EF38E9">
        <w:rPr>
          <w:rFonts w:ascii="Times New Roman" w:hAnsi="Times New Roman" w:cs="Times New Roman"/>
        </w:rPr>
        <w:t>,</w:t>
      </w:r>
      <w:r>
        <w:rPr>
          <w:rFonts w:ascii="Times New Roman" w:hAnsi="Times New Roman" w:cs="Times New Roman"/>
        </w:rPr>
        <w:t xml:space="preserve"> t</w:t>
      </w:r>
      <w:r w:rsidRPr="00485E75">
        <w:rPr>
          <w:rFonts w:ascii="Times New Roman" w:hAnsi="Times New Roman" w:cs="Times New Roman"/>
        </w:rPr>
        <w:t>wo local governments</w:t>
      </w:r>
      <w:r w:rsidR="00EF38E9">
        <w:rPr>
          <w:rFonts w:ascii="Times New Roman" w:hAnsi="Times New Roman" w:cs="Times New Roman"/>
        </w:rPr>
        <w:t>,</w:t>
      </w:r>
      <w:r w:rsidRPr="00485E75">
        <w:rPr>
          <w:rFonts w:ascii="Times New Roman" w:hAnsi="Times New Roman" w:cs="Times New Roman"/>
        </w:rPr>
        <w:t xml:space="preserve"> </w:t>
      </w:r>
      <w:r>
        <w:rPr>
          <w:rFonts w:ascii="Times New Roman" w:hAnsi="Times New Roman" w:cs="Times New Roman"/>
        </w:rPr>
        <w:t>t</w:t>
      </w:r>
      <w:r w:rsidRPr="00485E75">
        <w:rPr>
          <w:rFonts w:ascii="Times New Roman" w:hAnsi="Times New Roman" w:cs="Times New Roman"/>
        </w:rPr>
        <w:t>wo electronics recyclers</w:t>
      </w:r>
      <w:r w:rsidR="00EF38E9">
        <w:rPr>
          <w:rFonts w:ascii="Times New Roman" w:hAnsi="Times New Roman" w:cs="Times New Roman"/>
        </w:rPr>
        <w:t>,</w:t>
      </w:r>
      <w:r w:rsidRPr="00485E75">
        <w:rPr>
          <w:rFonts w:ascii="Times New Roman" w:hAnsi="Times New Roman" w:cs="Times New Roman"/>
        </w:rPr>
        <w:t xml:space="preserve"> </w:t>
      </w:r>
      <w:r>
        <w:rPr>
          <w:rFonts w:ascii="Times New Roman" w:hAnsi="Times New Roman" w:cs="Times New Roman"/>
        </w:rPr>
        <w:t>t</w:t>
      </w:r>
      <w:r w:rsidRPr="00485E75">
        <w:rPr>
          <w:rFonts w:ascii="Times New Roman" w:hAnsi="Times New Roman" w:cs="Times New Roman"/>
        </w:rPr>
        <w:t>wo</w:t>
      </w:r>
      <w:r w:rsidR="0035740D">
        <w:rPr>
          <w:rFonts w:ascii="Times New Roman" w:hAnsi="Times New Roman" w:cs="Times New Roman"/>
        </w:rPr>
        <w:t xml:space="preserve"> </w:t>
      </w:r>
      <w:r w:rsidR="005E0E5E">
        <w:rPr>
          <w:rFonts w:ascii="Times New Roman" w:hAnsi="Times New Roman" w:cs="Times New Roman"/>
        </w:rPr>
        <w:t>E-Cycles</w:t>
      </w:r>
      <w:r w:rsidRPr="00485E75">
        <w:rPr>
          <w:rFonts w:ascii="Times New Roman" w:hAnsi="Times New Roman" w:cs="Times New Roman"/>
        </w:rPr>
        <w:t xml:space="preserve"> recycling p</w:t>
      </w:r>
      <w:r w:rsidR="005E0E5E">
        <w:rPr>
          <w:rFonts w:ascii="Times New Roman" w:hAnsi="Times New Roman" w:cs="Times New Roman"/>
        </w:rPr>
        <w:t>rograms</w:t>
      </w:r>
      <w:r w:rsidRPr="00485E75">
        <w:rPr>
          <w:rFonts w:ascii="Times New Roman" w:hAnsi="Times New Roman" w:cs="Times New Roman"/>
        </w:rPr>
        <w:t xml:space="preserve"> and </w:t>
      </w:r>
      <w:r>
        <w:rPr>
          <w:rFonts w:ascii="Times New Roman" w:hAnsi="Times New Roman" w:cs="Times New Roman"/>
        </w:rPr>
        <w:t>t</w:t>
      </w:r>
      <w:r w:rsidRPr="00485E75">
        <w:rPr>
          <w:rFonts w:ascii="Times New Roman" w:hAnsi="Times New Roman" w:cs="Times New Roman"/>
        </w:rPr>
        <w:t xml:space="preserve">wo </w:t>
      </w:r>
      <w:r>
        <w:rPr>
          <w:rFonts w:ascii="Times New Roman" w:hAnsi="Times New Roman" w:cs="Times New Roman"/>
        </w:rPr>
        <w:t xml:space="preserve">electronics </w:t>
      </w:r>
      <w:r w:rsidRPr="00485E75">
        <w:rPr>
          <w:rFonts w:ascii="Times New Roman" w:hAnsi="Times New Roman" w:cs="Times New Roman"/>
        </w:rPr>
        <w:t xml:space="preserve">industry </w:t>
      </w:r>
      <w:r>
        <w:rPr>
          <w:rFonts w:ascii="Times New Roman" w:hAnsi="Times New Roman" w:cs="Times New Roman"/>
        </w:rPr>
        <w:lastRenderedPageBreak/>
        <w:t>organizations.</w:t>
      </w:r>
      <w:r>
        <w:rPr>
          <w:rFonts w:asciiTheme="minorHAnsi" w:eastAsia="Times New Roman" w:hAnsiTheme="minorHAnsi" w:cstheme="minorHAnsi"/>
          <w:color w:val="000000" w:themeColor="text1"/>
        </w:rPr>
        <w:t xml:space="preserve"> </w:t>
      </w:r>
      <w:r w:rsidR="00BA0973">
        <w:rPr>
          <w:rFonts w:asciiTheme="minorHAnsi" w:eastAsia="Times New Roman" w:hAnsiTheme="minorHAnsi" w:cstheme="minorHAnsi"/>
          <w:color w:val="000000" w:themeColor="text1"/>
        </w:rPr>
        <w:t>A</w:t>
      </w:r>
      <w:r>
        <w:rPr>
          <w:rFonts w:asciiTheme="minorHAnsi" w:eastAsia="Times New Roman" w:hAnsiTheme="minorHAnsi" w:cstheme="minorHAnsi"/>
          <w:color w:val="000000" w:themeColor="text1"/>
        </w:rPr>
        <w:t xml:space="preserve">dvisory committee </w:t>
      </w:r>
      <w:r w:rsidRPr="001E443D">
        <w:rPr>
          <w:rFonts w:asciiTheme="minorHAnsi" w:eastAsia="Times New Roman" w:hAnsiTheme="minorHAnsi" w:cstheme="minorHAnsi"/>
          <w:color w:val="000000" w:themeColor="text1"/>
        </w:rPr>
        <w:t>members</w:t>
      </w:r>
      <w:r w:rsidR="00BA0973">
        <w:rPr>
          <w:rFonts w:asciiTheme="minorHAnsi" w:eastAsia="Times New Roman" w:hAnsiTheme="minorHAnsi" w:cstheme="minorHAnsi"/>
          <w:color w:val="000000" w:themeColor="text1"/>
        </w:rPr>
        <w:t xml:space="preserve"> included</w:t>
      </w:r>
      <w:r w:rsidRPr="001E443D">
        <w:rPr>
          <w:rFonts w:asciiTheme="minorHAnsi" w:eastAsia="Times New Roman" w:hAnsiTheme="minorHAnsi" w:cstheme="minorHAnsi"/>
          <w:color w:val="000000" w:themeColor="text1"/>
        </w:rPr>
        <w:t>:</w:t>
      </w:r>
    </w:p>
    <w:p w:rsidR="00241046" w:rsidRPr="00BA0973" w:rsidRDefault="00BA0973" w:rsidP="004A6180">
      <w:pPr>
        <w:tabs>
          <w:tab w:val="left" w:pos="3908"/>
        </w:tabs>
        <w:ind w:left="2880"/>
        <w:rPr>
          <w:rFonts w:asciiTheme="minorHAnsi" w:eastAsia="Times New Roman" w:hAnsiTheme="minorHAnsi" w:cstheme="minorHAnsi"/>
        </w:rPr>
      </w:pPr>
      <w:r>
        <w:rPr>
          <w:rFonts w:asciiTheme="minorHAnsi" w:eastAsia="Times New Roman" w:hAnsiTheme="minorHAnsi" w:cstheme="minorHAnsi"/>
        </w:rPr>
        <w:t xml:space="preserve">Jim </w:t>
      </w:r>
      <w:r w:rsidR="00C259C6" w:rsidRPr="00C259C6">
        <w:rPr>
          <w:rFonts w:asciiTheme="minorHAnsi" w:eastAsia="Times New Roman" w:hAnsiTheme="minorHAnsi" w:cstheme="minorHAnsi"/>
        </w:rPr>
        <w:t>Craven</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TechAmerica</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Lee </w:t>
      </w:r>
      <w:r w:rsidR="00C259C6" w:rsidRPr="00C259C6">
        <w:rPr>
          <w:rFonts w:asciiTheme="minorHAnsi" w:eastAsia="Times New Roman" w:hAnsiTheme="minorHAnsi" w:cstheme="minorHAnsi"/>
        </w:rPr>
        <w:t>Fortier</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Oregon Refuse and Recycling Association</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Mary </w:t>
      </w:r>
      <w:r w:rsidR="00C259C6" w:rsidRPr="00C259C6">
        <w:rPr>
          <w:rFonts w:asciiTheme="minorHAnsi" w:eastAsia="Times New Roman" w:hAnsiTheme="minorHAnsi" w:cstheme="minorHAnsi"/>
        </w:rPr>
        <w:t>Jacques</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Lenovo (US)</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Becky </w:t>
      </w:r>
      <w:r w:rsidR="00C259C6" w:rsidRPr="00C259C6">
        <w:rPr>
          <w:rFonts w:asciiTheme="minorHAnsi" w:eastAsia="Times New Roman" w:hAnsiTheme="minorHAnsi" w:cstheme="minorHAnsi"/>
        </w:rPr>
        <w:t>Jarvis</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Electronics Unlimited</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Scott </w:t>
      </w:r>
      <w:r w:rsidR="00C259C6" w:rsidRPr="00C259C6">
        <w:rPr>
          <w:rFonts w:asciiTheme="minorHAnsi" w:eastAsia="Times New Roman" w:hAnsiTheme="minorHAnsi" w:cstheme="minorHAnsi"/>
        </w:rPr>
        <w:t>Klag</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Portland Metro Regional Government</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Jeff </w:t>
      </w:r>
      <w:r w:rsidR="00C259C6" w:rsidRPr="00C259C6">
        <w:rPr>
          <w:rFonts w:asciiTheme="minorHAnsi" w:eastAsia="Times New Roman" w:hAnsiTheme="minorHAnsi" w:cstheme="minorHAnsi"/>
        </w:rPr>
        <w:t>Kuypers</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Hewlett Packard</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Jason </w:t>
      </w:r>
      <w:r w:rsidR="00C259C6" w:rsidRPr="00C259C6">
        <w:rPr>
          <w:rFonts w:asciiTheme="minorHAnsi" w:eastAsia="Times New Roman" w:hAnsiTheme="minorHAnsi" w:cstheme="minorHAnsi"/>
        </w:rPr>
        <w:t>Linnell</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National Center for Electronics Recycling</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Craig </w:t>
      </w:r>
      <w:r w:rsidR="00C259C6" w:rsidRPr="00C259C6">
        <w:rPr>
          <w:rFonts w:asciiTheme="minorHAnsi" w:eastAsia="Times New Roman" w:hAnsiTheme="minorHAnsi" w:cstheme="minorHAnsi"/>
        </w:rPr>
        <w:t>Lorch</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Total Reclaim</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Michael </w:t>
      </w:r>
      <w:r w:rsidR="00C259C6" w:rsidRPr="00C259C6">
        <w:rPr>
          <w:rFonts w:asciiTheme="minorHAnsi" w:eastAsia="Times New Roman" w:hAnsiTheme="minorHAnsi" w:cstheme="minorHAnsi"/>
        </w:rPr>
        <w:t>Moss</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Samsung Electronics</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Betty </w:t>
      </w:r>
      <w:r w:rsidR="00C259C6" w:rsidRPr="00C259C6">
        <w:rPr>
          <w:rFonts w:asciiTheme="minorHAnsi" w:eastAsia="Times New Roman" w:hAnsiTheme="minorHAnsi" w:cstheme="minorHAnsi"/>
        </w:rPr>
        <w:t>Patton</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Electronic Manufacturers Recycling Management</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lastRenderedPageBreak/>
        <w:t xml:space="preserve">Bailey </w:t>
      </w:r>
      <w:r w:rsidR="00C259C6" w:rsidRPr="00C259C6">
        <w:rPr>
          <w:rFonts w:asciiTheme="minorHAnsi" w:eastAsia="Times New Roman" w:hAnsiTheme="minorHAnsi" w:cstheme="minorHAnsi"/>
        </w:rPr>
        <w:t>Payne</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Marion county</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Tim </w:t>
      </w:r>
      <w:r w:rsidR="00C259C6" w:rsidRPr="00C259C6">
        <w:rPr>
          <w:rFonts w:asciiTheme="minorHAnsi" w:eastAsia="Times New Roman" w:hAnsiTheme="minorHAnsi" w:cstheme="minorHAnsi"/>
        </w:rPr>
        <w:t>Rocak</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Garten Foundation</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Erik </w:t>
      </w:r>
      <w:r w:rsidR="00C259C6" w:rsidRPr="00C259C6">
        <w:rPr>
          <w:rFonts w:asciiTheme="minorHAnsi" w:eastAsia="Times New Roman" w:hAnsiTheme="minorHAnsi" w:cstheme="minorHAnsi"/>
        </w:rPr>
        <w:t>Stromquist</w:t>
      </w:r>
      <w:r w:rsidR="00C259C6" w:rsidRPr="00C259C6">
        <w:rPr>
          <w:rFonts w:asciiTheme="minorHAnsi" w:eastAsia="Times New Roman" w:hAnsiTheme="minorHAnsi" w:cstheme="minorHAnsi"/>
        </w:rPr>
        <w:tab/>
        <w:t>Computer Technology Link</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Mike </w:t>
      </w:r>
      <w:r w:rsidR="00C259C6" w:rsidRPr="00C259C6">
        <w:rPr>
          <w:rFonts w:asciiTheme="minorHAnsi" w:eastAsia="Times New Roman" w:hAnsiTheme="minorHAnsi" w:cstheme="minorHAnsi"/>
        </w:rPr>
        <w:t>Watson</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Dell Marketing (USA)</w:t>
      </w:r>
    </w:p>
    <w:p w:rsidR="00241046" w:rsidRPr="00BA0973" w:rsidRDefault="00BA0973" w:rsidP="004A6180">
      <w:pPr>
        <w:tabs>
          <w:tab w:val="left" w:pos="3908"/>
        </w:tabs>
        <w:ind w:left="2880"/>
        <w:rPr>
          <w:rFonts w:asciiTheme="minorHAnsi" w:eastAsia="Times New Roman" w:hAnsiTheme="minorHAnsi" w:cstheme="minorHAnsi"/>
        </w:rPr>
      </w:pPr>
      <w:r w:rsidRPr="00BA0973">
        <w:rPr>
          <w:rFonts w:asciiTheme="minorHAnsi" w:eastAsia="Times New Roman" w:hAnsiTheme="minorHAnsi" w:cstheme="minorHAnsi"/>
        </w:rPr>
        <w:t xml:space="preserve">Gail </w:t>
      </w:r>
      <w:r w:rsidR="00C259C6" w:rsidRPr="00C259C6">
        <w:rPr>
          <w:rFonts w:asciiTheme="minorHAnsi" w:eastAsia="Times New Roman" w:hAnsiTheme="minorHAnsi" w:cstheme="minorHAnsi"/>
        </w:rPr>
        <w:t>Zuro</w:t>
      </w:r>
      <w:r w:rsidR="00C259C6" w:rsidRPr="00C259C6">
        <w:rPr>
          <w:rFonts w:asciiTheme="minorHAnsi" w:eastAsia="Times New Roman" w:hAnsiTheme="minorHAnsi" w:cstheme="minorHAnsi"/>
        </w:rPr>
        <w:tab/>
      </w:r>
      <w:r w:rsidR="003D2459">
        <w:rPr>
          <w:rFonts w:asciiTheme="minorHAnsi" w:eastAsia="Times New Roman" w:hAnsiTheme="minorHAnsi" w:cstheme="minorHAnsi"/>
        </w:rPr>
        <w:tab/>
      </w:r>
      <w:r w:rsidR="003D2459">
        <w:rPr>
          <w:rFonts w:asciiTheme="minorHAnsi" w:eastAsia="Times New Roman" w:hAnsiTheme="minorHAnsi" w:cstheme="minorHAnsi"/>
        </w:rPr>
        <w:tab/>
      </w:r>
      <w:r w:rsidR="00C259C6" w:rsidRPr="00C259C6">
        <w:rPr>
          <w:rFonts w:asciiTheme="minorHAnsi" w:eastAsia="Times New Roman" w:hAnsiTheme="minorHAnsi" w:cstheme="minorHAnsi"/>
        </w:rPr>
        <w:t>Planar</w:t>
      </w:r>
    </w:p>
    <w:p w:rsidR="00241046" w:rsidRPr="00BA0973" w:rsidRDefault="00241046" w:rsidP="00241046">
      <w:pPr>
        <w:ind w:left="2772" w:right="630"/>
        <w:outlineLvl w:val="0"/>
        <w:rPr>
          <w:rFonts w:asciiTheme="minorHAnsi" w:eastAsia="Times New Roman" w:hAnsiTheme="minorHAnsi" w:cstheme="minorHAnsi"/>
        </w:rPr>
      </w:pPr>
    </w:p>
    <w:p w:rsidR="00241046" w:rsidRDefault="00241046" w:rsidP="00241046">
      <w:pPr>
        <w:ind w:left="720" w:right="630"/>
        <w:outlineLvl w:val="0"/>
        <w:rPr>
          <w:rFonts w:asciiTheme="minorHAnsi" w:eastAsia="Times New Roman" w:hAnsiTheme="minorHAnsi" w:cstheme="minorHAnsi"/>
        </w:rPr>
      </w:pPr>
      <w:r>
        <w:rPr>
          <w:rFonts w:asciiTheme="minorHAnsi" w:eastAsia="Times New Roman" w:hAnsiTheme="minorHAnsi" w:cstheme="minorHAnsi"/>
        </w:rPr>
        <w:t>The committee reviewed the information required for the fiscal impact statement, specifically the impact on small businesses.</w:t>
      </w:r>
    </w:p>
    <w:p w:rsidR="00241046" w:rsidRPr="00C9239E" w:rsidRDefault="00241046" w:rsidP="00241046">
      <w:pPr>
        <w:ind w:left="720" w:right="630"/>
        <w:outlineLvl w:val="0"/>
        <w:rPr>
          <w:rFonts w:asciiTheme="minorHAnsi" w:eastAsia="Times New Roman" w:hAnsiTheme="minorHAnsi" w:cstheme="minorHAnsi"/>
          <w:color w:val="000000"/>
        </w:rPr>
      </w:pPr>
    </w:p>
    <w:p w:rsidR="00241046" w:rsidRPr="00DC04D1" w:rsidRDefault="00241046" w:rsidP="009D69C4">
      <w:pPr>
        <w:spacing w:after="200" w:line="276" w:lineRule="auto"/>
        <w:ind w:left="36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241046" w:rsidRPr="00A74227" w:rsidRDefault="00241046" w:rsidP="0097451D">
      <w:pPr>
        <w:spacing w:after="120"/>
        <w:ind w:left="720" w:right="630"/>
        <w:outlineLvl w:val="0"/>
        <w:rPr>
          <w:rFonts w:ascii="Times New Roman" w:eastAsia="Times New Roman" w:hAnsi="Times New Roman" w:cs="Times New Roman"/>
          <w:color w:val="000000" w:themeColor="text1"/>
        </w:rPr>
      </w:pPr>
      <w:r>
        <w:rPr>
          <w:rFonts w:asciiTheme="minorHAnsi" w:eastAsia="Times New Roman" w:hAnsiTheme="minorHAnsi" w:cstheme="minorHAnsi"/>
          <w:bCs/>
          <w:color w:val="000000" w:themeColor="text1"/>
        </w:rPr>
        <w:t xml:space="preserve">The Secretary of State published notice of the proposed rulemaking in the </w:t>
      </w:r>
      <w:r w:rsidRPr="00866F57">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on April 1, 2012. DEQ also</w:t>
      </w:r>
      <w:r w:rsidRPr="00A74227">
        <w:rPr>
          <w:rFonts w:asciiTheme="minorHAnsi" w:eastAsia="Times New Roman" w:hAnsiTheme="minorHAnsi" w:cstheme="minorHAnsi"/>
          <w:bCs/>
          <w:color w:val="000000" w:themeColor="text1"/>
        </w:rPr>
        <w:t>:</w:t>
      </w:r>
      <w:r w:rsidRPr="00A74227">
        <w:rPr>
          <w:rFonts w:ascii="Times New Roman" w:eastAsia="Times New Roman" w:hAnsi="Times New Roman" w:cs="Times New Roman"/>
          <w:color w:val="000000" w:themeColor="text1"/>
        </w:rPr>
        <w:t xml:space="preserve"> </w:t>
      </w:r>
    </w:p>
    <w:p w:rsidR="00241046" w:rsidRPr="00A74227" w:rsidRDefault="00241046" w:rsidP="0097451D">
      <w:pPr>
        <w:pStyle w:val="ListParagraph"/>
        <w:numPr>
          <w:ilvl w:val="0"/>
          <w:numId w:val="2"/>
        </w:numPr>
        <w:spacing w:after="120"/>
        <w:ind w:left="1440" w:right="630"/>
        <w:contextualSpacing w:val="0"/>
        <w:outlineLvl w:val="0"/>
        <w:rPr>
          <w:rFonts w:ascii="Times New Roman" w:eastAsia="Times New Roman" w:hAnsi="Times New Roman" w:cs="Times New Roman"/>
        </w:rPr>
      </w:pPr>
      <w:r w:rsidRPr="00A74227">
        <w:rPr>
          <w:rFonts w:ascii="Times New Roman" w:eastAsia="Times New Roman" w:hAnsi="Times New Roman" w:cs="Times New Roman"/>
          <w:color w:val="000000" w:themeColor="text1"/>
        </w:rPr>
        <w:t xml:space="preserve">Posted the </w:t>
      </w:r>
      <w:r>
        <w:rPr>
          <w:rFonts w:ascii="Times New Roman" w:eastAsia="Times New Roman" w:hAnsi="Times New Roman" w:cs="Times New Roman"/>
          <w:color w:val="000000" w:themeColor="text1"/>
        </w:rPr>
        <w:t xml:space="preserve">notice on </w:t>
      </w:r>
      <w:r w:rsidRPr="00A74227">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’s </w:t>
      </w:r>
      <w:r w:rsidRPr="00A74227">
        <w:rPr>
          <w:rFonts w:ascii="Times New Roman" w:eastAsia="Times New Roman" w:hAnsi="Times New Roman" w:cs="Times New Roman"/>
          <w:color w:val="000000" w:themeColor="text1"/>
        </w:rPr>
        <w:t xml:space="preserve">webpage </w:t>
      </w:r>
      <w:hyperlink r:id="rId29" w:history="1">
        <w:r w:rsidRPr="0097451D">
          <w:rPr>
            <w:rFonts w:asciiTheme="minorHAnsi" w:eastAsia="Times New Roman" w:hAnsiTheme="minorHAnsi" w:cstheme="minorHAnsi"/>
            <w:color w:val="000000"/>
            <w:u w:val="single"/>
          </w:rPr>
          <w:t>http://www.deq.state.or.us/regulations/proposedrules.htm</w:t>
        </w:r>
      </w:hyperlink>
      <w:r>
        <w:t xml:space="preserve"> </w:t>
      </w:r>
      <w:r w:rsidRPr="00A74227">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March 30, 2012.</w:t>
      </w:r>
    </w:p>
    <w:p w:rsidR="00241046" w:rsidRPr="00C22E0C" w:rsidRDefault="00241046" w:rsidP="0097451D">
      <w:pPr>
        <w:pStyle w:val="ListParagraph"/>
        <w:numPr>
          <w:ilvl w:val="0"/>
          <w:numId w:val="2"/>
        </w:numPr>
        <w:spacing w:after="120"/>
        <w:ind w:left="1440"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the notice to:</w:t>
      </w:r>
    </w:p>
    <w:p w:rsidR="00241046" w:rsidRPr="00FB1F92" w:rsidRDefault="00241046" w:rsidP="0097451D">
      <w:pPr>
        <w:pStyle w:val="ListParagraph"/>
        <w:numPr>
          <w:ilvl w:val="0"/>
          <w:numId w:val="3"/>
        </w:numPr>
        <w:spacing w:after="120"/>
        <w:ind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7,068</w:t>
      </w:r>
      <w:r w:rsidRPr="00FB1F92">
        <w:rPr>
          <w:rFonts w:ascii="Times New Roman" w:eastAsia="Times New Roman" w:hAnsi="Times New Roman" w:cs="Times New Roman"/>
          <w:color w:val="000000" w:themeColor="text1"/>
        </w:rPr>
        <w:t xml:space="preserve"> interested parties through GovDelivery </w:t>
      </w:r>
      <w:r w:rsidRPr="006D2DC2">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March</w:t>
      </w:r>
      <w:r w:rsidRPr="006D2DC2">
        <w:rPr>
          <w:rFonts w:ascii="Times New Roman" w:eastAsia="Times New Roman" w:hAnsi="Times New Roman" w:cs="Times New Roman"/>
          <w:color w:val="000000" w:themeColor="text1"/>
        </w:rPr>
        <w:t xml:space="preserve"> 30, 2012</w:t>
      </w:r>
      <w:r w:rsidRPr="00FB1F92">
        <w:rPr>
          <w:rFonts w:ascii="Times New Roman" w:eastAsia="Times New Roman" w:hAnsi="Times New Roman" w:cs="Times New Roman"/>
          <w:color w:val="000000" w:themeColor="text1"/>
        </w:rPr>
        <w:t>.</w:t>
      </w:r>
    </w:p>
    <w:p w:rsidR="00241046" w:rsidRPr="00FB1F92" w:rsidRDefault="00241046" w:rsidP="0097451D">
      <w:pPr>
        <w:pStyle w:val="ListParagraph"/>
        <w:numPr>
          <w:ilvl w:val="0"/>
          <w:numId w:val="3"/>
        </w:numPr>
        <w:spacing w:after="120"/>
        <w:ind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159 registered</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electronic</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manufacturers in</w:t>
      </w:r>
      <w:r w:rsidRPr="00FB1F92">
        <w:rPr>
          <w:rFonts w:ascii="Times New Roman" w:eastAsia="Times New Roman" w:hAnsi="Times New Roman" w:cs="Times New Roman"/>
          <w:color w:val="000000" w:themeColor="text1"/>
        </w:rPr>
        <w:t xml:space="preserve"> the </w:t>
      </w:r>
      <w:r>
        <w:rPr>
          <w:rFonts w:ascii="Times New Roman" w:eastAsia="Times New Roman" w:hAnsi="Times New Roman" w:cs="Times New Roman"/>
          <w:color w:val="000000" w:themeColor="text1"/>
        </w:rPr>
        <w:t>Oregon E-Cycles program on March 30, 2012</w:t>
      </w:r>
      <w:r w:rsidRPr="00FB1F92">
        <w:rPr>
          <w:rFonts w:asciiTheme="minorHAnsi" w:eastAsia="Times New Roman" w:hAnsiTheme="minorHAnsi" w:cstheme="minorHAnsi"/>
          <w:color w:val="000000" w:themeColor="text1"/>
        </w:rPr>
        <w:t>.</w:t>
      </w:r>
    </w:p>
    <w:p w:rsidR="005A7DF4" w:rsidRDefault="005A7DF4">
      <w:pPr>
        <w:spacing w:after="200"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rsidR="00241046" w:rsidRPr="005825DB" w:rsidRDefault="00241046" w:rsidP="0097451D">
      <w:pPr>
        <w:pStyle w:val="ListParagraph"/>
        <w:numPr>
          <w:ilvl w:val="0"/>
          <w:numId w:val="3"/>
        </w:numPr>
        <w:spacing w:after="120"/>
        <w:ind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Three</w:t>
      </w:r>
      <w:r w:rsidRPr="00FB1F92">
        <w:rPr>
          <w:rFonts w:ascii="Times New Roman" w:eastAsia="Times New Roman" w:hAnsi="Times New Roman" w:cs="Times New Roman"/>
          <w:color w:val="000000" w:themeColor="text1"/>
        </w:rPr>
        <w:t xml:space="preserve"> legislators</w:t>
      </w:r>
      <w:r w:rsidR="005A7DF4">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as</w:t>
      </w:r>
      <w:r w:rsidRPr="00FB1F92">
        <w:rPr>
          <w:rFonts w:ascii="Times New Roman" w:eastAsia="Times New Roman" w:hAnsi="Times New Roman" w:cs="Times New Roman"/>
          <w:color w:val="000000" w:themeColor="text1"/>
        </w:rPr>
        <w:t xml:space="preserve"> required under </w:t>
      </w:r>
      <w:hyperlink r:id="rId30" w:history="1">
        <w:r w:rsidRPr="00B94546">
          <w:rPr>
            <w:rFonts w:asciiTheme="minorHAnsi" w:eastAsia="Times New Roman" w:hAnsiTheme="minorHAnsi" w:cstheme="minorHAnsi"/>
            <w:color w:val="000000" w:themeColor="text1"/>
          </w:rPr>
          <w:t>ORS 183.335</w:t>
        </w:r>
      </w:hyperlink>
      <w:r w:rsidR="005A7DF4">
        <w:t>,</w:t>
      </w:r>
      <w:r w:rsidRPr="005825DB">
        <w:rPr>
          <w:rFonts w:asciiTheme="minorHAnsi" w:hAnsiTheme="minorHAnsi" w:cstheme="minorHAnsi"/>
          <w:color w:val="000000" w:themeColor="text1"/>
        </w:rPr>
        <w:t xml:space="preserve"> </w:t>
      </w:r>
      <w:r w:rsidRPr="00FB1F92">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April</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5</w:t>
      </w:r>
      <w:r w:rsidRPr="00FB1F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2012: </w:t>
      </w:r>
      <w:r w:rsidRPr="00D162C2">
        <w:rPr>
          <w:rFonts w:ascii="Times New Roman" w:eastAsia="Times New Roman" w:hAnsi="Times New Roman" w:cs="Times New Roman"/>
          <w:color w:val="000000" w:themeColor="text1"/>
        </w:rPr>
        <w:t>Senator Dingfelder, Chair, Environment and Natural Resources</w:t>
      </w:r>
      <w:r>
        <w:rPr>
          <w:rFonts w:ascii="Times New Roman" w:eastAsia="Times New Roman" w:hAnsi="Times New Roman" w:cs="Times New Roman"/>
          <w:color w:val="000000" w:themeColor="text1"/>
        </w:rPr>
        <w:t xml:space="preserve">; </w:t>
      </w:r>
      <w:r w:rsidRPr="00D162C2">
        <w:rPr>
          <w:rFonts w:ascii="Times New Roman" w:eastAsia="Times New Roman" w:hAnsi="Times New Roman" w:cs="Times New Roman"/>
          <w:color w:val="000000" w:themeColor="text1"/>
        </w:rPr>
        <w:t>Representative Bailey, Co-</w:t>
      </w:r>
      <w:r w:rsidRPr="005825DB">
        <w:rPr>
          <w:rFonts w:ascii="Times New Roman" w:eastAsia="Times New Roman" w:hAnsi="Times New Roman" w:cs="Times New Roman"/>
          <w:color w:val="000000" w:themeColor="text1"/>
        </w:rPr>
        <w:t>Chair</w:t>
      </w:r>
      <w:r w:rsidRPr="00B94546">
        <w:rPr>
          <w:rFonts w:ascii="Times New Roman" w:eastAsia="Times New Roman" w:hAnsi="Times New Roman" w:cs="Times New Roman"/>
          <w:color w:val="000000" w:themeColor="text1"/>
        </w:rPr>
        <w:t>, Energy, E</w:t>
      </w:r>
      <w:r w:rsidRPr="005825DB">
        <w:rPr>
          <w:rFonts w:ascii="Times New Roman" w:eastAsia="Times New Roman" w:hAnsi="Times New Roman" w:cs="Times New Roman"/>
          <w:color w:val="000000" w:themeColor="text1"/>
        </w:rPr>
        <w:t>nvironment and Water, Representative Gilliam; and Co-Chai</w:t>
      </w:r>
      <w:r w:rsidRPr="00B94546">
        <w:rPr>
          <w:rFonts w:ascii="Times New Roman" w:eastAsia="Times New Roman" w:hAnsi="Times New Roman" w:cs="Times New Roman"/>
          <w:color w:val="000000" w:themeColor="text1"/>
        </w:rPr>
        <w:t xml:space="preserve">r, Energy, </w:t>
      </w:r>
      <w:r w:rsidRPr="005825DB">
        <w:rPr>
          <w:rFonts w:ascii="Times New Roman" w:eastAsia="Times New Roman" w:hAnsi="Times New Roman" w:cs="Times New Roman"/>
          <w:color w:val="000000" w:themeColor="text1"/>
        </w:rPr>
        <w:t>Environment and Water.</w:t>
      </w:r>
    </w:p>
    <w:p w:rsidR="00241046" w:rsidRPr="005825DB" w:rsidRDefault="00241046" w:rsidP="0097451D">
      <w:pPr>
        <w:pStyle w:val="ListParagraph"/>
        <w:numPr>
          <w:ilvl w:val="0"/>
          <w:numId w:val="3"/>
        </w:numPr>
        <w:spacing w:after="120"/>
        <w:ind w:right="630"/>
        <w:contextualSpacing w:val="0"/>
        <w:outlineLvl w:val="0"/>
        <w:rPr>
          <w:rFonts w:ascii="Times New Roman" w:eastAsia="Times New Roman" w:hAnsi="Times New Roman" w:cs="Times New Roman"/>
          <w:color w:val="000000" w:themeColor="text1"/>
        </w:rPr>
      </w:pPr>
      <w:r w:rsidRPr="005825DB">
        <w:rPr>
          <w:rFonts w:ascii="Times New Roman" w:eastAsia="Times New Roman" w:hAnsi="Times New Roman" w:cs="Times New Roman"/>
          <w:color w:val="000000" w:themeColor="text1"/>
        </w:rPr>
        <w:t>Members of the advisory committ</w:t>
      </w:r>
      <w:r w:rsidRPr="00B94546">
        <w:rPr>
          <w:rFonts w:asciiTheme="minorHAnsi" w:eastAsia="Times New Roman" w:hAnsiTheme="minorHAnsi" w:cstheme="minorHAnsi"/>
          <w:color w:val="000000" w:themeColor="text1"/>
        </w:rPr>
        <w:t xml:space="preserve">ee on </w:t>
      </w:r>
      <w:r w:rsidRPr="005825DB">
        <w:rPr>
          <w:rFonts w:ascii="Times New Roman" w:eastAsia="Times New Roman" w:hAnsi="Times New Roman" w:cs="Times New Roman"/>
          <w:color w:val="000000" w:themeColor="text1"/>
        </w:rPr>
        <w:t>M</w:t>
      </w:r>
      <w:r w:rsidRPr="005825DB">
        <w:rPr>
          <w:rFonts w:asciiTheme="minorHAnsi" w:eastAsia="Times New Roman" w:hAnsiTheme="minorHAnsi" w:cstheme="minorHAnsi"/>
          <w:color w:val="000000" w:themeColor="text1"/>
        </w:rPr>
        <w:t>a</w:t>
      </w:r>
      <w:r w:rsidRPr="005825DB">
        <w:rPr>
          <w:rFonts w:ascii="Times New Roman" w:eastAsia="Times New Roman" w:hAnsi="Times New Roman" w:cs="Times New Roman"/>
          <w:color w:val="000000" w:themeColor="text1"/>
        </w:rPr>
        <w:t>rch 30, 2012.</w:t>
      </w:r>
    </w:p>
    <w:p w:rsidR="00241046" w:rsidRPr="00457200" w:rsidRDefault="00241046" w:rsidP="00241046">
      <w:pPr>
        <w:pStyle w:val="ListParagraph"/>
        <w:spacing w:after="120"/>
        <w:ind w:left="1440" w:right="630"/>
        <w:outlineLvl w:val="0"/>
        <w:rPr>
          <w:rFonts w:ascii="Times New Roman" w:eastAsia="Times New Roman" w:hAnsi="Times New Roman" w:cs="Times New Roman"/>
          <w:color w:val="000000" w:themeColor="text1"/>
        </w:rPr>
      </w:pPr>
    </w:p>
    <w:p w:rsidR="00241046" w:rsidRPr="00DC04D1" w:rsidRDefault="00241046" w:rsidP="00241046">
      <w:pPr>
        <w:spacing w:after="120"/>
        <w:ind w:left="360"/>
        <w:outlineLvl w:val="0"/>
        <w:rPr>
          <w:rFonts w:asciiTheme="minorHAnsi" w:eastAsia="Times New Roman" w:hAnsiTheme="minorHAnsi" w:cstheme="minorHAnsi"/>
          <w:bCs/>
          <w:color w:val="504938"/>
        </w:rPr>
      </w:pPr>
      <w:r w:rsidRPr="00CE27D0">
        <w:rPr>
          <w:rFonts w:asciiTheme="majorHAnsi" w:eastAsia="Times New Roman" w:hAnsiTheme="majorHAnsi" w:cstheme="majorHAnsi"/>
          <w:bCs/>
          <w:color w:val="504938"/>
          <w:sz w:val="22"/>
          <w:szCs w:val="22"/>
        </w:rPr>
        <w:t>Public</w:t>
      </w:r>
      <w:r>
        <w:rPr>
          <w:rFonts w:asciiTheme="majorHAnsi" w:eastAsia="Times New Roman" w:hAnsiTheme="majorHAnsi" w:cstheme="majorHAnsi"/>
          <w:bCs/>
          <w:color w:val="504938"/>
          <w:sz w:val="22"/>
          <w:szCs w:val="22"/>
        </w:rPr>
        <w:t xml:space="preserve"> hearings</w:t>
      </w:r>
    </w:p>
    <w:p w:rsidR="00241046" w:rsidRDefault="00241046" w:rsidP="00241046">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During the comment period, DEQ held one public hearing in Portland that was also accessible by phone and through iLinc. No one attended in person or called in to provide comments. </w:t>
      </w:r>
    </w:p>
    <w:p w:rsidR="00241046" w:rsidRDefault="00241046" w:rsidP="00241046">
      <w:pPr>
        <w:tabs>
          <w:tab w:val="left" w:pos="1440"/>
          <w:tab w:val="center" w:pos="4500"/>
          <w:tab w:val="center" w:pos="7380"/>
        </w:tabs>
        <w:ind w:left="720" w:right="634"/>
        <w:outlineLvl w:val="0"/>
        <w:rPr>
          <w:rFonts w:asciiTheme="minorHAnsi" w:eastAsia="Times New Roman" w:hAnsiTheme="minorHAnsi" w:cstheme="minorHAnsi"/>
          <w:bCs/>
          <w:color w:val="000000" w:themeColor="text1"/>
        </w:rPr>
      </w:pPr>
    </w:p>
    <w:p w:rsidR="00241046" w:rsidRPr="00DC04D1" w:rsidRDefault="00241046" w:rsidP="0024104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comment</w:t>
      </w:r>
    </w:p>
    <w:p w:rsidR="00241046" w:rsidRDefault="00241046" w:rsidP="00241046">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eight written comments. </w:t>
      </w:r>
      <w:r w:rsidR="00EF38E9">
        <w:rPr>
          <w:rFonts w:asciiTheme="minorHAnsi" w:eastAsia="Times New Roman" w:hAnsiTheme="minorHAnsi" w:cstheme="minorHAnsi"/>
          <w:bCs/>
          <w:color w:val="000000" w:themeColor="text1"/>
        </w:rPr>
        <w:t>Please s</w:t>
      </w:r>
      <w:r>
        <w:rPr>
          <w:rFonts w:asciiTheme="minorHAnsi" w:eastAsia="Times New Roman" w:hAnsiTheme="minorHAnsi" w:cstheme="minorHAnsi"/>
          <w:bCs/>
          <w:color w:val="000000" w:themeColor="text1"/>
        </w:rPr>
        <w:t xml:space="preserve">ee the </w:t>
      </w:r>
      <w:r w:rsidR="00EF38E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ummary of comments and DEQ responses below.</w:t>
      </w:r>
    </w:p>
    <w:p w:rsidR="00241046" w:rsidRDefault="00241046" w:rsidP="00241046">
      <w:pPr>
        <w:spacing w:after="120"/>
        <w:ind w:left="720" w:right="630"/>
        <w:outlineLvl w:val="0"/>
        <w:rPr>
          <w:rFonts w:asciiTheme="minorHAnsi" w:eastAsia="Times New Roman" w:hAnsiTheme="minorHAnsi" w:cstheme="minorHAnsi"/>
          <w:bCs/>
          <w:color w:val="000000" w:themeColor="text1"/>
        </w:rPr>
      </w:pPr>
    </w:p>
    <w:p w:rsidR="00241046" w:rsidRPr="00DC04D1" w:rsidRDefault="00241046" w:rsidP="0024104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Close of public comment period</w:t>
      </w:r>
    </w:p>
    <w:p w:rsidR="00241046" w:rsidRDefault="00241046" w:rsidP="00241046">
      <w:pPr>
        <w:spacing w:after="120"/>
        <w:ind w:left="720" w:right="630"/>
        <w:outlineLvl w:val="0"/>
        <w:rPr>
          <w:sz w:val="20"/>
          <w:szCs w:val="20"/>
        </w:rPr>
      </w:pPr>
      <w:r>
        <w:rPr>
          <w:rFonts w:asciiTheme="minorHAnsi" w:eastAsia="Times New Roman" w:hAnsiTheme="minorHAnsi" w:cstheme="minorHAnsi"/>
          <w:bCs/>
          <w:color w:val="000000" w:themeColor="text1"/>
        </w:rPr>
        <w:t xml:space="preserve">The comment period closed </w:t>
      </w:r>
      <w:r w:rsidR="00EF38E9">
        <w:rPr>
          <w:rFonts w:asciiTheme="minorHAnsi" w:eastAsia="Times New Roman" w:hAnsiTheme="minorHAnsi" w:cstheme="minorHAnsi"/>
          <w:bCs/>
          <w:color w:val="000000" w:themeColor="text1"/>
        </w:rPr>
        <w:t>at 5 p.m.,</w:t>
      </w:r>
      <w:r>
        <w:rPr>
          <w:rFonts w:asciiTheme="minorHAnsi" w:eastAsia="Times New Roman" w:hAnsiTheme="minorHAnsi" w:cstheme="minorHAnsi"/>
          <w:bCs/>
          <w:color w:val="000000" w:themeColor="text1"/>
        </w:rPr>
        <w:t xml:space="preserve"> April 27, 2012</w:t>
      </w:r>
      <w:r w:rsidR="00EF38E9">
        <w:rPr>
          <w:rFonts w:asciiTheme="minorHAnsi" w:eastAsia="Times New Roman" w:hAnsiTheme="minorHAnsi" w:cstheme="minorHAnsi"/>
          <w:bCs/>
          <w:color w:val="000000" w:themeColor="text1"/>
        </w:rPr>
        <w:t>.</w:t>
      </w:r>
      <w:r w:rsidRPr="00643871">
        <w:rPr>
          <w:sz w:val="20"/>
          <w:szCs w:val="20"/>
        </w:rPr>
        <w:t xml:space="preserve"> </w:t>
      </w:r>
    </w:p>
    <w:p w:rsidR="00DA0AA5" w:rsidRDefault="00DA0AA5" w:rsidP="00241046">
      <w:pPr>
        <w:spacing w:after="120"/>
        <w:ind w:left="720" w:right="630"/>
        <w:outlineLvl w:val="0"/>
        <w:rPr>
          <w:rFonts w:asciiTheme="minorHAnsi" w:eastAsia="Times New Roman" w:hAnsiTheme="minorHAnsi" w:cstheme="minorHAnsi"/>
          <w:color w:val="000000"/>
        </w:rPr>
        <w:sectPr w:rsidR="00DA0AA5" w:rsidSect="008F3499">
          <w:pgSz w:w="12240" w:h="15840"/>
          <w:pgMar w:top="1350" w:right="360" w:bottom="1080" w:left="450" w:header="720" w:footer="720" w:gutter="0"/>
          <w:cols w:space="720"/>
          <w:docGrid w:linePitch="360"/>
        </w:sectPr>
      </w:pPr>
    </w:p>
    <w:tbl>
      <w:tblPr>
        <w:tblW w:w="11430" w:type="dxa"/>
        <w:tblInd w:w="108" w:type="dxa"/>
        <w:tblLook w:val="04A0"/>
      </w:tblPr>
      <w:tblGrid>
        <w:gridCol w:w="11430"/>
      </w:tblGrid>
      <w:tr w:rsidR="00241046" w:rsidRPr="00B15DF7" w:rsidTr="001E443D">
        <w:trPr>
          <w:trHeight w:val="600"/>
        </w:trPr>
        <w:tc>
          <w:tcPr>
            <w:tcW w:w="11430" w:type="dxa"/>
            <w:tcBorders>
              <w:top w:val="nil"/>
              <w:left w:val="nil"/>
              <w:bottom w:val="double" w:sz="6" w:space="0" w:color="7F7F7F"/>
              <w:right w:val="nil"/>
            </w:tcBorders>
            <w:shd w:val="clear" w:color="000000" w:fill="D8D3C6"/>
            <w:noWrap/>
            <w:vAlign w:val="bottom"/>
          </w:tcPr>
          <w:p w:rsidR="00241046" w:rsidRPr="00823C9D" w:rsidRDefault="00241046" w:rsidP="001E443D">
            <w:pPr>
              <w:outlineLvl w:val="0"/>
              <w:rPr>
                <w:rFonts w:eastAsia="Times New Roman"/>
                <w:b/>
                <w:bCs/>
                <w:color w:val="32525C"/>
                <w:sz w:val="28"/>
                <w:szCs w:val="28"/>
              </w:rPr>
            </w:pPr>
          </w:p>
          <w:p w:rsidR="00241046" w:rsidRPr="00AB50EA" w:rsidRDefault="00241046" w:rsidP="001E443D">
            <w:pPr>
              <w:outlineLvl w:val="0"/>
              <w:rPr>
                <w:rFonts w:eastAsia="Times New Roman"/>
                <w:bCs/>
                <w:color w:val="00494F"/>
                <w:sz w:val="28"/>
                <w:szCs w:val="28"/>
              </w:rPr>
            </w:pPr>
            <w:bookmarkStart w:id="10" w:name="CommentResponse"/>
            <w:r w:rsidRPr="00AB50EA">
              <w:rPr>
                <w:rFonts w:eastAsia="Times New Roman"/>
                <w:bCs/>
                <w:color w:val="00494F"/>
                <w:sz w:val="28"/>
                <w:szCs w:val="28"/>
              </w:rPr>
              <w:t>Summary of comments and DEQ responses</w:t>
            </w:r>
            <w:bookmarkEnd w:id="10"/>
          </w:p>
        </w:tc>
      </w:tr>
    </w:tbl>
    <w:p w:rsidR="00241046" w:rsidRPr="00B15DF7" w:rsidRDefault="00241046" w:rsidP="00241046">
      <w:pPr>
        <w:rPr>
          <w:rFonts w:ascii="Times New Roman" w:eastAsia="Times New Roman" w:hAnsi="Times New Roman" w:cs="Times New Roman"/>
          <w:color w:val="32525C"/>
        </w:rPr>
      </w:pPr>
    </w:p>
    <w:p w:rsidR="00241046" w:rsidRDefault="00241046" w:rsidP="00C063D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Following is a summary of the public comments received during the public comment period.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each comment summary. The original comments are on file with DEQ.</w:t>
      </w:r>
    </w:p>
    <w:p w:rsidR="00241046" w:rsidRDefault="00241046" w:rsidP="00C063DC">
      <w:pPr>
        <w:ind w:right="630"/>
        <w:rPr>
          <w:b/>
        </w:rPr>
      </w:pPr>
    </w:p>
    <w:p w:rsidR="00825035" w:rsidRDefault="00241046" w:rsidP="00C063DC">
      <w:pPr>
        <w:pStyle w:val="ListParagraph"/>
        <w:numPr>
          <w:ilvl w:val="0"/>
          <w:numId w:val="24"/>
        </w:numPr>
        <w:ind w:left="1080" w:right="630"/>
        <w:rPr>
          <w:rFonts w:asciiTheme="minorHAnsi" w:eastAsia="Times New Roman" w:hAnsiTheme="minorHAnsi" w:cstheme="minorHAnsi"/>
          <w:bCs/>
          <w:color w:val="000000" w:themeColor="text1"/>
        </w:rPr>
      </w:pPr>
      <w:r w:rsidRPr="00352B2C">
        <w:rPr>
          <w:rFonts w:asciiTheme="minorHAnsi" w:eastAsia="Times New Roman" w:hAnsiTheme="minorHAnsi" w:cstheme="minorHAnsi"/>
          <w:b/>
          <w:bCs/>
          <w:color w:val="000000" w:themeColor="text1"/>
        </w:rPr>
        <w:t>Appreciate stakeholder involvement</w:t>
      </w:r>
      <w:r w:rsidR="00825035">
        <w:rPr>
          <w:rFonts w:asciiTheme="minorHAnsi" w:eastAsia="Times New Roman" w:hAnsiTheme="minorHAnsi" w:cstheme="minorHAnsi"/>
          <w:bCs/>
          <w:color w:val="000000" w:themeColor="text1"/>
        </w:rPr>
        <w:t xml:space="preserve"> </w:t>
      </w:r>
    </w:p>
    <w:p w:rsidR="00241046" w:rsidRDefault="00241046" w:rsidP="00825035">
      <w:pPr>
        <w:pStyle w:val="ListParagraph"/>
        <w:ind w:left="108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Commenters 6, 7</w:t>
      </w:r>
      <w:r w:rsidR="00EF38E9">
        <w:rPr>
          <w:rFonts w:asciiTheme="minorHAnsi" w:eastAsia="Times New Roman" w:hAnsiTheme="minorHAnsi" w:cstheme="minorHAnsi"/>
          <w:bCs/>
          <w:color w:val="000000" w:themeColor="text1"/>
        </w:rPr>
        <w:t xml:space="preserve"> and</w:t>
      </w:r>
      <w:r w:rsidRPr="001E443D">
        <w:rPr>
          <w:rFonts w:asciiTheme="minorHAnsi" w:eastAsia="Times New Roman" w:hAnsiTheme="minorHAnsi" w:cstheme="minorHAnsi"/>
          <w:bCs/>
          <w:color w:val="000000" w:themeColor="text1"/>
        </w:rPr>
        <w:t xml:space="preserve"> 8</w:t>
      </w:r>
    </w:p>
    <w:p w:rsidR="00825035" w:rsidRPr="001E443D" w:rsidRDefault="00825035" w:rsidP="00825035">
      <w:pPr>
        <w:pStyle w:val="ListParagraph"/>
        <w:ind w:left="1080" w:right="630"/>
        <w:rPr>
          <w:rFonts w:asciiTheme="minorHAnsi" w:eastAsia="Times New Roman" w:hAnsiTheme="minorHAnsi" w:cstheme="minorHAnsi"/>
          <w:bCs/>
          <w:color w:val="000000" w:themeColor="text1"/>
        </w:rPr>
      </w:pPr>
    </w:p>
    <w:p w:rsidR="00241046" w:rsidRDefault="00241046" w:rsidP="00825035">
      <w:pPr>
        <w:pStyle w:val="ListParagraph"/>
        <w:numPr>
          <w:ilvl w:val="0"/>
          <w:numId w:val="53"/>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Commenter appreciates the opportunity to participate in advisory committee meetings and conference calls to obtain stakeholder input before proposing rules. (6, 7) This input has improved the rule making proposal. (6)</w:t>
      </w:r>
    </w:p>
    <w:p w:rsidR="00825035" w:rsidRPr="001E443D" w:rsidRDefault="00825035" w:rsidP="00825035">
      <w:pPr>
        <w:pStyle w:val="ListParagraph"/>
        <w:ind w:left="1440" w:right="630"/>
        <w:rPr>
          <w:rFonts w:asciiTheme="minorHAnsi" w:eastAsia="Times New Roman" w:hAnsiTheme="minorHAnsi" w:cstheme="minorHAnsi"/>
          <w:bCs/>
          <w:color w:val="000000" w:themeColor="text1"/>
        </w:rPr>
      </w:pPr>
    </w:p>
    <w:p w:rsidR="00241046" w:rsidRPr="001E443D" w:rsidRDefault="00241046" w:rsidP="00825035">
      <w:pPr>
        <w:pStyle w:val="ListParagraph"/>
        <w:numPr>
          <w:ilvl w:val="0"/>
          <w:numId w:val="53"/>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 has made a great effort to involve the regulated community to develop an effective program fair to the regulated community. (8)</w:t>
      </w:r>
    </w:p>
    <w:p w:rsidR="00241046" w:rsidRPr="001E443D" w:rsidRDefault="00241046" w:rsidP="00C063DC">
      <w:pPr>
        <w:ind w:left="1080" w:right="630"/>
        <w:rPr>
          <w:rFonts w:asciiTheme="minorHAnsi" w:eastAsia="Times New Roman" w:hAnsiTheme="minorHAnsi" w:cstheme="minorHAnsi"/>
          <w:bCs/>
          <w:color w:val="000000" w:themeColor="text1"/>
        </w:rPr>
      </w:pPr>
    </w:p>
    <w:p w:rsidR="004A6180" w:rsidRPr="002735AE" w:rsidRDefault="007A4786" w:rsidP="004A6180">
      <w:pPr>
        <w:ind w:left="1080" w:right="630"/>
        <w:rPr>
          <w:rFonts w:asciiTheme="minorHAnsi" w:eastAsia="Times New Roman" w:hAnsiTheme="minorHAnsi" w:cstheme="minorHAnsi"/>
          <w:b/>
          <w:bCs/>
          <w:color w:val="000000" w:themeColor="text1"/>
        </w:rPr>
      </w:pPr>
      <w:r w:rsidRPr="007A4786">
        <w:rPr>
          <w:rFonts w:asciiTheme="minorHAnsi" w:eastAsia="Times New Roman" w:hAnsiTheme="minorHAnsi" w:cstheme="minorHAnsi"/>
          <w:b/>
          <w:bCs/>
          <w:color w:val="463D38" w:themeColor="accent4" w:themeShade="80"/>
        </w:rPr>
        <w:t>Response</w:t>
      </w:r>
    </w:p>
    <w:p w:rsidR="00241046" w:rsidRPr="004A6180" w:rsidRDefault="00241046" w:rsidP="004A6180">
      <w:pPr>
        <w:ind w:left="1080" w:right="630"/>
        <w:rPr>
          <w:rFonts w:asciiTheme="minorHAnsi" w:eastAsia="Times New Roman" w:hAnsiTheme="minorHAnsi" w:cstheme="minorHAnsi"/>
          <w:bCs/>
          <w:color w:val="000000" w:themeColor="text1"/>
        </w:rPr>
      </w:pPr>
      <w:r w:rsidRPr="004A6180">
        <w:rPr>
          <w:rFonts w:asciiTheme="minorHAnsi" w:eastAsia="Times New Roman" w:hAnsiTheme="minorHAnsi" w:cstheme="minorHAnsi"/>
          <w:bCs/>
          <w:color w:val="000000" w:themeColor="text1"/>
        </w:rPr>
        <w:lastRenderedPageBreak/>
        <w:t xml:space="preserve">DEQ appreciates the advice and perspectives interested persons have provided for this rulemaking and implementation of the E-Cycles program. </w:t>
      </w:r>
    </w:p>
    <w:p w:rsidR="00241046" w:rsidRPr="001E443D" w:rsidRDefault="00241046" w:rsidP="001E443D">
      <w:pPr>
        <w:ind w:left="1440"/>
        <w:rPr>
          <w:rFonts w:asciiTheme="minorHAnsi" w:eastAsia="Times New Roman" w:hAnsiTheme="minorHAnsi" w:cstheme="minorHAnsi"/>
          <w:bCs/>
          <w:color w:val="000000" w:themeColor="text1"/>
        </w:rPr>
      </w:pPr>
    </w:p>
    <w:p w:rsidR="00241046" w:rsidRPr="001E443D" w:rsidRDefault="00241046" w:rsidP="001E443D">
      <w:pPr>
        <w:ind w:left="1440"/>
        <w:rPr>
          <w:rFonts w:asciiTheme="minorHAnsi" w:eastAsia="Times New Roman" w:hAnsiTheme="minorHAnsi" w:cstheme="minorHAnsi"/>
          <w:bCs/>
          <w:color w:val="000000" w:themeColor="text1"/>
        </w:rPr>
      </w:pPr>
    </w:p>
    <w:p w:rsidR="00825035" w:rsidRDefault="00241046" w:rsidP="00C063DC">
      <w:pPr>
        <w:pStyle w:val="ListParagraph"/>
        <w:numPr>
          <w:ilvl w:val="0"/>
          <w:numId w:val="24"/>
        </w:numPr>
        <w:ind w:left="1080" w:right="630"/>
        <w:rPr>
          <w:rFonts w:asciiTheme="minorHAnsi" w:eastAsia="Times New Roman" w:hAnsiTheme="minorHAnsi" w:cstheme="minorHAnsi"/>
          <w:bCs/>
          <w:color w:val="000000" w:themeColor="text1"/>
        </w:rPr>
      </w:pPr>
      <w:r w:rsidRPr="00352B2C">
        <w:rPr>
          <w:rFonts w:asciiTheme="minorHAnsi" w:eastAsia="Times New Roman" w:hAnsiTheme="minorHAnsi" w:cstheme="minorHAnsi"/>
          <w:b/>
          <w:bCs/>
          <w:color w:val="000000" w:themeColor="text1"/>
        </w:rPr>
        <w:t>Proposed fee changes sustain the program</w:t>
      </w:r>
      <w:r w:rsidRPr="001E443D">
        <w:rPr>
          <w:rFonts w:asciiTheme="minorHAnsi" w:eastAsia="Times New Roman" w:hAnsiTheme="minorHAnsi" w:cstheme="minorHAnsi"/>
          <w:bCs/>
          <w:color w:val="000000" w:themeColor="text1"/>
        </w:rPr>
        <w:t xml:space="preserve"> </w:t>
      </w:r>
    </w:p>
    <w:p w:rsidR="00241046" w:rsidRDefault="00241046" w:rsidP="00825035">
      <w:pPr>
        <w:pStyle w:val="ListParagraph"/>
        <w:ind w:left="108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Commenter 1</w:t>
      </w:r>
    </w:p>
    <w:p w:rsidR="00825035" w:rsidRPr="001E443D" w:rsidRDefault="00825035" w:rsidP="00825035">
      <w:pPr>
        <w:pStyle w:val="ListParagraph"/>
        <w:ind w:left="1080" w:right="630"/>
        <w:rPr>
          <w:rFonts w:asciiTheme="minorHAnsi" w:eastAsia="Times New Roman" w:hAnsiTheme="minorHAnsi" w:cstheme="minorHAnsi"/>
          <w:bCs/>
          <w:color w:val="000000" w:themeColor="text1"/>
        </w:rPr>
      </w:pPr>
    </w:p>
    <w:p w:rsidR="00241046" w:rsidRPr="001E443D" w:rsidRDefault="00241046" w:rsidP="00C063DC">
      <w:pPr>
        <w:ind w:left="108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The proposed fee change is a good idea to sustain the program. (1)</w:t>
      </w:r>
    </w:p>
    <w:p w:rsidR="00241046" w:rsidRPr="001E443D" w:rsidRDefault="00241046" w:rsidP="00C063DC">
      <w:pPr>
        <w:ind w:left="1080" w:right="630"/>
        <w:rPr>
          <w:rFonts w:asciiTheme="minorHAnsi" w:eastAsia="Times New Roman" w:hAnsiTheme="minorHAnsi" w:cstheme="minorHAnsi"/>
          <w:bCs/>
          <w:color w:val="000000" w:themeColor="text1"/>
        </w:rPr>
      </w:pPr>
    </w:p>
    <w:p w:rsidR="004A6180" w:rsidRPr="002735AE" w:rsidRDefault="007A4786" w:rsidP="004A6180">
      <w:pPr>
        <w:ind w:left="1080" w:right="630"/>
        <w:rPr>
          <w:rFonts w:asciiTheme="minorHAnsi" w:eastAsia="Times New Roman" w:hAnsiTheme="minorHAnsi" w:cstheme="minorHAnsi"/>
          <w:b/>
          <w:bCs/>
          <w:color w:val="000000" w:themeColor="text1"/>
        </w:rPr>
      </w:pPr>
      <w:r w:rsidRPr="007A4786">
        <w:rPr>
          <w:rFonts w:asciiTheme="minorHAnsi" w:eastAsia="Times New Roman" w:hAnsiTheme="minorHAnsi" w:cstheme="minorHAnsi"/>
          <w:b/>
          <w:bCs/>
          <w:color w:val="463D38" w:themeColor="accent4" w:themeShade="80"/>
        </w:rPr>
        <w:t>Response</w:t>
      </w:r>
      <w:r w:rsidRPr="007A4786">
        <w:rPr>
          <w:rFonts w:asciiTheme="minorHAnsi" w:eastAsia="Times New Roman" w:hAnsiTheme="minorHAnsi" w:cstheme="minorHAnsi"/>
          <w:b/>
          <w:bCs/>
          <w:color w:val="000000" w:themeColor="text1"/>
        </w:rPr>
        <w:t xml:space="preserve"> </w:t>
      </w:r>
    </w:p>
    <w:p w:rsidR="00241046" w:rsidRPr="001E443D" w:rsidRDefault="00241046" w:rsidP="005A7DF4">
      <w:pPr>
        <w:ind w:left="108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 appreciates the review and feedback.</w:t>
      </w:r>
    </w:p>
    <w:p w:rsidR="00DA0AA5" w:rsidRDefault="00DA0AA5" w:rsidP="005A7DF4">
      <w:pPr>
        <w:spacing w:line="276" w:lineRule="auto"/>
        <w:rPr>
          <w:rFonts w:asciiTheme="minorHAnsi" w:eastAsia="Times New Roman" w:hAnsiTheme="minorHAnsi" w:cstheme="minorHAnsi"/>
          <w:bCs/>
          <w:color w:val="000000" w:themeColor="text1"/>
        </w:rPr>
      </w:pPr>
    </w:p>
    <w:p w:rsidR="0075792E" w:rsidRDefault="00241046" w:rsidP="00DA0AA5">
      <w:pPr>
        <w:pStyle w:val="ListParagraph"/>
        <w:numPr>
          <w:ilvl w:val="0"/>
          <w:numId w:val="24"/>
        </w:numPr>
        <w:spacing w:after="200" w:line="276" w:lineRule="auto"/>
        <w:ind w:left="1080"/>
        <w:rPr>
          <w:rFonts w:asciiTheme="minorHAnsi" w:eastAsia="Times New Roman" w:hAnsiTheme="minorHAnsi" w:cstheme="minorHAnsi"/>
          <w:bCs/>
          <w:color w:val="000000" w:themeColor="text1"/>
        </w:rPr>
      </w:pPr>
      <w:r w:rsidRPr="00DA0AA5">
        <w:rPr>
          <w:rFonts w:asciiTheme="minorHAnsi" w:eastAsia="Times New Roman" w:hAnsiTheme="minorHAnsi" w:cstheme="minorHAnsi"/>
          <w:b/>
          <w:bCs/>
          <w:color w:val="000000" w:themeColor="text1"/>
        </w:rPr>
        <w:t>Exempt or reduce fees for small manufacturers</w:t>
      </w:r>
      <w:r w:rsidR="0075792E">
        <w:rPr>
          <w:rFonts w:asciiTheme="minorHAnsi" w:eastAsia="Times New Roman" w:hAnsiTheme="minorHAnsi" w:cstheme="minorHAnsi"/>
          <w:bCs/>
          <w:color w:val="000000" w:themeColor="text1"/>
        </w:rPr>
        <w:t xml:space="preserve"> </w:t>
      </w:r>
    </w:p>
    <w:p w:rsidR="00241046" w:rsidRPr="00DA0AA5" w:rsidRDefault="00241046" w:rsidP="0075792E">
      <w:pPr>
        <w:pStyle w:val="ListParagraph"/>
        <w:spacing w:after="200" w:line="276" w:lineRule="auto"/>
        <w:ind w:left="1080"/>
        <w:rPr>
          <w:rFonts w:asciiTheme="minorHAnsi" w:eastAsia="Times New Roman" w:hAnsiTheme="minorHAnsi" w:cstheme="minorHAnsi"/>
          <w:bCs/>
          <w:color w:val="000000" w:themeColor="text1"/>
        </w:rPr>
      </w:pPr>
      <w:r w:rsidRPr="00DA0AA5">
        <w:rPr>
          <w:rFonts w:asciiTheme="minorHAnsi" w:eastAsia="Times New Roman" w:hAnsiTheme="minorHAnsi" w:cstheme="minorHAnsi"/>
          <w:bCs/>
          <w:color w:val="000000" w:themeColor="text1"/>
        </w:rPr>
        <w:t>Commenters 2, 3</w:t>
      </w:r>
      <w:r w:rsidR="00EF38E9" w:rsidRPr="00DA0AA5">
        <w:rPr>
          <w:rFonts w:asciiTheme="minorHAnsi" w:eastAsia="Times New Roman" w:hAnsiTheme="minorHAnsi" w:cstheme="minorHAnsi"/>
          <w:bCs/>
          <w:color w:val="000000" w:themeColor="text1"/>
        </w:rPr>
        <w:t xml:space="preserve"> and</w:t>
      </w:r>
      <w:r w:rsidRPr="00DA0AA5">
        <w:rPr>
          <w:rFonts w:asciiTheme="minorHAnsi" w:eastAsia="Times New Roman" w:hAnsiTheme="minorHAnsi" w:cstheme="minorHAnsi"/>
          <w:bCs/>
          <w:color w:val="000000" w:themeColor="text1"/>
        </w:rPr>
        <w:t xml:space="preserve"> 4</w:t>
      </w:r>
    </w:p>
    <w:p w:rsidR="00AB50EA" w:rsidRPr="001E443D" w:rsidRDefault="00AB50EA" w:rsidP="0075792E">
      <w:pPr>
        <w:pStyle w:val="ListParagraph"/>
        <w:ind w:left="0" w:right="630"/>
        <w:rPr>
          <w:rFonts w:asciiTheme="minorHAnsi" w:eastAsia="Times New Roman" w:hAnsiTheme="minorHAnsi" w:cstheme="minorHAnsi"/>
          <w:bCs/>
          <w:color w:val="000000" w:themeColor="text1"/>
        </w:rPr>
      </w:pPr>
    </w:p>
    <w:p w:rsidR="00C259C6" w:rsidRDefault="00241046" w:rsidP="0075792E">
      <w:pPr>
        <w:pStyle w:val="ListParagraph"/>
        <w:numPr>
          <w:ilvl w:val="0"/>
          <w:numId w:val="52"/>
        </w:numPr>
        <w:ind w:left="144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 xml:space="preserve">The fee increase for small, Tier 6, manufacturers is too high, from $40 to $200 a year. (2, 4) The $40 fee is acceptable, but for a small manufacturer building 12 computers a year, $200/year is $17 per computer. (4) This </w:t>
      </w:r>
      <w:r w:rsidRPr="001E443D">
        <w:rPr>
          <w:rFonts w:asciiTheme="minorHAnsi" w:eastAsia="Times New Roman" w:hAnsiTheme="minorHAnsi" w:cstheme="minorHAnsi"/>
          <w:bCs/>
          <w:color w:val="000000" w:themeColor="text1"/>
        </w:rPr>
        <w:lastRenderedPageBreak/>
        <w:t>increase is not equitable unless fees for all tiers will also increase by 500 percent. (2)</w:t>
      </w:r>
    </w:p>
    <w:p w:rsidR="00AB50EA" w:rsidRDefault="00AB50EA" w:rsidP="0075792E">
      <w:pPr>
        <w:pStyle w:val="ListParagraph"/>
        <w:ind w:left="360" w:right="630"/>
        <w:rPr>
          <w:rFonts w:asciiTheme="minorHAnsi" w:eastAsia="Times New Roman" w:hAnsiTheme="minorHAnsi" w:cstheme="minorHAnsi"/>
          <w:bCs/>
          <w:color w:val="000000" w:themeColor="text1"/>
        </w:rPr>
      </w:pPr>
    </w:p>
    <w:p w:rsidR="00C259C6" w:rsidRDefault="00241046" w:rsidP="0075792E">
      <w:pPr>
        <w:pStyle w:val="ListParagraph"/>
        <w:numPr>
          <w:ilvl w:val="0"/>
          <w:numId w:val="52"/>
        </w:numPr>
        <w:ind w:left="153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Exempt small computer stores that build and sell few computers, e.g., below twenty computers a year. Computer stores seldom build computers anymore; individuals assemble far more of their own computers from parts bought online. (3)</w:t>
      </w:r>
    </w:p>
    <w:p w:rsidR="00AB50EA" w:rsidRPr="00AB50EA" w:rsidRDefault="00AB50EA" w:rsidP="0075792E">
      <w:pPr>
        <w:pStyle w:val="ListParagraph"/>
        <w:ind w:left="1530"/>
        <w:rPr>
          <w:rFonts w:asciiTheme="minorHAnsi" w:eastAsia="Times New Roman" w:hAnsiTheme="minorHAnsi" w:cstheme="minorHAnsi"/>
          <w:bCs/>
          <w:color w:val="000000" w:themeColor="text1"/>
        </w:rPr>
      </w:pPr>
    </w:p>
    <w:p w:rsidR="00C259C6" w:rsidRDefault="00241046" w:rsidP="0075792E">
      <w:pPr>
        <w:pStyle w:val="ListParagraph"/>
        <w:numPr>
          <w:ilvl w:val="0"/>
          <w:numId w:val="52"/>
        </w:numPr>
        <w:ind w:left="153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Businesses need a way to exit the program after they no longer assemble computers. (3)</w:t>
      </w:r>
    </w:p>
    <w:p w:rsidR="00AB50EA" w:rsidRPr="00AB50EA" w:rsidRDefault="00AB50EA" w:rsidP="0075792E">
      <w:pPr>
        <w:pStyle w:val="ListParagraph"/>
        <w:ind w:left="1530"/>
        <w:rPr>
          <w:rFonts w:asciiTheme="minorHAnsi" w:eastAsia="Times New Roman" w:hAnsiTheme="minorHAnsi" w:cstheme="minorHAnsi"/>
          <w:bCs/>
          <w:color w:val="000000" w:themeColor="text1"/>
        </w:rPr>
      </w:pPr>
    </w:p>
    <w:p w:rsidR="00C259C6" w:rsidRDefault="00241046" w:rsidP="0075792E">
      <w:pPr>
        <w:pStyle w:val="ListParagraph"/>
        <w:numPr>
          <w:ilvl w:val="0"/>
          <w:numId w:val="52"/>
        </w:numPr>
        <w:ind w:left="153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 may not be assessing fees on all small computer stores.</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The number of small manufacturers registered, 109 with 50 or fewer employees, seems low. (2)</w:t>
      </w:r>
    </w:p>
    <w:p w:rsidR="009D69C4" w:rsidRDefault="009D69C4">
      <w:pPr>
        <w:spacing w:after="200" w:line="276" w:lineRule="auto"/>
        <w:rPr>
          <w:rFonts w:asciiTheme="minorHAnsi" w:eastAsia="Times New Roman" w:hAnsiTheme="minorHAnsi" w:cstheme="minorHAnsi"/>
          <w:b/>
          <w:bCs/>
          <w:color w:val="463D38" w:themeColor="accent4" w:themeShade="80"/>
        </w:rPr>
      </w:pPr>
      <w:r>
        <w:rPr>
          <w:rFonts w:asciiTheme="minorHAnsi" w:eastAsia="Times New Roman" w:hAnsiTheme="minorHAnsi" w:cstheme="minorHAnsi"/>
          <w:b/>
          <w:bCs/>
          <w:color w:val="463D38" w:themeColor="accent4" w:themeShade="80"/>
        </w:rPr>
        <w:br w:type="page"/>
      </w:r>
    </w:p>
    <w:p w:rsidR="004A6180" w:rsidRPr="002735AE" w:rsidRDefault="007A4786" w:rsidP="004A6180">
      <w:pPr>
        <w:pStyle w:val="ListParagraph"/>
        <w:ind w:left="1440" w:right="630"/>
        <w:rPr>
          <w:rFonts w:asciiTheme="minorHAnsi" w:eastAsia="Times New Roman" w:hAnsiTheme="minorHAnsi" w:cstheme="minorHAnsi"/>
          <w:b/>
          <w:bCs/>
          <w:color w:val="000000" w:themeColor="text1"/>
        </w:rPr>
      </w:pPr>
      <w:r w:rsidRPr="007A4786">
        <w:rPr>
          <w:rFonts w:asciiTheme="minorHAnsi" w:eastAsia="Times New Roman" w:hAnsiTheme="minorHAnsi" w:cstheme="minorHAnsi"/>
          <w:b/>
          <w:bCs/>
          <w:color w:val="463D38" w:themeColor="accent4" w:themeShade="80"/>
        </w:rPr>
        <w:lastRenderedPageBreak/>
        <w:t>Response</w:t>
      </w:r>
      <w:r w:rsidRPr="007A4786">
        <w:rPr>
          <w:rFonts w:asciiTheme="minorHAnsi" w:eastAsia="Times New Roman" w:hAnsiTheme="minorHAnsi" w:cstheme="minorHAnsi"/>
          <w:b/>
          <w:bCs/>
          <w:color w:val="000000" w:themeColor="text1"/>
        </w:rPr>
        <w:t xml:space="preserve"> </w:t>
      </w:r>
      <w:r w:rsidRPr="007A4786">
        <w:rPr>
          <w:rFonts w:asciiTheme="minorHAnsi" w:eastAsia="Times New Roman" w:hAnsiTheme="minorHAnsi" w:cstheme="minorHAnsi"/>
          <w:b/>
          <w:bCs/>
          <w:color w:val="000000" w:themeColor="text1"/>
        </w:rPr>
        <w:tab/>
      </w:r>
    </w:p>
    <w:p w:rsidR="00C259C6" w:rsidRDefault="00352B2C" w:rsidP="004A6180">
      <w:pPr>
        <w:pStyle w:val="ListParagraph"/>
        <w:numPr>
          <w:ilvl w:val="0"/>
          <w:numId w:val="35"/>
        </w:numPr>
        <w:ind w:left="1800" w:right="630"/>
        <w:rPr>
          <w:rFonts w:asciiTheme="minorHAnsi" w:hAnsiTheme="minorHAnsi" w:cstheme="minorHAnsi"/>
          <w:b/>
        </w:rPr>
      </w:pPr>
      <w:r w:rsidRPr="00352B2C">
        <w:rPr>
          <w:rFonts w:asciiTheme="minorHAnsi" w:hAnsiTheme="minorHAnsi" w:cstheme="minorHAnsi"/>
        </w:rPr>
        <w:t>DEQ has revised the proposed rules to retain the $40 fee for manufacturers who make fewer than 50 computers a year. Advisory committee members did not support exempting small manufacturers from registering and paying a registration fee, and DEQ has not proposed an exemption for this rulemaking.</w:t>
      </w:r>
    </w:p>
    <w:p w:rsidR="004A6180" w:rsidRDefault="004A6180" w:rsidP="004A6180">
      <w:pPr>
        <w:pStyle w:val="ListParagraph"/>
        <w:ind w:left="1800" w:right="630"/>
        <w:rPr>
          <w:rFonts w:asciiTheme="minorHAnsi" w:hAnsiTheme="minorHAnsi" w:cstheme="minorHAnsi"/>
        </w:rPr>
      </w:pPr>
    </w:p>
    <w:p w:rsidR="00C259C6" w:rsidRDefault="00352B2C" w:rsidP="004A6180">
      <w:pPr>
        <w:pStyle w:val="ListParagraph"/>
        <w:numPr>
          <w:ilvl w:val="0"/>
          <w:numId w:val="35"/>
        </w:numPr>
        <w:ind w:left="1800" w:right="630"/>
        <w:rPr>
          <w:rFonts w:asciiTheme="minorHAnsi" w:hAnsiTheme="minorHAnsi" w:cstheme="minorHAnsi"/>
          <w:b/>
        </w:rPr>
      </w:pPr>
      <w:r w:rsidRPr="00352B2C">
        <w:rPr>
          <w:rFonts w:asciiTheme="minorHAnsi" w:hAnsiTheme="minorHAnsi" w:cstheme="minorHAnsi"/>
        </w:rPr>
        <w:t>Oregon’s electronics recycling law already provides an exit from registration for manufacturers who no longer sell covered devices. The law does not require the manufacturer of a covered device to continue to register its brand/device if that brand is no longer sold in Oregon. It does provide, however, that DEQ may notify and require a manufacturer to register if its device is returned for recycling through E-Cycles (determined through sampling returns).</w:t>
      </w:r>
    </w:p>
    <w:p w:rsidR="004A6180" w:rsidRDefault="004A6180" w:rsidP="004A6180">
      <w:pPr>
        <w:pStyle w:val="ListParagraph"/>
        <w:ind w:left="1800" w:right="630"/>
        <w:rPr>
          <w:rFonts w:asciiTheme="minorHAnsi" w:hAnsiTheme="minorHAnsi" w:cstheme="minorHAnsi"/>
        </w:rPr>
      </w:pPr>
    </w:p>
    <w:p w:rsidR="00C259C6" w:rsidRDefault="00352B2C" w:rsidP="004A6180">
      <w:pPr>
        <w:pStyle w:val="ListParagraph"/>
        <w:numPr>
          <w:ilvl w:val="0"/>
          <w:numId w:val="35"/>
        </w:numPr>
        <w:ind w:left="1800" w:right="630"/>
        <w:rPr>
          <w:rFonts w:asciiTheme="minorHAnsi" w:hAnsiTheme="minorHAnsi" w:cstheme="minorHAnsi"/>
          <w:b/>
        </w:rPr>
      </w:pPr>
      <w:r w:rsidRPr="00352B2C">
        <w:rPr>
          <w:rFonts w:asciiTheme="minorHAnsi" w:hAnsiTheme="minorHAnsi" w:cstheme="minorHAnsi"/>
        </w:rPr>
        <w:lastRenderedPageBreak/>
        <w:t>DEQ acknowledges that not all small computer stores have registered and paid registration fees. DEQ attempts to identify and follows up on reports of unregistered manufacturers but has not focused compliance oversight on small manufacturers.</w:t>
      </w:r>
    </w:p>
    <w:p w:rsidR="00241046" w:rsidRPr="001E443D" w:rsidRDefault="00241046" w:rsidP="00C063DC">
      <w:pPr>
        <w:ind w:left="360" w:right="630"/>
        <w:rPr>
          <w:rFonts w:asciiTheme="minorHAnsi" w:eastAsia="Times New Roman" w:hAnsiTheme="minorHAnsi" w:cstheme="minorHAnsi"/>
          <w:bCs/>
          <w:color w:val="000000" w:themeColor="text1"/>
        </w:rPr>
      </w:pPr>
    </w:p>
    <w:p w:rsidR="00825035" w:rsidRDefault="00352B2C" w:rsidP="00C063DC">
      <w:pPr>
        <w:pStyle w:val="ListParagraph"/>
        <w:numPr>
          <w:ilvl w:val="0"/>
          <w:numId w:val="24"/>
        </w:numPr>
        <w:ind w:left="1080" w:right="630"/>
        <w:rPr>
          <w:rFonts w:asciiTheme="minorHAnsi" w:hAnsiTheme="minorHAnsi" w:cstheme="minorHAnsi"/>
          <w:b/>
        </w:rPr>
      </w:pPr>
      <w:r w:rsidRPr="00352B2C">
        <w:rPr>
          <w:rFonts w:asciiTheme="minorHAnsi" w:hAnsiTheme="minorHAnsi" w:cstheme="minorHAnsi"/>
          <w:b/>
        </w:rPr>
        <w:t xml:space="preserve">Six-tier fee structure causes unstable revenue and unpredictable fees </w:t>
      </w:r>
    </w:p>
    <w:p w:rsidR="00352B2C" w:rsidRPr="00AB50EA" w:rsidRDefault="00352B2C" w:rsidP="00825035">
      <w:pPr>
        <w:pStyle w:val="ListParagraph"/>
        <w:ind w:left="1080" w:right="630"/>
        <w:rPr>
          <w:rFonts w:asciiTheme="minorHAnsi" w:hAnsiTheme="minorHAnsi" w:cstheme="minorHAnsi"/>
          <w:b/>
        </w:rPr>
      </w:pPr>
      <w:r w:rsidRPr="00352B2C">
        <w:rPr>
          <w:rFonts w:asciiTheme="minorHAnsi" w:hAnsiTheme="minorHAnsi" w:cstheme="minorHAnsi"/>
        </w:rPr>
        <w:t xml:space="preserve">Commenters 5, </w:t>
      </w:r>
      <w:r w:rsidR="00EF38E9">
        <w:rPr>
          <w:rFonts w:asciiTheme="minorHAnsi" w:hAnsiTheme="minorHAnsi" w:cstheme="minorHAnsi"/>
        </w:rPr>
        <w:t>7 and</w:t>
      </w:r>
      <w:r w:rsidRPr="00352B2C">
        <w:rPr>
          <w:rFonts w:asciiTheme="minorHAnsi" w:hAnsiTheme="minorHAnsi" w:cstheme="minorHAnsi"/>
        </w:rPr>
        <w:t xml:space="preserve"> 8</w:t>
      </w:r>
    </w:p>
    <w:p w:rsidR="00AB50EA" w:rsidRPr="00352B2C" w:rsidRDefault="00AB50EA" w:rsidP="00AB50EA">
      <w:pPr>
        <w:pStyle w:val="ListParagraph"/>
        <w:ind w:left="1080" w:right="630"/>
        <w:rPr>
          <w:rFonts w:asciiTheme="minorHAnsi" w:hAnsiTheme="minorHAnsi" w:cstheme="minorHAnsi"/>
          <w:b/>
        </w:rPr>
      </w:pPr>
    </w:p>
    <w:p w:rsidR="00352B2C" w:rsidRDefault="00352B2C" w:rsidP="00C063DC">
      <w:pPr>
        <w:pStyle w:val="ListParagraph"/>
        <w:numPr>
          <w:ilvl w:val="0"/>
          <w:numId w:val="17"/>
        </w:numPr>
        <w:ind w:left="1440" w:right="630"/>
        <w:rPr>
          <w:rFonts w:asciiTheme="minorHAnsi" w:hAnsiTheme="minorHAnsi" w:cstheme="minorHAnsi"/>
        </w:rPr>
      </w:pPr>
      <w:r w:rsidRPr="00352B2C">
        <w:rPr>
          <w:rFonts w:asciiTheme="minorHAnsi" w:hAnsiTheme="minorHAnsi" w:cstheme="minorHAnsi"/>
        </w:rPr>
        <w:t xml:space="preserve">Revenue is unstable under the proposed multi-tier fee </w:t>
      </w:r>
      <w:r w:rsidR="00F73FD6">
        <w:rPr>
          <w:rFonts w:asciiTheme="minorHAnsi" w:hAnsiTheme="minorHAnsi" w:cstheme="minorHAnsi"/>
        </w:rPr>
        <w:t xml:space="preserve">structure </w:t>
      </w:r>
      <w:r w:rsidRPr="00352B2C">
        <w:rPr>
          <w:rFonts w:asciiTheme="minorHAnsi" w:hAnsiTheme="minorHAnsi" w:cstheme="minorHAnsi"/>
        </w:rPr>
        <w:t>because it does not minimize the revenue impact from changes in the number of manufacturers in higher tiers. (8)</w:t>
      </w:r>
    </w:p>
    <w:p w:rsidR="00AB50EA" w:rsidRPr="00352B2C" w:rsidRDefault="00AB50EA" w:rsidP="00AB50EA">
      <w:pPr>
        <w:pStyle w:val="ListParagraph"/>
        <w:ind w:left="1440" w:right="630"/>
        <w:rPr>
          <w:rFonts w:asciiTheme="minorHAnsi" w:hAnsiTheme="minorHAnsi" w:cstheme="minorHAnsi"/>
        </w:rPr>
      </w:pPr>
    </w:p>
    <w:p w:rsidR="00352B2C" w:rsidRDefault="00352B2C" w:rsidP="00C063DC">
      <w:pPr>
        <w:pStyle w:val="ListParagraph"/>
        <w:numPr>
          <w:ilvl w:val="0"/>
          <w:numId w:val="17"/>
        </w:numPr>
        <w:ind w:left="1440" w:right="630"/>
        <w:rPr>
          <w:rFonts w:asciiTheme="minorHAnsi" w:hAnsiTheme="minorHAnsi" w:cstheme="minorHAnsi"/>
        </w:rPr>
      </w:pPr>
      <w:r w:rsidRPr="00352B2C">
        <w:rPr>
          <w:rFonts w:asciiTheme="minorHAnsi" w:hAnsiTheme="minorHAnsi" w:cstheme="minorHAnsi"/>
        </w:rPr>
        <w:t xml:space="preserve">Fees are unpredictable under the proposed multi-tier fee structure because most of the revenue comes from manufacturers with large market shares in the higher tiers. Market volatility and consolidation that reduces the numbers of manufacturers in the higher tiers </w:t>
      </w:r>
      <w:r w:rsidRPr="00352B2C">
        <w:rPr>
          <w:rFonts w:asciiTheme="minorHAnsi" w:hAnsiTheme="minorHAnsi" w:cstheme="minorHAnsi"/>
        </w:rPr>
        <w:lastRenderedPageBreak/>
        <w:t>causes great fluctuation in the registration fees. (8)</w:t>
      </w:r>
      <w:r w:rsidR="00616723">
        <w:rPr>
          <w:rFonts w:asciiTheme="minorHAnsi" w:hAnsiTheme="minorHAnsi" w:cstheme="minorHAnsi"/>
        </w:rPr>
        <w:t xml:space="preserve"> </w:t>
      </w:r>
      <w:r w:rsidRPr="00352B2C">
        <w:rPr>
          <w:rFonts w:asciiTheme="minorHAnsi" w:hAnsiTheme="minorHAnsi" w:cstheme="minorHAnsi"/>
        </w:rPr>
        <w:t>The more tiers, the more impact a company leaving an upper tier has on revenue and the more volatile fee assessments will be. (5) The significant steps in fees from tier to tier contribute to volatility. Manufacturers will shift between tiers based on a single year’s market share. (5) The complicated fee structure makes it difficult for a manufacturer to predict and budget for its fees from year to year. (5, 7)</w:t>
      </w:r>
    </w:p>
    <w:p w:rsidR="00AB50EA" w:rsidRPr="00AB50EA" w:rsidRDefault="00AB50EA" w:rsidP="00AB50EA">
      <w:pPr>
        <w:pStyle w:val="ListParagraph"/>
        <w:rPr>
          <w:rFonts w:asciiTheme="minorHAnsi" w:hAnsiTheme="minorHAnsi" w:cstheme="minorHAnsi"/>
        </w:rPr>
      </w:pPr>
    </w:p>
    <w:p w:rsidR="00352B2C" w:rsidRPr="00352B2C" w:rsidRDefault="00352B2C" w:rsidP="00C063DC">
      <w:pPr>
        <w:pStyle w:val="ListParagraph"/>
        <w:numPr>
          <w:ilvl w:val="0"/>
          <w:numId w:val="17"/>
        </w:numPr>
        <w:ind w:left="1440" w:right="630"/>
        <w:rPr>
          <w:rFonts w:asciiTheme="minorHAnsi" w:hAnsiTheme="minorHAnsi" w:cstheme="minorHAnsi"/>
        </w:rPr>
      </w:pPr>
      <w:r w:rsidRPr="00352B2C">
        <w:rPr>
          <w:rFonts w:asciiTheme="minorHAnsi" w:hAnsiTheme="minorHAnsi" w:cstheme="minorHAnsi"/>
        </w:rPr>
        <w:t xml:space="preserve">DEQ should clarify exactly when </w:t>
      </w:r>
      <w:r w:rsidR="005D5B14">
        <w:rPr>
          <w:rFonts w:asciiTheme="minorHAnsi" w:hAnsiTheme="minorHAnsi" w:cstheme="minorHAnsi"/>
        </w:rPr>
        <w:t>manufacturers</w:t>
      </w:r>
      <w:r w:rsidR="005D5B14" w:rsidRPr="00352B2C">
        <w:rPr>
          <w:rFonts w:asciiTheme="minorHAnsi" w:hAnsiTheme="minorHAnsi" w:cstheme="minorHAnsi"/>
        </w:rPr>
        <w:t xml:space="preserve"> </w:t>
      </w:r>
      <w:r w:rsidRPr="00352B2C">
        <w:rPr>
          <w:rFonts w:asciiTheme="minorHAnsi" w:hAnsiTheme="minorHAnsi" w:cstheme="minorHAnsi"/>
        </w:rPr>
        <w:t>will receive market share and fee determinations each year; companies need to adequate lead time to budget. (7)</w:t>
      </w:r>
    </w:p>
    <w:p w:rsidR="00352B2C" w:rsidRPr="00352B2C" w:rsidRDefault="00352B2C" w:rsidP="00C063DC">
      <w:pPr>
        <w:ind w:left="1080" w:right="630"/>
        <w:rPr>
          <w:rFonts w:asciiTheme="minorHAnsi" w:hAnsiTheme="minorHAnsi" w:cstheme="minorHAnsi"/>
          <w:b/>
        </w:rPr>
      </w:pPr>
    </w:p>
    <w:p w:rsidR="00352B2C" w:rsidRPr="002735AE" w:rsidRDefault="007A4786" w:rsidP="009D69C4">
      <w:pPr>
        <w:ind w:left="1080" w:right="630"/>
        <w:rPr>
          <w:rFonts w:asciiTheme="minorHAnsi" w:hAnsiTheme="minorHAnsi" w:cstheme="minorHAnsi"/>
          <w:b/>
          <w:color w:val="463D38" w:themeColor="accent4" w:themeShade="80"/>
        </w:rPr>
      </w:pPr>
      <w:r w:rsidRPr="007A4786">
        <w:rPr>
          <w:rFonts w:asciiTheme="minorHAnsi" w:hAnsiTheme="minorHAnsi" w:cstheme="minorHAnsi"/>
          <w:b/>
          <w:color w:val="463D38" w:themeColor="accent4" w:themeShade="80"/>
        </w:rPr>
        <w:t>Response</w:t>
      </w:r>
    </w:p>
    <w:p w:rsidR="00C259C6" w:rsidRPr="004A6180" w:rsidRDefault="00352B2C" w:rsidP="009D69C4">
      <w:pPr>
        <w:pStyle w:val="ListParagraph"/>
        <w:numPr>
          <w:ilvl w:val="0"/>
          <w:numId w:val="37"/>
        </w:numPr>
        <w:ind w:right="630"/>
        <w:rPr>
          <w:rFonts w:asciiTheme="minorHAnsi" w:hAnsiTheme="minorHAnsi" w:cstheme="minorHAnsi"/>
          <w:i/>
        </w:rPr>
      </w:pPr>
      <w:r w:rsidRPr="00352B2C">
        <w:rPr>
          <w:rFonts w:asciiTheme="minorHAnsi" w:hAnsiTheme="minorHAnsi" w:cstheme="minorHAnsi"/>
        </w:rPr>
        <w:t xml:space="preserve">The proposed fee structure resolves the problem of fluctuating revenue year-to-year inherent in the existing fee structure. It consistently generates the established revenue need each year by allocating that revenue </w:t>
      </w:r>
      <w:r w:rsidRPr="00352B2C">
        <w:rPr>
          <w:rFonts w:asciiTheme="minorHAnsi" w:hAnsiTheme="minorHAnsi" w:cstheme="minorHAnsi"/>
        </w:rPr>
        <w:lastRenderedPageBreak/>
        <w:t>amount among registered manufacturers. Annual revenue does not fluctuate even if the numbers of manufacturers in tiers change.</w:t>
      </w:r>
    </w:p>
    <w:p w:rsidR="004A6180" w:rsidRDefault="004A6180" w:rsidP="009D69C4">
      <w:pPr>
        <w:pStyle w:val="ListParagraph"/>
        <w:ind w:left="1440" w:right="630"/>
        <w:rPr>
          <w:rFonts w:asciiTheme="minorHAnsi" w:hAnsiTheme="minorHAnsi" w:cstheme="minorHAnsi"/>
          <w:i/>
        </w:rPr>
      </w:pPr>
    </w:p>
    <w:p w:rsidR="00AB50EA" w:rsidRPr="00AB50EA" w:rsidRDefault="00352B2C" w:rsidP="009D69C4">
      <w:pPr>
        <w:pStyle w:val="ListParagraph"/>
        <w:numPr>
          <w:ilvl w:val="0"/>
          <w:numId w:val="37"/>
        </w:numPr>
        <w:ind w:right="630"/>
        <w:rPr>
          <w:rFonts w:asciiTheme="minorHAnsi" w:hAnsiTheme="minorHAnsi" w:cstheme="minorHAnsi"/>
          <w:i/>
        </w:rPr>
      </w:pPr>
      <w:r w:rsidRPr="00352B2C">
        <w:rPr>
          <w:rFonts w:asciiTheme="minorHAnsi" w:hAnsiTheme="minorHAnsi" w:cstheme="minorHAnsi"/>
        </w:rPr>
        <w:t xml:space="preserve">The addition of tiers to the proposed fee structure does provide more opportunity for manufacturers to shift between tiers, but more tiers also allows for smaller </w:t>
      </w:r>
      <w:r w:rsidR="0028335B">
        <w:rPr>
          <w:rFonts w:asciiTheme="minorHAnsi" w:hAnsiTheme="minorHAnsi" w:cstheme="minorHAnsi"/>
        </w:rPr>
        <w:t xml:space="preserve">market share ranges within tiers and smaller </w:t>
      </w:r>
      <w:r w:rsidRPr="00352B2C">
        <w:rPr>
          <w:rFonts w:asciiTheme="minorHAnsi" w:hAnsiTheme="minorHAnsi" w:cstheme="minorHAnsi"/>
        </w:rPr>
        <w:t xml:space="preserve">gradations of fees between </w:t>
      </w:r>
      <w:r w:rsidR="00AF07FC">
        <w:rPr>
          <w:rFonts w:asciiTheme="minorHAnsi" w:hAnsiTheme="minorHAnsi" w:cstheme="minorHAnsi"/>
        </w:rPr>
        <w:t xml:space="preserve">those </w:t>
      </w:r>
      <w:r w:rsidRPr="00352B2C">
        <w:rPr>
          <w:rFonts w:asciiTheme="minorHAnsi" w:hAnsiTheme="minorHAnsi" w:cstheme="minorHAnsi"/>
        </w:rPr>
        <w:t>tiers.</w:t>
      </w:r>
    </w:p>
    <w:p w:rsidR="00AB50EA" w:rsidRPr="00AB50EA" w:rsidRDefault="00AB50EA" w:rsidP="009D69C4">
      <w:pPr>
        <w:pStyle w:val="ListParagraph"/>
        <w:ind w:left="1440"/>
        <w:rPr>
          <w:rFonts w:asciiTheme="minorHAnsi" w:hAnsiTheme="minorHAnsi" w:cstheme="minorHAnsi"/>
        </w:rPr>
      </w:pPr>
    </w:p>
    <w:p w:rsidR="00C259C6" w:rsidRPr="00AB50EA" w:rsidRDefault="00352B2C" w:rsidP="009D69C4">
      <w:pPr>
        <w:pStyle w:val="ListParagraph"/>
        <w:numPr>
          <w:ilvl w:val="0"/>
          <w:numId w:val="37"/>
        </w:numPr>
        <w:ind w:right="630"/>
        <w:rPr>
          <w:rFonts w:asciiTheme="minorHAnsi" w:hAnsiTheme="minorHAnsi" w:cstheme="minorHAnsi"/>
          <w:i/>
        </w:rPr>
      </w:pPr>
      <w:r w:rsidRPr="00AB50EA">
        <w:rPr>
          <w:rFonts w:asciiTheme="minorHAnsi" w:hAnsiTheme="minorHAnsi" w:cstheme="minorHAnsi"/>
        </w:rPr>
        <w:t>Even under the existing fee structure, a manufacturer’s fee may change from year to year if its market share changes. Additional factors also affect the variability of a manufacturer’s fees under the proposed fee structure:</w:t>
      </w:r>
      <w:r w:rsidR="00616723" w:rsidRPr="00AB50EA">
        <w:rPr>
          <w:rFonts w:asciiTheme="minorHAnsi" w:hAnsiTheme="minorHAnsi" w:cstheme="minorHAnsi"/>
        </w:rPr>
        <w:t xml:space="preserve"> </w:t>
      </w:r>
      <w:r w:rsidRPr="00AB50EA">
        <w:rPr>
          <w:rFonts w:asciiTheme="minorHAnsi" w:hAnsiTheme="minorHAnsi" w:cstheme="minorHAnsi"/>
        </w:rPr>
        <w:t xml:space="preserve">the annual revenue need, the number of manufacturers in its tier and their market shares, whether fees are capped and the amount of revenue over cap. To evaluate variability, DEQ calculated fees under the proposed structure using the five years of E-Cycles data. The results in Table </w:t>
      </w:r>
      <w:r w:rsidR="005D5B14" w:rsidRPr="00AB50EA">
        <w:rPr>
          <w:rFonts w:asciiTheme="minorHAnsi" w:hAnsiTheme="minorHAnsi" w:cstheme="minorHAnsi"/>
        </w:rPr>
        <w:t>4</w:t>
      </w:r>
      <w:r w:rsidRPr="00AB50EA">
        <w:rPr>
          <w:rFonts w:asciiTheme="minorHAnsi" w:hAnsiTheme="minorHAnsi" w:cstheme="minorHAnsi"/>
        </w:rPr>
        <w:t xml:space="preserve">, </w:t>
      </w:r>
      <w:r w:rsidR="00691E26" w:rsidRPr="00AB50EA">
        <w:rPr>
          <w:rFonts w:asciiTheme="minorHAnsi" w:hAnsiTheme="minorHAnsi" w:cstheme="minorHAnsi"/>
        </w:rPr>
        <w:t xml:space="preserve">in </w:t>
      </w:r>
      <w:r w:rsidR="00691E26" w:rsidRPr="00AB50EA">
        <w:rPr>
          <w:rFonts w:asciiTheme="minorHAnsi" w:hAnsiTheme="minorHAnsi" w:cstheme="minorHAnsi"/>
        </w:rPr>
        <w:lastRenderedPageBreak/>
        <w:t xml:space="preserve">Proposed Fees </w:t>
      </w:r>
      <w:r w:rsidRPr="00AB50EA">
        <w:rPr>
          <w:rFonts w:asciiTheme="minorHAnsi" w:hAnsiTheme="minorHAnsi" w:cstheme="minorHAnsi"/>
        </w:rPr>
        <w:t>above, show that, on the average, 76 percent of manufacturers had some fee certainty (Tiers 1, 5, 6 and 7).</w:t>
      </w:r>
      <w:r w:rsidR="00616723" w:rsidRPr="00AB50EA">
        <w:rPr>
          <w:rFonts w:asciiTheme="minorHAnsi" w:hAnsiTheme="minorHAnsi" w:cstheme="minorHAnsi"/>
        </w:rPr>
        <w:t xml:space="preserve"> </w:t>
      </w:r>
      <w:r w:rsidRPr="00AB50EA">
        <w:rPr>
          <w:rFonts w:asciiTheme="minorHAnsi" w:hAnsiTheme="minorHAnsi" w:cstheme="minorHAnsi"/>
        </w:rPr>
        <w:t>Fees in Tiers 2, 3, and 4 fluctuated from year-to-year.</w:t>
      </w:r>
      <w:r w:rsidR="00616723" w:rsidRPr="00AB50EA">
        <w:rPr>
          <w:rFonts w:asciiTheme="minorHAnsi" w:hAnsiTheme="minorHAnsi" w:cstheme="minorHAnsi"/>
        </w:rPr>
        <w:t xml:space="preserve"> </w:t>
      </w:r>
      <w:r w:rsidRPr="00AB50EA">
        <w:rPr>
          <w:rFonts w:asciiTheme="minorHAnsi" w:hAnsiTheme="minorHAnsi" w:cstheme="minorHAnsi"/>
        </w:rPr>
        <w:t xml:space="preserve">These are the tiers most affected by the redistribution of revenue over the $35,000 cap in </w:t>
      </w:r>
      <w:r w:rsidR="00BA655F" w:rsidRPr="00AB50EA">
        <w:rPr>
          <w:rFonts w:asciiTheme="minorHAnsi" w:hAnsiTheme="minorHAnsi" w:cstheme="minorHAnsi"/>
        </w:rPr>
        <w:t xml:space="preserve">the </w:t>
      </w:r>
      <w:r w:rsidRPr="00AB50EA">
        <w:rPr>
          <w:rFonts w:asciiTheme="minorHAnsi" w:hAnsiTheme="minorHAnsi" w:cstheme="minorHAnsi"/>
        </w:rPr>
        <w:t>2009-2012</w:t>
      </w:r>
      <w:r w:rsidR="00BA655F" w:rsidRPr="00AB50EA">
        <w:rPr>
          <w:rFonts w:asciiTheme="minorHAnsi" w:hAnsiTheme="minorHAnsi" w:cstheme="minorHAnsi"/>
        </w:rPr>
        <w:t xml:space="preserve"> scenarios</w:t>
      </w:r>
      <w:r w:rsidRPr="00AB50EA">
        <w:rPr>
          <w:rFonts w:asciiTheme="minorHAnsi" w:hAnsiTheme="minorHAnsi" w:cstheme="minorHAnsi"/>
        </w:rPr>
        <w:t>.</w:t>
      </w:r>
      <w:r w:rsidR="00616723" w:rsidRPr="00AB50EA">
        <w:rPr>
          <w:rFonts w:asciiTheme="minorHAnsi" w:hAnsiTheme="minorHAnsi" w:cstheme="minorHAnsi"/>
        </w:rPr>
        <w:t xml:space="preserve"> </w:t>
      </w:r>
      <w:r w:rsidRPr="00AB50EA">
        <w:rPr>
          <w:rFonts w:asciiTheme="minorHAnsi" w:hAnsiTheme="minorHAnsi" w:cstheme="minorHAnsi"/>
        </w:rPr>
        <w:t xml:space="preserve">The differences between the highest and lowest fees over the five years </w:t>
      </w:r>
      <w:r w:rsidR="00BA655F" w:rsidRPr="00AB50EA">
        <w:rPr>
          <w:rFonts w:asciiTheme="minorHAnsi" w:hAnsiTheme="minorHAnsi" w:cstheme="minorHAnsi"/>
        </w:rPr>
        <w:t xml:space="preserve">modeled </w:t>
      </w:r>
      <w:r w:rsidRPr="00AB50EA">
        <w:rPr>
          <w:rFonts w:asciiTheme="minorHAnsi" w:hAnsiTheme="minorHAnsi" w:cstheme="minorHAnsi"/>
        </w:rPr>
        <w:t>for were $7,751 for Tier 2 (80% change), $746 for Tier 3 (56% change), and $362 for Tier 4 (172% change).</w:t>
      </w:r>
    </w:p>
    <w:p w:rsidR="004A6180" w:rsidRDefault="004A6180" w:rsidP="004A6180">
      <w:pPr>
        <w:pStyle w:val="ListParagraph"/>
        <w:ind w:left="1800" w:right="630"/>
        <w:rPr>
          <w:rFonts w:asciiTheme="minorHAnsi" w:hAnsiTheme="minorHAnsi" w:cstheme="minorHAnsi"/>
          <w:i/>
        </w:rPr>
      </w:pPr>
    </w:p>
    <w:p w:rsidR="00C259C6" w:rsidRDefault="00352B2C" w:rsidP="009D69C4">
      <w:pPr>
        <w:pStyle w:val="ListParagraph"/>
        <w:numPr>
          <w:ilvl w:val="0"/>
          <w:numId w:val="37"/>
        </w:numPr>
        <w:ind w:right="630"/>
        <w:rPr>
          <w:rFonts w:asciiTheme="minorHAnsi" w:hAnsiTheme="minorHAnsi" w:cstheme="minorHAnsi"/>
        </w:rPr>
      </w:pPr>
      <w:r w:rsidRPr="00352B2C">
        <w:rPr>
          <w:rFonts w:asciiTheme="minorHAnsi" w:hAnsiTheme="minorHAnsi" w:cstheme="minorHAnsi"/>
        </w:rPr>
        <w:t>Market consolidation adds to the volatility of fees because of the $35,000 cap on fees. For example, consolidation to fewer manufacturers holding a large share of the market could significantly increase the amount of revenue over cap in Tier 1 that is distributed to Tiers 2-5, increasing their fees.</w:t>
      </w:r>
      <w:r w:rsidR="00616723">
        <w:rPr>
          <w:rFonts w:asciiTheme="minorHAnsi" w:hAnsiTheme="minorHAnsi" w:cstheme="minorHAnsi"/>
        </w:rPr>
        <w:t xml:space="preserve"> </w:t>
      </w:r>
      <w:r w:rsidRPr="00352B2C">
        <w:rPr>
          <w:rFonts w:asciiTheme="minorHAnsi" w:hAnsiTheme="minorHAnsi" w:cstheme="minorHAnsi"/>
        </w:rPr>
        <w:t>DEQ modeled several market scenarios to evaluate the potential consolidation effects of cap</w:t>
      </w:r>
      <w:r w:rsidR="005D5B14">
        <w:rPr>
          <w:rFonts w:asciiTheme="minorHAnsi" w:hAnsiTheme="minorHAnsi" w:cstheme="minorHAnsi"/>
        </w:rPr>
        <w:t>s</w:t>
      </w:r>
      <w:r w:rsidRPr="00352B2C">
        <w:rPr>
          <w:rFonts w:asciiTheme="minorHAnsi" w:hAnsiTheme="minorHAnsi" w:cstheme="minorHAnsi"/>
        </w:rPr>
        <w:t xml:space="preserve"> between $20,000 and $40,000. The lower-range caps resulted in considerable </w:t>
      </w:r>
      <w:r w:rsidRPr="00352B2C">
        <w:rPr>
          <w:rFonts w:asciiTheme="minorHAnsi" w:hAnsiTheme="minorHAnsi" w:cstheme="minorHAnsi"/>
        </w:rPr>
        <w:lastRenderedPageBreak/>
        <w:t>volatility and potential for significant fee increases in Tier 2-5 fees in the consolidation scenarios. The $35,000 cap is a compromise that still provides an upper limit fee and certainty for large manufacturers but reduces the risk of large fee increases for Tiers 2-5.</w:t>
      </w:r>
      <w:r w:rsidR="00616723">
        <w:rPr>
          <w:rFonts w:asciiTheme="minorHAnsi" w:hAnsiTheme="minorHAnsi" w:cstheme="minorHAnsi"/>
        </w:rPr>
        <w:t xml:space="preserve"> </w:t>
      </w:r>
      <w:r w:rsidRPr="00352B2C">
        <w:rPr>
          <w:rFonts w:asciiTheme="minorHAnsi" w:hAnsiTheme="minorHAnsi" w:cstheme="minorHAnsi"/>
        </w:rPr>
        <w:t>The fee cap was proposed during rule development in response to requests for some fee limit and certainty for larger manufacturers.</w:t>
      </w:r>
    </w:p>
    <w:p w:rsidR="004A6180" w:rsidRPr="004A6180" w:rsidRDefault="004A6180" w:rsidP="004A6180">
      <w:pPr>
        <w:pStyle w:val="ListParagraph"/>
        <w:rPr>
          <w:rFonts w:asciiTheme="minorHAnsi" w:hAnsiTheme="minorHAnsi" w:cstheme="minorHAnsi"/>
        </w:rPr>
      </w:pPr>
    </w:p>
    <w:p w:rsidR="00C259C6" w:rsidRDefault="00352B2C" w:rsidP="009D69C4">
      <w:pPr>
        <w:pStyle w:val="ListParagraph"/>
        <w:numPr>
          <w:ilvl w:val="0"/>
          <w:numId w:val="37"/>
        </w:numPr>
        <w:ind w:right="630"/>
        <w:rPr>
          <w:rFonts w:asciiTheme="minorHAnsi" w:hAnsiTheme="minorHAnsi" w:cstheme="minorHAnsi"/>
        </w:rPr>
      </w:pPr>
      <w:r w:rsidRPr="00352B2C">
        <w:rPr>
          <w:rFonts w:asciiTheme="minorHAnsi" w:hAnsiTheme="minorHAnsi" w:cstheme="minorHAnsi"/>
        </w:rPr>
        <w:t>DEQ and the advisory committee considered a six-tier fixed fee structure with a surcharge to be distributed to the top two tiers to cover the revenue shortfall in any year the fixed fees did not generate the revenue need.</w:t>
      </w:r>
      <w:r w:rsidR="00616723">
        <w:rPr>
          <w:rFonts w:asciiTheme="minorHAnsi" w:hAnsiTheme="minorHAnsi" w:cstheme="minorHAnsi"/>
        </w:rPr>
        <w:t xml:space="preserve"> </w:t>
      </w:r>
      <w:r w:rsidRPr="00352B2C">
        <w:rPr>
          <w:rFonts w:asciiTheme="minorHAnsi" w:hAnsiTheme="minorHAnsi" w:cstheme="minorHAnsi"/>
        </w:rPr>
        <w:t>That model would have provided certainty for roughly 90% of manufacturers, but was dropped from further consideration because of concerns over the uncertainty the potential surcharge created for the upper tier fees.</w:t>
      </w:r>
      <w:r w:rsidR="00616723">
        <w:rPr>
          <w:rFonts w:asciiTheme="minorHAnsi" w:hAnsiTheme="minorHAnsi" w:cstheme="minorHAnsi"/>
        </w:rPr>
        <w:t xml:space="preserve"> </w:t>
      </w:r>
    </w:p>
    <w:p w:rsidR="004A6180" w:rsidRDefault="004A6180" w:rsidP="004A6180">
      <w:pPr>
        <w:pStyle w:val="ListParagraph"/>
        <w:ind w:left="1800" w:right="630"/>
        <w:rPr>
          <w:rFonts w:asciiTheme="minorHAnsi" w:hAnsiTheme="minorHAnsi" w:cstheme="minorHAnsi"/>
        </w:rPr>
      </w:pPr>
    </w:p>
    <w:p w:rsidR="00C259C6" w:rsidRDefault="00352B2C" w:rsidP="009D69C4">
      <w:pPr>
        <w:pStyle w:val="ListParagraph"/>
        <w:numPr>
          <w:ilvl w:val="0"/>
          <w:numId w:val="37"/>
        </w:numPr>
        <w:ind w:right="630"/>
        <w:rPr>
          <w:rFonts w:asciiTheme="minorHAnsi" w:hAnsiTheme="minorHAnsi" w:cstheme="minorHAnsi"/>
        </w:rPr>
      </w:pPr>
      <w:r w:rsidRPr="00352B2C">
        <w:rPr>
          <w:rFonts w:asciiTheme="minorHAnsi" w:hAnsiTheme="minorHAnsi" w:cstheme="minorHAnsi"/>
        </w:rPr>
        <w:lastRenderedPageBreak/>
        <w:t>In March of each year, as soon as the necessary market share data is available, DEQ makes a preliminary determination of each manufacturer’s market share and registration fee for that calendar year and notifies manufacturers of those determinations. Manufacturers have thirty days to request changes to their preliminary market share and fee determinations.</w:t>
      </w:r>
      <w:r w:rsidR="00616723">
        <w:rPr>
          <w:rFonts w:asciiTheme="minorHAnsi" w:hAnsiTheme="minorHAnsi" w:cstheme="minorHAnsi"/>
        </w:rPr>
        <w:t xml:space="preserve"> </w:t>
      </w:r>
      <w:r w:rsidRPr="00352B2C">
        <w:rPr>
          <w:rFonts w:asciiTheme="minorHAnsi" w:hAnsiTheme="minorHAnsi" w:cstheme="minorHAnsi"/>
        </w:rPr>
        <w:t>Following that thirty-day period, DEQ evaluates any information received, makes final market share and fee determinations and notifies manufacturers of those in May.</w:t>
      </w:r>
      <w:r w:rsidR="00616723">
        <w:rPr>
          <w:rFonts w:asciiTheme="minorHAnsi" w:hAnsiTheme="minorHAnsi" w:cstheme="minorHAnsi"/>
        </w:rPr>
        <w:t xml:space="preserve"> </w:t>
      </w:r>
      <w:r w:rsidRPr="00352B2C">
        <w:rPr>
          <w:rFonts w:asciiTheme="minorHAnsi" w:hAnsiTheme="minorHAnsi" w:cstheme="minorHAnsi"/>
        </w:rPr>
        <w:t>DEQ sends registration fee invoices in May; manufacturers must pay registrations fees by July 1. To determine registration fees, DEQ must gather market share data from the previous year (e.g., 2011 data for 2012). DEQ requests market share information from manufacturers and purchases national market share data for the previous calendar year.</w:t>
      </w:r>
      <w:r w:rsidR="00616723">
        <w:rPr>
          <w:rFonts w:asciiTheme="minorHAnsi" w:hAnsiTheme="minorHAnsi" w:cstheme="minorHAnsi"/>
        </w:rPr>
        <w:t xml:space="preserve"> </w:t>
      </w:r>
      <w:r w:rsidRPr="00352B2C">
        <w:rPr>
          <w:rFonts w:asciiTheme="minorHAnsi" w:hAnsiTheme="minorHAnsi" w:cstheme="minorHAnsi"/>
        </w:rPr>
        <w:t xml:space="preserve">That data gathering and </w:t>
      </w:r>
      <w:r w:rsidR="00BA655F" w:rsidRPr="00352B2C">
        <w:rPr>
          <w:rFonts w:asciiTheme="minorHAnsi" w:hAnsiTheme="minorHAnsi" w:cstheme="minorHAnsi"/>
        </w:rPr>
        <w:t>analys</w:t>
      </w:r>
      <w:r w:rsidR="00BA655F">
        <w:rPr>
          <w:rFonts w:asciiTheme="minorHAnsi" w:hAnsiTheme="minorHAnsi" w:cstheme="minorHAnsi"/>
        </w:rPr>
        <w:t>i</w:t>
      </w:r>
      <w:r w:rsidR="00BA655F" w:rsidRPr="00352B2C">
        <w:rPr>
          <w:rFonts w:asciiTheme="minorHAnsi" w:hAnsiTheme="minorHAnsi" w:cstheme="minorHAnsi"/>
        </w:rPr>
        <w:t xml:space="preserve">s </w:t>
      </w:r>
      <w:r w:rsidRPr="00352B2C">
        <w:rPr>
          <w:rFonts w:asciiTheme="minorHAnsi" w:hAnsiTheme="minorHAnsi" w:cstheme="minorHAnsi"/>
        </w:rPr>
        <w:t>runs from December through February or early March.</w:t>
      </w:r>
      <w:r w:rsidR="00616723">
        <w:rPr>
          <w:rFonts w:asciiTheme="minorHAnsi" w:hAnsiTheme="minorHAnsi" w:cstheme="minorHAnsi"/>
        </w:rPr>
        <w:t xml:space="preserve">  </w:t>
      </w:r>
    </w:p>
    <w:p w:rsidR="00AB50EA" w:rsidRDefault="00AB50EA" w:rsidP="00AB50EA">
      <w:pPr>
        <w:spacing w:after="200" w:line="276" w:lineRule="auto"/>
      </w:pPr>
    </w:p>
    <w:p w:rsidR="00AB50EA" w:rsidRPr="00AB50EA" w:rsidRDefault="00241046" w:rsidP="004A6180">
      <w:pPr>
        <w:pStyle w:val="ListParagraph"/>
        <w:numPr>
          <w:ilvl w:val="0"/>
          <w:numId w:val="24"/>
        </w:numPr>
        <w:spacing w:after="200" w:line="276" w:lineRule="auto"/>
        <w:ind w:left="1080" w:right="630"/>
        <w:rPr>
          <w:rFonts w:asciiTheme="minorHAnsi" w:eastAsia="Times New Roman" w:hAnsiTheme="minorHAnsi" w:cstheme="minorHAnsi"/>
          <w:bCs/>
          <w:color w:val="000000" w:themeColor="text1"/>
        </w:rPr>
      </w:pPr>
      <w:r w:rsidRPr="00AB50EA">
        <w:rPr>
          <w:rFonts w:asciiTheme="minorHAnsi" w:eastAsia="Times New Roman" w:hAnsiTheme="minorHAnsi" w:cstheme="minorHAnsi"/>
          <w:b/>
          <w:bCs/>
          <w:color w:val="000000" w:themeColor="text1"/>
        </w:rPr>
        <w:t>Proposed allocation of fees based on market share is not fair or justifiable</w:t>
      </w:r>
    </w:p>
    <w:p w:rsidR="00241046" w:rsidRPr="00AB50EA" w:rsidRDefault="00241046" w:rsidP="00AB50EA">
      <w:pPr>
        <w:pStyle w:val="ListParagraph"/>
        <w:spacing w:after="200" w:line="276" w:lineRule="auto"/>
        <w:ind w:left="1080" w:right="630"/>
        <w:rPr>
          <w:rFonts w:asciiTheme="minorHAnsi" w:eastAsia="Times New Roman" w:hAnsiTheme="minorHAnsi" w:cstheme="minorHAnsi"/>
          <w:bCs/>
          <w:color w:val="000000" w:themeColor="text1"/>
        </w:rPr>
      </w:pPr>
      <w:r w:rsidRPr="00AB50EA">
        <w:rPr>
          <w:rFonts w:asciiTheme="minorHAnsi" w:eastAsia="Times New Roman" w:hAnsiTheme="minorHAnsi" w:cstheme="minorHAnsi"/>
          <w:bCs/>
          <w:color w:val="000000" w:themeColor="text1"/>
        </w:rPr>
        <w:t>Commenters 5, 7</w:t>
      </w:r>
      <w:r w:rsidR="002735AE" w:rsidRPr="00AB50EA">
        <w:rPr>
          <w:rFonts w:asciiTheme="minorHAnsi" w:eastAsia="Times New Roman" w:hAnsiTheme="minorHAnsi" w:cstheme="minorHAnsi"/>
          <w:bCs/>
          <w:color w:val="000000" w:themeColor="text1"/>
        </w:rPr>
        <w:t xml:space="preserve"> and</w:t>
      </w:r>
      <w:r w:rsidRPr="00AB50EA">
        <w:rPr>
          <w:rFonts w:asciiTheme="minorHAnsi" w:eastAsia="Times New Roman" w:hAnsiTheme="minorHAnsi" w:cstheme="minorHAnsi"/>
          <w:bCs/>
          <w:color w:val="000000" w:themeColor="text1"/>
        </w:rPr>
        <w:t xml:space="preserve"> 8</w:t>
      </w:r>
    </w:p>
    <w:p w:rsidR="004A6180" w:rsidRPr="001E443D" w:rsidRDefault="004A6180" w:rsidP="004A6180">
      <w:pPr>
        <w:pStyle w:val="ListParagraph"/>
        <w:ind w:left="1080" w:right="630"/>
        <w:rPr>
          <w:rFonts w:asciiTheme="minorHAnsi" w:eastAsia="Times New Roman" w:hAnsiTheme="minorHAnsi" w:cstheme="minorHAnsi"/>
          <w:bCs/>
          <w:color w:val="000000" w:themeColor="text1"/>
        </w:rPr>
      </w:pPr>
    </w:p>
    <w:p w:rsidR="00241046" w:rsidRDefault="00241046" w:rsidP="0075792E">
      <w:pPr>
        <w:pStyle w:val="ListParagraph"/>
        <w:numPr>
          <w:ilvl w:val="0"/>
          <w:numId w:val="51"/>
        </w:numPr>
        <w:ind w:left="144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Manufacturers in all but the lowest proposed tier should pay the same fees. Sales volumes for all but those smallest manufacturers are high enough to negate the need for a graduated fee structure as proposed. (8)</w:t>
      </w:r>
    </w:p>
    <w:p w:rsidR="004A6180" w:rsidRPr="001E443D" w:rsidRDefault="004A6180" w:rsidP="0075792E">
      <w:pPr>
        <w:pStyle w:val="ListParagraph"/>
        <w:ind w:left="2160" w:right="630"/>
        <w:rPr>
          <w:rFonts w:asciiTheme="minorHAnsi" w:eastAsia="Times New Roman" w:hAnsiTheme="minorHAnsi" w:cstheme="minorHAnsi"/>
          <w:bCs/>
          <w:color w:val="000000" w:themeColor="text1"/>
        </w:rPr>
      </w:pPr>
    </w:p>
    <w:p w:rsidR="00241046" w:rsidRPr="001E443D" w:rsidRDefault="00241046" w:rsidP="0075792E">
      <w:pPr>
        <w:pStyle w:val="ListParagraph"/>
        <w:numPr>
          <w:ilvl w:val="0"/>
          <w:numId w:val="51"/>
        </w:numPr>
        <w:ind w:left="1440"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DEQ’s costs to register a manufacturer and track its participation are the same regardless of the size of the manufacturer, so there is no financial justification for requiring m</w:t>
      </w:r>
      <w:r w:rsidR="001E443D">
        <w:rPr>
          <w:rFonts w:asciiTheme="minorHAnsi" w:eastAsia="Times New Roman" w:hAnsiTheme="minorHAnsi" w:cstheme="minorHAnsi"/>
          <w:bCs/>
          <w:color w:val="000000" w:themeColor="text1"/>
        </w:rPr>
        <w:t>anu</w:t>
      </w:r>
      <w:r w:rsidRPr="001E443D">
        <w:rPr>
          <w:rFonts w:asciiTheme="minorHAnsi" w:eastAsia="Times New Roman" w:hAnsiTheme="minorHAnsi" w:cstheme="minorHAnsi"/>
          <w:bCs/>
          <w:color w:val="000000" w:themeColor="text1"/>
        </w:rPr>
        <w:t>f</w:t>
      </w:r>
      <w:r w:rsidR="001E443D">
        <w:rPr>
          <w:rFonts w:asciiTheme="minorHAnsi" w:eastAsia="Times New Roman" w:hAnsiTheme="minorHAnsi" w:cstheme="minorHAnsi"/>
          <w:bCs/>
          <w:color w:val="000000" w:themeColor="text1"/>
        </w:rPr>
        <w:t>acture</w:t>
      </w:r>
      <w:r w:rsidRPr="001E443D">
        <w:rPr>
          <w:rFonts w:asciiTheme="minorHAnsi" w:eastAsia="Times New Roman" w:hAnsiTheme="minorHAnsi" w:cstheme="minorHAnsi"/>
          <w:bCs/>
          <w:color w:val="000000" w:themeColor="text1"/>
        </w:rPr>
        <w:t>rs with larger market shares to pay higher registration fees.</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(5, 7, 8)</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 xml:space="preserve"> Given this, the proposed fee increase for </w:t>
      </w:r>
      <w:r w:rsidR="00F17DC8">
        <w:rPr>
          <w:rFonts w:asciiTheme="minorHAnsi" w:eastAsia="Times New Roman" w:hAnsiTheme="minorHAnsi" w:cstheme="minorHAnsi"/>
          <w:bCs/>
          <w:color w:val="000000" w:themeColor="text1"/>
        </w:rPr>
        <w:t xml:space="preserve">the </w:t>
      </w:r>
      <w:r w:rsidRPr="001E443D">
        <w:rPr>
          <w:rFonts w:asciiTheme="minorHAnsi" w:eastAsia="Times New Roman" w:hAnsiTheme="minorHAnsi" w:cstheme="minorHAnsi"/>
          <w:bCs/>
          <w:color w:val="000000" w:themeColor="text1"/>
        </w:rPr>
        <w:t>top tier is unwarranted. (7)</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Assigning recycling obligations to manufacture</w:t>
      </w:r>
      <w:r w:rsidR="00C071E0">
        <w:rPr>
          <w:rFonts w:asciiTheme="minorHAnsi" w:eastAsia="Times New Roman" w:hAnsiTheme="minorHAnsi" w:cstheme="minorHAnsi"/>
          <w:bCs/>
          <w:color w:val="000000" w:themeColor="text1"/>
        </w:rPr>
        <w:t>r</w:t>
      </w:r>
      <w:r w:rsidRPr="001E443D">
        <w:rPr>
          <w:rFonts w:asciiTheme="minorHAnsi" w:eastAsia="Times New Roman" w:hAnsiTheme="minorHAnsi" w:cstheme="minorHAnsi"/>
          <w:bCs/>
          <w:color w:val="000000" w:themeColor="text1"/>
        </w:rPr>
        <w:t xml:space="preserve">s based on their respective shares of products returned for recycling appropriately reflects a </w:t>
      </w:r>
      <w:r w:rsidRPr="001E443D">
        <w:rPr>
          <w:rFonts w:asciiTheme="minorHAnsi" w:eastAsia="Times New Roman" w:hAnsiTheme="minorHAnsi" w:cstheme="minorHAnsi"/>
          <w:bCs/>
          <w:color w:val="000000" w:themeColor="text1"/>
        </w:rPr>
        <w:lastRenderedPageBreak/>
        <w:t>manufacturer’s burden on the system – but the same rationale does not hold for registration fees.</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(7)</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Since manufacturers in the higher tiers [may] also have larger recycling obligations, requiring them to also pay higher registration fees seems punitive. (8)</w:t>
      </w:r>
    </w:p>
    <w:p w:rsidR="004A6180" w:rsidRDefault="004A6180" w:rsidP="0075792E">
      <w:pPr>
        <w:pStyle w:val="ListParagraph"/>
        <w:ind w:left="2160" w:right="630"/>
        <w:rPr>
          <w:rFonts w:asciiTheme="minorHAnsi" w:eastAsia="Times New Roman" w:hAnsiTheme="minorHAnsi" w:cstheme="minorHAnsi"/>
          <w:bCs/>
          <w:color w:val="000000" w:themeColor="text1"/>
        </w:rPr>
      </w:pPr>
    </w:p>
    <w:p w:rsidR="00241046" w:rsidRPr="001E443D" w:rsidRDefault="005D5B14" w:rsidP="0075792E">
      <w:pPr>
        <w:pStyle w:val="ListParagraph"/>
        <w:numPr>
          <w:ilvl w:val="0"/>
          <w:numId w:val="51"/>
        </w:numPr>
        <w:ind w:left="1440" w:right="63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f</w:t>
      </w:r>
      <w:r w:rsidR="00241046" w:rsidRPr="001E443D">
        <w:rPr>
          <w:rFonts w:asciiTheme="minorHAnsi" w:eastAsia="Times New Roman" w:hAnsiTheme="minorHAnsi" w:cstheme="minorHAnsi"/>
          <w:bCs/>
          <w:color w:val="000000" w:themeColor="text1"/>
        </w:rPr>
        <w:t>ee structure should not reduce fees for any manufacturer. DEQ needs to increase revenue and companies have already budgeted for those fees. (7)</w:t>
      </w:r>
    </w:p>
    <w:p w:rsidR="00241046" w:rsidRPr="001E443D" w:rsidRDefault="00241046" w:rsidP="00C063DC">
      <w:pPr>
        <w:ind w:left="360" w:right="630"/>
        <w:rPr>
          <w:rFonts w:asciiTheme="minorHAnsi" w:eastAsia="Times New Roman" w:hAnsiTheme="minorHAnsi" w:cstheme="minorHAnsi"/>
          <w:bCs/>
          <w:color w:val="000000" w:themeColor="text1"/>
        </w:rPr>
      </w:pPr>
    </w:p>
    <w:p w:rsidR="00241046" w:rsidRPr="002735AE" w:rsidRDefault="007A4786" w:rsidP="004A6180">
      <w:pPr>
        <w:ind w:left="1080" w:right="630"/>
        <w:rPr>
          <w:rFonts w:asciiTheme="minorHAnsi" w:eastAsia="Times New Roman" w:hAnsiTheme="minorHAnsi" w:cstheme="minorHAnsi"/>
          <w:b/>
          <w:bCs/>
          <w:color w:val="000000" w:themeColor="text1"/>
        </w:rPr>
      </w:pPr>
      <w:r w:rsidRPr="007A4786">
        <w:rPr>
          <w:rFonts w:asciiTheme="minorHAnsi" w:eastAsia="Times New Roman" w:hAnsiTheme="minorHAnsi" w:cstheme="minorHAnsi"/>
          <w:b/>
          <w:bCs/>
          <w:color w:val="463D38" w:themeColor="accent4" w:themeShade="80"/>
        </w:rPr>
        <w:t>Response</w:t>
      </w:r>
    </w:p>
    <w:p w:rsidR="00241046" w:rsidRDefault="00241046" w:rsidP="004A6180">
      <w:pPr>
        <w:pStyle w:val="ListParagraph"/>
        <w:numPr>
          <w:ilvl w:val="0"/>
          <w:numId w:val="38"/>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DEQ and the advisory committee considered how closely fees should match market share.</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 xml:space="preserve">Although the electronics recycling law requires simply that fees be based on market share, it </w:t>
      </w:r>
      <w:r w:rsidR="00BA655F">
        <w:rPr>
          <w:rFonts w:asciiTheme="minorHAnsi" w:eastAsia="Times New Roman" w:hAnsiTheme="minorHAnsi" w:cstheme="minorHAnsi"/>
          <w:bCs/>
          <w:color w:val="000000" w:themeColor="text1"/>
        </w:rPr>
        <w:t xml:space="preserve">also </w:t>
      </w:r>
      <w:r w:rsidRPr="001E443D">
        <w:rPr>
          <w:rFonts w:asciiTheme="minorHAnsi" w:eastAsia="Times New Roman" w:hAnsiTheme="minorHAnsi" w:cstheme="minorHAnsi"/>
          <w:bCs/>
          <w:color w:val="000000" w:themeColor="text1"/>
        </w:rPr>
        <w:t>established the existing fee tiers with fees increasing with market share. The proposed tier structure with graduating fees continues that concept.</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 xml:space="preserve">Moreover, even though DEQ’s program costs, including manufacturer registration, do not vary based </w:t>
      </w:r>
      <w:r w:rsidRPr="001E443D">
        <w:rPr>
          <w:rFonts w:asciiTheme="minorHAnsi" w:eastAsia="Times New Roman" w:hAnsiTheme="minorHAnsi" w:cstheme="minorHAnsi"/>
          <w:bCs/>
          <w:color w:val="000000" w:themeColor="text1"/>
        </w:rPr>
        <w:lastRenderedPageBreak/>
        <w:t>on the market share of any manufacturer, market share is an important consideration in evaluating impacts registration fees will have on manufacturers -</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as measured by their cost</w:t>
      </w:r>
      <w:r w:rsidR="00F73FD6">
        <w:rPr>
          <w:rFonts w:asciiTheme="minorHAnsi" w:eastAsia="Times New Roman" w:hAnsiTheme="minorHAnsi" w:cstheme="minorHAnsi"/>
          <w:bCs/>
          <w:color w:val="000000" w:themeColor="text1"/>
        </w:rPr>
        <w:t xml:space="preserve"> per </w:t>
      </w:r>
      <w:r w:rsidRPr="001E443D">
        <w:rPr>
          <w:rFonts w:asciiTheme="minorHAnsi" w:eastAsia="Times New Roman" w:hAnsiTheme="minorHAnsi" w:cstheme="minorHAnsi"/>
          <w:bCs/>
          <w:color w:val="000000" w:themeColor="text1"/>
        </w:rPr>
        <w:t>unit sold in Oregon.</w:t>
      </w:r>
      <w:r w:rsidR="00616723">
        <w:rPr>
          <w:rFonts w:asciiTheme="minorHAnsi" w:eastAsia="Times New Roman" w:hAnsiTheme="minorHAnsi" w:cstheme="minorHAnsi"/>
          <w:bCs/>
          <w:color w:val="000000" w:themeColor="text1"/>
        </w:rPr>
        <w:t xml:space="preserve"> </w:t>
      </w:r>
    </w:p>
    <w:p w:rsidR="004A6180" w:rsidRPr="001E443D" w:rsidRDefault="004A6180" w:rsidP="004A6180">
      <w:pPr>
        <w:pStyle w:val="ListParagraph"/>
        <w:ind w:left="1440" w:right="630"/>
        <w:rPr>
          <w:rFonts w:asciiTheme="minorHAnsi" w:eastAsia="Times New Roman" w:hAnsiTheme="minorHAnsi" w:cstheme="minorHAnsi"/>
          <w:bCs/>
          <w:color w:val="000000" w:themeColor="text1"/>
        </w:rPr>
      </w:pPr>
    </w:p>
    <w:p w:rsidR="00241046" w:rsidRDefault="00241046" w:rsidP="004A6180">
      <w:pPr>
        <w:pStyle w:val="ListParagraph"/>
        <w:numPr>
          <w:ilvl w:val="0"/>
          <w:numId w:val="38"/>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To partially address concerns that fees not be based strictly on market share, the proposed fee structure incorporates features to reduce the revenue amount large manufacturers pay and shift that to the lower tiers– primarily capping fees for large manufacturers and distributing revenue over cap to lower tiers, but also setting the $200 minimum fee (except for Tier 7).</w:t>
      </w:r>
      <w:r w:rsidR="00616723">
        <w:rPr>
          <w:rFonts w:asciiTheme="minorHAnsi" w:eastAsia="Times New Roman" w:hAnsiTheme="minorHAnsi" w:cstheme="minorHAnsi"/>
          <w:bCs/>
          <w:color w:val="000000" w:themeColor="text1"/>
        </w:rPr>
        <w:t xml:space="preserve"> </w:t>
      </w:r>
      <w:r w:rsidRPr="001E443D">
        <w:rPr>
          <w:rFonts w:asciiTheme="minorHAnsi" w:eastAsia="Times New Roman" w:hAnsiTheme="minorHAnsi" w:cstheme="minorHAnsi"/>
          <w:bCs/>
          <w:color w:val="000000" w:themeColor="text1"/>
        </w:rPr>
        <w:t>Distributing fees evenly within tiers also reduces fees for larger manufacturers in any tier, but particularly those in Tier 1.</w:t>
      </w:r>
    </w:p>
    <w:p w:rsidR="004A6180" w:rsidRPr="004A6180" w:rsidRDefault="004A6180" w:rsidP="004A6180">
      <w:pPr>
        <w:pStyle w:val="ListParagraph"/>
        <w:rPr>
          <w:rFonts w:asciiTheme="minorHAnsi" w:eastAsia="Times New Roman" w:hAnsiTheme="minorHAnsi" w:cstheme="minorHAnsi"/>
          <w:bCs/>
          <w:color w:val="000000" w:themeColor="text1"/>
        </w:rPr>
      </w:pPr>
    </w:p>
    <w:p w:rsidR="003845D8" w:rsidRDefault="00241046" w:rsidP="003845D8">
      <w:pPr>
        <w:pStyle w:val="ListParagraph"/>
        <w:numPr>
          <w:ilvl w:val="0"/>
          <w:numId w:val="38"/>
        </w:numPr>
        <w:ind w:right="630"/>
        <w:rPr>
          <w:rFonts w:asciiTheme="minorHAnsi" w:eastAsia="Times New Roman" w:hAnsiTheme="minorHAnsi" w:cstheme="minorHAnsi"/>
          <w:bCs/>
          <w:color w:val="000000" w:themeColor="text1"/>
        </w:rPr>
      </w:pPr>
      <w:r w:rsidRPr="001E443D">
        <w:rPr>
          <w:rFonts w:asciiTheme="minorHAnsi" w:eastAsia="Times New Roman" w:hAnsiTheme="minorHAnsi" w:cstheme="minorHAnsi"/>
          <w:bCs/>
          <w:color w:val="000000" w:themeColor="text1"/>
        </w:rPr>
        <w:t xml:space="preserve">The flat fee structure with a surcharge, noted in response to comment 4, generated the revenue needed each year using fees less </w:t>
      </w:r>
      <w:r w:rsidRPr="001E443D">
        <w:rPr>
          <w:rFonts w:asciiTheme="minorHAnsi" w:eastAsia="Times New Roman" w:hAnsiTheme="minorHAnsi" w:cstheme="minorHAnsi"/>
          <w:bCs/>
          <w:color w:val="000000" w:themeColor="text1"/>
        </w:rPr>
        <w:lastRenderedPageBreak/>
        <w:t>closely tied to market share, but the surcharge raised concerns for large manufacturers.</w:t>
      </w:r>
      <w:r w:rsidR="00616723">
        <w:rPr>
          <w:rFonts w:asciiTheme="minorHAnsi" w:eastAsia="Times New Roman" w:hAnsiTheme="minorHAnsi" w:cstheme="minorHAnsi"/>
          <w:bCs/>
          <w:color w:val="000000" w:themeColor="text1"/>
        </w:rPr>
        <w:t xml:space="preserve"> </w:t>
      </w:r>
    </w:p>
    <w:p w:rsidR="0035740D" w:rsidRPr="0035740D" w:rsidRDefault="0035740D" w:rsidP="0035740D">
      <w:pPr>
        <w:pStyle w:val="ListParagraph"/>
        <w:rPr>
          <w:rFonts w:asciiTheme="minorHAnsi" w:eastAsia="Times New Roman" w:hAnsiTheme="minorHAnsi" w:cstheme="minorHAnsi"/>
          <w:bCs/>
          <w:color w:val="000000" w:themeColor="text1"/>
        </w:rPr>
      </w:pPr>
    </w:p>
    <w:p w:rsidR="00DA0AA5" w:rsidRPr="006A3EBC" w:rsidRDefault="00DA0AA5" w:rsidP="003845D8">
      <w:pPr>
        <w:pStyle w:val="ListParagraph"/>
        <w:numPr>
          <w:ilvl w:val="0"/>
          <w:numId w:val="38"/>
        </w:numPr>
        <w:ind w:right="630"/>
        <w:rPr>
          <w:rFonts w:asciiTheme="minorHAnsi" w:eastAsia="Times New Roman" w:hAnsiTheme="minorHAnsi" w:cstheme="minorHAnsi"/>
          <w:bCs/>
          <w:color w:val="000000" w:themeColor="text1"/>
        </w:rPr>
      </w:pPr>
      <w:r w:rsidRPr="003845D8">
        <w:rPr>
          <w:rFonts w:asciiTheme="minorHAnsi" w:hAnsiTheme="minorHAnsi" w:cstheme="minorHAnsi"/>
        </w:rPr>
        <w:t xml:space="preserve">Tables 5 and 6 provide snapshots of manufacturers’ costs per unit sold in Oregon under the proposed and existing fee structures, respectively, using E-Cycles data for 2012.  If fees were based strictly on individual market share, all manufacturers would pay the same cost per unit sold. Instead, the proposed fee structure bases fees on the market share of tiers and includes other adjustments to temper fee increases for large manufacturers. As a result, the cost per unit sold gradually increases as the market share decreases, as seen in the cost per unit averages in Table 5. Narrowing the market share ranges also tempers year-to-year fluctuations in unit costs. While the relative differences in unit costs among the tiers in Table 5 can be compared to the relative differences among tiers in Table 6, the actual unit costs in those tables are less comparable because the two fee </w:t>
      </w:r>
      <w:r w:rsidRPr="003845D8">
        <w:rPr>
          <w:rFonts w:asciiTheme="minorHAnsi" w:hAnsiTheme="minorHAnsi" w:cstheme="minorHAnsi"/>
        </w:rPr>
        <w:lastRenderedPageBreak/>
        <w:t>structures generate different amounts of revenue.</w:t>
      </w:r>
    </w:p>
    <w:p w:rsidR="006A3EBC" w:rsidRPr="006A3EBC" w:rsidRDefault="006A3EBC" w:rsidP="006A3EBC">
      <w:pPr>
        <w:pStyle w:val="ListParagraph"/>
        <w:rPr>
          <w:rFonts w:asciiTheme="minorHAnsi" w:eastAsia="Times New Roman" w:hAnsiTheme="minorHAnsi" w:cstheme="minorHAnsi"/>
          <w:bCs/>
          <w:color w:val="000000" w:themeColor="text1"/>
        </w:rPr>
      </w:pPr>
    </w:p>
    <w:p w:rsidR="006A3EBC" w:rsidRPr="0035740D" w:rsidRDefault="006A3EBC" w:rsidP="006A3EBC">
      <w:pPr>
        <w:pStyle w:val="ListParagraph"/>
        <w:numPr>
          <w:ilvl w:val="0"/>
          <w:numId w:val="38"/>
        </w:numPr>
        <w:ind w:right="630"/>
        <w:rPr>
          <w:rFonts w:asciiTheme="minorHAnsi" w:hAnsiTheme="minorHAnsi" w:cstheme="minorHAnsi"/>
          <w:color w:val="000000" w:themeColor="text1"/>
        </w:rPr>
      </w:pPr>
      <w:r w:rsidRPr="0035740D">
        <w:rPr>
          <w:rFonts w:asciiTheme="minorHAnsi" w:hAnsiTheme="minorHAnsi" w:cstheme="minorHAnsi"/>
          <w:color w:val="000000" w:themeColor="text1"/>
        </w:rPr>
        <w:t xml:space="preserve">Given the shift from the existing flat fee structure to the proposed fee structure, fees for manufacturers in proposed Tiers 2 and 3 would decrease under certain market scenarios. Those fee decreases can be seen in Table 4, in Proposed Fees above, which compares proposed to existing fees using E-Cycles data for 2008-2012. Fees for manufacturers in proposed Tier 2 (the low end of existing Tier 1) and proposed Tier 3 (existing Tier 2) decrease because they are disproportionately higher per unit cost (market share) than the fees of other manufacturers under the existing fee structure, as seen in Table 6. </w:t>
      </w:r>
    </w:p>
    <w:p w:rsidR="006A3EBC" w:rsidRPr="0035740D" w:rsidRDefault="006A3EBC" w:rsidP="006A3EBC">
      <w:pPr>
        <w:pStyle w:val="ListParagraph"/>
        <w:ind w:left="1080" w:right="630"/>
        <w:rPr>
          <w:rFonts w:asciiTheme="minorHAnsi" w:hAnsiTheme="minorHAnsi" w:cstheme="minorHAnsi"/>
          <w:color w:val="000000" w:themeColor="text1"/>
        </w:rPr>
      </w:pPr>
    </w:p>
    <w:p w:rsidR="006A3EBC" w:rsidRDefault="006A3EBC" w:rsidP="006A3EBC">
      <w:pPr>
        <w:pStyle w:val="ListParagraph"/>
        <w:numPr>
          <w:ilvl w:val="0"/>
          <w:numId w:val="38"/>
        </w:numPr>
        <w:ind w:right="630"/>
        <w:rPr>
          <w:rFonts w:asciiTheme="minorHAnsi" w:hAnsiTheme="minorHAnsi" w:cstheme="minorHAnsi"/>
          <w:color w:val="000000" w:themeColor="text1"/>
        </w:rPr>
      </w:pPr>
      <w:r w:rsidRPr="0035740D">
        <w:rPr>
          <w:rFonts w:asciiTheme="minorHAnsi" w:hAnsiTheme="minorHAnsi" w:cstheme="minorHAnsi"/>
          <w:color w:val="000000" w:themeColor="text1"/>
        </w:rPr>
        <w:t xml:space="preserve">DEQ did not use the existing fees as a starting point for the proposed fee structure and could not match proposed to existing fees without moving to a fixed fee structure. </w:t>
      </w:r>
    </w:p>
    <w:p w:rsidR="009D69C4" w:rsidRPr="009D69C4" w:rsidRDefault="009D69C4" w:rsidP="009D69C4">
      <w:pPr>
        <w:pStyle w:val="ListParagraph"/>
        <w:rPr>
          <w:rFonts w:asciiTheme="minorHAnsi" w:hAnsiTheme="minorHAnsi" w:cstheme="minorHAnsi"/>
          <w:color w:val="000000" w:themeColor="text1"/>
        </w:rPr>
      </w:pPr>
    </w:p>
    <w:p w:rsidR="009D69C4" w:rsidRDefault="009D69C4" w:rsidP="009D69C4">
      <w:pPr>
        <w:pStyle w:val="ListParagraph"/>
        <w:ind w:left="1440" w:right="630"/>
        <w:rPr>
          <w:rFonts w:asciiTheme="minorHAnsi" w:hAnsiTheme="minorHAnsi" w:cstheme="minorHAnsi"/>
          <w:color w:val="000000" w:themeColor="text1"/>
        </w:rPr>
      </w:pPr>
    </w:p>
    <w:tbl>
      <w:tblPr>
        <w:tblW w:w="10314" w:type="dxa"/>
        <w:jc w:val="center"/>
        <w:tblLayout w:type="fixed"/>
        <w:tblLook w:val="04A0"/>
      </w:tblPr>
      <w:tblGrid>
        <w:gridCol w:w="630"/>
        <w:gridCol w:w="1980"/>
        <w:gridCol w:w="1080"/>
        <w:gridCol w:w="1134"/>
        <w:gridCol w:w="1854"/>
        <w:gridCol w:w="1116"/>
        <w:gridCol w:w="1404"/>
        <w:gridCol w:w="1116"/>
      </w:tblGrid>
      <w:tr w:rsidR="006A41AC" w:rsidRPr="00ED0209" w:rsidTr="009D69C4">
        <w:trPr>
          <w:trHeight w:val="1200"/>
          <w:jc w:val="center"/>
        </w:trPr>
        <w:tc>
          <w:tcPr>
            <w:tcW w:w="10314" w:type="dxa"/>
            <w:gridSpan w:val="8"/>
            <w:tcBorders>
              <w:top w:val="single" w:sz="4" w:space="0" w:color="auto"/>
              <w:left w:val="single" w:sz="4" w:space="0" w:color="auto"/>
              <w:bottom w:val="single" w:sz="4" w:space="0" w:color="auto"/>
              <w:right w:val="single" w:sz="4" w:space="0" w:color="auto"/>
            </w:tcBorders>
            <w:shd w:val="clear" w:color="auto" w:fill="008272"/>
            <w:vAlign w:val="center"/>
            <w:hideMark/>
          </w:tcPr>
          <w:p w:rsidR="006A41AC" w:rsidRDefault="006A41AC" w:rsidP="009D69C4">
            <w:pPr>
              <w:jc w:val="center"/>
              <w:rPr>
                <w:rFonts w:eastAsia="Times New Roman"/>
                <w:b/>
                <w:bCs/>
                <w:color w:val="FFFFFF"/>
              </w:rPr>
            </w:pPr>
          </w:p>
          <w:p w:rsidR="006A41AC" w:rsidRPr="005A7DF4" w:rsidRDefault="006A41AC" w:rsidP="009D69C4">
            <w:pPr>
              <w:jc w:val="center"/>
              <w:rPr>
                <w:rFonts w:eastAsia="Times New Roman"/>
                <w:bCs/>
                <w:color w:val="FFFFFF"/>
              </w:rPr>
            </w:pPr>
            <w:r w:rsidRPr="005A7DF4">
              <w:rPr>
                <w:rFonts w:eastAsia="Times New Roman"/>
                <w:bCs/>
                <w:color w:val="FFFFFF"/>
                <w:sz w:val="22"/>
                <w:szCs w:val="22"/>
              </w:rPr>
              <w:t>Table 5</w:t>
            </w:r>
          </w:p>
          <w:p w:rsidR="006A41AC" w:rsidRPr="00000C8A" w:rsidRDefault="006A41AC" w:rsidP="009D69C4">
            <w:pPr>
              <w:jc w:val="center"/>
              <w:rPr>
                <w:rFonts w:eastAsia="Times New Roman"/>
                <w:b/>
                <w:bCs/>
                <w:color w:val="FFFFFF"/>
              </w:rPr>
            </w:pPr>
            <w:r w:rsidRPr="00000C8A">
              <w:rPr>
                <w:rFonts w:eastAsia="Times New Roman"/>
                <w:b/>
                <w:bCs/>
                <w:color w:val="FFFFFF"/>
                <w:sz w:val="22"/>
                <w:szCs w:val="22"/>
              </w:rPr>
              <w:t>Cost per Unit - Proposed Fee Structure </w:t>
            </w:r>
          </w:p>
          <w:p w:rsidR="006A41AC" w:rsidRPr="00000C8A" w:rsidRDefault="006A41AC" w:rsidP="009D69C4">
            <w:pPr>
              <w:jc w:val="center"/>
              <w:rPr>
                <w:rFonts w:eastAsia="Times New Roman"/>
                <w:b/>
                <w:bCs/>
                <w:color w:val="FFFFFF"/>
              </w:rPr>
            </w:pPr>
            <w:r w:rsidRPr="00000C8A">
              <w:rPr>
                <w:rFonts w:eastAsia="Times New Roman"/>
                <w:b/>
                <w:bCs/>
                <w:color w:val="FFFFFF"/>
                <w:sz w:val="22"/>
                <w:szCs w:val="22"/>
              </w:rPr>
              <w:t>Using E-Cycles data for 2012</w:t>
            </w:r>
          </w:p>
          <w:p w:rsidR="006A41AC" w:rsidRDefault="006A41AC" w:rsidP="009D69C4">
            <w:pPr>
              <w:jc w:val="center"/>
              <w:rPr>
                <w:rFonts w:eastAsia="Times New Roman"/>
                <w:b/>
                <w:bCs/>
                <w:color w:val="FFFFFF"/>
              </w:rPr>
            </w:pPr>
            <w:r w:rsidRPr="00000C8A">
              <w:rPr>
                <w:rFonts w:eastAsia="Times New Roman"/>
                <w:b/>
                <w:bCs/>
                <w:color w:val="FFFFFF"/>
                <w:sz w:val="22"/>
                <w:szCs w:val="22"/>
              </w:rPr>
              <w:t>Revenue generated:</w:t>
            </w:r>
            <w:r>
              <w:rPr>
                <w:rFonts w:eastAsia="Times New Roman"/>
                <w:b/>
                <w:bCs/>
                <w:color w:val="FFFFFF"/>
                <w:sz w:val="22"/>
                <w:szCs w:val="22"/>
              </w:rPr>
              <w:t xml:space="preserve"> </w:t>
            </w:r>
            <w:r w:rsidRPr="00000C8A">
              <w:rPr>
                <w:rFonts w:eastAsia="Times New Roman"/>
                <w:b/>
                <w:bCs/>
                <w:color w:val="FFFFFF"/>
                <w:sz w:val="22"/>
                <w:szCs w:val="22"/>
              </w:rPr>
              <w:t>$413,906</w:t>
            </w:r>
          </w:p>
          <w:p w:rsidR="009D69C4" w:rsidRPr="00000C8A" w:rsidRDefault="009D69C4" w:rsidP="009D69C4">
            <w:pPr>
              <w:jc w:val="center"/>
              <w:rPr>
                <w:rFonts w:eastAsia="Times New Roman"/>
                <w:b/>
                <w:bCs/>
                <w:color w:val="FFFFFF"/>
              </w:rPr>
            </w:pPr>
          </w:p>
        </w:tc>
      </w:tr>
      <w:tr w:rsidR="006A41AC" w:rsidRPr="00ED0209" w:rsidTr="009D69C4">
        <w:trPr>
          <w:trHeight w:val="576"/>
          <w:jc w:val="center"/>
        </w:trPr>
        <w:tc>
          <w:tcPr>
            <w:tcW w:w="3690" w:type="dxa"/>
            <w:gridSpan w:val="3"/>
            <w:tcBorders>
              <w:top w:val="single" w:sz="4" w:space="0" w:color="auto"/>
              <w:left w:val="single" w:sz="4" w:space="0" w:color="auto"/>
              <w:bottom w:val="single" w:sz="4" w:space="0" w:color="auto"/>
              <w:right w:val="single" w:sz="12" w:space="0" w:color="auto"/>
            </w:tcBorders>
            <w:shd w:val="clear" w:color="auto" w:fill="B1DDCD"/>
            <w:vAlign w:val="center"/>
            <w:hideMark/>
          </w:tcPr>
          <w:p w:rsidR="006A41AC" w:rsidRPr="00000C8A" w:rsidRDefault="006A41AC" w:rsidP="009D69C4">
            <w:pPr>
              <w:jc w:val="center"/>
              <w:rPr>
                <w:rFonts w:eastAsia="Times New Roman"/>
                <w:b/>
                <w:bCs/>
                <w:color w:val="000000" w:themeColor="text1"/>
              </w:rPr>
            </w:pPr>
            <w:r w:rsidRPr="00000C8A">
              <w:rPr>
                <w:rFonts w:eastAsia="Times New Roman"/>
                <w:b/>
                <w:bCs/>
                <w:color w:val="000000" w:themeColor="text1"/>
                <w:sz w:val="22"/>
                <w:szCs w:val="22"/>
              </w:rPr>
              <w:t>Existing Fee Structure</w:t>
            </w:r>
          </w:p>
        </w:tc>
        <w:tc>
          <w:tcPr>
            <w:tcW w:w="4104" w:type="dxa"/>
            <w:gridSpan w:val="3"/>
            <w:tcBorders>
              <w:top w:val="single" w:sz="4" w:space="0" w:color="auto"/>
              <w:left w:val="single" w:sz="12" w:space="0" w:color="auto"/>
              <w:bottom w:val="single" w:sz="4" w:space="0" w:color="auto"/>
              <w:right w:val="single" w:sz="12" w:space="0" w:color="auto"/>
            </w:tcBorders>
            <w:shd w:val="clear" w:color="auto" w:fill="B1DDCD"/>
            <w:vAlign w:val="center"/>
            <w:hideMark/>
          </w:tcPr>
          <w:p w:rsidR="006A41AC" w:rsidRPr="00000C8A" w:rsidRDefault="006A41AC" w:rsidP="009D69C4">
            <w:pPr>
              <w:jc w:val="center"/>
              <w:rPr>
                <w:rFonts w:eastAsia="Times New Roman"/>
                <w:b/>
                <w:bCs/>
                <w:color w:val="000000" w:themeColor="text1"/>
              </w:rPr>
            </w:pPr>
            <w:r w:rsidRPr="00000C8A">
              <w:rPr>
                <w:rFonts w:eastAsia="Times New Roman"/>
                <w:b/>
                <w:bCs/>
                <w:color w:val="000000" w:themeColor="text1"/>
                <w:sz w:val="22"/>
                <w:szCs w:val="22"/>
              </w:rPr>
              <w:t>Units Sold in Oregon</w:t>
            </w:r>
          </w:p>
        </w:tc>
        <w:tc>
          <w:tcPr>
            <w:tcW w:w="2520" w:type="dxa"/>
            <w:gridSpan w:val="2"/>
            <w:tcBorders>
              <w:top w:val="single" w:sz="4" w:space="0" w:color="auto"/>
              <w:left w:val="single" w:sz="12" w:space="0" w:color="auto"/>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rPr>
            </w:pPr>
            <w:r w:rsidRPr="00000C8A">
              <w:rPr>
                <w:rFonts w:eastAsia="Times New Roman"/>
                <w:b/>
                <w:bCs/>
                <w:color w:val="000000" w:themeColor="text1"/>
                <w:sz w:val="22"/>
                <w:szCs w:val="22"/>
              </w:rPr>
              <w:t>Cost/Unit Sold</w:t>
            </w:r>
            <w:r w:rsidRPr="00000C8A">
              <w:rPr>
                <w:rFonts w:eastAsia="Times New Roman"/>
                <w:b/>
                <w:bCs/>
                <w:color w:val="000000" w:themeColor="text1"/>
                <w:sz w:val="22"/>
                <w:szCs w:val="22"/>
                <w:vertAlign w:val="superscript"/>
              </w:rPr>
              <w:t>1</w:t>
            </w:r>
          </w:p>
        </w:tc>
      </w:tr>
      <w:tr w:rsidR="006A41AC" w:rsidRPr="00ED0209" w:rsidTr="009D69C4">
        <w:trPr>
          <w:trHeight w:val="576"/>
          <w:jc w:val="center"/>
        </w:trPr>
        <w:tc>
          <w:tcPr>
            <w:tcW w:w="630" w:type="dxa"/>
            <w:tcBorders>
              <w:top w:val="nil"/>
              <w:left w:val="single" w:sz="4" w:space="0" w:color="auto"/>
              <w:bottom w:val="single" w:sz="4" w:space="0" w:color="auto"/>
              <w:right w:val="single" w:sz="4" w:space="0" w:color="auto"/>
            </w:tcBorders>
            <w:shd w:val="clear" w:color="auto" w:fill="B1DDCD"/>
            <w:noWrap/>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Tier</w:t>
            </w:r>
          </w:p>
        </w:tc>
        <w:tc>
          <w:tcPr>
            <w:tcW w:w="1980" w:type="dxa"/>
            <w:tcBorders>
              <w:top w:val="nil"/>
              <w:left w:val="nil"/>
              <w:bottom w:val="single" w:sz="4" w:space="0" w:color="auto"/>
              <w:right w:val="nil"/>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Market Share</w:t>
            </w:r>
          </w:p>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(MS)</w:t>
            </w:r>
          </w:p>
        </w:tc>
        <w:tc>
          <w:tcPr>
            <w:tcW w:w="1080" w:type="dxa"/>
            <w:tcBorders>
              <w:top w:val="nil"/>
              <w:left w:val="single" w:sz="4" w:space="0" w:color="auto"/>
              <w:bottom w:val="single" w:sz="4" w:space="0" w:color="auto"/>
              <w:right w:val="single" w:sz="12"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Fee</w:t>
            </w:r>
          </w:p>
        </w:tc>
        <w:tc>
          <w:tcPr>
            <w:tcW w:w="1134" w:type="dxa"/>
            <w:tcBorders>
              <w:top w:val="nil"/>
              <w:left w:val="nil"/>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Total</w:t>
            </w:r>
          </w:p>
        </w:tc>
        <w:tc>
          <w:tcPr>
            <w:tcW w:w="1854" w:type="dxa"/>
            <w:tcBorders>
              <w:top w:val="nil"/>
              <w:left w:val="nil"/>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Range</w:t>
            </w:r>
          </w:p>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High-Low MS</w:t>
            </w:r>
          </w:p>
        </w:tc>
        <w:tc>
          <w:tcPr>
            <w:tcW w:w="1116" w:type="dxa"/>
            <w:tcBorders>
              <w:top w:val="nil"/>
              <w:left w:val="nil"/>
              <w:bottom w:val="single" w:sz="4" w:space="0" w:color="auto"/>
              <w:right w:val="single" w:sz="12"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Average</w:t>
            </w:r>
          </w:p>
        </w:tc>
        <w:tc>
          <w:tcPr>
            <w:tcW w:w="1404" w:type="dxa"/>
            <w:tcBorders>
              <w:top w:val="nil"/>
              <w:left w:val="single" w:sz="12" w:space="0" w:color="auto"/>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Range</w:t>
            </w:r>
          </w:p>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High-Low MS</w:t>
            </w:r>
          </w:p>
        </w:tc>
        <w:tc>
          <w:tcPr>
            <w:tcW w:w="1116" w:type="dxa"/>
            <w:tcBorders>
              <w:top w:val="nil"/>
              <w:left w:val="nil"/>
              <w:bottom w:val="single" w:sz="4" w:space="0" w:color="auto"/>
              <w:right w:val="single" w:sz="4" w:space="0" w:color="auto"/>
            </w:tcBorders>
            <w:shd w:val="clear" w:color="auto" w:fill="B1DDCD"/>
            <w:vAlign w:val="center"/>
            <w:hideMark/>
          </w:tcPr>
          <w:p w:rsidR="006A41AC" w:rsidRPr="00000C8A" w:rsidRDefault="006A41AC" w:rsidP="009D69C4">
            <w:pPr>
              <w:jc w:val="center"/>
              <w:rPr>
                <w:rFonts w:eastAsia="Times New Roman"/>
                <w:b/>
                <w:bCs/>
                <w:color w:val="000000" w:themeColor="text1"/>
                <w:sz w:val="20"/>
                <w:szCs w:val="20"/>
              </w:rPr>
            </w:pPr>
            <w:r w:rsidRPr="00000C8A">
              <w:rPr>
                <w:rFonts w:eastAsia="Times New Roman"/>
                <w:b/>
                <w:bCs/>
                <w:color w:val="000000" w:themeColor="text1"/>
                <w:sz w:val="20"/>
                <w:szCs w:val="20"/>
              </w:rPr>
              <w:t>Average</w:t>
            </w:r>
          </w:p>
        </w:tc>
      </w:tr>
      <w:tr w:rsidR="006A41AC" w:rsidRPr="00613170" w:rsidTr="009D69C4">
        <w:trPr>
          <w:trHeight w:val="464"/>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1</w:t>
            </w:r>
          </w:p>
        </w:tc>
        <w:tc>
          <w:tcPr>
            <w:tcW w:w="1980" w:type="dxa"/>
            <w:tcBorders>
              <w:top w:val="nil"/>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5% or greater</w:t>
            </w:r>
          </w:p>
        </w:tc>
        <w:tc>
          <w:tcPr>
            <w:tcW w:w="1080" w:type="dxa"/>
            <w:tcBorders>
              <w:top w:val="nil"/>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$35,000</w:t>
            </w:r>
          </w:p>
        </w:tc>
        <w:tc>
          <w:tcPr>
            <w:tcW w:w="1134"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1,059,319</w:t>
            </w:r>
          </w:p>
        </w:tc>
        <w:tc>
          <w:tcPr>
            <w:tcW w:w="1854"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108,397 - 272,251</w:t>
            </w:r>
          </w:p>
        </w:tc>
        <w:tc>
          <w:tcPr>
            <w:tcW w:w="1116" w:type="dxa"/>
            <w:tcBorders>
              <w:top w:val="nil"/>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176,553</w:t>
            </w:r>
          </w:p>
        </w:tc>
        <w:tc>
          <w:tcPr>
            <w:tcW w:w="1404" w:type="dxa"/>
            <w:tcBorders>
              <w:top w:val="nil"/>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$0.13 - $0.32</w:t>
            </w:r>
          </w:p>
        </w:tc>
        <w:tc>
          <w:tcPr>
            <w:tcW w:w="1116"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$0.20</w:t>
            </w:r>
          </w:p>
        </w:tc>
      </w:tr>
      <w:tr w:rsidR="006A41AC" w:rsidRPr="00613170" w:rsidTr="009D69C4">
        <w:trPr>
          <w:trHeight w:val="464"/>
          <w:jc w:val="center"/>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2</w:t>
            </w:r>
          </w:p>
        </w:tc>
        <w:tc>
          <w:tcPr>
            <w:tcW w:w="1980" w:type="dxa"/>
            <w:tcBorders>
              <w:top w:val="nil"/>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1% to &lt; 5%</w:t>
            </w:r>
          </w:p>
        </w:tc>
        <w:tc>
          <w:tcPr>
            <w:tcW w:w="1080" w:type="dxa"/>
            <w:tcBorders>
              <w:top w:val="nil"/>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$17,468</w:t>
            </w:r>
          </w:p>
        </w:tc>
        <w:tc>
          <w:tcPr>
            <w:tcW w:w="1134"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400,777</w:t>
            </w:r>
          </w:p>
        </w:tc>
        <w:tc>
          <w:tcPr>
            <w:tcW w:w="1854"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17,345 - 71,000</w:t>
            </w:r>
          </w:p>
        </w:tc>
        <w:tc>
          <w:tcPr>
            <w:tcW w:w="1116" w:type="dxa"/>
            <w:tcBorders>
              <w:top w:val="nil"/>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44,531</w:t>
            </w:r>
          </w:p>
        </w:tc>
        <w:tc>
          <w:tcPr>
            <w:tcW w:w="1404" w:type="dxa"/>
            <w:tcBorders>
              <w:top w:val="nil"/>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$0.25 - $1.01</w:t>
            </w:r>
          </w:p>
        </w:tc>
        <w:tc>
          <w:tcPr>
            <w:tcW w:w="1116" w:type="dxa"/>
            <w:tcBorders>
              <w:top w:val="nil"/>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$0.39</w:t>
            </w:r>
          </w:p>
        </w:tc>
      </w:tr>
      <w:tr w:rsidR="006A41AC" w:rsidRPr="00613170" w:rsidTr="009D69C4">
        <w:trPr>
          <w:trHeight w:val="465"/>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3</w:t>
            </w:r>
          </w:p>
        </w:tc>
        <w:tc>
          <w:tcPr>
            <w:tcW w:w="1980" w:type="dxa"/>
            <w:tcBorders>
              <w:top w:val="single" w:sz="4" w:space="0" w:color="auto"/>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0.1% to &lt; 1%</w:t>
            </w:r>
          </w:p>
        </w:tc>
        <w:tc>
          <w:tcPr>
            <w:tcW w:w="108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$1,847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89,444</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1,651 - 13,658</w:t>
            </w:r>
          </w:p>
        </w:tc>
        <w:tc>
          <w:tcPr>
            <w:tcW w:w="1116" w:type="dxa"/>
            <w:tcBorders>
              <w:top w:val="single" w:sz="4" w:space="0" w:color="auto"/>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4,708</w:t>
            </w:r>
          </w:p>
        </w:tc>
        <w:tc>
          <w:tcPr>
            <w:tcW w:w="140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$0.14 - $1.12</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$0.39</w:t>
            </w:r>
          </w:p>
        </w:tc>
      </w:tr>
      <w:tr w:rsidR="006A41AC" w:rsidRPr="00613170" w:rsidTr="009D69C4">
        <w:trPr>
          <w:trHeight w:val="464"/>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lastRenderedPageBreak/>
              <w:t>4</w:t>
            </w:r>
          </w:p>
        </w:tc>
        <w:tc>
          <w:tcPr>
            <w:tcW w:w="1980" w:type="dxa"/>
            <w:tcBorders>
              <w:top w:val="single" w:sz="4" w:space="0" w:color="auto"/>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0.03% to &lt; 0.1%</w:t>
            </w:r>
          </w:p>
        </w:tc>
        <w:tc>
          <w:tcPr>
            <w:tcW w:w="108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$406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8,274</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471 - 1,481</w:t>
            </w:r>
          </w:p>
        </w:tc>
        <w:tc>
          <w:tcPr>
            <w:tcW w:w="1116" w:type="dxa"/>
            <w:tcBorders>
              <w:top w:val="single" w:sz="4" w:space="0" w:color="auto"/>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1,034</w:t>
            </w:r>
          </w:p>
        </w:tc>
        <w:tc>
          <w:tcPr>
            <w:tcW w:w="140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$0.27 - $0.86</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$0.39</w:t>
            </w:r>
          </w:p>
        </w:tc>
      </w:tr>
      <w:tr w:rsidR="006A41AC" w:rsidRPr="00613170" w:rsidTr="009D69C4">
        <w:trPr>
          <w:trHeight w:val="465"/>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5</w:t>
            </w:r>
          </w:p>
        </w:tc>
        <w:tc>
          <w:tcPr>
            <w:tcW w:w="1980" w:type="dxa"/>
            <w:tcBorders>
              <w:top w:val="single" w:sz="4" w:space="0" w:color="auto"/>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0.01% to &lt; 0.03%</w:t>
            </w:r>
          </w:p>
        </w:tc>
        <w:tc>
          <w:tcPr>
            <w:tcW w:w="108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2,424</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176 - 394</w:t>
            </w:r>
          </w:p>
        </w:tc>
        <w:tc>
          <w:tcPr>
            <w:tcW w:w="1116" w:type="dxa"/>
            <w:tcBorders>
              <w:top w:val="single" w:sz="4" w:space="0" w:color="auto"/>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303</w:t>
            </w:r>
          </w:p>
        </w:tc>
        <w:tc>
          <w:tcPr>
            <w:tcW w:w="140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$0.51 - $1.14</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$0.66</w:t>
            </w:r>
          </w:p>
        </w:tc>
      </w:tr>
      <w:tr w:rsidR="006A41AC" w:rsidRPr="00613170" w:rsidTr="009D69C4">
        <w:trPr>
          <w:trHeight w:val="464"/>
          <w:jc w:val="center"/>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6</w:t>
            </w:r>
          </w:p>
        </w:tc>
        <w:tc>
          <w:tcPr>
            <w:tcW w:w="1980" w:type="dxa"/>
            <w:tcBorders>
              <w:top w:val="single" w:sz="4" w:space="0" w:color="auto"/>
              <w:left w:val="nil"/>
              <w:bottom w:val="single" w:sz="4"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50 units to&lt; 0.01%</w:t>
            </w:r>
          </w:p>
        </w:tc>
        <w:tc>
          <w:tcPr>
            <w:tcW w:w="108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1,372</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50 - 148</w:t>
            </w:r>
          </w:p>
        </w:tc>
        <w:tc>
          <w:tcPr>
            <w:tcW w:w="1116" w:type="dxa"/>
            <w:tcBorders>
              <w:top w:val="single" w:sz="4" w:space="0" w:color="auto"/>
              <w:left w:val="nil"/>
              <w:bottom w:val="single" w:sz="4"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91</w:t>
            </w:r>
          </w:p>
        </w:tc>
        <w:tc>
          <w:tcPr>
            <w:tcW w:w="140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$1.35 - $4.00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$2.20</w:t>
            </w:r>
          </w:p>
        </w:tc>
      </w:tr>
      <w:tr w:rsidR="006A41AC" w:rsidRPr="00613170" w:rsidTr="009D69C4">
        <w:trPr>
          <w:trHeight w:val="267"/>
          <w:jc w:val="center"/>
        </w:trPr>
        <w:tc>
          <w:tcPr>
            <w:tcW w:w="63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r w:rsidRPr="009D69C4">
              <w:rPr>
                <w:rFonts w:asciiTheme="minorHAnsi" w:eastAsia="Times New Roman" w:hAnsiTheme="minorHAnsi" w:cstheme="minorHAnsi"/>
                <w:color w:val="000000"/>
                <w:sz w:val="22"/>
                <w:szCs w:val="22"/>
              </w:rPr>
              <w:t>7</w:t>
            </w:r>
          </w:p>
        </w:tc>
        <w:tc>
          <w:tcPr>
            <w:tcW w:w="1980" w:type="dxa"/>
            <w:tcBorders>
              <w:top w:val="single" w:sz="4" w:space="0" w:color="auto"/>
              <w:left w:val="nil"/>
              <w:bottom w:val="single" w:sz="12" w:space="0" w:color="auto"/>
              <w:right w:val="nil"/>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eastAsia="Times New Roman" w:hAnsiTheme="minorHAnsi" w:cstheme="minorHAnsi"/>
                <w:color w:val="000000"/>
                <w:sz w:val="22"/>
                <w:szCs w:val="22"/>
              </w:rPr>
              <w:t>&lt; 50 units</w:t>
            </w:r>
          </w:p>
        </w:tc>
        <w:tc>
          <w:tcPr>
            <w:tcW w:w="1080"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$40</w:t>
            </w:r>
          </w:p>
        </w:tc>
        <w:tc>
          <w:tcPr>
            <w:tcW w:w="1134" w:type="dxa"/>
            <w:tcBorders>
              <w:top w:val="single" w:sz="4" w:space="0" w:color="auto"/>
              <w:left w:val="nil"/>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406</w:t>
            </w:r>
          </w:p>
        </w:tc>
        <w:tc>
          <w:tcPr>
            <w:tcW w:w="1854" w:type="dxa"/>
            <w:tcBorders>
              <w:top w:val="single" w:sz="4" w:space="0" w:color="auto"/>
              <w:left w:val="nil"/>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1 - 46</w:t>
            </w:r>
          </w:p>
        </w:tc>
        <w:tc>
          <w:tcPr>
            <w:tcW w:w="1116" w:type="dxa"/>
            <w:tcBorders>
              <w:top w:val="single" w:sz="4" w:space="0" w:color="auto"/>
              <w:left w:val="nil"/>
              <w:bottom w:val="single" w:sz="12" w:space="0" w:color="auto"/>
              <w:right w:val="single" w:sz="12"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20</w:t>
            </w:r>
          </w:p>
        </w:tc>
        <w:tc>
          <w:tcPr>
            <w:tcW w:w="1404"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$0.87 - $40</w:t>
            </w:r>
            <w:r w:rsidRPr="009D69C4">
              <w:rPr>
                <w:rFonts w:asciiTheme="minorHAnsi" w:hAnsiTheme="minorHAnsi" w:cstheme="minorHAnsi"/>
                <w:color w:val="000000"/>
                <w:sz w:val="22"/>
                <w:szCs w:val="22"/>
                <w:vertAlign w:val="superscript"/>
              </w:rPr>
              <w:t>2</w:t>
            </w:r>
          </w:p>
        </w:tc>
        <w:tc>
          <w:tcPr>
            <w:tcW w:w="1116" w:type="dxa"/>
            <w:tcBorders>
              <w:top w:val="single" w:sz="4" w:space="0" w:color="auto"/>
              <w:left w:val="nil"/>
              <w:bottom w:val="single" w:sz="12"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hAnsiTheme="minorHAnsi" w:cstheme="minorHAnsi"/>
                <w:color w:val="000000"/>
              </w:rPr>
            </w:pPr>
            <w:r w:rsidRPr="009D69C4">
              <w:rPr>
                <w:rFonts w:asciiTheme="minorHAnsi" w:hAnsiTheme="minorHAnsi" w:cstheme="minorHAnsi"/>
                <w:color w:val="000000"/>
                <w:sz w:val="22"/>
                <w:szCs w:val="22"/>
              </w:rPr>
              <w:t>$2.00</w:t>
            </w:r>
            <w:r w:rsidRPr="009D69C4">
              <w:rPr>
                <w:rFonts w:asciiTheme="minorHAnsi" w:hAnsiTheme="minorHAnsi" w:cstheme="minorHAnsi"/>
                <w:color w:val="000000"/>
                <w:sz w:val="22"/>
                <w:szCs w:val="22"/>
                <w:vertAlign w:val="superscript"/>
              </w:rPr>
              <w:t>2</w:t>
            </w:r>
          </w:p>
        </w:tc>
      </w:tr>
      <w:tr w:rsidR="006A41AC" w:rsidRPr="00ED0209" w:rsidTr="009D69C4">
        <w:trPr>
          <w:trHeight w:val="402"/>
          <w:jc w:val="center"/>
        </w:trPr>
        <w:tc>
          <w:tcPr>
            <w:tcW w:w="2610" w:type="dxa"/>
            <w:gridSpan w:val="2"/>
            <w:tcBorders>
              <w:top w:val="single" w:sz="12" w:space="0" w:color="auto"/>
              <w:left w:val="single" w:sz="4"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b/>
                <w:bCs/>
                <w:color w:val="000000"/>
              </w:rPr>
            </w:pPr>
            <w:r w:rsidRPr="009D69C4">
              <w:rPr>
                <w:rFonts w:asciiTheme="minorHAnsi" w:eastAsia="Times New Roman" w:hAnsiTheme="minorHAnsi" w:cstheme="minorHAnsi"/>
                <w:b/>
                <w:bCs/>
                <w:color w:val="000000"/>
                <w:sz w:val="22"/>
                <w:szCs w:val="22"/>
              </w:rPr>
              <w:t>Totals:</w:t>
            </w:r>
          </w:p>
        </w:tc>
        <w:tc>
          <w:tcPr>
            <w:tcW w:w="1080"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b/>
                <w:bCs/>
                <w:color w:val="000000"/>
              </w:rPr>
            </w:pPr>
            <w:r w:rsidRPr="009D69C4">
              <w:rPr>
                <w:rFonts w:asciiTheme="minorHAnsi" w:eastAsia="Times New Roman" w:hAnsiTheme="minorHAnsi" w:cstheme="minorHAnsi"/>
                <w:b/>
                <w:bCs/>
                <w:color w:val="000000"/>
                <w:sz w:val="22"/>
                <w:szCs w:val="22"/>
              </w:rPr>
              <w:t>$413,906</w:t>
            </w:r>
          </w:p>
        </w:tc>
        <w:tc>
          <w:tcPr>
            <w:tcW w:w="1134"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b/>
                <w:bCs/>
                <w:color w:val="000000"/>
              </w:rPr>
            </w:pPr>
            <w:r w:rsidRPr="009D69C4">
              <w:rPr>
                <w:rFonts w:asciiTheme="minorHAnsi" w:eastAsia="Times New Roman" w:hAnsiTheme="minorHAnsi" w:cstheme="minorHAnsi"/>
                <w:b/>
                <w:bCs/>
                <w:color w:val="000000"/>
                <w:sz w:val="22"/>
                <w:szCs w:val="22"/>
              </w:rPr>
              <w:t>1,562,016</w:t>
            </w:r>
          </w:p>
        </w:tc>
        <w:tc>
          <w:tcPr>
            <w:tcW w:w="1854"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p>
        </w:tc>
        <w:tc>
          <w:tcPr>
            <w:tcW w:w="1116"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p>
        </w:tc>
        <w:tc>
          <w:tcPr>
            <w:tcW w:w="1404" w:type="dxa"/>
            <w:tcBorders>
              <w:top w:val="single" w:sz="12" w:space="0" w:color="auto"/>
              <w:bottom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p>
        </w:tc>
        <w:tc>
          <w:tcPr>
            <w:tcW w:w="1116" w:type="dxa"/>
            <w:tcBorders>
              <w:top w:val="single" w:sz="12" w:space="0" w:color="auto"/>
              <w:bottom w:val="single" w:sz="4" w:space="0" w:color="auto"/>
              <w:right w:val="single" w:sz="4" w:space="0" w:color="auto"/>
            </w:tcBorders>
            <w:shd w:val="clear" w:color="auto" w:fill="auto"/>
            <w:noWrap/>
            <w:vAlign w:val="center"/>
            <w:hideMark/>
          </w:tcPr>
          <w:p w:rsidR="006A41AC" w:rsidRPr="009D69C4" w:rsidRDefault="006A41AC" w:rsidP="009D69C4">
            <w:pPr>
              <w:jc w:val="center"/>
              <w:rPr>
                <w:rFonts w:asciiTheme="minorHAnsi" w:eastAsia="Times New Roman" w:hAnsiTheme="minorHAnsi" w:cstheme="minorHAnsi"/>
                <w:color w:val="000000"/>
              </w:rPr>
            </w:pPr>
          </w:p>
        </w:tc>
      </w:tr>
      <w:tr w:rsidR="006A41AC" w:rsidRPr="00ED0209" w:rsidTr="009D69C4">
        <w:trPr>
          <w:trHeight w:val="402"/>
          <w:jc w:val="center"/>
        </w:trPr>
        <w:tc>
          <w:tcPr>
            <w:tcW w:w="10314" w:type="dxa"/>
            <w:gridSpan w:val="8"/>
            <w:tcBorders>
              <w:top w:val="single" w:sz="4" w:space="0" w:color="auto"/>
            </w:tcBorders>
            <w:shd w:val="clear" w:color="auto" w:fill="auto"/>
            <w:noWrap/>
            <w:vAlign w:val="center"/>
            <w:hideMark/>
          </w:tcPr>
          <w:p w:rsidR="006A41AC" w:rsidRPr="008336FC" w:rsidRDefault="00981F50" w:rsidP="009D69C4">
            <w:pPr>
              <w:spacing w:before="120"/>
              <w:ind w:right="1368"/>
              <w:rPr>
                <w:rFonts w:asciiTheme="minorHAnsi" w:eastAsia="Times New Roman" w:hAnsiTheme="minorHAnsi" w:cstheme="minorHAnsi"/>
                <w:bCs/>
                <w:color w:val="000000"/>
                <w:sz w:val="20"/>
                <w:szCs w:val="20"/>
              </w:rPr>
            </w:pPr>
            <w:r>
              <w:rPr>
                <w:rFonts w:asciiTheme="minorHAnsi" w:eastAsia="Times New Roman" w:hAnsiTheme="minorHAnsi" w:cstheme="minorHAnsi"/>
                <w:bCs/>
                <w:color w:val="000000"/>
                <w:sz w:val="20"/>
                <w:szCs w:val="20"/>
                <w:vertAlign w:val="superscript"/>
              </w:rPr>
              <w:t>1</w:t>
            </w:r>
            <w:r w:rsidRPr="008336FC">
              <w:rPr>
                <w:rFonts w:asciiTheme="minorHAnsi" w:eastAsia="Times New Roman" w:hAnsiTheme="minorHAnsi" w:cstheme="minorHAnsi"/>
                <w:bCs/>
                <w:color w:val="000000"/>
                <w:sz w:val="20"/>
                <w:szCs w:val="20"/>
              </w:rPr>
              <w:t>Cost</w:t>
            </w:r>
            <w:r w:rsidR="00F73FD6">
              <w:rPr>
                <w:rFonts w:asciiTheme="minorHAnsi" w:eastAsia="Times New Roman" w:hAnsiTheme="minorHAnsi" w:cstheme="minorHAnsi"/>
                <w:bCs/>
                <w:color w:val="000000"/>
                <w:sz w:val="20"/>
                <w:szCs w:val="20"/>
              </w:rPr>
              <w:t xml:space="preserve"> per </w:t>
            </w:r>
            <w:r w:rsidR="006A41AC" w:rsidRPr="008336FC">
              <w:rPr>
                <w:rFonts w:asciiTheme="minorHAnsi" w:eastAsia="Times New Roman" w:hAnsiTheme="minorHAnsi" w:cstheme="minorHAnsi"/>
                <w:bCs/>
                <w:color w:val="000000"/>
                <w:sz w:val="20"/>
                <w:szCs w:val="20"/>
              </w:rPr>
              <w:t xml:space="preserve">unit sold varies each year based on the total number of units sold and a manufacturer’s </w:t>
            </w:r>
          </w:p>
          <w:p w:rsidR="006A41AC" w:rsidRPr="008336FC" w:rsidRDefault="006A41AC" w:rsidP="009D69C4">
            <w:pPr>
              <w:ind w:right="1366"/>
              <w:rPr>
                <w:rFonts w:asciiTheme="minorHAnsi" w:eastAsia="Times New Roman" w:hAnsiTheme="minorHAnsi" w:cstheme="minorHAnsi"/>
                <w:bCs/>
                <w:color w:val="000000"/>
                <w:sz w:val="20"/>
                <w:szCs w:val="20"/>
              </w:rPr>
            </w:pPr>
            <w:r w:rsidRPr="008336FC">
              <w:rPr>
                <w:rFonts w:asciiTheme="minorHAnsi" w:eastAsia="Times New Roman" w:hAnsiTheme="minorHAnsi" w:cstheme="minorHAnsi"/>
                <w:bCs/>
                <w:color w:val="000000"/>
                <w:sz w:val="20"/>
                <w:szCs w:val="20"/>
              </w:rPr>
              <w:t>market share and fee.</w:t>
            </w:r>
          </w:p>
          <w:p w:rsidR="006A41AC" w:rsidRPr="008336FC" w:rsidRDefault="006A41AC" w:rsidP="009D69C4">
            <w:pPr>
              <w:ind w:right="1366"/>
              <w:rPr>
                <w:rFonts w:asciiTheme="minorHAnsi" w:eastAsia="Times New Roman" w:hAnsiTheme="minorHAnsi" w:cstheme="minorHAnsi"/>
                <w:bCs/>
                <w:color w:val="000000"/>
                <w:sz w:val="20"/>
                <w:szCs w:val="20"/>
              </w:rPr>
            </w:pPr>
            <w:r w:rsidRPr="008336FC">
              <w:rPr>
                <w:rFonts w:asciiTheme="minorHAnsi" w:eastAsia="Times New Roman" w:hAnsiTheme="minorHAnsi" w:cstheme="minorHAnsi"/>
                <w:bCs/>
                <w:color w:val="000000"/>
                <w:sz w:val="20"/>
                <w:szCs w:val="20"/>
                <w:vertAlign w:val="superscript"/>
              </w:rPr>
              <w:t>2</w:t>
            </w:r>
            <w:r w:rsidRPr="008336FC">
              <w:rPr>
                <w:rFonts w:asciiTheme="minorHAnsi" w:eastAsia="Times New Roman" w:hAnsiTheme="minorHAnsi" w:cstheme="minorHAnsi"/>
                <w:bCs/>
                <w:color w:val="000000"/>
                <w:sz w:val="20"/>
                <w:szCs w:val="20"/>
              </w:rPr>
              <w:t xml:space="preserve">Calculations include </w:t>
            </w:r>
            <w:r w:rsidRPr="008336FC">
              <w:rPr>
                <w:rFonts w:asciiTheme="minorHAnsi" w:eastAsia="Times New Roman" w:hAnsiTheme="minorHAnsi" w:cstheme="minorHAnsi"/>
                <w:bCs/>
                <w:color w:val="000000"/>
                <w:sz w:val="20"/>
                <w:szCs w:val="20"/>
              </w:rPr>
              <w:t>manufacturers with reported market share (exclude those with no market share.)</w:t>
            </w:r>
          </w:p>
          <w:p w:rsidR="006A41AC" w:rsidRPr="00ED0209" w:rsidRDefault="006A41AC" w:rsidP="009D69C4">
            <w:pPr>
              <w:ind w:left="1440" w:right="1458"/>
              <w:rPr>
                <w:rFonts w:eastAsia="Times New Roman"/>
                <w:color w:val="000000"/>
                <w:sz w:val="20"/>
                <w:szCs w:val="20"/>
              </w:rPr>
            </w:pPr>
          </w:p>
        </w:tc>
      </w:tr>
    </w:tbl>
    <w:p w:rsidR="009D69C4" w:rsidRDefault="009D69C4" w:rsidP="000D711B">
      <w:pPr>
        <w:spacing w:after="200" w:line="276" w:lineRule="auto"/>
        <w:jc w:val="center"/>
        <w:rPr>
          <w:rFonts w:eastAsia="Times New Roman"/>
          <w:b/>
          <w:bCs/>
          <w:color w:val="000000"/>
          <w:sz w:val="22"/>
          <w:szCs w:val="22"/>
        </w:rPr>
        <w:sectPr w:rsidR="009D69C4" w:rsidSect="008F3499">
          <w:pgSz w:w="12240" w:h="15840"/>
          <w:pgMar w:top="1350" w:right="360" w:bottom="1080" w:left="450" w:header="720" w:footer="720" w:gutter="0"/>
          <w:cols w:space="720"/>
          <w:docGrid w:linePitch="360"/>
        </w:sectPr>
      </w:pPr>
    </w:p>
    <w:tbl>
      <w:tblPr>
        <w:tblW w:w="0" w:type="auto"/>
        <w:jc w:val="center"/>
        <w:tblInd w:w="198" w:type="dxa"/>
        <w:tblLayout w:type="fixed"/>
        <w:tblLook w:val="04A0"/>
      </w:tblPr>
      <w:tblGrid>
        <w:gridCol w:w="738"/>
        <w:gridCol w:w="1602"/>
        <w:gridCol w:w="1062"/>
        <w:gridCol w:w="1242"/>
        <w:gridCol w:w="1872"/>
        <w:gridCol w:w="1242"/>
        <w:gridCol w:w="1512"/>
        <w:gridCol w:w="1008"/>
      </w:tblGrid>
      <w:tr w:rsidR="00000C8A" w:rsidRPr="00ED0209" w:rsidTr="009D69C4">
        <w:trPr>
          <w:trHeight w:val="1200"/>
          <w:jc w:val="center"/>
        </w:trPr>
        <w:tc>
          <w:tcPr>
            <w:tcW w:w="10278" w:type="dxa"/>
            <w:gridSpan w:val="8"/>
            <w:tcBorders>
              <w:top w:val="single" w:sz="4" w:space="0" w:color="auto"/>
              <w:left w:val="single" w:sz="4" w:space="0" w:color="auto"/>
              <w:bottom w:val="single" w:sz="4" w:space="0" w:color="auto"/>
              <w:right w:val="single" w:sz="4" w:space="0" w:color="auto"/>
            </w:tcBorders>
            <w:shd w:val="clear" w:color="auto" w:fill="008272"/>
            <w:vAlign w:val="center"/>
            <w:hideMark/>
          </w:tcPr>
          <w:p w:rsidR="006A41AC" w:rsidRDefault="006A41AC" w:rsidP="009D69C4">
            <w:pPr>
              <w:jc w:val="center"/>
              <w:rPr>
                <w:rFonts w:eastAsia="Times New Roman"/>
                <w:bCs/>
                <w:color w:val="FFFFFF"/>
              </w:rPr>
            </w:pPr>
          </w:p>
          <w:p w:rsidR="006A41AC" w:rsidRPr="006A41AC" w:rsidRDefault="006A41AC" w:rsidP="009D69C4">
            <w:pPr>
              <w:jc w:val="center"/>
              <w:rPr>
                <w:rFonts w:eastAsia="Times New Roman"/>
                <w:bCs/>
                <w:color w:val="FFFFFF"/>
              </w:rPr>
            </w:pPr>
            <w:r w:rsidRPr="006A41AC">
              <w:rPr>
                <w:rFonts w:eastAsia="Times New Roman"/>
                <w:bCs/>
                <w:color w:val="FFFFFF"/>
                <w:sz w:val="22"/>
                <w:szCs w:val="22"/>
              </w:rPr>
              <w:t>Table 6</w:t>
            </w:r>
          </w:p>
          <w:p w:rsidR="00000C8A" w:rsidRPr="00000C8A" w:rsidRDefault="00000C8A" w:rsidP="009D69C4">
            <w:pPr>
              <w:jc w:val="center"/>
              <w:rPr>
                <w:rFonts w:eastAsia="Times New Roman"/>
                <w:b/>
                <w:bCs/>
                <w:color w:val="FFFFFF"/>
              </w:rPr>
            </w:pPr>
            <w:r w:rsidRPr="00000C8A">
              <w:rPr>
                <w:rFonts w:eastAsia="Times New Roman"/>
                <w:b/>
                <w:bCs/>
                <w:color w:val="FFFFFF"/>
                <w:sz w:val="22"/>
                <w:szCs w:val="22"/>
              </w:rPr>
              <w:t>Cost per Unit - Existing Fee Structure</w:t>
            </w:r>
          </w:p>
          <w:p w:rsidR="00000C8A" w:rsidRPr="00000C8A" w:rsidRDefault="00000C8A" w:rsidP="009D69C4">
            <w:pPr>
              <w:jc w:val="center"/>
              <w:rPr>
                <w:rFonts w:eastAsia="Times New Roman"/>
                <w:b/>
                <w:bCs/>
                <w:color w:val="FFFFFF"/>
              </w:rPr>
            </w:pPr>
            <w:r w:rsidRPr="00000C8A">
              <w:rPr>
                <w:rFonts w:eastAsia="Times New Roman"/>
                <w:b/>
                <w:bCs/>
                <w:color w:val="FFFFFF"/>
                <w:sz w:val="22"/>
                <w:szCs w:val="22"/>
              </w:rPr>
              <w:t>Using E-Cycles data for 2012</w:t>
            </w:r>
          </w:p>
          <w:p w:rsidR="00000C8A" w:rsidRDefault="00000C8A" w:rsidP="009D69C4">
            <w:pPr>
              <w:jc w:val="center"/>
              <w:rPr>
                <w:rFonts w:eastAsia="Times New Roman"/>
                <w:b/>
                <w:bCs/>
                <w:color w:val="FFFFFF"/>
              </w:rPr>
            </w:pPr>
            <w:r w:rsidRPr="00000C8A">
              <w:rPr>
                <w:rFonts w:eastAsia="Times New Roman"/>
                <w:b/>
                <w:bCs/>
                <w:color w:val="FFFFFF"/>
                <w:sz w:val="22"/>
                <w:szCs w:val="22"/>
              </w:rPr>
              <w:t>Revenue generated:</w:t>
            </w:r>
            <w:r w:rsidR="00616723">
              <w:rPr>
                <w:rFonts w:eastAsia="Times New Roman"/>
                <w:b/>
                <w:bCs/>
                <w:color w:val="FFFFFF"/>
                <w:sz w:val="22"/>
                <w:szCs w:val="22"/>
              </w:rPr>
              <w:t xml:space="preserve"> </w:t>
            </w:r>
            <w:r w:rsidRPr="00000C8A">
              <w:rPr>
                <w:rFonts w:eastAsia="Times New Roman"/>
                <w:b/>
                <w:bCs/>
                <w:color w:val="FFFFFF"/>
                <w:sz w:val="22"/>
                <w:szCs w:val="22"/>
              </w:rPr>
              <w:t>$327,560</w:t>
            </w:r>
          </w:p>
          <w:p w:rsidR="006A41AC" w:rsidRPr="00000C8A" w:rsidRDefault="006A41AC" w:rsidP="009D69C4">
            <w:pPr>
              <w:jc w:val="center"/>
              <w:rPr>
                <w:rFonts w:eastAsia="Times New Roman"/>
                <w:b/>
                <w:bCs/>
                <w:color w:val="FFFFFF"/>
              </w:rPr>
            </w:pPr>
          </w:p>
        </w:tc>
      </w:tr>
      <w:tr w:rsidR="003845D8" w:rsidRPr="00ED0209" w:rsidTr="009D69C4">
        <w:trPr>
          <w:trHeight w:val="600"/>
          <w:jc w:val="center"/>
        </w:trPr>
        <w:tc>
          <w:tcPr>
            <w:tcW w:w="3402" w:type="dxa"/>
            <w:gridSpan w:val="3"/>
            <w:tcBorders>
              <w:top w:val="single" w:sz="4" w:space="0" w:color="auto"/>
              <w:left w:val="single" w:sz="4" w:space="0" w:color="auto"/>
              <w:bottom w:val="single" w:sz="4" w:space="0" w:color="auto"/>
              <w:right w:val="single" w:sz="12" w:space="0" w:color="auto"/>
            </w:tcBorders>
            <w:shd w:val="clear" w:color="auto" w:fill="B1DDCD"/>
            <w:vAlign w:val="center"/>
            <w:hideMark/>
          </w:tcPr>
          <w:p w:rsidR="00000C8A" w:rsidRPr="00000C8A" w:rsidRDefault="00000C8A" w:rsidP="009D69C4">
            <w:pPr>
              <w:jc w:val="center"/>
              <w:rPr>
                <w:rFonts w:eastAsia="Times New Roman"/>
                <w:b/>
                <w:bCs/>
                <w:color w:val="000000" w:themeColor="text1"/>
              </w:rPr>
            </w:pPr>
            <w:r w:rsidRPr="00000C8A">
              <w:rPr>
                <w:rFonts w:eastAsia="Times New Roman"/>
                <w:b/>
                <w:bCs/>
                <w:color w:val="000000" w:themeColor="text1"/>
                <w:sz w:val="22"/>
                <w:szCs w:val="22"/>
              </w:rPr>
              <w:t>Existing Fee Structure</w:t>
            </w:r>
          </w:p>
        </w:tc>
        <w:tc>
          <w:tcPr>
            <w:tcW w:w="4356" w:type="dxa"/>
            <w:gridSpan w:val="3"/>
            <w:tcBorders>
              <w:top w:val="single" w:sz="4" w:space="0" w:color="auto"/>
              <w:left w:val="single" w:sz="12" w:space="0" w:color="auto"/>
              <w:bottom w:val="single" w:sz="4" w:space="0" w:color="auto"/>
              <w:right w:val="single" w:sz="12" w:space="0" w:color="auto"/>
            </w:tcBorders>
            <w:shd w:val="clear" w:color="auto" w:fill="B1DDCD"/>
            <w:vAlign w:val="center"/>
            <w:hideMark/>
          </w:tcPr>
          <w:p w:rsidR="00000C8A" w:rsidRPr="00000C8A" w:rsidRDefault="00000C8A" w:rsidP="009D69C4">
            <w:pPr>
              <w:jc w:val="center"/>
              <w:rPr>
                <w:rFonts w:eastAsia="Times New Roman"/>
                <w:b/>
                <w:bCs/>
                <w:color w:val="000000" w:themeColor="text1"/>
              </w:rPr>
            </w:pPr>
            <w:r w:rsidRPr="00000C8A">
              <w:rPr>
                <w:rFonts w:eastAsia="Times New Roman"/>
                <w:b/>
                <w:bCs/>
                <w:color w:val="000000" w:themeColor="text1"/>
                <w:sz w:val="22"/>
                <w:szCs w:val="22"/>
              </w:rPr>
              <w:t>Units Sold in Oregon</w:t>
            </w:r>
          </w:p>
        </w:tc>
        <w:tc>
          <w:tcPr>
            <w:tcW w:w="2520" w:type="dxa"/>
            <w:gridSpan w:val="2"/>
            <w:tcBorders>
              <w:top w:val="single" w:sz="4" w:space="0" w:color="auto"/>
              <w:left w:val="single" w:sz="12" w:space="0" w:color="auto"/>
              <w:bottom w:val="single" w:sz="4" w:space="0" w:color="auto"/>
              <w:right w:val="single" w:sz="4" w:space="0" w:color="auto"/>
            </w:tcBorders>
            <w:shd w:val="clear" w:color="auto" w:fill="B1DDCD"/>
            <w:vAlign w:val="center"/>
            <w:hideMark/>
          </w:tcPr>
          <w:p w:rsidR="00000C8A" w:rsidRPr="00000C8A" w:rsidRDefault="00000C8A" w:rsidP="009D69C4">
            <w:pPr>
              <w:jc w:val="center"/>
              <w:rPr>
                <w:rFonts w:eastAsia="Times New Roman"/>
                <w:b/>
                <w:bCs/>
                <w:color w:val="000000" w:themeColor="text1"/>
              </w:rPr>
            </w:pPr>
            <w:r w:rsidRPr="00000C8A">
              <w:rPr>
                <w:rFonts w:eastAsia="Times New Roman"/>
                <w:b/>
                <w:bCs/>
                <w:color w:val="000000" w:themeColor="text1"/>
                <w:sz w:val="22"/>
                <w:szCs w:val="22"/>
              </w:rPr>
              <w:t>Cost/Unit Sold</w:t>
            </w:r>
            <w:r w:rsidRPr="00000C8A">
              <w:rPr>
                <w:rFonts w:eastAsia="Times New Roman"/>
                <w:b/>
                <w:bCs/>
                <w:color w:val="000000" w:themeColor="text1"/>
                <w:sz w:val="22"/>
                <w:szCs w:val="22"/>
                <w:vertAlign w:val="superscript"/>
              </w:rPr>
              <w:t>1</w:t>
            </w:r>
          </w:p>
        </w:tc>
      </w:tr>
      <w:tr w:rsidR="003845D8" w:rsidRPr="00ED0209" w:rsidTr="009D69C4">
        <w:trPr>
          <w:trHeight w:val="600"/>
          <w:jc w:val="center"/>
        </w:trPr>
        <w:tc>
          <w:tcPr>
            <w:tcW w:w="738" w:type="dxa"/>
            <w:tcBorders>
              <w:top w:val="nil"/>
              <w:left w:val="single" w:sz="4" w:space="0" w:color="auto"/>
              <w:bottom w:val="single" w:sz="4" w:space="0" w:color="auto"/>
              <w:right w:val="single" w:sz="4" w:space="0" w:color="auto"/>
            </w:tcBorders>
            <w:shd w:val="clear" w:color="auto" w:fill="B1DDCD"/>
            <w:noWrap/>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Tier</w:t>
            </w:r>
          </w:p>
        </w:tc>
        <w:tc>
          <w:tcPr>
            <w:tcW w:w="1602" w:type="dxa"/>
            <w:tcBorders>
              <w:top w:val="nil"/>
              <w:left w:val="nil"/>
              <w:bottom w:val="single" w:sz="4" w:space="0" w:color="auto"/>
              <w:right w:val="nil"/>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Market Share</w:t>
            </w:r>
          </w:p>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(MS)</w:t>
            </w:r>
          </w:p>
        </w:tc>
        <w:tc>
          <w:tcPr>
            <w:tcW w:w="1062" w:type="dxa"/>
            <w:tcBorders>
              <w:top w:val="nil"/>
              <w:left w:val="single" w:sz="4" w:space="0" w:color="auto"/>
              <w:bottom w:val="single" w:sz="4" w:space="0" w:color="auto"/>
              <w:right w:val="single" w:sz="12"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Fee</w:t>
            </w:r>
          </w:p>
        </w:tc>
        <w:tc>
          <w:tcPr>
            <w:tcW w:w="1242" w:type="dxa"/>
            <w:tcBorders>
              <w:top w:val="nil"/>
              <w:left w:val="nil"/>
              <w:bottom w:val="single" w:sz="4" w:space="0" w:color="auto"/>
              <w:right w:val="single" w:sz="4"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Total</w:t>
            </w:r>
          </w:p>
        </w:tc>
        <w:tc>
          <w:tcPr>
            <w:tcW w:w="1872" w:type="dxa"/>
            <w:tcBorders>
              <w:top w:val="nil"/>
              <w:left w:val="nil"/>
              <w:bottom w:val="single" w:sz="4" w:space="0" w:color="auto"/>
              <w:right w:val="single" w:sz="4"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Range</w:t>
            </w:r>
          </w:p>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High-Low MS</w:t>
            </w:r>
          </w:p>
        </w:tc>
        <w:tc>
          <w:tcPr>
            <w:tcW w:w="1242" w:type="dxa"/>
            <w:tcBorders>
              <w:top w:val="nil"/>
              <w:left w:val="nil"/>
              <w:bottom w:val="single" w:sz="4" w:space="0" w:color="auto"/>
              <w:right w:val="single" w:sz="12"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Average</w:t>
            </w:r>
          </w:p>
        </w:tc>
        <w:tc>
          <w:tcPr>
            <w:tcW w:w="1512" w:type="dxa"/>
            <w:tcBorders>
              <w:top w:val="nil"/>
              <w:left w:val="single" w:sz="12" w:space="0" w:color="auto"/>
              <w:bottom w:val="single" w:sz="4" w:space="0" w:color="auto"/>
              <w:right w:val="single" w:sz="4"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Range</w:t>
            </w:r>
          </w:p>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High-Low MS</w:t>
            </w:r>
          </w:p>
        </w:tc>
        <w:tc>
          <w:tcPr>
            <w:tcW w:w="1008" w:type="dxa"/>
            <w:tcBorders>
              <w:top w:val="nil"/>
              <w:left w:val="nil"/>
              <w:bottom w:val="single" w:sz="4" w:space="0" w:color="auto"/>
              <w:right w:val="single" w:sz="4" w:space="0" w:color="auto"/>
            </w:tcBorders>
            <w:shd w:val="clear" w:color="auto" w:fill="B1DDCD"/>
            <w:vAlign w:val="center"/>
            <w:hideMark/>
          </w:tcPr>
          <w:p w:rsidR="00000C8A" w:rsidRPr="008336FC" w:rsidRDefault="00000C8A" w:rsidP="009D69C4">
            <w:pPr>
              <w:jc w:val="center"/>
              <w:rPr>
                <w:rFonts w:eastAsia="Times New Roman"/>
                <w:b/>
                <w:bCs/>
                <w:color w:val="000000" w:themeColor="text1"/>
                <w:sz w:val="20"/>
                <w:szCs w:val="20"/>
              </w:rPr>
            </w:pPr>
            <w:r w:rsidRPr="008336FC">
              <w:rPr>
                <w:rFonts w:eastAsia="Times New Roman"/>
                <w:b/>
                <w:bCs/>
                <w:color w:val="000000" w:themeColor="text1"/>
                <w:sz w:val="20"/>
                <w:szCs w:val="20"/>
              </w:rPr>
              <w:t>Average</w:t>
            </w:r>
          </w:p>
        </w:tc>
      </w:tr>
      <w:tr w:rsidR="003845D8" w:rsidRPr="00ED0209" w:rsidTr="009D69C4">
        <w:trPr>
          <w:trHeight w:val="402"/>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w:t>
            </w:r>
          </w:p>
        </w:tc>
        <w:tc>
          <w:tcPr>
            <w:tcW w:w="1602" w:type="dxa"/>
            <w:tcBorders>
              <w:top w:val="nil"/>
              <w:left w:val="nil"/>
              <w:bottom w:val="single" w:sz="4" w:space="0" w:color="auto"/>
              <w:right w:val="nil"/>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&gt; 1%</w:t>
            </w:r>
          </w:p>
        </w:tc>
        <w:tc>
          <w:tcPr>
            <w:tcW w:w="1062" w:type="dxa"/>
            <w:tcBorders>
              <w:top w:val="nil"/>
              <w:left w:val="single" w:sz="4" w:space="0" w:color="auto"/>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$15,000</w:t>
            </w:r>
          </w:p>
        </w:tc>
        <w:tc>
          <w:tcPr>
            <w:tcW w:w="124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1,460,096</w:t>
            </w:r>
          </w:p>
        </w:tc>
        <w:tc>
          <w:tcPr>
            <w:tcW w:w="187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17,345 -</w:t>
            </w:r>
            <w:r w:rsidR="00616723">
              <w:rPr>
                <w:rFonts w:asciiTheme="minorHAnsi" w:eastAsia="Times New Roman" w:hAnsiTheme="minorHAnsi" w:cstheme="minorHAnsi"/>
                <w:color w:val="000000"/>
                <w:sz w:val="22"/>
                <w:szCs w:val="22"/>
              </w:rPr>
              <w:t xml:space="preserve"> </w:t>
            </w:r>
            <w:r w:rsidRPr="008336FC">
              <w:rPr>
                <w:rFonts w:asciiTheme="minorHAnsi" w:eastAsia="Times New Roman" w:hAnsiTheme="minorHAnsi" w:cstheme="minorHAnsi"/>
                <w:color w:val="000000"/>
                <w:sz w:val="22"/>
                <w:szCs w:val="22"/>
              </w:rPr>
              <w:t>272,251</w:t>
            </w:r>
          </w:p>
        </w:tc>
        <w:tc>
          <w:tcPr>
            <w:tcW w:w="1242" w:type="dxa"/>
            <w:tcBorders>
              <w:top w:val="nil"/>
              <w:left w:val="nil"/>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97,340</w:t>
            </w:r>
          </w:p>
        </w:tc>
        <w:tc>
          <w:tcPr>
            <w:tcW w:w="1512" w:type="dxa"/>
            <w:tcBorders>
              <w:top w:val="nil"/>
              <w:left w:val="single" w:sz="12"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$0.06 – 0.86</w:t>
            </w:r>
          </w:p>
        </w:tc>
        <w:tc>
          <w:tcPr>
            <w:tcW w:w="1008"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$0.15</w:t>
            </w:r>
          </w:p>
        </w:tc>
      </w:tr>
      <w:tr w:rsidR="003845D8" w:rsidRPr="00ED0209" w:rsidTr="009D69C4">
        <w:trPr>
          <w:trHeight w:val="402"/>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2</w:t>
            </w:r>
          </w:p>
        </w:tc>
        <w:tc>
          <w:tcPr>
            <w:tcW w:w="1602" w:type="dxa"/>
            <w:tcBorders>
              <w:top w:val="nil"/>
              <w:left w:val="nil"/>
              <w:bottom w:val="single" w:sz="4" w:space="0" w:color="auto"/>
              <w:right w:val="nil"/>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0.1% ≤ 1%</w:t>
            </w:r>
          </w:p>
        </w:tc>
        <w:tc>
          <w:tcPr>
            <w:tcW w:w="1062" w:type="dxa"/>
            <w:tcBorders>
              <w:top w:val="nil"/>
              <w:left w:val="single" w:sz="4" w:space="0" w:color="auto"/>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$5,000</w:t>
            </w:r>
          </w:p>
        </w:tc>
        <w:tc>
          <w:tcPr>
            <w:tcW w:w="124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89,444</w:t>
            </w:r>
          </w:p>
        </w:tc>
        <w:tc>
          <w:tcPr>
            <w:tcW w:w="187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1,651 – 13,659</w:t>
            </w:r>
          </w:p>
        </w:tc>
        <w:tc>
          <w:tcPr>
            <w:tcW w:w="1242" w:type="dxa"/>
            <w:tcBorders>
              <w:top w:val="nil"/>
              <w:left w:val="nil"/>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4,708</w:t>
            </w:r>
          </w:p>
        </w:tc>
        <w:tc>
          <w:tcPr>
            <w:tcW w:w="1512" w:type="dxa"/>
            <w:tcBorders>
              <w:top w:val="nil"/>
              <w:left w:val="single" w:sz="12"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$0.37 – 3.03</w:t>
            </w:r>
          </w:p>
        </w:tc>
        <w:tc>
          <w:tcPr>
            <w:tcW w:w="1008"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$1.06</w:t>
            </w:r>
          </w:p>
        </w:tc>
      </w:tr>
      <w:tr w:rsidR="003845D8" w:rsidRPr="00ED0209" w:rsidTr="009D69C4">
        <w:trPr>
          <w:trHeight w:val="402"/>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3</w:t>
            </w:r>
          </w:p>
        </w:tc>
        <w:tc>
          <w:tcPr>
            <w:tcW w:w="1602" w:type="dxa"/>
            <w:tcBorders>
              <w:top w:val="nil"/>
              <w:left w:val="nil"/>
              <w:bottom w:val="single" w:sz="4" w:space="0" w:color="auto"/>
              <w:right w:val="nil"/>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0.01% &lt; 0.1%</w:t>
            </w:r>
          </w:p>
        </w:tc>
        <w:tc>
          <w:tcPr>
            <w:tcW w:w="1062" w:type="dxa"/>
            <w:tcBorders>
              <w:top w:val="nil"/>
              <w:left w:val="single" w:sz="4" w:space="0" w:color="auto"/>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$200</w:t>
            </w:r>
          </w:p>
        </w:tc>
        <w:tc>
          <w:tcPr>
            <w:tcW w:w="124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10,697</w:t>
            </w:r>
          </w:p>
        </w:tc>
        <w:tc>
          <w:tcPr>
            <w:tcW w:w="1872"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176 – 1,481</w:t>
            </w:r>
          </w:p>
        </w:tc>
        <w:tc>
          <w:tcPr>
            <w:tcW w:w="1242" w:type="dxa"/>
            <w:tcBorders>
              <w:top w:val="nil"/>
              <w:left w:val="nil"/>
              <w:bottom w:val="single" w:sz="4"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669</w:t>
            </w:r>
          </w:p>
        </w:tc>
        <w:tc>
          <w:tcPr>
            <w:tcW w:w="1512" w:type="dxa"/>
            <w:tcBorders>
              <w:top w:val="nil"/>
              <w:left w:val="single" w:sz="12" w:space="0" w:color="auto"/>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$0.14 – 1.14</w:t>
            </w:r>
          </w:p>
        </w:tc>
        <w:tc>
          <w:tcPr>
            <w:tcW w:w="1008" w:type="dxa"/>
            <w:tcBorders>
              <w:top w:val="nil"/>
              <w:left w:val="nil"/>
              <w:bottom w:val="single" w:sz="4"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$0.30</w:t>
            </w:r>
          </w:p>
        </w:tc>
      </w:tr>
      <w:tr w:rsidR="003845D8" w:rsidRPr="00ED0209" w:rsidTr="009D69C4">
        <w:trPr>
          <w:trHeight w:val="402"/>
          <w:jc w:val="center"/>
        </w:trPr>
        <w:tc>
          <w:tcPr>
            <w:tcW w:w="738" w:type="dxa"/>
            <w:tcBorders>
              <w:top w:val="nil"/>
              <w:left w:val="single" w:sz="4" w:space="0" w:color="auto"/>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4</w:t>
            </w:r>
          </w:p>
        </w:tc>
        <w:tc>
          <w:tcPr>
            <w:tcW w:w="1602" w:type="dxa"/>
            <w:tcBorders>
              <w:top w:val="nil"/>
              <w:left w:val="nil"/>
              <w:bottom w:val="single" w:sz="12" w:space="0" w:color="auto"/>
              <w:right w:val="nil"/>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&lt; 0.01%</w:t>
            </w:r>
          </w:p>
        </w:tc>
        <w:tc>
          <w:tcPr>
            <w:tcW w:w="1062" w:type="dxa"/>
            <w:tcBorders>
              <w:top w:val="nil"/>
              <w:left w:val="single" w:sz="4" w:space="0" w:color="auto"/>
              <w:bottom w:val="single" w:sz="12"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$40</w:t>
            </w:r>
          </w:p>
        </w:tc>
        <w:tc>
          <w:tcPr>
            <w:tcW w:w="1242" w:type="dxa"/>
            <w:tcBorders>
              <w:top w:val="nil"/>
              <w:left w:val="nil"/>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1,777</w:t>
            </w:r>
          </w:p>
        </w:tc>
        <w:tc>
          <w:tcPr>
            <w:tcW w:w="1872" w:type="dxa"/>
            <w:tcBorders>
              <w:top w:val="nil"/>
              <w:left w:val="nil"/>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1 - 148</w:t>
            </w:r>
          </w:p>
        </w:tc>
        <w:tc>
          <w:tcPr>
            <w:tcW w:w="1242" w:type="dxa"/>
            <w:tcBorders>
              <w:top w:val="nil"/>
              <w:left w:val="nil"/>
              <w:bottom w:val="single" w:sz="12" w:space="0" w:color="auto"/>
              <w:right w:val="single" w:sz="12"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51</w:t>
            </w:r>
          </w:p>
        </w:tc>
        <w:tc>
          <w:tcPr>
            <w:tcW w:w="1512" w:type="dxa"/>
            <w:tcBorders>
              <w:top w:val="nil"/>
              <w:left w:val="single" w:sz="12" w:space="0" w:color="auto"/>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$0.27 - $40</w:t>
            </w:r>
            <w:r w:rsidRPr="008336FC">
              <w:rPr>
                <w:rFonts w:asciiTheme="minorHAnsi" w:eastAsia="Times New Roman" w:hAnsiTheme="minorHAnsi" w:cstheme="minorHAnsi"/>
                <w:color w:val="000000"/>
                <w:sz w:val="22"/>
                <w:szCs w:val="22"/>
                <w:vertAlign w:val="superscript"/>
              </w:rPr>
              <w:t>2</w:t>
            </w:r>
          </w:p>
        </w:tc>
        <w:tc>
          <w:tcPr>
            <w:tcW w:w="1008" w:type="dxa"/>
            <w:tcBorders>
              <w:top w:val="nil"/>
              <w:left w:val="nil"/>
              <w:bottom w:val="single" w:sz="12" w:space="0" w:color="auto"/>
              <w:right w:val="single" w:sz="4" w:space="0" w:color="auto"/>
            </w:tcBorders>
            <w:shd w:val="clear" w:color="auto" w:fill="auto"/>
            <w:noWrap/>
            <w:vAlign w:val="center"/>
            <w:hideMark/>
          </w:tcPr>
          <w:p w:rsidR="00000C8A" w:rsidRPr="008336FC" w:rsidRDefault="00000C8A" w:rsidP="009D69C4">
            <w:pPr>
              <w:jc w:val="center"/>
              <w:rPr>
                <w:rFonts w:asciiTheme="minorHAnsi" w:eastAsia="Times New Roman" w:hAnsiTheme="minorHAnsi" w:cstheme="minorHAnsi"/>
                <w:color w:val="000000"/>
              </w:rPr>
            </w:pPr>
            <w:r w:rsidRPr="008336FC">
              <w:rPr>
                <w:rFonts w:asciiTheme="minorHAnsi" w:eastAsia="Times New Roman" w:hAnsiTheme="minorHAnsi" w:cstheme="minorHAnsi"/>
                <w:color w:val="000000"/>
                <w:sz w:val="22"/>
                <w:szCs w:val="22"/>
              </w:rPr>
              <w:t>$0.78</w:t>
            </w:r>
            <w:r w:rsidRPr="008336FC">
              <w:rPr>
                <w:rFonts w:asciiTheme="minorHAnsi" w:eastAsia="Times New Roman" w:hAnsiTheme="minorHAnsi" w:cstheme="minorHAnsi"/>
                <w:color w:val="000000"/>
                <w:sz w:val="22"/>
                <w:szCs w:val="22"/>
                <w:vertAlign w:val="superscript"/>
              </w:rPr>
              <w:t>2</w:t>
            </w:r>
          </w:p>
        </w:tc>
      </w:tr>
      <w:tr w:rsidR="003845D8" w:rsidRPr="00ED0209" w:rsidTr="009D69C4">
        <w:trPr>
          <w:trHeight w:val="402"/>
          <w:jc w:val="center"/>
        </w:trPr>
        <w:tc>
          <w:tcPr>
            <w:tcW w:w="2340" w:type="dxa"/>
            <w:gridSpan w:val="2"/>
            <w:tcBorders>
              <w:top w:val="single" w:sz="12" w:space="0" w:color="auto"/>
              <w:left w:val="single" w:sz="4" w:space="0" w:color="auto"/>
              <w:bottom w:val="single" w:sz="4" w:space="0" w:color="auto"/>
            </w:tcBorders>
            <w:shd w:val="clear" w:color="auto" w:fill="auto"/>
            <w:noWrap/>
            <w:vAlign w:val="center"/>
            <w:hideMark/>
          </w:tcPr>
          <w:p w:rsidR="00000C8A" w:rsidRPr="00ED0209" w:rsidRDefault="00000C8A" w:rsidP="009D69C4">
            <w:pPr>
              <w:jc w:val="right"/>
              <w:rPr>
                <w:rFonts w:eastAsia="Times New Roman"/>
                <w:b/>
                <w:bCs/>
                <w:color w:val="000000"/>
                <w:sz w:val="20"/>
                <w:szCs w:val="20"/>
              </w:rPr>
            </w:pPr>
            <w:r w:rsidRPr="00ED0209">
              <w:rPr>
                <w:rFonts w:eastAsia="Times New Roman"/>
                <w:b/>
                <w:bCs/>
                <w:color w:val="000000"/>
                <w:sz w:val="20"/>
                <w:szCs w:val="20"/>
              </w:rPr>
              <w:t>Totals</w:t>
            </w:r>
            <w:r>
              <w:rPr>
                <w:rFonts w:eastAsia="Times New Roman"/>
                <w:b/>
                <w:bCs/>
                <w:color w:val="000000"/>
                <w:sz w:val="20"/>
                <w:szCs w:val="20"/>
              </w:rPr>
              <w:t>:</w:t>
            </w:r>
          </w:p>
        </w:tc>
        <w:tc>
          <w:tcPr>
            <w:tcW w:w="106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b/>
                <w:bCs/>
                <w:color w:val="000000"/>
                <w:sz w:val="20"/>
                <w:szCs w:val="20"/>
              </w:rPr>
            </w:pPr>
            <w:r w:rsidRPr="00ED0209">
              <w:rPr>
                <w:rFonts w:eastAsia="Times New Roman"/>
                <w:b/>
                <w:bCs/>
                <w:color w:val="000000"/>
                <w:sz w:val="20"/>
                <w:szCs w:val="20"/>
              </w:rPr>
              <w:t>$327,560</w:t>
            </w:r>
          </w:p>
        </w:tc>
        <w:tc>
          <w:tcPr>
            <w:tcW w:w="124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b/>
                <w:bCs/>
                <w:color w:val="000000"/>
                <w:sz w:val="20"/>
                <w:szCs w:val="20"/>
              </w:rPr>
            </w:pPr>
            <w:r w:rsidRPr="00ED0209">
              <w:rPr>
                <w:rFonts w:eastAsia="Times New Roman"/>
                <w:b/>
                <w:bCs/>
                <w:color w:val="000000"/>
                <w:sz w:val="20"/>
                <w:szCs w:val="20"/>
              </w:rPr>
              <w:t>1,562,014</w:t>
            </w:r>
          </w:p>
        </w:tc>
        <w:tc>
          <w:tcPr>
            <w:tcW w:w="187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color w:val="000000"/>
                <w:sz w:val="20"/>
                <w:szCs w:val="20"/>
              </w:rPr>
            </w:pPr>
          </w:p>
        </w:tc>
        <w:tc>
          <w:tcPr>
            <w:tcW w:w="124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color w:val="000000"/>
                <w:sz w:val="20"/>
                <w:szCs w:val="20"/>
              </w:rPr>
            </w:pPr>
          </w:p>
        </w:tc>
        <w:tc>
          <w:tcPr>
            <w:tcW w:w="1512" w:type="dxa"/>
            <w:tcBorders>
              <w:top w:val="single" w:sz="12" w:space="0" w:color="auto"/>
              <w:bottom w:val="single" w:sz="4" w:space="0" w:color="auto"/>
            </w:tcBorders>
            <w:shd w:val="clear" w:color="auto" w:fill="auto"/>
            <w:noWrap/>
            <w:vAlign w:val="center"/>
            <w:hideMark/>
          </w:tcPr>
          <w:p w:rsidR="00000C8A" w:rsidRPr="00ED0209" w:rsidRDefault="00000C8A" w:rsidP="009D69C4">
            <w:pPr>
              <w:jc w:val="center"/>
              <w:rPr>
                <w:rFonts w:eastAsia="Times New Roman"/>
                <w:color w:val="000000"/>
                <w:sz w:val="20"/>
                <w:szCs w:val="20"/>
              </w:rPr>
            </w:pPr>
          </w:p>
        </w:tc>
        <w:tc>
          <w:tcPr>
            <w:tcW w:w="1008" w:type="dxa"/>
            <w:tcBorders>
              <w:top w:val="single" w:sz="12" w:space="0" w:color="auto"/>
              <w:bottom w:val="single" w:sz="4" w:space="0" w:color="auto"/>
              <w:right w:val="single" w:sz="4" w:space="0" w:color="auto"/>
            </w:tcBorders>
            <w:shd w:val="clear" w:color="auto" w:fill="auto"/>
            <w:noWrap/>
            <w:vAlign w:val="center"/>
            <w:hideMark/>
          </w:tcPr>
          <w:p w:rsidR="00000C8A" w:rsidRPr="00ED0209" w:rsidRDefault="00000C8A" w:rsidP="009D69C4">
            <w:pPr>
              <w:jc w:val="center"/>
              <w:rPr>
                <w:rFonts w:eastAsia="Times New Roman"/>
                <w:color w:val="000000"/>
                <w:sz w:val="20"/>
                <w:szCs w:val="20"/>
              </w:rPr>
            </w:pPr>
          </w:p>
        </w:tc>
      </w:tr>
    </w:tbl>
    <w:p w:rsidR="00586FAF" w:rsidRDefault="00586FAF" w:rsidP="00586FAF">
      <w:pPr>
        <w:spacing w:before="120"/>
        <w:ind w:left="720"/>
        <w:rPr>
          <w:rFonts w:eastAsia="Times New Roman"/>
          <w:bCs/>
          <w:color w:val="000000"/>
          <w:sz w:val="20"/>
          <w:szCs w:val="20"/>
        </w:rPr>
      </w:pPr>
      <w:r w:rsidRPr="00971985">
        <w:rPr>
          <w:rFonts w:eastAsia="Times New Roman"/>
          <w:bCs/>
          <w:color w:val="000000"/>
          <w:sz w:val="20"/>
          <w:szCs w:val="20"/>
          <w:vertAlign w:val="superscript"/>
        </w:rPr>
        <w:lastRenderedPageBreak/>
        <w:t>I</w:t>
      </w:r>
      <w:r>
        <w:rPr>
          <w:rFonts w:eastAsia="Times New Roman"/>
          <w:bCs/>
          <w:color w:val="000000"/>
          <w:sz w:val="20"/>
          <w:szCs w:val="20"/>
        </w:rPr>
        <w:t>Cost</w:t>
      </w:r>
      <w:r w:rsidR="00B42504">
        <w:rPr>
          <w:rFonts w:eastAsia="Times New Roman"/>
          <w:bCs/>
          <w:color w:val="000000"/>
          <w:sz w:val="20"/>
          <w:szCs w:val="20"/>
        </w:rPr>
        <w:t xml:space="preserve"> per </w:t>
      </w:r>
      <w:r>
        <w:rPr>
          <w:rFonts w:eastAsia="Times New Roman"/>
          <w:bCs/>
          <w:color w:val="000000"/>
          <w:sz w:val="20"/>
          <w:szCs w:val="20"/>
        </w:rPr>
        <w:t xml:space="preserve">unit sold varies each year based on the total number of units sold and a manufacturer’s </w:t>
      </w:r>
    </w:p>
    <w:p w:rsidR="00586FAF" w:rsidRDefault="00586FAF" w:rsidP="00586FAF">
      <w:pPr>
        <w:ind w:left="720"/>
        <w:rPr>
          <w:rFonts w:eastAsia="Times New Roman"/>
          <w:bCs/>
          <w:color w:val="000000"/>
          <w:sz w:val="20"/>
          <w:szCs w:val="20"/>
        </w:rPr>
      </w:pPr>
      <w:r>
        <w:rPr>
          <w:rFonts w:eastAsia="Times New Roman"/>
          <w:bCs/>
          <w:color w:val="000000"/>
          <w:sz w:val="20"/>
          <w:szCs w:val="20"/>
        </w:rPr>
        <w:t>market share and fee.</w:t>
      </w:r>
    </w:p>
    <w:p w:rsidR="00586FAF" w:rsidRDefault="00586FAF" w:rsidP="00586FAF">
      <w:pPr>
        <w:ind w:left="720"/>
        <w:rPr>
          <w:rFonts w:eastAsia="Times New Roman"/>
          <w:bCs/>
          <w:color w:val="000000"/>
          <w:sz w:val="20"/>
          <w:szCs w:val="20"/>
        </w:rPr>
      </w:pPr>
      <w:r w:rsidRPr="00971985">
        <w:rPr>
          <w:rFonts w:eastAsia="Times New Roman"/>
          <w:bCs/>
          <w:color w:val="000000"/>
          <w:sz w:val="20"/>
          <w:szCs w:val="20"/>
          <w:vertAlign w:val="superscript"/>
        </w:rPr>
        <w:t>2</w:t>
      </w:r>
      <w:r w:rsidRPr="00EC7892">
        <w:rPr>
          <w:rFonts w:eastAsia="Times New Roman"/>
          <w:bCs/>
          <w:color w:val="000000"/>
          <w:sz w:val="20"/>
          <w:szCs w:val="20"/>
        </w:rPr>
        <w:t>Calculations</w:t>
      </w:r>
      <w:r>
        <w:rPr>
          <w:rFonts w:eastAsia="Times New Roman"/>
          <w:bCs/>
          <w:color w:val="000000"/>
          <w:sz w:val="20"/>
          <w:szCs w:val="20"/>
        </w:rPr>
        <w:t xml:space="preserve"> include manufacturers with reported market share (exclude those with no market share.)</w:t>
      </w:r>
    </w:p>
    <w:p w:rsidR="00586FAF" w:rsidRDefault="00586FAF" w:rsidP="0075792E">
      <w:pPr>
        <w:ind w:left="360" w:right="630"/>
        <w:rPr>
          <w:rFonts w:asciiTheme="minorHAnsi" w:eastAsia="Times New Roman" w:hAnsiTheme="minorHAnsi" w:cstheme="minorHAnsi"/>
          <w:bCs/>
          <w:color w:val="463D38" w:themeColor="accent4" w:themeShade="80"/>
        </w:rPr>
      </w:pPr>
    </w:p>
    <w:p w:rsidR="00241046" w:rsidRPr="00CE27D0" w:rsidRDefault="00241046" w:rsidP="00C063DC">
      <w:pPr>
        <w:ind w:right="630"/>
        <w:rPr>
          <w:rFonts w:asciiTheme="minorHAnsi" w:hAnsiTheme="minorHAnsi" w:cstheme="minorHAnsi"/>
        </w:rPr>
      </w:pPr>
    </w:p>
    <w:p w:rsidR="0075792E" w:rsidRDefault="00241046" w:rsidP="0075792E">
      <w:pPr>
        <w:pStyle w:val="ListParagraph"/>
        <w:numPr>
          <w:ilvl w:val="0"/>
          <w:numId w:val="24"/>
        </w:numPr>
        <w:ind w:left="1080" w:right="630"/>
        <w:rPr>
          <w:rFonts w:asciiTheme="minorHAnsi" w:hAnsiTheme="minorHAnsi" w:cstheme="minorHAnsi"/>
          <w:b/>
        </w:rPr>
      </w:pPr>
      <w:r w:rsidRPr="00CE27D0">
        <w:rPr>
          <w:rFonts w:asciiTheme="minorHAnsi" w:hAnsiTheme="minorHAnsi" w:cstheme="minorHAnsi"/>
          <w:b/>
        </w:rPr>
        <w:t xml:space="preserve">Two-tier fee structure </w:t>
      </w:r>
      <w:r w:rsidR="00F17DC8">
        <w:rPr>
          <w:rFonts w:asciiTheme="minorHAnsi" w:hAnsiTheme="minorHAnsi" w:cstheme="minorHAnsi"/>
          <w:b/>
        </w:rPr>
        <w:t xml:space="preserve">would </w:t>
      </w:r>
      <w:r w:rsidRPr="00CE27D0">
        <w:rPr>
          <w:rFonts w:asciiTheme="minorHAnsi" w:hAnsiTheme="minorHAnsi" w:cstheme="minorHAnsi"/>
          <w:b/>
        </w:rPr>
        <w:t xml:space="preserve">more equitably meets program objectives </w:t>
      </w:r>
    </w:p>
    <w:p w:rsidR="00241046" w:rsidRDefault="00241046" w:rsidP="0075792E">
      <w:pPr>
        <w:pStyle w:val="ListParagraph"/>
        <w:ind w:left="1080" w:right="630"/>
        <w:rPr>
          <w:rFonts w:asciiTheme="minorHAnsi" w:hAnsiTheme="minorHAnsi" w:cstheme="minorHAnsi"/>
        </w:rPr>
      </w:pPr>
      <w:r w:rsidRPr="00CE27D0">
        <w:rPr>
          <w:rFonts w:asciiTheme="minorHAnsi" w:hAnsiTheme="minorHAnsi" w:cstheme="minorHAnsi"/>
        </w:rPr>
        <w:t>Commenter</w:t>
      </w:r>
      <w:r w:rsidR="00C07DC6">
        <w:rPr>
          <w:rFonts w:asciiTheme="minorHAnsi" w:hAnsiTheme="minorHAnsi" w:cstheme="minorHAnsi"/>
        </w:rPr>
        <w:t xml:space="preserve">s </w:t>
      </w:r>
      <w:r w:rsidRPr="00CE27D0">
        <w:rPr>
          <w:rFonts w:asciiTheme="minorHAnsi" w:hAnsiTheme="minorHAnsi" w:cstheme="minorHAnsi"/>
        </w:rPr>
        <w:t>5</w:t>
      </w:r>
      <w:r w:rsidR="00DF3C97">
        <w:rPr>
          <w:rFonts w:asciiTheme="minorHAnsi" w:hAnsiTheme="minorHAnsi" w:cstheme="minorHAnsi"/>
        </w:rPr>
        <w:t xml:space="preserve"> </w:t>
      </w:r>
      <w:r w:rsidR="00C07DC6">
        <w:rPr>
          <w:rFonts w:asciiTheme="minorHAnsi" w:hAnsiTheme="minorHAnsi" w:cstheme="minorHAnsi"/>
        </w:rPr>
        <w:t>and</w:t>
      </w:r>
      <w:r w:rsidR="00DF3C97">
        <w:rPr>
          <w:rFonts w:asciiTheme="minorHAnsi" w:hAnsiTheme="minorHAnsi" w:cstheme="minorHAnsi"/>
        </w:rPr>
        <w:t xml:space="preserve"> 8</w:t>
      </w:r>
    </w:p>
    <w:p w:rsidR="0075792E" w:rsidRPr="00CE27D0" w:rsidRDefault="0075792E" w:rsidP="0075792E">
      <w:pPr>
        <w:pStyle w:val="ListParagraph"/>
        <w:ind w:left="1080" w:right="630"/>
        <w:rPr>
          <w:rFonts w:asciiTheme="minorHAnsi" w:hAnsiTheme="minorHAnsi" w:cstheme="minorHAnsi"/>
          <w:b/>
        </w:rPr>
      </w:pPr>
    </w:p>
    <w:p w:rsidR="00DC07BD" w:rsidRDefault="00241046" w:rsidP="0075792E">
      <w:pPr>
        <w:pStyle w:val="ListParagraph"/>
        <w:numPr>
          <w:ilvl w:val="0"/>
          <w:numId w:val="50"/>
        </w:numPr>
        <w:ind w:left="1440" w:right="634"/>
        <w:rPr>
          <w:rFonts w:asciiTheme="minorHAnsi" w:hAnsiTheme="minorHAnsi" w:cstheme="minorHAnsi"/>
        </w:rPr>
      </w:pPr>
      <w:r w:rsidRPr="00CE27D0">
        <w:rPr>
          <w:rFonts w:asciiTheme="minorHAnsi" w:hAnsiTheme="minorHAnsi" w:cstheme="minorHAnsi"/>
        </w:rPr>
        <w:t xml:space="preserve">Adopt a </w:t>
      </w:r>
      <w:r w:rsidR="00C07DC6">
        <w:rPr>
          <w:rFonts w:asciiTheme="minorHAnsi" w:hAnsiTheme="minorHAnsi" w:cstheme="minorHAnsi"/>
        </w:rPr>
        <w:t>two</w:t>
      </w:r>
      <w:r w:rsidRPr="00CE27D0">
        <w:rPr>
          <w:rFonts w:asciiTheme="minorHAnsi" w:hAnsiTheme="minorHAnsi" w:cstheme="minorHAnsi"/>
        </w:rPr>
        <w:t>-tier fee structure: $7,000 for m</w:t>
      </w:r>
      <w:r w:rsidR="001E443D" w:rsidRPr="00CE27D0">
        <w:rPr>
          <w:rFonts w:asciiTheme="minorHAnsi" w:hAnsiTheme="minorHAnsi" w:cstheme="minorHAnsi"/>
        </w:rPr>
        <w:t>anu</w:t>
      </w:r>
      <w:r w:rsidRPr="00CE27D0">
        <w:rPr>
          <w:rFonts w:asciiTheme="minorHAnsi" w:hAnsiTheme="minorHAnsi" w:cstheme="minorHAnsi"/>
        </w:rPr>
        <w:t>f</w:t>
      </w:r>
      <w:r w:rsidR="001E443D" w:rsidRPr="00CE27D0">
        <w:rPr>
          <w:rFonts w:asciiTheme="minorHAnsi" w:hAnsiTheme="minorHAnsi" w:cstheme="minorHAnsi"/>
        </w:rPr>
        <w:t>actu</w:t>
      </w:r>
      <w:r w:rsidRPr="00CE27D0">
        <w:rPr>
          <w:rFonts w:asciiTheme="minorHAnsi" w:hAnsiTheme="minorHAnsi" w:cstheme="minorHAnsi"/>
        </w:rPr>
        <w:t>r</w:t>
      </w:r>
      <w:r w:rsidR="001E443D" w:rsidRPr="00CE27D0">
        <w:rPr>
          <w:rFonts w:asciiTheme="minorHAnsi" w:hAnsiTheme="minorHAnsi" w:cstheme="minorHAnsi"/>
        </w:rPr>
        <w:t>er</w:t>
      </w:r>
      <w:r w:rsidRPr="00CE27D0">
        <w:rPr>
          <w:rFonts w:asciiTheme="minorHAnsi" w:hAnsiTheme="minorHAnsi" w:cstheme="minorHAnsi"/>
        </w:rPr>
        <w:t xml:space="preserve">s with </w:t>
      </w:r>
      <w:r w:rsidR="00F17DC8">
        <w:rPr>
          <w:rFonts w:asciiTheme="minorHAnsi" w:hAnsiTheme="minorHAnsi" w:cstheme="minorHAnsi"/>
        </w:rPr>
        <w:t>market share</w:t>
      </w:r>
      <w:r w:rsidR="00F17DC8" w:rsidRPr="00CE27D0">
        <w:rPr>
          <w:rFonts w:asciiTheme="minorHAnsi" w:hAnsiTheme="minorHAnsi" w:cstheme="minorHAnsi"/>
        </w:rPr>
        <w:t xml:space="preserve"> </w:t>
      </w:r>
      <w:r w:rsidRPr="00CE27D0">
        <w:rPr>
          <w:rFonts w:asciiTheme="minorHAnsi" w:hAnsiTheme="minorHAnsi" w:cstheme="minorHAnsi"/>
        </w:rPr>
        <w:t>over 0.01% and $500 for all others. (5,</w:t>
      </w:r>
      <w:r w:rsidR="00C07DC6">
        <w:rPr>
          <w:rFonts w:asciiTheme="minorHAnsi" w:hAnsiTheme="minorHAnsi" w:cstheme="minorHAnsi"/>
        </w:rPr>
        <w:t xml:space="preserve"> </w:t>
      </w:r>
      <w:r w:rsidRPr="00CE27D0">
        <w:rPr>
          <w:rFonts w:asciiTheme="minorHAnsi" w:hAnsiTheme="minorHAnsi" w:cstheme="minorHAnsi"/>
        </w:rPr>
        <w:t>8) Allow DEQ to increase the upper tier fee to $10,000 without rulemaking if the number of registered manufacturers changes so that revenue does not meet the $415,000 base budget. (5)</w:t>
      </w:r>
    </w:p>
    <w:p w:rsidR="008336FC" w:rsidRPr="00CE27D0" w:rsidRDefault="008336FC" w:rsidP="0075792E">
      <w:pPr>
        <w:pStyle w:val="ListParagraph"/>
        <w:ind w:left="1800" w:right="630"/>
        <w:rPr>
          <w:rFonts w:asciiTheme="minorHAnsi" w:hAnsiTheme="minorHAnsi" w:cstheme="minorHAnsi"/>
        </w:rPr>
      </w:pPr>
    </w:p>
    <w:p w:rsidR="00241046" w:rsidRPr="00CE27D0" w:rsidRDefault="00241046" w:rsidP="0075792E">
      <w:pPr>
        <w:pStyle w:val="ListParagraph"/>
        <w:numPr>
          <w:ilvl w:val="0"/>
          <w:numId w:val="50"/>
        </w:numPr>
        <w:ind w:left="1440" w:right="630"/>
        <w:rPr>
          <w:rFonts w:asciiTheme="minorHAnsi" w:hAnsiTheme="minorHAnsi" w:cstheme="minorHAnsi"/>
        </w:rPr>
      </w:pPr>
      <w:r w:rsidRPr="00CE27D0">
        <w:rPr>
          <w:rFonts w:asciiTheme="minorHAnsi" w:hAnsiTheme="minorHAnsi" w:cstheme="minorHAnsi"/>
        </w:rPr>
        <w:t xml:space="preserve">This </w:t>
      </w:r>
      <w:r w:rsidR="00C07DC6">
        <w:rPr>
          <w:rFonts w:asciiTheme="minorHAnsi" w:hAnsiTheme="minorHAnsi" w:cstheme="minorHAnsi"/>
        </w:rPr>
        <w:t>two</w:t>
      </w:r>
      <w:r w:rsidRPr="00CE27D0">
        <w:rPr>
          <w:rFonts w:asciiTheme="minorHAnsi" w:hAnsiTheme="minorHAnsi" w:cstheme="minorHAnsi"/>
        </w:rPr>
        <w:t>-tier fee structure would allow DEQ to meet its revenue targets with a small reserve; provide m</w:t>
      </w:r>
      <w:r w:rsidR="001E443D" w:rsidRPr="00CE27D0">
        <w:rPr>
          <w:rFonts w:asciiTheme="minorHAnsi" w:hAnsiTheme="minorHAnsi" w:cstheme="minorHAnsi"/>
        </w:rPr>
        <w:t>anufacturer</w:t>
      </w:r>
      <w:r w:rsidRPr="00CE27D0">
        <w:rPr>
          <w:rFonts w:asciiTheme="minorHAnsi" w:hAnsiTheme="minorHAnsi" w:cstheme="minorHAnsi"/>
        </w:rPr>
        <w:t xml:space="preserve">s with a stable, predictable registration fee; and allocate costs </w:t>
      </w:r>
      <w:r w:rsidRPr="00CE27D0">
        <w:rPr>
          <w:rFonts w:asciiTheme="minorHAnsi" w:hAnsiTheme="minorHAnsi" w:cstheme="minorHAnsi"/>
        </w:rPr>
        <w:lastRenderedPageBreak/>
        <w:t>of registration and program administration equitably among all program participants. (5)</w:t>
      </w:r>
    </w:p>
    <w:p w:rsidR="006A41AC" w:rsidRDefault="006A41AC" w:rsidP="006A41AC">
      <w:pPr>
        <w:spacing w:after="200" w:line="276" w:lineRule="auto"/>
        <w:rPr>
          <w:rFonts w:asciiTheme="minorHAnsi" w:hAnsiTheme="minorHAnsi" w:cstheme="minorHAnsi"/>
          <w:b/>
          <w:color w:val="463D38" w:themeColor="accent4" w:themeShade="80"/>
        </w:rPr>
      </w:pPr>
    </w:p>
    <w:p w:rsidR="00DC07BD" w:rsidRDefault="007A4786" w:rsidP="009D69C4">
      <w:pPr>
        <w:spacing w:line="276" w:lineRule="auto"/>
        <w:ind w:left="1080"/>
        <w:rPr>
          <w:rFonts w:asciiTheme="minorHAnsi" w:hAnsiTheme="minorHAnsi" w:cstheme="minorHAnsi"/>
          <w:b/>
          <w:color w:val="463D38" w:themeColor="accent4" w:themeShade="80"/>
        </w:rPr>
      </w:pPr>
      <w:r w:rsidRPr="007A4786">
        <w:rPr>
          <w:rFonts w:asciiTheme="minorHAnsi" w:hAnsiTheme="minorHAnsi" w:cstheme="minorHAnsi"/>
          <w:b/>
          <w:color w:val="463D38" w:themeColor="accent4" w:themeShade="80"/>
        </w:rPr>
        <w:t>Response</w:t>
      </w:r>
    </w:p>
    <w:p w:rsidR="00DC07BD" w:rsidRDefault="00524969" w:rsidP="006A41AC">
      <w:pPr>
        <w:pStyle w:val="ListParagraph"/>
        <w:numPr>
          <w:ilvl w:val="0"/>
          <w:numId w:val="28"/>
        </w:numPr>
        <w:ind w:left="1440" w:right="634"/>
        <w:rPr>
          <w:rFonts w:asciiTheme="minorHAnsi" w:hAnsiTheme="minorHAnsi" w:cstheme="minorHAnsi"/>
        </w:rPr>
      </w:pPr>
      <w:r w:rsidRPr="00524969">
        <w:rPr>
          <w:rFonts w:asciiTheme="minorHAnsi" w:hAnsiTheme="minorHAnsi" w:cstheme="minorHAnsi"/>
        </w:rPr>
        <w:t xml:space="preserve">Table </w:t>
      </w:r>
      <w:r>
        <w:rPr>
          <w:rFonts w:asciiTheme="minorHAnsi" w:hAnsiTheme="minorHAnsi" w:cstheme="minorHAnsi"/>
        </w:rPr>
        <w:t>7</w:t>
      </w:r>
      <w:r w:rsidRPr="00524969">
        <w:rPr>
          <w:rFonts w:asciiTheme="minorHAnsi" w:hAnsiTheme="minorHAnsi" w:cstheme="minorHAnsi"/>
        </w:rPr>
        <w:t xml:space="preserve"> compares fees under the proposed fee structure and the two-tier structure using E-Cycles manufacturer data and $415,000 revenue need for 2012. The two-tier fee structure with a $7,000 upper </w:t>
      </w:r>
      <w:r w:rsidR="00BA655F">
        <w:rPr>
          <w:rFonts w:asciiTheme="minorHAnsi" w:hAnsiTheme="minorHAnsi" w:cstheme="minorHAnsi"/>
        </w:rPr>
        <w:t xml:space="preserve">and $500 lower </w:t>
      </w:r>
      <w:r w:rsidRPr="00524969">
        <w:rPr>
          <w:rFonts w:asciiTheme="minorHAnsi" w:hAnsiTheme="minorHAnsi" w:cstheme="minorHAnsi"/>
        </w:rPr>
        <w:t>tier fee generates $10,500 less than the revenue needed.</w:t>
      </w:r>
      <w:r w:rsidR="00616723">
        <w:rPr>
          <w:rFonts w:asciiTheme="minorHAnsi" w:hAnsiTheme="minorHAnsi" w:cstheme="minorHAnsi"/>
        </w:rPr>
        <w:t xml:space="preserve"> </w:t>
      </w:r>
      <w:r w:rsidRPr="00524969">
        <w:rPr>
          <w:rFonts w:asciiTheme="minorHAnsi" w:hAnsiTheme="minorHAnsi" w:cstheme="minorHAnsi"/>
        </w:rPr>
        <w:t>Raising the upper tier fee as suggested would generate the current and projected revenue need under 2012 market conditions. However, since the two-tier structure is not tied directly to revenue need, changes in market conditions such as market consolidation could result in revenue shortfalls.</w:t>
      </w:r>
      <w:r w:rsidR="00616723">
        <w:rPr>
          <w:rFonts w:asciiTheme="minorHAnsi" w:hAnsiTheme="minorHAnsi" w:cstheme="minorHAnsi"/>
        </w:rPr>
        <w:t xml:space="preserve"> </w:t>
      </w:r>
    </w:p>
    <w:p w:rsidR="00731AFC" w:rsidRDefault="00731AFC">
      <w:pPr>
        <w:ind w:left="360"/>
        <w:jc w:val="center"/>
      </w:pPr>
    </w:p>
    <w:p w:rsidR="00731AFC" w:rsidRDefault="00731AFC">
      <w:pPr>
        <w:ind w:left="360"/>
        <w:jc w:val="center"/>
      </w:pPr>
    </w:p>
    <w:tbl>
      <w:tblPr>
        <w:tblW w:w="0" w:type="auto"/>
        <w:jc w:val="center"/>
        <w:tblCellMar>
          <w:left w:w="115" w:type="dxa"/>
          <w:right w:w="115" w:type="dxa"/>
        </w:tblCellMar>
        <w:tblLook w:val="04A0"/>
      </w:tblPr>
      <w:tblGrid>
        <w:gridCol w:w="634"/>
        <w:gridCol w:w="1907"/>
        <w:gridCol w:w="1055"/>
        <w:gridCol w:w="878"/>
        <w:gridCol w:w="634"/>
        <w:gridCol w:w="1055"/>
        <w:gridCol w:w="1546"/>
      </w:tblGrid>
      <w:tr w:rsidR="008E5C84" w:rsidRPr="0082371F" w:rsidTr="009D69C4">
        <w:trPr>
          <w:trHeight w:val="1260"/>
          <w:jc w:val="center"/>
        </w:trPr>
        <w:tc>
          <w:tcPr>
            <w:tcW w:w="7709" w:type="dxa"/>
            <w:gridSpan w:val="7"/>
            <w:tcBorders>
              <w:top w:val="single" w:sz="4" w:space="0" w:color="auto"/>
              <w:left w:val="single" w:sz="4" w:space="0" w:color="auto"/>
              <w:bottom w:val="single" w:sz="4" w:space="0" w:color="auto"/>
              <w:right w:val="single" w:sz="4" w:space="0" w:color="auto"/>
            </w:tcBorders>
            <w:shd w:val="clear" w:color="auto" w:fill="008272"/>
            <w:vAlign w:val="center"/>
          </w:tcPr>
          <w:p w:rsidR="006A41AC" w:rsidRDefault="006A41AC" w:rsidP="009D69C4">
            <w:pPr>
              <w:shd w:val="clear" w:color="auto" w:fill="008272"/>
              <w:ind w:left="-90" w:right="-94"/>
              <w:jc w:val="center"/>
              <w:rPr>
                <w:rFonts w:asciiTheme="majorHAnsi" w:eastAsia="Times New Roman" w:hAnsiTheme="majorHAnsi" w:cstheme="majorHAnsi"/>
                <w:b/>
                <w:bCs/>
                <w:color w:val="FFFFFF" w:themeColor="background1"/>
              </w:rPr>
            </w:pPr>
          </w:p>
          <w:p w:rsidR="006A41AC" w:rsidRPr="006A41AC" w:rsidRDefault="006A41AC" w:rsidP="009D69C4">
            <w:pPr>
              <w:shd w:val="clear" w:color="auto" w:fill="008272"/>
              <w:ind w:left="-90" w:right="-94"/>
              <w:jc w:val="center"/>
              <w:rPr>
                <w:rFonts w:asciiTheme="majorHAnsi" w:eastAsia="Times New Roman" w:hAnsiTheme="majorHAnsi" w:cstheme="majorHAnsi"/>
                <w:bCs/>
                <w:color w:val="FFFFFF" w:themeColor="background1"/>
              </w:rPr>
            </w:pPr>
            <w:r w:rsidRPr="006A41AC">
              <w:rPr>
                <w:rFonts w:asciiTheme="majorHAnsi" w:eastAsia="Times New Roman" w:hAnsiTheme="majorHAnsi" w:cstheme="majorHAnsi"/>
                <w:bCs/>
                <w:color w:val="FFFFFF" w:themeColor="background1"/>
                <w:sz w:val="22"/>
                <w:szCs w:val="22"/>
              </w:rPr>
              <w:t>Table 7</w:t>
            </w:r>
          </w:p>
          <w:p w:rsidR="008E5C84" w:rsidRPr="00E74C78" w:rsidRDefault="008E5C84" w:rsidP="009D69C4">
            <w:pPr>
              <w:shd w:val="clear" w:color="auto" w:fill="008272"/>
              <w:ind w:left="-90" w:right="-94"/>
              <w:jc w:val="center"/>
              <w:rPr>
                <w:rFonts w:asciiTheme="majorHAnsi" w:eastAsia="Times New Roman" w:hAnsiTheme="majorHAnsi" w:cstheme="majorHAnsi"/>
                <w:b/>
                <w:bCs/>
                <w:color w:val="FFFFFF" w:themeColor="background1"/>
              </w:rPr>
            </w:pPr>
            <w:r w:rsidRPr="00E74C78">
              <w:rPr>
                <w:rFonts w:asciiTheme="majorHAnsi" w:eastAsia="Times New Roman" w:hAnsiTheme="majorHAnsi" w:cstheme="majorHAnsi"/>
                <w:b/>
                <w:bCs/>
                <w:color w:val="FFFFFF" w:themeColor="background1"/>
                <w:sz w:val="22"/>
                <w:szCs w:val="22"/>
              </w:rPr>
              <w:t>Fee Comparison</w:t>
            </w:r>
            <w:r w:rsidRPr="00E74C78">
              <w:rPr>
                <w:rFonts w:asciiTheme="majorHAnsi" w:eastAsia="Times New Roman" w:hAnsiTheme="majorHAnsi" w:cstheme="majorHAnsi"/>
                <w:b/>
                <w:bCs/>
                <w:color w:val="FFFFFF" w:themeColor="background1"/>
                <w:sz w:val="22"/>
                <w:szCs w:val="22"/>
              </w:rPr>
              <w:br/>
              <w:t>Proposed Fee Structure</w:t>
            </w:r>
            <w:r w:rsidR="00616723" w:rsidRPr="00E74C78">
              <w:rPr>
                <w:rFonts w:asciiTheme="majorHAnsi" w:eastAsia="Times New Roman" w:hAnsiTheme="majorHAnsi" w:cstheme="majorHAnsi"/>
                <w:b/>
                <w:bCs/>
                <w:color w:val="FFFFFF" w:themeColor="background1"/>
                <w:sz w:val="22"/>
                <w:szCs w:val="22"/>
              </w:rPr>
              <w:t xml:space="preserve"> </w:t>
            </w:r>
            <w:r w:rsidRPr="00E74C78">
              <w:rPr>
                <w:rFonts w:asciiTheme="majorHAnsi" w:eastAsia="Times New Roman" w:hAnsiTheme="majorHAnsi" w:cstheme="majorHAnsi"/>
                <w:b/>
                <w:bCs/>
                <w:color w:val="FFFFFF" w:themeColor="background1"/>
                <w:sz w:val="22"/>
                <w:szCs w:val="22"/>
              </w:rPr>
              <w:t>and Two-Tier Structure</w:t>
            </w:r>
            <w:r w:rsidRPr="00E74C78">
              <w:rPr>
                <w:rFonts w:asciiTheme="majorHAnsi" w:eastAsia="Times New Roman" w:hAnsiTheme="majorHAnsi" w:cstheme="majorHAnsi"/>
                <w:b/>
                <w:bCs/>
                <w:color w:val="FFFFFF" w:themeColor="background1"/>
                <w:sz w:val="22"/>
                <w:szCs w:val="22"/>
              </w:rPr>
              <w:br/>
              <w:t xml:space="preserve">Using 2012 </w:t>
            </w:r>
            <w:r w:rsidR="00B42504">
              <w:rPr>
                <w:rFonts w:asciiTheme="majorHAnsi" w:eastAsia="Times New Roman" w:hAnsiTheme="majorHAnsi" w:cstheme="majorHAnsi"/>
                <w:b/>
                <w:bCs/>
                <w:color w:val="FFFFFF" w:themeColor="background1"/>
                <w:sz w:val="22"/>
                <w:szCs w:val="22"/>
              </w:rPr>
              <w:t>E-Cycles</w:t>
            </w:r>
            <w:r w:rsidRPr="00E74C78">
              <w:rPr>
                <w:rFonts w:asciiTheme="majorHAnsi" w:eastAsia="Times New Roman" w:hAnsiTheme="majorHAnsi" w:cstheme="majorHAnsi"/>
                <w:b/>
                <w:bCs/>
                <w:color w:val="FFFFFF" w:themeColor="background1"/>
                <w:sz w:val="22"/>
                <w:szCs w:val="22"/>
              </w:rPr>
              <w:t xml:space="preserve"> data</w:t>
            </w:r>
          </w:p>
          <w:p w:rsidR="008E5C84" w:rsidRDefault="008E5C84" w:rsidP="009D69C4">
            <w:pPr>
              <w:shd w:val="clear" w:color="auto" w:fill="008272"/>
              <w:ind w:left="-90" w:right="-94"/>
              <w:jc w:val="center"/>
              <w:rPr>
                <w:rFonts w:asciiTheme="majorHAnsi" w:eastAsia="Times New Roman" w:hAnsiTheme="majorHAnsi" w:cstheme="majorHAnsi"/>
                <w:b/>
                <w:bCs/>
                <w:color w:val="FFFFFF" w:themeColor="background1"/>
              </w:rPr>
            </w:pPr>
            <w:r w:rsidRPr="00E74C78">
              <w:rPr>
                <w:rFonts w:asciiTheme="majorHAnsi" w:eastAsia="Times New Roman" w:hAnsiTheme="majorHAnsi" w:cstheme="majorHAnsi"/>
                <w:b/>
                <w:bCs/>
                <w:color w:val="FFFFFF" w:themeColor="background1"/>
                <w:sz w:val="22"/>
                <w:szCs w:val="22"/>
              </w:rPr>
              <w:t>Revenue Need:</w:t>
            </w:r>
            <w:r w:rsidR="00616723" w:rsidRPr="00E74C78">
              <w:rPr>
                <w:rFonts w:asciiTheme="majorHAnsi" w:eastAsia="Times New Roman" w:hAnsiTheme="majorHAnsi" w:cstheme="majorHAnsi"/>
                <w:b/>
                <w:bCs/>
                <w:color w:val="FFFFFF" w:themeColor="background1"/>
                <w:sz w:val="22"/>
                <w:szCs w:val="22"/>
              </w:rPr>
              <w:t xml:space="preserve"> </w:t>
            </w:r>
            <w:r w:rsidRPr="00E74C78">
              <w:rPr>
                <w:rFonts w:asciiTheme="majorHAnsi" w:eastAsia="Times New Roman" w:hAnsiTheme="majorHAnsi" w:cstheme="majorHAnsi"/>
                <w:b/>
                <w:bCs/>
                <w:color w:val="FFFFFF" w:themeColor="background1"/>
                <w:sz w:val="22"/>
                <w:szCs w:val="22"/>
              </w:rPr>
              <w:t>$415,000</w:t>
            </w:r>
          </w:p>
          <w:p w:rsidR="006A41AC" w:rsidRPr="007A389A" w:rsidRDefault="006A41AC" w:rsidP="009D69C4">
            <w:pPr>
              <w:shd w:val="clear" w:color="auto" w:fill="008272"/>
              <w:ind w:left="-90" w:right="-94"/>
              <w:jc w:val="center"/>
              <w:rPr>
                <w:rFonts w:ascii="Calibri" w:eastAsia="Times New Roman" w:hAnsi="Calibri" w:cs="Calibri"/>
                <w:b/>
                <w:bCs/>
                <w:color w:val="FFFFFF" w:themeColor="background1"/>
                <w:sz w:val="28"/>
                <w:szCs w:val="28"/>
              </w:rPr>
            </w:pPr>
          </w:p>
        </w:tc>
      </w:tr>
      <w:tr w:rsidR="008E5C84" w:rsidRPr="00532C8B" w:rsidTr="009D69C4">
        <w:trPr>
          <w:trHeight w:val="432"/>
          <w:jc w:val="center"/>
        </w:trPr>
        <w:tc>
          <w:tcPr>
            <w:tcW w:w="0" w:type="auto"/>
            <w:gridSpan w:val="4"/>
            <w:tcBorders>
              <w:top w:val="nil"/>
              <w:left w:val="single" w:sz="4" w:space="0" w:color="auto"/>
              <w:bottom w:val="single" w:sz="4" w:space="0" w:color="auto"/>
              <w:right w:val="double" w:sz="4" w:space="0" w:color="auto"/>
            </w:tcBorders>
            <w:shd w:val="clear" w:color="auto" w:fill="B1DDCD"/>
            <w:noWrap/>
            <w:vAlign w:val="center"/>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Proposed Fee Structure</w:t>
            </w:r>
          </w:p>
        </w:tc>
        <w:tc>
          <w:tcPr>
            <w:tcW w:w="3235" w:type="dxa"/>
            <w:gridSpan w:val="3"/>
            <w:tcBorders>
              <w:top w:val="nil"/>
              <w:left w:val="double" w:sz="4" w:space="0" w:color="auto"/>
              <w:bottom w:val="single" w:sz="4" w:space="0" w:color="auto"/>
              <w:right w:val="single" w:sz="4" w:space="0" w:color="auto"/>
            </w:tcBorders>
            <w:shd w:val="clear" w:color="auto" w:fill="B1DDCD"/>
            <w:vAlign w:val="center"/>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Two Tier Fee Structure</w:t>
            </w:r>
          </w:p>
        </w:tc>
      </w:tr>
      <w:tr w:rsidR="008E5C84" w:rsidRPr="00D7601F" w:rsidTr="009D69C4">
        <w:trPr>
          <w:trHeight w:val="432"/>
          <w:jc w:val="center"/>
        </w:trPr>
        <w:tc>
          <w:tcPr>
            <w:tcW w:w="0" w:type="auto"/>
            <w:tcBorders>
              <w:top w:val="nil"/>
              <w:left w:val="single" w:sz="4" w:space="0" w:color="auto"/>
              <w:bottom w:val="single" w:sz="4" w:space="0" w:color="auto"/>
              <w:right w:val="single" w:sz="4" w:space="0" w:color="auto"/>
            </w:tcBorders>
            <w:shd w:val="clear" w:color="auto" w:fill="B1DDCD"/>
            <w:noWrap/>
            <w:vAlign w:val="bottom"/>
            <w:hideMark/>
          </w:tcPr>
          <w:p w:rsidR="008E5C84" w:rsidRPr="00E74C78" w:rsidRDefault="008E5C84" w:rsidP="009D69C4">
            <w:pP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Tier</w:t>
            </w:r>
          </w:p>
        </w:tc>
        <w:tc>
          <w:tcPr>
            <w:tcW w:w="0" w:type="auto"/>
            <w:tcBorders>
              <w:top w:val="nil"/>
              <w:left w:val="nil"/>
              <w:bottom w:val="single" w:sz="4" w:space="0" w:color="auto"/>
              <w:right w:val="single" w:sz="4" w:space="0" w:color="auto"/>
            </w:tcBorders>
            <w:shd w:val="clear" w:color="auto" w:fill="B1DDCD"/>
            <w:noWrap/>
            <w:vAlign w:val="bottom"/>
            <w:hideMark/>
          </w:tcPr>
          <w:p w:rsidR="008E5C84" w:rsidRPr="00E74C78" w:rsidRDefault="008E5C84" w:rsidP="009D69C4">
            <w:pP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Market share</w:t>
            </w:r>
          </w:p>
        </w:tc>
        <w:tc>
          <w:tcPr>
            <w:tcW w:w="0" w:type="auto"/>
            <w:tcBorders>
              <w:top w:val="nil"/>
              <w:left w:val="nil"/>
              <w:bottom w:val="single" w:sz="4" w:space="0" w:color="auto"/>
              <w:right w:val="single" w:sz="4" w:space="0" w:color="auto"/>
            </w:tcBorders>
            <w:shd w:val="clear" w:color="auto" w:fill="B1DDCD"/>
            <w:vAlign w:val="bottom"/>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Fee</w:t>
            </w:r>
          </w:p>
        </w:tc>
        <w:tc>
          <w:tcPr>
            <w:tcW w:w="0" w:type="auto"/>
            <w:tcBorders>
              <w:top w:val="nil"/>
              <w:left w:val="nil"/>
              <w:bottom w:val="single" w:sz="4" w:space="0" w:color="auto"/>
              <w:right w:val="double" w:sz="4" w:space="0" w:color="auto"/>
            </w:tcBorders>
            <w:shd w:val="clear" w:color="auto" w:fill="B1DDCD"/>
            <w:vAlign w:val="bottom"/>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 xml:space="preserve"># Mfrs </w:t>
            </w:r>
          </w:p>
        </w:tc>
        <w:tc>
          <w:tcPr>
            <w:tcW w:w="0" w:type="auto"/>
            <w:tcBorders>
              <w:top w:val="nil"/>
              <w:left w:val="double" w:sz="4" w:space="0" w:color="auto"/>
              <w:bottom w:val="single" w:sz="4" w:space="0" w:color="auto"/>
              <w:right w:val="single" w:sz="4" w:space="0" w:color="auto"/>
            </w:tcBorders>
            <w:shd w:val="clear" w:color="auto" w:fill="B1DDCD"/>
            <w:vAlign w:val="bottom"/>
          </w:tcPr>
          <w:p w:rsidR="008E5C84" w:rsidRPr="00E74C78" w:rsidRDefault="008E5C84" w:rsidP="009D69C4">
            <w:pP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Tier</w:t>
            </w:r>
          </w:p>
        </w:tc>
        <w:tc>
          <w:tcPr>
            <w:tcW w:w="0" w:type="auto"/>
            <w:tcBorders>
              <w:top w:val="nil"/>
              <w:left w:val="single" w:sz="4" w:space="0" w:color="auto"/>
              <w:bottom w:val="single" w:sz="4" w:space="0" w:color="auto"/>
              <w:right w:val="single" w:sz="4" w:space="0" w:color="auto"/>
            </w:tcBorders>
            <w:shd w:val="clear" w:color="auto" w:fill="B1DDCD"/>
            <w:vAlign w:val="bottom"/>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Fee</w:t>
            </w:r>
          </w:p>
        </w:tc>
        <w:tc>
          <w:tcPr>
            <w:tcW w:w="1546" w:type="dxa"/>
            <w:tcBorders>
              <w:top w:val="nil"/>
              <w:left w:val="nil"/>
              <w:bottom w:val="single" w:sz="4" w:space="0" w:color="auto"/>
              <w:right w:val="single" w:sz="4" w:space="0" w:color="auto"/>
            </w:tcBorders>
            <w:shd w:val="clear" w:color="auto" w:fill="B1DDCD"/>
            <w:vAlign w:val="bottom"/>
            <w:hideMark/>
          </w:tcPr>
          <w:p w:rsidR="008E5C84" w:rsidRPr="00E74C78" w:rsidRDefault="008E5C84" w:rsidP="009D69C4">
            <w:pPr>
              <w:jc w:val="center"/>
              <w:rPr>
                <w:rFonts w:asciiTheme="majorHAnsi" w:eastAsia="Times New Roman" w:hAnsiTheme="majorHAnsi" w:cstheme="majorHAnsi"/>
                <w:b/>
                <w:color w:val="000000"/>
              </w:rPr>
            </w:pPr>
            <w:r w:rsidRPr="00E74C78">
              <w:rPr>
                <w:rFonts w:asciiTheme="majorHAnsi" w:eastAsia="Times New Roman" w:hAnsiTheme="majorHAnsi" w:cstheme="majorHAnsi"/>
                <w:b/>
                <w:color w:val="000000"/>
                <w:sz w:val="22"/>
                <w:szCs w:val="22"/>
              </w:rPr>
              <w:t># Mfrs</w:t>
            </w: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 or greater</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$35,000</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6</w:t>
            </w:r>
          </w:p>
        </w:tc>
        <w:tc>
          <w:tcPr>
            <w:tcW w:w="0" w:type="auto"/>
            <w:vMerge w:val="restart"/>
            <w:tcBorders>
              <w:top w:val="nil"/>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$7,000</w:t>
            </w:r>
          </w:p>
        </w:tc>
        <w:tc>
          <w:tcPr>
            <w:tcW w:w="1546" w:type="dxa"/>
            <w:vMerge w:val="restart"/>
            <w:tcBorders>
              <w:top w:val="nil"/>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50</w:t>
            </w: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 to &lt; 5%</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$17,468</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9</w:t>
            </w:r>
          </w:p>
        </w:tc>
        <w:tc>
          <w:tcPr>
            <w:tcW w:w="0" w:type="auto"/>
            <w:vMerge/>
            <w:tcBorders>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3</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0.1% to &lt; 1%</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$1,847</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19</w:t>
            </w:r>
          </w:p>
        </w:tc>
        <w:tc>
          <w:tcPr>
            <w:tcW w:w="0" w:type="auto"/>
            <w:vMerge/>
            <w:tcBorders>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4</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0.03% to &lt; 0.1%</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$406</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8</w:t>
            </w:r>
          </w:p>
        </w:tc>
        <w:tc>
          <w:tcPr>
            <w:tcW w:w="0" w:type="auto"/>
            <w:vMerge/>
            <w:tcBorders>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0.01% to &lt; 0.03%</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$200</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8</w:t>
            </w:r>
          </w:p>
        </w:tc>
        <w:tc>
          <w:tcPr>
            <w:tcW w:w="0" w:type="auto"/>
            <w:vMerge/>
            <w:tcBorders>
              <w:left w:val="double" w:sz="4" w:space="0" w:color="auto"/>
              <w:bottom w:val="sing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p>
        </w:tc>
      </w:tr>
      <w:tr w:rsidR="001F5BF4" w:rsidRPr="0082371F" w:rsidTr="009D69C4">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6</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50 units to&lt; 0.01%</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$200</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15</w:t>
            </w:r>
          </w:p>
        </w:tc>
        <w:tc>
          <w:tcPr>
            <w:tcW w:w="0" w:type="auto"/>
            <w:vMerge w:val="restart"/>
            <w:tcBorders>
              <w:top w:val="nil"/>
              <w:left w:val="double" w:sz="4" w:space="0" w:color="auto"/>
              <w:right w:val="single" w:sz="4" w:space="0" w:color="auto"/>
            </w:tcBorders>
            <w:vAlign w:val="center"/>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2</w:t>
            </w:r>
          </w:p>
        </w:tc>
        <w:tc>
          <w:tcPr>
            <w:tcW w:w="0" w:type="auto"/>
            <w:vMerge w:val="restart"/>
            <w:tcBorders>
              <w:top w:val="single" w:sz="4" w:space="0" w:color="auto"/>
              <w:left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$500</w:t>
            </w:r>
          </w:p>
        </w:tc>
        <w:tc>
          <w:tcPr>
            <w:tcW w:w="1546" w:type="dxa"/>
            <w:vMerge w:val="restart"/>
            <w:tcBorders>
              <w:top w:val="nil"/>
              <w:left w:val="nil"/>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109</w:t>
            </w:r>
          </w:p>
        </w:tc>
      </w:tr>
      <w:tr w:rsidR="001F5BF4" w:rsidRPr="0082371F" w:rsidTr="009D69C4">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7</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&lt; 50 units</w:t>
            </w:r>
          </w:p>
        </w:tc>
        <w:tc>
          <w:tcPr>
            <w:tcW w:w="0" w:type="auto"/>
            <w:tcBorders>
              <w:top w:val="nil"/>
              <w:left w:val="nil"/>
              <w:bottom w:val="single" w:sz="4" w:space="0" w:color="auto"/>
              <w:right w:val="sing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$40</w:t>
            </w:r>
          </w:p>
        </w:tc>
        <w:tc>
          <w:tcPr>
            <w:tcW w:w="0" w:type="auto"/>
            <w:tcBorders>
              <w:top w:val="nil"/>
              <w:left w:val="nil"/>
              <w:bottom w:val="single" w:sz="4" w:space="0" w:color="auto"/>
              <w:right w:val="double" w:sz="4" w:space="0" w:color="auto"/>
            </w:tcBorders>
            <w:shd w:val="clear" w:color="auto" w:fill="auto"/>
            <w:noWrap/>
            <w:vAlign w:val="center"/>
            <w:hideMark/>
          </w:tcPr>
          <w:p w:rsidR="001F5BF4" w:rsidRPr="00E74C78" w:rsidRDefault="001F5BF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94</w:t>
            </w:r>
          </w:p>
        </w:tc>
        <w:tc>
          <w:tcPr>
            <w:tcW w:w="0" w:type="auto"/>
            <w:vMerge/>
            <w:tcBorders>
              <w:left w:val="double" w:sz="4" w:space="0" w:color="auto"/>
              <w:bottom w:val="single" w:sz="4" w:space="0" w:color="auto"/>
              <w:right w:val="single" w:sz="4" w:space="0" w:color="auto"/>
            </w:tcBorders>
          </w:tcPr>
          <w:p w:rsidR="001F5BF4" w:rsidRPr="00E74C78" w:rsidRDefault="001F5BF4" w:rsidP="009D69C4">
            <w:pPr>
              <w:jc w:val="center"/>
              <w:rPr>
                <w:rFonts w:asciiTheme="minorHAnsi" w:eastAsia="Times New Roman" w:hAnsiTheme="minorHAnsi" w:cstheme="minorHAnsi"/>
                <w:color w:val="000000"/>
              </w:rPr>
            </w:pPr>
          </w:p>
        </w:tc>
        <w:tc>
          <w:tcPr>
            <w:tcW w:w="0" w:type="auto"/>
            <w:vMerge/>
            <w:tcBorders>
              <w:left w:val="single" w:sz="4" w:space="0" w:color="auto"/>
              <w:bottom w:val="single" w:sz="4" w:space="0" w:color="auto"/>
              <w:right w:val="single" w:sz="4" w:space="0" w:color="auto"/>
            </w:tcBorders>
            <w:shd w:val="clear" w:color="auto" w:fill="auto"/>
            <w:noWrap/>
            <w:hideMark/>
          </w:tcPr>
          <w:p w:rsidR="001F5BF4" w:rsidRPr="00E74C78" w:rsidRDefault="001F5BF4" w:rsidP="009D69C4">
            <w:pPr>
              <w:jc w:val="center"/>
              <w:rPr>
                <w:rFonts w:asciiTheme="minorHAnsi" w:eastAsia="Times New Roman" w:hAnsiTheme="minorHAnsi" w:cstheme="minorHAnsi"/>
                <w:color w:val="000000"/>
              </w:rPr>
            </w:pPr>
          </w:p>
        </w:tc>
        <w:tc>
          <w:tcPr>
            <w:tcW w:w="1546" w:type="dxa"/>
            <w:vMerge/>
            <w:tcBorders>
              <w:left w:val="nil"/>
              <w:bottom w:val="single" w:sz="4" w:space="0" w:color="auto"/>
              <w:right w:val="single" w:sz="4" w:space="0" w:color="auto"/>
            </w:tcBorders>
            <w:shd w:val="clear" w:color="auto" w:fill="auto"/>
            <w:noWrap/>
            <w:vAlign w:val="bottom"/>
            <w:hideMark/>
          </w:tcPr>
          <w:p w:rsidR="001F5BF4" w:rsidRPr="00E74C78" w:rsidRDefault="001F5BF4" w:rsidP="009D69C4">
            <w:pPr>
              <w:rPr>
                <w:rFonts w:asciiTheme="minorHAnsi" w:eastAsia="Times New Roman" w:hAnsiTheme="minorHAnsi" w:cstheme="minorHAnsi"/>
                <w:color w:val="000000"/>
              </w:rPr>
            </w:pPr>
          </w:p>
        </w:tc>
      </w:tr>
      <w:tr w:rsidR="008E5C84" w:rsidRPr="0082371F" w:rsidTr="009D69C4">
        <w:trPr>
          <w:trHeight w:val="31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C84" w:rsidRPr="00E74C78" w:rsidRDefault="008E5C84" w:rsidP="009D69C4">
            <w:pPr>
              <w:jc w:val="right"/>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lastRenderedPageBreak/>
              <w:t>Total mfr</w:t>
            </w:r>
          </w:p>
        </w:tc>
        <w:tc>
          <w:tcPr>
            <w:tcW w:w="0" w:type="auto"/>
            <w:tcBorders>
              <w:top w:val="single" w:sz="4" w:space="0" w:color="auto"/>
              <w:left w:val="single" w:sz="4" w:space="0" w:color="auto"/>
              <w:bottom w:val="single" w:sz="4" w:space="0" w:color="auto"/>
            </w:tcBorders>
            <w:shd w:val="clear" w:color="auto" w:fill="auto"/>
            <w:noWrap/>
            <w:vAlign w:val="bottom"/>
            <w:hideMark/>
          </w:tcPr>
          <w:p w:rsidR="008E5C84" w:rsidRPr="00E74C78" w:rsidRDefault="008E5C84" w:rsidP="009D69C4">
            <w:pP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 </w:t>
            </w:r>
          </w:p>
        </w:tc>
        <w:tc>
          <w:tcPr>
            <w:tcW w:w="0" w:type="auto"/>
            <w:tcBorders>
              <w:top w:val="single" w:sz="4" w:space="0" w:color="auto"/>
              <w:bottom w:val="single" w:sz="4" w:space="0" w:color="auto"/>
              <w:right w:val="double" w:sz="4" w:space="0" w:color="auto"/>
            </w:tcBorders>
            <w:shd w:val="clear" w:color="auto" w:fill="auto"/>
            <w:noWrap/>
            <w:vAlign w:val="center"/>
            <w:hideMark/>
          </w:tcPr>
          <w:p w:rsidR="008E5C84" w:rsidRPr="00E74C78" w:rsidRDefault="008E5C8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159</w:t>
            </w:r>
          </w:p>
        </w:tc>
        <w:tc>
          <w:tcPr>
            <w:tcW w:w="0" w:type="auto"/>
            <w:gridSpan w:val="2"/>
            <w:tcBorders>
              <w:top w:val="single" w:sz="4" w:space="0" w:color="auto"/>
              <w:left w:val="double" w:sz="4" w:space="0" w:color="auto"/>
              <w:bottom w:val="single" w:sz="4" w:space="0" w:color="auto"/>
            </w:tcBorders>
          </w:tcPr>
          <w:p w:rsidR="008E5C84" w:rsidRPr="00E74C78" w:rsidRDefault="008E5C84" w:rsidP="009D69C4">
            <w:pP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 </w:t>
            </w:r>
          </w:p>
        </w:tc>
        <w:tc>
          <w:tcPr>
            <w:tcW w:w="1546" w:type="dxa"/>
            <w:tcBorders>
              <w:top w:val="single" w:sz="4" w:space="0" w:color="auto"/>
              <w:bottom w:val="single" w:sz="4" w:space="0" w:color="auto"/>
              <w:right w:val="single" w:sz="4" w:space="0" w:color="auto"/>
            </w:tcBorders>
            <w:shd w:val="clear" w:color="auto" w:fill="auto"/>
            <w:noWrap/>
            <w:vAlign w:val="bottom"/>
            <w:hideMark/>
          </w:tcPr>
          <w:p w:rsidR="008E5C84" w:rsidRPr="00E74C78" w:rsidRDefault="008E5C84" w:rsidP="009D69C4">
            <w:pPr>
              <w:jc w:val="center"/>
              <w:rPr>
                <w:rFonts w:asciiTheme="minorHAnsi" w:eastAsia="Times New Roman" w:hAnsiTheme="minorHAnsi" w:cstheme="minorHAnsi"/>
                <w:color w:val="000000"/>
              </w:rPr>
            </w:pPr>
            <w:r w:rsidRPr="00E74C78">
              <w:rPr>
                <w:rFonts w:asciiTheme="minorHAnsi" w:eastAsia="Times New Roman" w:hAnsiTheme="minorHAnsi" w:cstheme="minorHAnsi"/>
                <w:color w:val="000000"/>
                <w:sz w:val="22"/>
                <w:szCs w:val="22"/>
              </w:rPr>
              <w:t>159</w:t>
            </w:r>
          </w:p>
        </w:tc>
      </w:tr>
      <w:tr w:rsidR="008E5C84" w:rsidRPr="0082371F" w:rsidTr="009D69C4">
        <w:trPr>
          <w:trHeight w:val="31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C84" w:rsidRPr="00E74C78" w:rsidRDefault="008E5C84" w:rsidP="009D69C4">
            <w:pPr>
              <w:jc w:val="right"/>
              <w:rPr>
                <w:rFonts w:asciiTheme="minorHAnsi" w:eastAsia="Times New Roman" w:hAnsiTheme="minorHAnsi" w:cstheme="minorHAnsi"/>
                <w:b/>
                <w:color w:val="000000"/>
              </w:rPr>
            </w:pPr>
            <w:r w:rsidRPr="00E74C78">
              <w:rPr>
                <w:rFonts w:asciiTheme="minorHAnsi" w:eastAsia="Times New Roman" w:hAnsiTheme="minorHAnsi" w:cstheme="minorHAnsi"/>
                <w:b/>
                <w:color w:val="000000"/>
                <w:sz w:val="22"/>
                <w:szCs w:val="22"/>
              </w:rPr>
              <w:t>Total revenue generated</w:t>
            </w:r>
          </w:p>
        </w:tc>
        <w:tc>
          <w:tcPr>
            <w:tcW w:w="0" w:type="auto"/>
            <w:tcBorders>
              <w:top w:val="single" w:sz="4" w:space="0" w:color="auto"/>
              <w:left w:val="single" w:sz="4" w:space="0" w:color="auto"/>
              <w:bottom w:val="single" w:sz="4" w:space="0" w:color="auto"/>
            </w:tcBorders>
            <w:shd w:val="clear" w:color="auto" w:fill="auto"/>
            <w:noWrap/>
            <w:vAlign w:val="bottom"/>
            <w:hideMark/>
          </w:tcPr>
          <w:p w:rsidR="008E5C84" w:rsidRPr="00E74C78" w:rsidRDefault="008E5C84" w:rsidP="009D69C4">
            <w:pPr>
              <w:rPr>
                <w:rFonts w:asciiTheme="minorHAnsi" w:eastAsia="Times New Roman" w:hAnsiTheme="minorHAnsi" w:cstheme="minorHAnsi"/>
                <w:color w:val="000000"/>
              </w:rPr>
            </w:pPr>
            <w:r w:rsidRPr="00E74C78">
              <w:rPr>
                <w:rFonts w:asciiTheme="minorHAnsi" w:eastAsia="Times New Roman" w:hAnsiTheme="minorHAnsi" w:cstheme="minorHAnsi"/>
                <w:b/>
                <w:bCs/>
                <w:color w:val="000000"/>
                <w:sz w:val="22"/>
                <w:szCs w:val="22"/>
              </w:rPr>
              <w:t>$413,906</w:t>
            </w:r>
          </w:p>
        </w:tc>
        <w:tc>
          <w:tcPr>
            <w:tcW w:w="0" w:type="auto"/>
            <w:tcBorders>
              <w:top w:val="single" w:sz="4" w:space="0" w:color="auto"/>
              <w:bottom w:val="single" w:sz="4" w:space="0" w:color="auto"/>
              <w:right w:val="double" w:sz="4" w:space="0" w:color="auto"/>
            </w:tcBorders>
            <w:shd w:val="clear" w:color="auto" w:fill="auto"/>
            <w:noWrap/>
            <w:vAlign w:val="center"/>
            <w:hideMark/>
          </w:tcPr>
          <w:p w:rsidR="008E5C84" w:rsidRPr="00E74C78" w:rsidRDefault="008E5C84" w:rsidP="009D69C4">
            <w:pPr>
              <w:jc w:val="center"/>
              <w:rPr>
                <w:rFonts w:asciiTheme="minorHAnsi" w:eastAsia="Times New Roman" w:hAnsiTheme="minorHAnsi" w:cstheme="minorHAnsi"/>
                <w:color w:val="000000"/>
              </w:rPr>
            </w:pPr>
          </w:p>
        </w:tc>
        <w:tc>
          <w:tcPr>
            <w:tcW w:w="0" w:type="auto"/>
            <w:tcBorders>
              <w:top w:val="single" w:sz="4" w:space="0" w:color="auto"/>
              <w:left w:val="double" w:sz="4" w:space="0" w:color="auto"/>
              <w:bottom w:val="single" w:sz="4" w:space="0" w:color="auto"/>
            </w:tcBorders>
          </w:tcPr>
          <w:p w:rsidR="008E5C84" w:rsidRPr="00E74C78" w:rsidRDefault="008E5C84" w:rsidP="009D69C4">
            <w:pPr>
              <w:rPr>
                <w:rFonts w:asciiTheme="minorHAnsi" w:eastAsia="Times New Roman" w:hAnsiTheme="minorHAnsi" w:cstheme="minorHAnsi"/>
                <w:color w:val="000000"/>
              </w:rPr>
            </w:pPr>
          </w:p>
        </w:tc>
        <w:tc>
          <w:tcPr>
            <w:tcW w:w="0" w:type="auto"/>
            <w:tcBorders>
              <w:top w:val="single" w:sz="4" w:space="0" w:color="auto"/>
              <w:bottom w:val="single" w:sz="4" w:space="0" w:color="auto"/>
            </w:tcBorders>
            <w:shd w:val="clear" w:color="auto" w:fill="auto"/>
            <w:noWrap/>
            <w:vAlign w:val="bottom"/>
            <w:hideMark/>
          </w:tcPr>
          <w:p w:rsidR="008E5C84" w:rsidRPr="00E74C78" w:rsidRDefault="008E5C84" w:rsidP="009D69C4">
            <w:pPr>
              <w:rPr>
                <w:rFonts w:asciiTheme="minorHAnsi" w:eastAsia="Times New Roman" w:hAnsiTheme="minorHAnsi" w:cstheme="minorHAnsi"/>
                <w:color w:val="000000"/>
              </w:rPr>
            </w:pPr>
            <w:r w:rsidRPr="00E74C78">
              <w:rPr>
                <w:rFonts w:asciiTheme="minorHAnsi" w:eastAsia="Times New Roman" w:hAnsiTheme="minorHAnsi" w:cstheme="minorHAnsi"/>
                <w:b/>
                <w:bCs/>
                <w:color w:val="000000"/>
                <w:sz w:val="22"/>
                <w:szCs w:val="22"/>
              </w:rPr>
              <w:t>$404,500</w:t>
            </w:r>
          </w:p>
        </w:tc>
        <w:tc>
          <w:tcPr>
            <w:tcW w:w="1546" w:type="dxa"/>
            <w:tcBorders>
              <w:top w:val="single" w:sz="4" w:space="0" w:color="auto"/>
              <w:bottom w:val="single" w:sz="4" w:space="0" w:color="auto"/>
              <w:right w:val="single" w:sz="4" w:space="0" w:color="auto"/>
            </w:tcBorders>
            <w:shd w:val="clear" w:color="auto" w:fill="auto"/>
            <w:noWrap/>
            <w:vAlign w:val="bottom"/>
            <w:hideMark/>
          </w:tcPr>
          <w:p w:rsidR="008E5C84" w:rsidRPr="00E74C78" w:rsidRDefault="008E5C84" w:rsidP="009D69C4">
            <w:pPr>
              <w:jc w:val="center"/>
              <w:rPr>
                <w:rFonts w:asciiTheme="minorHAnsi" w:eastAsia="Times New Roman" w:hAnsiTheme="minorHAnsi" w:cstheme="minorHAnsi"/>
                <w:color w:val="000000"/>
              </w:rPr>
            </w:pPr>
          </w:p>
        </w:tc>
      </w:tr>
    </w:tbl>
    <w:p w:rsidR="00241046" w:rsidRDefault="00241046" w:rsidP="00241046">
      <w:pPr>
        <w:ind w:left="360"/>
        <w:rPr>
          <w:rStyle w:val="CommentReference"/>
        </w:rPr>
      </w:pPr>
    </w:p>
    <w:p w:rsidR="00241046" w:rsidRDefault="00241046" w:rsidP="00241046">
      <w:pPr>
        <w:ind w:left="360"/>
        <w:rPr>
          <w:rStyle w:val="CommentReference"/>
        </w:rPr>
      </w:pPr>
    </w:p>
    <w:p w:rsidR="008E5C84" w:rsidRDefault="008E5C84" w:rsidP="008336FC">
      <w:pPr>
        <w:ind w:left="1440" w:hanging="360"/>
      </w:pPr>
    </w:p>
    <w:p w:rsidR="00524969" w:rsidRDefault="00524969" w:rsidP="008336FC">
      <w:pPr>
        <w:pStyle w:val="ListParagraph"/>
        <w:numPr>
          <w:ilvl w:val="0"/>
          <w:numId w:val="40"/>
        </w:numPr>
        <w:ind w:left="1440" w:right="630"/>
        <w:rPr>
          <w:rFonts w:asciiTheme="minorHAnsi" w:hAnsiTheme="minorHAnsi" w:cstheme="minorHAnsi"/>
        </w:rPr>
      </w:pPr>
      <w:r w:rsidRPr="00524969">
        <w:rPr>
          <w:rFonts w:asciiTheme="minorHAnsi" w:hAnsiTheme="minorHAnsi" w:cstheme="minorHAnsi"/>
        </w:rPr>
        <w:t xml:space="preserve">Under the two-tier structure, the 15 large manufacturers in Tiers 1 and 2 </w:t>
      </w:r>
      <w:r w:rsidR="00C07DC6">
        <w:rPr>
          <w:rFonts w:asciiTheme="minorHAnsi" w:hAnsiTheme="minorHAnsi" w:cstheme="minorHAnsi"/>
        </w:rPr>
        <w:t xml:space="preserve">of the </w:t>
      </w:r>
      <w:r w:rsidRPr="00524969">
        <w:rPr>
          <w:rFonts w:asciiTheme="minorHAnsi" w:hAnsiTheme="minorHAnsi" w:cstheme="minorHAnsi"/>
        </w:rPr>
        <w:t>proposed fee structure would see large fee reductions while the other 144 manufacturers would see large fee increases.</w:t>
      </w:r>
      <w:r w:rsidR="00616723">
        <w:rPr>
          <w:rFonts w:asciiTheme="minorHAnsi" w:hAnsiTheme="minorHAnsi" w:cstheme="minorHAnsi"/>
        </w:rPr>
        <w:t xml:space="preserve"> </w:t>
      </w:r>
      <w:r w:rsidRPr="00524969">
        <w:rPr>
          <w:rFonts w:asciiTheme="minorHAnsi" w:hAnsiTheme="minorHAnsi" w:cstheme="minorHAnsi"/>
        </w:rPr>
        <w:t xml:space="preserve">The largest increase, from $200 to $7,000 for Tier 5 </w:t>
      </w:r>
      <w:r w:rsidR="00C07DC6">
        <w:rPr>
          <w:rFonts w:asciiTheme="minorHAnsi" w:hAnsiTheme="minorHAnsi" w:cstheme="minorHAnsi"/>
        </w:rPr>
        <w:t xml:space="preserve">in the </w:t>
      </w:r>
      <w:r w:rsidRPr="00524969">
        <w:rPr>
          <w:rFonts w:asciiTheme="minorHAnsi" w:hAnsiTheme="minorHAnsi" w:cstheme="minorHAnsi"/>
        </w:rPr>
        <w:t>proposed fee structure</w:t>
      </w:r>
      <w:r w:rsidR="00C07DC6">
        <w:rPr>
          <w:rFonts w:asciiTheme="minorHAnsi" w:hAnsiTheme="minorHAnsi" w:cstheme="minorHAnsi"/>
        </w:rPr>
        <w:t>,</w:t>
      </w:r>
      <w:r w:rsidRPr="00524969">
        <w:rPr>
          <w:rFonts w:asciiTheme="minorHAnsi" w:hAnsiTheme="minorHAnsi" w:cstheme="minorHAnsi"/>
        </w:rPr>
        <w:t xml:space="preserve"> represents a 3,400</w:t>
      </w:r>
      <w:r w:rsidR="00C07DC6">
        <w:rPr>
          <w:rFonts w:asciiTheme="minorHAnsi" w:hAnsiTheme="minorHAnsi" w:cstheme="minorHAnsi"/>
        </w:rPr>
        <w:t xml:space="preserve"> percent</w:t>
      </w:r>
      <w:r w:rsidRPr="00524969">
        <w:rPr>
          <w:rFonts w:asciiTheme="minorHAnsi" w:hAnsiTheme="minorHAnsi" w:cstheme="minorHAnsi"/>
        </w:rPr>
        <w:t xml:space="preserve"> increase.</w:t>
      </w:r>
      <w:r w:rsidR="00616723">
        <w:rPr>
          <w:rFonts w:asciiTheme="minorHAnsi" w:hAnsiTheme="minorHAnsi" w:cstheme="minorHAnsi"/>
        </w:rPr>
        <w:t xml:space="preserve"> </w:t>
      </w:r>
    </w:p>
    <w:p w:rsidR="008336FC" w:rsidRDefault="008336FC" w:rsidP="008336FC">
      <w:pPr>
        <w:pStyle w:val="ListParagraph"/>
        <w:ind w:left="1440" w:right="630" w:hanging="360"/>
        <w:rPr>
          <w:rFonts w:asciiTheme="minorHAnsi" w:hAnsiTheme="minorHAnsi" w:cstheme="minorHAnsi"/>
        </w:rPr>
      </w:pPr>
    </w:p>
    <w:p w:rsidR="00524969" w:rsidRPr="00524969" w:rsidRDefault="00524969" w:rsidP="008336FC">
      <w:pPr>
        <w:pStyle w:val="ListParagraph"/>
        <w:numPr>
          <w:ilvl w:val="0"/>
          <w:numId w:val="40"/>
        </w:numPr>
        <w:ind w:left="1440" w:right="630"/>
        <w:rPr>
          <w:rFonts w:asciiTheme="minorHAnsi" w:hAnsiTheme="minorHAnsi" w:cstheme="minorHAnsi"/>
        </w:rPr>
      </w:pPr>
      <w:r w:rsidRPr="00524969">
        <w:rPr>
          <w:rFonts w:asciiTheme="minorHAnsi" w:hAnsiTheme="minorHAnsi" w:cstheme="minorHAnsi"/>
        </w:rPr>
        <w:t xml:space="preserve">The two-tier fee structure does not scale fees to market share, except to provide a separate tier for the smallest manufacturers. Both the existing and proposed fee structures graduate fees with market share, and, as noted in response to comment 5, market share is important in evaluating impacts </w:t>
      </w:r>
      <w:r w:rsidR="00AF07FC">
        <w:rPr>
          <w:rFonts w:asciiTheme="minorHAnsi" w:hAnsiTheme="minorHAnsi" w:cstheme="minorHAnsi"/>
        </w:rPr>
        <w:t xml:space="preserve">of </w:t>
      </w:r>
      <w:r w:rsidRPr="00524969">
        <w:rPr>
          <w:rFonts w:asciiTheme="minorHAnsi" w:hAnsiTheme="minorHAnsi" w:cstheme="minorHAnsi"/>
        </w:rPr>
        <w:t xml:space="preserve">registration fees on manufacturers. Table </w:t>
      </w:r>
      <w:r>
        <w:rPr>
          <w:rFonts w:asciiTheme="minorHAnsi" w:hAnsiTheme="minorHAnsi" w:cstheme="minorHAnsi"/>
        </w:rPr>
        <w:t>8</w:t>
      </w:r>
      <w:r w:rsidRPr="00524969">
        <w:rPr>
          <w:rFonts w:asciiTheme="minorHAnsi" w:hAnsiTheme="minorHAnsi" w:cstheme="minorHAnsi"/>
        </w:rPr>
        <w:t xml:space="preserve"> shows those impacts measured as cost</w:t>
      </w:r>
      <w:r w:rsidR="00B42504">
        <w:rPr>
          <w:rFonts w:asciiTheme="minorHAnsi" w:hAnsiTheme="minorHAnsi" w:cstheme="minorHAnsi"/>
        </w:rPr>
        <w:t xml:space="preserve"> per </w:t>
      </w:r>
      <w:r w:rsidRPr="00524969">
        <w:rPr>
          <w:rFonts w:asciiTheme="minorHAnsi" w:hAnsiTheme="minorHAnsi" w:cstheme="minorHAnsi"/>
        </w:rPr>
        <w:t xml:space="preserve">unit </w:t>
      </w:r>
      <w:r w:rsidRPr="00524969">
        <w:rPr>
          <w:rFonts w:asciiTheme="minorHAnsi" w:hAnsiTheme="minorHAnsi" w:cstheme="minorHAnsi"/>
        </w:rPr>
        <w:lastRenderedPageBreak/>
        <w:t>sold in Oregon under the proposed two-tier structure using 2012 E-Cycles market share data.</w:t>
      </w:r>
      <w:r w:rsidR="00616723">
        <w:rPr>
          <w:rFonts w:asciiTheme="minorHAnsi" w:hAnsiTheme="minorHAnsi" w:cstheme="minorHAnsi"/>
        </w:rPr>
        <w:t xml:space="preserve"> </w:t>
      </w:r>
      <w:r w:rsidRPr="00524969">
        <w:rPr>
          <w:rFonts w:asciiTheme="minorHAnsi" w:hAnsiTheme="minorHAnsi" w:cstheme="minorHAnsi"/>
        </w:rPr>
        <w:t xml:space="preserve">As seen in the ranges in Table </w:t>
      </w:r>
      <w:r>
        <w:rPr>
          <w:rFonts w:asciiTheme="minorHAnsi" w:hAnsiTheme="minorHAnsi" w:cstheme="minorHAnsi"/>
        </w:rPr>
        <w:t>8</w:t>
      </w:r>
      <w:r w:rsidRPr="00524969">
        <w:rPr>
          <w:rFonts w:asciiTheme="minorHAnsi" w:hAnsiTheme="minorHAnsi" w:cstheme="minorHAnsi"/>
        </w:rPr>
        <w:t xml:space="preserve">, the two-tier structure results in </w:t>
      </w:r>
      <w:r w:rsidR="005904C4">
        <w:rPr>
          <w:rFonts w:asciiTheme="minorHAnsi" w:hAnsiTheme="minorHAnsi" w:cstheme="minorHAnsi"/>
        </w:rPr>
        <w:t>major</w:t>
      </w:r>
      <w:r w:rsidR="005904C4" w:rsidRPr="00524969">
        <w:rPr>
          <w:rFonts w:asciiTheme="minorHAnsi" w:hAnsiTheme="minorHAnsi" w:cstheme="minorHAnsi"/>
        </w:rPr>
        <w:t xml:space="preserve"> </w:t>
      </w:r>
      <w:r w:rsidRPr="00524969">
        <w:rPr>
          <w:rFonts w:asciiTheme="minorHAnsi" w:hAnsiTheme="minorHAnsi" w:cstheme="minorHAnsi"/>
        </w:rPr>
        <w:t xml:space="preserve">differences in </w:t>
      </w:r>
      <w:r w:rsidR="005904C4">
        <w:rPr>
          <w:rFonts w:asciiTheme="minorHAnsi" w:hAnsiTheme="minorHAnsi" w:cstheme="minorHAnsi"/>
        </w:rPr>
        <w:t>unit costs</w:t>
      </w:r>
      <w:r w:rsidRPr="00524969">
        <w:rPr>
          <w:rFonts w:asciiTheme="minorHAnsi" w:hAnsiTheme="minorHAnsi" w:cstheme="minorHAnsi"/>
        </w:rPr>
        <w:t xml:space="preserve"> among manufacturers both within and between tiers.</w:t>
      </w:r>
      <w:r w:rsidR="00616723">
        <w:rPr>
          <w:rFonts w:asciiTheme="minorHAnsi" w:hAnsiTheme="minorHAnsi" w:cstheme="minorHAnsi"/>
        </w:rPr>
        <w:t xml:space="preserve"> </w:t>
      </w:r>
      <w:r w:rsidRPr="00524969">
        <w:rPr>
          <w:rFonts w:asciiTheme="minorHAnsi" w:hAnsiTheme="minorHAnsi" w:cstheme="minorHAnsi"/>
        </w:rPr>
        <w:t xml:space="preserve"> </w:t>
      </w:r>
    </w:p>
    <w:p w:rsidR="00241046" w:rsidRDefault="00241046" w:rsidP="00C063DC">
      <w:pPr>
        <w:ind w:left="1080" w:right="630"/>
      </w:pPr>
    </w:p>
    <w:p w:rsidR="00D50590" w:rsidRDefault="00D50590" w:rsidP="00D50590">
      <w:pPr>
        <w:pStyle w:val="ListParagraph"/>
        <w:numPr>
          <w:ilvl w:val="0"/>
          <w:numId w:val="42"/>
        </w:numPr>
        <w:ind w:right="630"/>
        <w:rPr>
          <w:rFonts w:asciiTheme="minorHAnsi" w:hAnsiTheme="minorHAnsi" w:cstheme="minorHAnsi"/>
          <w:b/>
        </w:rPr>
      </w:pPr>
      <w:r w:rsidRPr="007A4786">
        <w:rPr>
          <w:rFonts w:asciiTheme="minorHAnsi" w:hAnsiTheme="minorHAnsi" w:cstheme="minorHAnsi"/>
        </w:rPr>
        <w:t>DEQ has not recommended the two-tier fee structure because it is not tied to revenue need and does not adequately consider market share – resulting in significant fee increases for all but the largest manufacturers, who would see large fee decreases, and large disparities in cost</w:t>
      </w:r>
      <w:r w:rsidR="00B42504">
        <w:rPr>
          <w:rFonts w:asciiTheme="minorHAnsi" w:hAnsiTheme="minorHAnsi" w:cstheme="minorHAnsi"/>
        </w:rPr>
        <w:t xml:space="preserve"> per </w:t>
      </w:r>
      <w:r w:rsidRPr="007A4786">
        <w:rPr>
          <w:rFonts w:asciiTheme="minorHAnsi" w:hAnsiTheme="minorHAnsi" w:cstheme="minorHAnsi"/>
        </w:rPr>
        <w:t xml:space="preserve">unit sold among manufacturers.  </w:t>
      </w:r>
    </w:p>
    <w:p w:rsidR="006A41AC" w:rsidRDefault="006A41AC">
      <w:pPr>
        <w:spacing w:after="200" w:line="276" w:lineRule="auto"/>
      </w:pPr>
      <w:r>
        <w:br w:type="page"/>
      </w:r>
    </w:p>
    <w:tbl>
      <w:tblPr>
        <w:tblW w:w="0" w:type="auto"/>
        <w:tblInd w:w="866" w:type="dxa"/>
        <w:tblLayout w:type="fixed"/>
        <w:tblLook w:val="04A0"/>
      </w:tblPr>
      <w:tblGrid>
        <w:gridCol w:w="630"/>
        <w:gridCol w:w="1170"/>
        <w:gridCol w:w="1132"/>
        <w:gridCol w:w="1138"/>
        <w:gridCol w:w="1510"/>
        <w:gridCol w:w="1170"/>
        <w:gridCol w:w="1710"/>
        <w:gridCol w:w="1170"/>
      </w:tblGrid>
      <w:tr w:rsidR="00D50590" w:rsidRPr="00ED0209" w:rsidTr="00360896">
        <w:trPr>
          <w:trHeight w:val="1200"/>
        </w:trPr>
        <w:tc>
          <w:tcPr>
            <w:tcW w:w="9630" w:type="dxa"/>
            <w:gridSpan w:val="8"/>
            <w:tcBorders>
              <w:top w:val="single" w:sz="4" w:space="0" w:color="auto"/>
              <w:left w:val="single" w:sz="4" w:space="0" w:color="auto"/>
              <w:bottom w:val="single" w:sz="4" w:space="0" w:color="auto"/>
              <w:right w:val="single" w:sz="4" w:space="0" w:color="auto"/>
            </w:tcBorders>
            <w:shd w:val="clear" w:color="auto" w:fill="008272"/>
            <w:vAlign w:val="center"/>
            <w:hideMark/>
          </w:tcPr>
          <w:p w:rsidR="006A41AC" w:rsidRDefault="006A41AC" w:rsidP="00360896">
            <w:pPr>
              <w:jc w:val="center"/>
              <w:rPr>
                <w:rFonts w:eastAsia="Times New Roman"/>
                <w:b/>
                <w:bCs/>
                <w:color w:val="FFFFFF"/>
              </w:rPr>
            </w:pPr>
          </w:p>
          <w:p w:rsidR="006A41AC" w:rsidRPr="006A41AC" w:rsidRDefault="006A41AC" w:rsidP="00360896">
            <w:pPr>
              <w:jc w:val="center"/>
              <w:rPr>
                <w:rFonts w:eastAsia="Times New Roman"/>
                <w:bCs/>
                <w:color w:val="FFFFFF"/>
              </w:rPr>
            </w:pPr>
            <w:r w:rsidRPr="006A41AC">
              <w:rPr>
                <w:rFonts w:eastAsia="Times New Roman"/>
                <w:bCs/>
                <w:color w:val="FFFFFF"/>
                <w:sz w:val="22"/>
                <w:szCs w:val="22"/>
              </w:rPr>
              <w:t>Table 8</w:t>
            </w:r>
          </w:p>
          <w:p w:rsidR="00D50590" w:rsidRPr="00E74C78" w:rsidRDefault="00D50590" w:rsidP="00360896">
            <w:pPr>
              <w:jc w:val="center"/>
              <w:rPr>
                <w:rFonts w:eastAsia="Times New Roman"/>
                <w:b/>
                <w:bCs/>
                <w:color w:val="FFFFFF"/>
              </w:rPr>
            </w:pPr>
            <w:r w:rsidRPr="00E74C78">
              <w:rPr>
                <w:rFonts w:eastAsia="Times New Roman"/>
                <w:b/>
                <w:bCs/>
                <w:color w:val="FFFFFF"/>
                <w:sz w:val="22"/>
                <w:szCs w:val="22"/>
              </w:rPr>
              <w:t>Cost per Unit - Two Tier Structure </w:t>
            </w:r>
          </w:p>
          <w:p w:rsidR="00D50590" w:rsidRPr="00E74C78" w:rsidRDefault="00D50590" w:rsidP="00360896">
            <w:pPr>
              <w:jc w:val="center"/>
              <w:rPr>
                <w:rFonts w:eastAsia="Times New Roman"/>
                <w:b/>
                <w:bCs/>
                <w:color w:val="FFFFFF"/>
              </w:rPr>
            </w:pPr>
            <w:r w:rsidRPr="00E74C78">
              <w:rPr>
                <w:rFonts w:eastAsia="Times New Roman"/>
                <w:b/>
                <w:bCs/>
                <w:color w:val="FFFFFF"/>
                <w:sz w:val="22"/>
                <w:szCs w:val="22"/>
              </w:rPr>
              <w:t>Using E-Cycles data for 2012</w:t>
            </w:r>
          </w:p>
          <w:p w:rsidR="00D50590" w:rsidRDefault="00D50590" w:rsidP="00360896">
            <w:pPr>
              <w:jc w:val="center"/>
              <w:rPr>
                <w:rFonts w:eastAsia="Times New Roman"/>
                <w:b/>
                <w:bCs/>
                <w:color w:val="FFFFFF"/>
              </w:rPr>
            </w:pPr>
            <w:r w:rsidRPr="00E74C78">
              <w:rPr>
                <w:rFonts w:eastAsia="Times New Roman"/>
                <w:b/>
                <w:bCs/>
                <w:color w:val="FFFFFF"/>
                <w:sz w:val="22"/>
                <w:szCs w:val="22"/>
              </w:rPr>
              <w:t>Revenue generated: $404,500</w:t>
            </w:r>
          </w:p>
          <w:p w:rsidR="006A41AC" w:rsidRPr="00E74C78" w:rsidRDefault="006A41AC" w:rsidP="00360896">
            <w:pPr>
              <w:jc w:val="center"/>
              <w:rPr>
                <w:rFonts w:eastAsia="Times New Roman"/>
                <w:b/>
                <w:bCs/>
                <w:color w:val="FFFFFF"/>
              </w:rPr>
            </w:pPr>
          </w:p>
        </w:tc>
      </w:tr>
      <w:tr w:rsidR="00D50590" w:rsidRPr="00E74C78" w:rsidTr="00360896">
        <w:trPr>
          <w:trHeight w:val="600"/>
        </w:trPr>
        <w:tc>
          <w:tcPr>
            <w:tcW w:w="2932" w:type="dxa"/>
            <w:gridSpan w:val="3"/>
            <w:tcBorders>
              <w:top w:val="single" w:sz="4" w:space="0" w:color="auto"/>
              <w:left w:val="single" w:sz="4" w:space="0" w:color="auto"/>
              <w:bottom w:val="single" w:sz="4" w:space="0" w:color="auto"/>
              <w:right w:val="single" w:sz="12"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Existing Fee Structure</w:t>
            </w:r>
          </w:p>
        </w:tc>
        <w:tc>
          <w:tcPr>
            <w:tcW w:w="3818" w:type="dxa"/>
            <w:gridSpan w:val="3"/>
            <w:tcBorders>
              <w:top w:val="single" w:sz="4" w:space="0" w:color="auto"/>
              <w:left w:val="single" w:sz="12" w:space="0" w:color="auto"/>
              <w:bottom w:val="single" w:sz="4" w:space="0" w:color="auto"/>
              <w:right w:val="single" w:sz="12"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Units Sold in Oregon</w:t>
            </w:r>
          </w:p>
        </w:tc>
        <w:tc>
          <w:tcPr>
            <w:tcW w:w="2880" w:type="dxa"/>
            <w:gridSpan w:val="2"/>
            <w:tcBorders>
              <w:top w:val="single" w:sz="4" w:space="0" w:color="auto"/>
              <w:left w:val="single" w:sz="12" w:space="0" w:color="auto"/>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Cost/Unit Sold</w:t>
            </w:r>
            <w:r w:rsidRPr="00E74C78">
              <w:rPr>
                <w:rFonts w:eastAsia="Times New Roman"/>
                <w:b/>
                <w:bCs/>
                <w:color w:val="000000" w:themeColor="text1"/>
                <w:sz w:val="22"/>
                <w:szCs w:val="22"/>
                <w:vertAlign w:val="superscript"/>
              </w:rPr>
              <w:t>1</w:t>
            </w:r>
          </w:p>
        </w:tc>
      </w:tr>
      <w:tr w:rsidR="00D50590" w:rsidRPr="00E74C78" w:rsidTr="00360896">
        <w:trPr>
          <w:trHeight w:val="665"/>
        </w:trPr>
        <w:tc>
          <w:tcPr>
            <w:tcW w:w="630" w:type="dxa"/>
            <w:tcBorders>
              <w:top w:val="nil"/>
              <w:left w:val="single" w:sz="4" w:space="0" w:color="auto"/>
              <w:bottom w:val="single" w:sz="4" w:space="0" w:color="auto"/>
              <w:right w:val="single" w:sz="4" w:space="0" w:color="auto"/>
            </w:tcBorders>
            <w:shd w:val="clear" w:color="auto" w:fill="B1DDCD"/>
            <w:noWrap/>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Tier</w:t>
            </w:r>
          </w:p>
        </w:tc>
        <w:tc>
          <w:tcPr>
            <w:tcW w:w="1170" w:type="dxa"/>
            <w:tcBorders>
              <w:top w:val="nil"/>
              <w:left w:val="nil"/>
              <w:bottom w:val="single" w:sz="4" w:space="0" w:color="auto"/>
              <w:right w:val="nil"/>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Market Share</w:t>
            </w:r>
          </w:p>
          <w:p w:rsidR="00D50590" w:rsidRPr="00E74C78" w:rsidRDefault="00D50590" w:rsidP="00360896">
            <w:pPr>
              <w:jc w:val="center"/>
              <w:rPr>
                <w:rFonts w:eastAsia="Times New Roman"/>
                <w:b/>
                <w:bCs/>
                <w:color w:val="000000" w:themeColor="text1"/>
                <w:sz w:val="18"/>
                <w:szCs w:val="18"/>
              </w:rPr>
            </w:pPr>
            <w:r w:rsidRPr="00E74C78">
              <w:rPr>
                <w:rFonts w:eastAsia="Times New Roman"/>
                <w:b/>
                <w:bCs/>
                <w:color w:val="000000" w:themeColor="text1"/>
                <w:sz w:val="18"/>
                <w:szCs w:val="18"/>
              </w:rPr>
              <w:t>(MS)</w:t>
            </w:r>
          </w:p>
        </w:tc>
        <w:tc>
          <w:tcPr>
            <w:tcW w:w="1132" w:type="dxa"/>
            <w:tcBorders>
              <w:top w:val="nil"/>
              <w:left w:val="single" w:sz="4" w:space="0" w:color="auto"/>
              <w:bottom w:val="single" w:sz="4" w:space="0" w:color="auto"/>
              <w:right w:val="single" w:sz="12"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Fee</w:t>
            </w:r>
          </w:p>
        </w:tc>
        <w:tc>
          <w:tcPr>
            <w:tcW w:w="1138" w:type="dxa"/>
            <w:tcBorders>
              <w:top w:val="nil"/>
              <w:left w:val="nil"/>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Total</w:t>
            </w:r>
          </w:p>
        </w:tc>
        <w:tc>
          <w:tcPr>
            <w:tcW w:w="1510" w:type="dxa"/>
            <w:tcBorders>
              <w:top w:val="nil"/>
              <w:left w:val="nil"/>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Range</w:t>
            </w:r>
          </w:p>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High-Low MS</w:t>
            </w:r>
          </w:p>
        </w:tc>
        <w:tc>
          <w:tcPr>
            <w:tcW w:w="1170" w:type="dxa"/>
            <w:tcBorders>
              <w:top w:val="nil"/>
              <w:left w:val="nil"/>
              <w:bottom w:val="single" w:sz="4" w:space="0" w:color="auto"/>
              <w:right w:val="single" w:sz="12"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Average</w:t>
            </w:r>
          </w:p>
        </w:tc>
        <w:tc>
          <w:tcPr>
            <w:tcW w:w="1710" w:type="dxa"/>
            <w:tcBorders>
              <w:top w:val="nil"/>
              <w:left w:val="single" w:sz="12" w:space="0" w:color="auto"/>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Range</w:t>
            </w:r>
          </w:p>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High-Low MS</w:t>
            </w:r>
          </w:p>
        </w:tc>
        <w:tc>
          <w:tcPr>
            <w:tcW w:w="1170" w:type="dxa"/>
            <w:tcBorders>
              <w:top w:val="nil"/>
              <w:left w:val="nil"/>
              <w:bottom w:val="single" w:sz="4" w:space="0" w:color="auto"/>
              <w:right w:val="single" w:sz="4" w:space="0" w:color="auto"/>
            </w:tcBorders>
            <w:shd w:val="clear" w:color="auto" w:fill="B1DDCD"/>
            <w:vAlign w:val="center"/>
            <w:hideMark/>
          </w:tcPr>
          <w:p w:rsidR="00D50590" w:rsidRPr="00E74C78" w:rsidRDefault="00D50590" w:rsidP="00360896">
            <w:pPr>
              <w:jc w:val="center"/>
              <w:rPr>
                <w:rFonts w:eastAsia="Times New Roman"/>
                <w:b/>
                <w:bCs/>
                <w:color w:val="000000" w:themeColor="text1"/>
              </w:rPr>
            </w:pPr>
            <w:r w:rsidRPr="00E74C78">
              <w:rPr>
                <w:rFonts w:eastAsia="Times New Roman"/>
                <w:b/>
                <w:bCs/>
                <w:color w:val="000000" w:themeColor="text1"/>
                <w:sz w:val="22"/>
                <w:szCs w:val="22"/>
              </w:rPr>
              <w:t>Average</w:t>
            </w:r>
          </w:p>
        </w:tc>
      </w:tr>
      <w:tr w:rsidR="00D50590" w:rsidRPr="00ED0209" w:rsidTr="00360896">
        <w:trPr>
          <w:trHeight w:val="402"/>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r w:rsidRPr="00360896">
              <w:rPr>
                <w:rFonts w:asciiTheme="minorHAnsi" w:eastAsia="Times New Roman" w:hAnsiTheme="minorHAnsi" w:cstheme="minorHAnsi"/>
                <w:color w:val="000000"/>
                <w:sz w:val="22"/>
                <w:szCs w:val="22"/>
              </w:rPr>
              <w:t>1</w:t>
            </w:r>
          </w:p>
        </w:tc>
        <w:tc>
          <w:tcPr>
            <w:tcW w:w="1170" w:type="dxa"/>
            <w:tcBorders>
              <w:top w:val="nil"/>
              <w:left w:val="nil"/>
              <w:bottom w:val="single" w:sz="4" w:space="0" w:color="auto"/>
              <w:right w:val="nil"/>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u w:val="single"/>
              </w:rPr>
              <w:t>&gt;</w:t>
            </w:r>
            <w:r w:rsidRPr="00360896">
              <w:rPr>
                <w:rFonts w:asciiTheme="minorHAnsi" w:hAnsiTheme="minorHAnsi" w:cstheme="minorHAnsi"/>
                <w:color w:val="000000"/>
                <w:sz w:val="22"/>
                <w:szCs w:val="22"/>
              </w:rPr>
              <w:t xml:space="preserve"> .01%</w:t>
            </w:r>
          </w:p>
        </w:tc>
        <w:tc>
          <w:tcPr>
            <w:tcW w:w="1132" w:type="dxa"/>
            <w:tcBorders>
              <w:top w:val="nil"/>
              <w:left w:val="single" w:sz="4" w:space="0" w:color="auto"/>
              <w:bottom w:val="single" w:sz="4" w:space="0" w:color="auto"/>
              <w:right w:val="single" w:sz="12"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r w:rsidRPr="00360896">
              <w:rPr>
                <w:rFonts w:asciiTheme="minorHAnsi" w:eastAsia="Times New Roman" w:hAnsiTheme="minorHAnsi" w:cstheme="minorHAnsi"/>
                <w:color w:val="000000"/>
                <w:sz w:val="22"/>
                <w:szCs w:val="22"/>
              </w:rPr>
              <w:t>$7,000</w:t>
            </w:r>
          </w:p>
        </w:tc>
        <w:tc>
          <w:tcPr>
            <w:tcW w:w="1138" w:type="dxa"/>
            <w:tcBorders>
              <w:top w:val="nil"/>
              <w:left w:val="nil"/>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1,560,237</w:t>
            </w:r>
          </w:p>
        </w:tc>
        <w:tc>
          <w:tcPr>
            <w:tcW w:w="1510" w:type="dxa"/>
            <w:tcBorders>
              <w:top w:val="nil"/>
              <w:left w:val="nil"/>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176 - 272,251</w:t>
            </w:r>
          </w:p>
        </w:tc>
        <w:tc>
          <w:tcPr>
            <w:tcW w:w="1170" w:type="dxa"/>
            <w:tcBorders>
              <w:top w:val="nil"/>
              <w:left w:val="nil"/>
              <w:bottom w:val="single" w:sz="4" w:space="0" w:color="auto"/>
              <w:right w:val="single" w:sz="12"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31,205</w:t>
            </w:r>
          </w:p>
        </w:tc>
        <w:tc>
          <w:tcPr>
            <w:tcW w:w="1710" w:type="dxa"/>
            <w:tcBorders>
              <w:top w:val="nil"/>
              <w:left w:val="single" w:sz="12" w:space="0" w:color="auto"/>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$0.03 - $39.77</w:t>
            </w:r>
          </w:p>
        </w:tc>
        <w:tc>
          <w:tcPr>
            <w:tcW w:w="1170" w:type="dxa"/>
            <w:tcBorders>
              <w:top w:val="nil"/>
              <w:left w:val="nil"/>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$0.22</w:t>
            </w:r>
          </w:p>
        </w:tc>
      </w:tr>
      <w:tr w:rsidR="00D50590" w:rsidRPr="00ED0209" w:rsidTr="00360896">
        <w:trPr>
          <w:trHeight w:val="402"/>
        </w:trPr>
        <w:tc>
          <w:tcPr>
            <w:tcW w:w="630" w:type="dxa"/>
            <w:tcBorders>
              <w:top w:val="nil"/>
              <w:left w:val="single" w:sz="4" w:space="0" w:color="auto"/>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r w:rsidRPr="00360896">
              <w:rPr>
                <w:rFonts w:asciiTheme="minorHAnsi" w:eastAsia="Times New Roman" w:hAnsiTheme="minorHAnsi" w:cstheme="minorHAnsi"/>
                <w:color w:val="000000"/>
                <w:sz w:val="22"/>
                <w:szCs w:val="22"/>
              </w:rPr>
              <w:t>2</w:t>
            </w:r>
          </w:p>
        </w:tc>
        <w:tc>
          <w:tcPr>
            <w:tcW w:w="1170" w:type="dxa"/>
            <w:tcBorders>
              <w:top w:val="nil"/>
              <w:left w:val="nil"/>
              <w:bottom w:val="single" w:sz="12" w:space="0" w:color="auto"/>
              <w:right w:val="nil"/>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&lt; .01%</w:t>
            </w:r>
          </w:p>
        </w:tc>
        <w:tc>
          <w:tcPr>
            <w:tcW w:w="1132" w:type="dxa"/>
            <w:tcBorders>
              <w:top w:val="nil"/>
              <w:left w:val="single" w:sz="4" w:space="0" w:color="auto"/>
              <w:bottom w:val="single" w:sz="12" w:space="0" w:color="auto"/>
              <w:right w:val="single" w:sz="12"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r w:rsidRPr="00360896">
              <w:rPr>
                <w:rFonts w:asciiTheme="minorHAnsi" w:eastAsia="Times New Roman" w:hAnsiTheme="minorHAnsi" w:cstheme="minorHAnsi"/>
                <w:color w:val="000000"/>
                <w:sz w:val="22"/>
                <w:szCs w:val="22"/>
              </w:rPr>
              <w:t>$500</w:t>
            </w:r>
          </w:p>
        </w:tc>
        <w:tc>
          <w:tcPr>
            <w:tcW w:w="1138" w:type="dxa"/>
            <w:tcBorders>
              <w:top w:val="nil"/>
              <w:left w:val="nil"/>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1,777</w:t>
            </w:r>
          </w:p>
        </w:tc>
        <w:tc>
          <w:tcPr>
            <w:tcW w:w="1510" w:type="dxa"/>
            <w:tcBorders>
              <w:top w:val="nil"/>
              <w:left w:val="nil"/>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1 - 148</w:t>
            </w:r>
          </w:p>
        </w:tc>
        <w:tc>
          <w:tcPr>
            <w:tcW w:w="1170" w:type="dxa"/>
            <w:tcBorders>
              <w:top w:val="nil"/>
              <w:left w:val="nil"/>
              <w:bottom w:val="single" w:sz="12" w:space="0" w:color="auto"/>
              <w:right w:val="single" w:sz="12"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51</w:t>
            </w:r>
          </w:p>
        </w:tc>
        <w:tc>
          <w:tcPr>
            <w:tcW w:w="1710" w:type="dxa"/>
            <w:tcBorders>
              <w:top w:val="nil"/>
              <w:left w:val="single" w:sz="12" w:space="0" w:color="auto"/>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$3.38 - $500</w:t>
            </w:r>
            <w:r w:rsidRPr="00360896">
              <w:rPr>
                <w:rFonts w:asciiTheme="minorHAnsi" w:hAnsiTheme="minorHAnsi" w:cstheme="minorHAnsi"/>
                <w:color w:val="000000"/>
                <w:sz w:val="22"/>
                <w:szCs w:val="22"/>
                <w:vertAlign w:val="superscript"/>
              </w:rPr>
              <w:t>2</w:t>
            </w:r>
          </w:p>
        </w:tc>
        <w:tc>
          <w:tcPr>
            <w:tcW w:w="1170" w:type="dxa"/>
            <w:tcBorders>
              <w:top w:val="nil"/>
              <w:left w:val="nil"/>
              <w:bottom w:val="single" w:sz="12"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hAnsiTheme="minorHAnsi" w:cstheme="minorHAnsi"/>
                <w:color w:val="000000"/>
              </w:rPr>
            </w:pPr>
            <w:r w:rsidRPr="00360896">
              <w:rPr>
                <w:rFonts w:asciiTheme="minorHAnsi" w:hAnsiTheme="minorHAnsi" w:cstheme="minorHAnsi"/>
                <w:color w:val="000000"/>
                <w:sz w:val="22"/>
                <w:szCs w:val="22"/>
              </w:rPr>
              <w:t>$9.80</w:t>
            </w:r>
            <w:r w:rsidRPr="00360896">
              <w:rPr>
                <w:rFonts w:asciiTheme="minorHAnsi" w:hAnsiTheme="minorHAnsi" w:cstheme="minorHAnsi"/>
                <w:color w:val="000000"/>
                <w:sz w:val="22"/>
                <w:szCs w:val="22"/>
                <w:vertAlign w:val="superscript"/>
              </w:rPr>
              <w:t>2</w:t>
            </w:r>
          </w:p>
        </w:tc>
      </w:tr>
      <w:tr w:rsidR="00D50590" w:rsidRPr="00ED0209" w:rsidTr="00360896">
        <w:trPr>
          <w:trHeight w:val="402"/>
        </w:trPr>
        <w:tc>
          <w:tcPr>
            <w:tcW w:w="1800" w:type="dxa"/>
            <w:gridSpan w:val="2"/>
            <w:tcBorders>
              <w:top w:val="single" w:sz="12" w:space="0" w:color="auto"/>
              <w:left w:val="single" w:sz="4" w:space="0" w:color="auto"/>
              <w:bottom w:val="single" w:sz="4" w:space="0" w:color="auto"/>
            </w:tcBorders>
            <w:shd w:val="clear" w:color="auto" w:fill="auto"/>
            <w:noWrap/>
            <w:vAlign w:val="center"/>
            <w:hideMark/>
          </w:tcPr>
          <w:p w:rsidR="00D50590" w:rsidRPr="00360896" w:rsidRDefault="00D50590" w:rsidP="00360896">
            <w:pPr>
              <w:jc w:val="right"/>
              <w:rPr>
                <w:rFonts w:asciiTheme="minorHAnsi" w:eastAsia="Times New Roman" w:hAnsiTheme="minorHAnsi" w:cstheme="minorHAnsi"/>
                <w:b/>
                <w:bCs/>
                <w:color w:val="000000"/>
              </w:rPr>
            </w:pPr>
            <w:r w:rsidRPr="00360896">
              <w:rPr>
                <w:rFonts w:asciiTheme="minorHAnsi" w:eastAsia="Times New Roman" w:hAnsiTheme="minorHAnsi" w:cstheme="minorHAnsi"/>
                <w:b/>
                <w:bCs/>
                <w:color w:val="000000"/>
                <w:sz w:val="22"/>
                <w:szCs w:val="22"/>
              </w:rPr>
              <w:t>Totals:</w:t>
            </w:r>
          </w:p>
        </w:tc>
        <w:tc>
          <w:tcPr>
            <w:tcW w:w="1132"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b/>
                <w:bCs/>
                <w:color w:val="000000"/>
              </w:rPr>
            </w:pPr>
            <w:r w:rsidRPr="00360896">
              <w:rPr>
                <w:rFonts w:asciiTheme="minorHAnsi" w:eastAsia="Times New Roman" w:hAnsiTheme="minorHAnsi" w:cstheme="minorHAnsi"/>
                <w:b/>
                <w:bCs/>
                <w:color w:val="000000"/>
                <w:sz w:val="22"/>
                <w:szCs w:val="22"/>
              </w:rPr>
              <w:t>$404,500</w:t>
            </w:r>
          </w:p>
        </w:tc>
        <w:tc>
          <w:tcPr>
            <w:tcW w:w="1138"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b/>
                <w:bCs/>
                <w:color w:val="000000"/>
              </w:rPr>
            </w:pPr>
            <w:r w:rsidRPr="00360896">
              <w:rPr>
                <w:rFonts w:asciiTheme="minorHAnsi" w:eastAsia="Times New Roman" w:hAnsiTheme="minorHAnsi" w:cstheme="minorHAnsi"/>
                <w:b/>
                <w:bCs/>
                <w:color w:val="000000"/>
                <w:sz w:val="22"/>
                <w:szCs w:val="22"/>
              </w:rPr>
              <w:t>1,562,014</w:t>
            </w:r>
          </w:p>
        </w:tc>
        <w:tc>
          <w:tcPr>
            <w:tcW w:w="1510"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p>
        </w:tc>
        <w:tc>
          <w:tcPr>
            <w:tcW w:w="1170"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p>
        </w:tc>
        <w:tc>
          <w:tcPr>
            <w:tcW w:w="1710" w:type="dxa"/>
            <w:tcBorders>
              <w:top w:val="single" w:sz="12" w:space="0" w:color="auto"/>
              <w:bottom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p>
        </w:tc>
        <w:tc>
          <w:tcPr>
            <w:tcW w:w="1170" w:type="dxa"/>
            <w:tcBorders>
              <w:top w:val="single" w:sz="12" w:space="0" w:color="auto"/>
              <w:bottom w:val="single" w:sz="4" w:space="0" w:color="auto"/>
              <w:right w:val="single" w:sz="4" w:space="0" w:color="auto"/>
            </w:tcBorders>
            <w:shd w:val="clear" w:color="auto" w:fill="auto"/>
            <w:noWrap/>
            <w:vAlign w:val="center"/>
            <w:hideMark/>
          </w:tcPr>
          <w:p w:rsidR="00D50590" w:rsidRPr="00360896" w:rsidRDefault="00D50590" w:rsidP="00360896">
            <w:pPr>
              <w:jc w:val="center"/>
              <w:rPr>
                <w:rFonts w:asciiTheme="minorHAnsi" w:eastAsia="Times New Roman" w:hAnsiTheme="minorHAnsi" w:cstheme="minorHAnsi"/>
                <w:color w:val="000000"/>
              </w:rPr>
            </w:pPr>
          </w:p>
        </w:tc>
      </w:tr>
      <w:tr w:rsidR="00D50590" w:rsidRPr="00ED0209" w:rsidTr="00360896">
        <w:trPr>
          <w:trHeight w:val="402"/>
        </w:trPr>
        <w:tc>
          <w:tcPr>
            <w:tcW w:w="9630" w:type="dxa"/>
            <w:gridSpan w:val="8"/>
            <w:tcBorders>
              <w:top w:val="single" w:sz="4" w:space="0" w:color="auto"/>
            </w:tcBorders>
            <w:shd w:val="clear" w:color="auto" w:fill="auto"/>
            <w:noWrap/>
            <w:vAlign w:val="center"/>
            <w:hideMark/>
          </w:tcPr>
          <w:p w:rsidR="00D50590" w:rsidRPr="00C07DC6" w:rsidRDefault="00D50590" w:rsidP="00360896">
            <w:pPr>
              <w:rPr>
                <w:rFonts w:asciiTheme="minorHAnsi" w:eastAsia="Times New Roman" w:hAnsiTheme="minorHAnsi" w:cstheme="minorHAnsi"/>
                <w:bCs/>
                <w:color w:val="000000"/>
                <w:sz w:val="20"/>
                <w:szCs w:val="20"/>
              </w:rPr>
            </w:pPr>
            <w:r w:rsidRPr="007A4786">
              <w:rPr>
                <w:rFonts w:asciiTheme="minorHAnsi" w:eastAsia="Times New Roman" w:hAnsiTheme="minorHAnsi" w:cstheme="minorHAnsi"/>
                <w:bCs/>
                <w:color w:val="000000"/>
                <w:sz w:val="20"/>
                <w:szCs w:val="20"/>
                <w:vertAlign w:val="superscript"/>
              </w:rPr>
              <w:t>I</w:t>
            </w:r>
            <w:r w:rsidRPr="007A4786">
              <w:rPr>
                <w:rFonts w:asciiTheme="minorHAnsi" w:eastAsia="Times New Roman" w:hAnsiTheme="minorHAnsi" w:cstheme="minorHAnsi"/>
                <w:bCs/>
                <w:color w:val="000000"/>
                <w:sz w:val="20"/>
                <w:szCs w:val="20"/>
              </w:rPr>
              <w:t>Cost</w:t>
            </w:r>
            <w:r w:rsidR="00B42504">
              <w:rPr>
                <w:rFonts w:asciiTheme="minorHAnsi" w:eastAsia="Times New Roman" w:hAnsiTheme="minorHAnsi" w:cstheme="minorHAnsi"/>
                <w:bCs/>
                <w:color w:val="000000"/>
                <w:sz w:val="20"/>
                <w:szCs w:val="20"/>
              </w:rPr>
              <w:t xml:space="preserve"> per </w:t>
            </w:r>
            <w:r w:rsidRPr="007A4786">
              <w:rPr>
                <w:rFonts w:asciiTheme="minorHAnsi" w:eastAsia="Times New Roman" w:hAnsiTheme="minorHAnsi" w:cstheme="minorHAnsi"/>
                <w:bCs/>
                <w:color w:val="000000"/>
                <w:sz w:val="20"/>
                <w:szCs w:val="20"/>
              </w:rPr>
              <w:t>unit sold varies each year based on the total number of units sold and a manufacturer’s</w:t>
            </w:r>
          </w:p>
          <w:p w:rsidR="00D50590" w:rsidRPr="00C07DC6" w:rsidRDefault="00D50590" w:rsidP="00360896">
            <w:pPr>
              <w:rPr>
                <w:rFonts w:asciiTheme="minorHAnsi" w:eastAsia="Times New Roman" w:hAnsiTheme="minorHAnsi" w:cstheme="minorHAnsi"/>
                <w:bCs/>
                <w:color w:val="000000"/>
                <w:sz w:val="20"/>
                <w:szCs w:val="20"/>
              </w:rPr>
            </w:pPr>
            <w:r w:rsidRPr="007A4786">
              <w:rPr>
                <w:rFonts w:asciiTheme="minorHAnsi" w:eastAsia="Times New Roman" w:hAnsiTheme="minorHAnsi" w:cstheme="minorHAnsi"/>
                <w:bCs/>
                <w:color w:val="000000"/>
                <w:sz w:val="20"/>
                <w:szCs w:val="20"/>
              </w:rPr>
              <w:lastRenderedPageBreak/>
              <w:t xml:space="preserve"> market share and fee.</w:t>
            </w:r>
          </w:p>
          <w:p w:rsidR="00D50590" w:rsidRPr="00C07DC6" w:rsidRDefault="00D50590" w:rsidP="00360896">
            <w:pPr>
              <w:rPr>
                <w:rFonts w:asciiTheme="minorHAnsi" w:eastAsia="Times New Roman" w:hAnsiTheme="minorHAnsi" w:cstheme="minorHAnsi"/>
                <w:bCs/>
                <w:color w:val="000000"/>
                <w:sz w:val="20"/>
                <w:szCs w:val="20"/>
              </w:rPr>
            </w:pPr>
            <w:r w:rsidRPr="007A4786">
              <w:rPr>
                <w:rFonts w:asciiTheme="minorHAnsi" w:eastAsia="Times New Roman" w:hAnsiTheme="minorHAnsi" w:cstheme="minorHAnsi"/>
                <w:bCs/>
                <w:color w:val="000000"/>
                <w:sz w:val="20"/>
                <w:szCs w:val="20"/>
                <w:vertAlign w:val="superscript"/>
              </w:rPr>
              <w:t>2</w:t>
            </w:r>
            <w:r w:rsidRPr="007A4786">
              <w:rPr>
                <w:rFonts w:asciiTheme="minorHAnsi" w:eastAsia="Times New Roman" w:hAnsiTheme="minorHAnsi" w:cstheme="minorHAnsi"/>
                <w:bCs/>
                <w:color w:val="000000"/>
                <w:sz w:val="20"/>
                <w:szCs w:val="20"/>
              </w:rPr>
              <w:t>Calculations include manufacturers with reported market share (exclude those with no market share.)</w:t>
            </w:r>
          </w:p>
          <w:p w:rsidR="00D50590" w:rsidRDefault="00D50590" w:rsidP="00360896">
            <w:pPr>
              <w:rPr>
                <w:rFonts w:eastAsia="Times New Roman"/>
                <w:color w:val="000000"/>
                <w:sz w:val="20"/>
                <w:szCs w:val="20"/>
              </w:rPr>
            </w:pPr>
          </w:p>
          <w:p w:rsidR="00360896" w:rsidRPr="00ED0209" w:rsidRDefault="00360896" w:rsidP="00360896">
            <w:pPr>
              <w:rPr>
                <w:rFonts w:eastAsia="Times New Roman"/>
                <w:color w:val="000000"/>
                <w:sz w:val="20"/>
                <w:szCs w:val="20"/>
              </w:rPr>
            </w:pPr>
          </w:p>
        </w:tc>
      </w:tr>
    </w:tbl>
    <w:p w:rsidR="00825035" w:rsidRPr="00360896" w:rsidRDefault="00241046" w:rsidP="00360896">
      <w:pPr>
        <w:pStyle w:val="ListParagraph"/>
        <w:numPr>
          <w:ilvl w:val="0"/>
          <w:numId w:val="24"/>
        </w:numPr>
        <w:spacing w:after="200" w:line="276" w:lineRule="auto"/>
        <w:ind w:left="720"/>
        <w:rPr>
          <w:rFonts w:asciiTheme="minorHAnsi" w:hAnsiTheme="minorHAnsi" w:cstheme="minorHAnsi"/>
          <w:b/>
        </w:rPr>
      </w:pPr>
      <w:r w:rsidRPr="00360896">
        <w:rPr>
          <w:rFonts w:asciiTheme="minorHAnsi" w:hAnsiTheme="minorHAnsi" w:cstheme="minorHAnsi"/>
          <w:b/>
        </w:rPr>
        <w:lastRenderedPageBreak/>
        <w:t xml:space="preserve">Proposed fee schedule is inconsistent with fee schedules in other states </w:t>
      </w:r>
    </w:p>
    <w:p w:rsidR="00DC07BD" w:rsidRDefault="00241046" w:rsidP="00360896">
      <w:pPr>
        <w:pStyle w:val="ListParagraph"/>
        <w:ind w:right="634"/>
        <w:rPr>
          <w:rFonts w:asciiTheme="minorHAnsi" w:hAnsiTheme="minorHAnsi" w:cstheme="minorHAnsi"/>
        </w:rPr>
      </w:pPr>
      <w:r w:rsidRPr="00CE27D0">
        <w:rPr>
          <w:rFonts w:asciiTheme="minorHAnsi" w:hAnsiTheme="minorHAnsi" w:cstheme="minorHAnsi"/>
        </w:rPr>
        <w:t>Commenter #8</w:t>
      </w:r>
    </w:p>
    <w:p w:rsidR="00825035" w:rsidRDefault="00825035" w:rsidP="00825035">
      <w:pPr>
        <w:pStyle w:val="ListParagraph"/>
        <w:ind w:left="1080" w:right="634"/>
        <w:rPr>
          <w:rFonts w:asciiTheme="minorHAnsi" w:hAnsiTheme="minorHAnsi" w:cstheme="minorHAnsi"/>
          <w:b/>
        </w:rPr>
      </w:pPr>
    </w:p>
    <w:p w:rsidR="00DC07BD" w:rsidRDefault="00241046" w:rsidP="0075792E">
      <w:pPr>
        <w:ind w:left="1080" w:right="634"/>
        <w:rPr>
          <w:rFonts w:asciiTheme="minorHAnsi" w:hAnsiTheme="minorHAnsi" w:cstheme="minorHAnsi"/>
        </w:rPr>
      </w:pPr>
      <w:r w:rsidRPr="00CE27D0">
        <w:rPr>
          <w:rFonts w:asciiTheme="minorHAnsi" w:hAnsiTheme="minorHAnsi" w:cstheme="minorHAnsi"/>
        </w:rPr>
        <w:t xml:space="preserve">The fee schedule is inconsistent with the fee structures used in other states. Only </w:t>
      </w:r>
      <w:r w:rsidR="00DF3C97">
        <w:rPr>
          <w:rFonts w:asciiTheme="minorHAnsi" w:hAnsiTheme="minorHAnsi" w:cstheme="minorHAnsi"/>
        </w:rPr>
        <w:t>Washington</w:t>
      </w:r>
      <w:r w:rsidR="00DF3C97" w:rsidRPr="00CE27D0">
        <w:rPr>
          <w:rFonts w:asciiTheme="minorHAnsi" w:hAnsiTheme="minorHAnsi" w:cstheme="minorHAnsi"/>
        </w:rPr>
        <w:t xml:space="preserve"> </w:t>
      </w:r>
      <w:r w:rsidRPr="00CE27D0">
        <w:rPr>
          <w:rFonts w:asciiTheme="minorHAnsi" w:hAnsiTheme="minorHAnsi" w:cstheme="minorHAnsi"/>
        </w:rPr>
        <w:t>uses a fee structure similar to Oregon’s. All others states with electronics recycling laws that require registration fees set the fees in statute. Generally they are $5,000 for established programs; several states’ fees are lower. Most states allow lower fees for smaller manufacturers. Oregon’s highest fee under the existing fee structure, $15,000, is triple the $5,000 fee. (8)</w:t>
      </w:r>
    </w:p>
    <w:p w:rsidR="00241046" w:rsidRPr="00CE27D0" w:rsidRDefault="00241046" w:rsidP="00C063DC">
      <w:pPr>
        <w:ind w:left="360" w:right="630"/>
        <w:rPr>
          <w:rFonts w:asciiTheme="minorHAnsi" w:hAnsiTheme="minorHAnsi" w:cstheme="minorHAnsi"/>
          <w:b/>
        </w:rPr>
      </w:pPr>
    </w:p>
    <w:p w:rsidR="00DC07BD" w:rsidRDefault="00241046" w:rsidP="00360896">
      <w:pPr>
        <w:tabs>
          <w:tab w:val="left" w:pos="1080"/>
        </w:tabs>
        <w:ind w:left="1080" w:right="634"/>
        <w:rPr>
          <w:rFonts w:asciiTheme="minorHAnsi" w:hAnsiTheme="minorHAnsi" w:cstheme="minorHAnsi"/>
          <w:b/>
        </w:rPr>
      </w:pPr>
      <w:r w:rsidRPr="00CE27D0">
        <w:rPr>
          <w:rFonts w:asciiTheme="minorHAnsi" w:hAnsiTheme="minorHAnsi" w:cstheme="minorHAnsi"/>
          <w:b/>
        </w:rPr>
        <w:t>Response</w:t>
      </w:r>
    </w:p>
    <w:p w:rsidR="00825035" w:rsidRDefault="007A4786" w:rsidP="00360896">
      <w:pPr>
        <w:pStyle w:val="ListParagraph"/>
        <w:numPr>
          <w:ilvl w:val="0"/>
          <w:numId w:val="42"/>
        </w:numPr>
        <w:tabs>
          <w:tab w:val="left" w:pos="1080"/>
        </w:tabs>
        <w:ind w:right="634"/>
        <w:rPr>
          <w:rFonts w:asciiTheme="minorHAnsi" w:hAnsiTheme="minorHAnsi" w:cstheme="minorHAnsi"/>
        </w:rPr>
      </w:pPr>
      <w:r w:rsidRPr="007A4786">
        <w:rPr>
          <w:rFonts w:asciiTheme="minorHAnsi" w:hAnsiTheme="minorHAnsi" w:cstheme="minorHAnsi"/>
        </w:rPr>
        <w:t xml:space="preserve">Comparing registration fees among the 25 states that have electronics recycling programs is difficult because the programs are </w:t>
      </w:r>
      <w:r w:rsidRPr="007A4786">
        <w:rPr>
          <w:rFonts w:asciiTheme="minorHAnsi" w:hAnsiTheme="minorHAnsi" w:cstheme="minorHAnsi"/>
        </w:rPr>
        <w:lastRenderedPageBreak/>
        <w:t xml:space="preserve">so different. Any comparison needs to consider variables such as the services covered by fees, fee models, whether fees fully fund a program and program maturity.  </w:t>
      </w:r>
    </w:p>
    <w:p w:rsidR="00825035" w:rsidRDefault="00825035" w:rsidP="00360896">
      <w:pPr>
        <w:pStyle w:val="ListParagraph"/>
        <w:tabs>
          <w:tab w:val="left" w:pos="1080"/>
        </w:tabs>
        <w:ind w:left="1440" w:right="634"/>
        <w:rPr>
          <w:rFonts w:asciiTheme="minorHAnsi" w:hAnsiTheme="minorHAnsi" w:cstheme="minorHAnsi"/>
        </w:rPr>
      </w:pPr>
    </w:p>
    <w:p w:rsidR="0075792E" w:rsidRDefault="007A4786" w:rsidP="00360896">
      <w:pPr>
        <w:pStyle w:val="ListParagraph"/>
        <w:numPr>
          <w:ilvl w:val="0"/>
          <w:numId w:val="42"/>
        </w:numPr>
        <w:tabs>
          <w:tab w:val="left" w:pos="1080"/>
        </w:tabs>
        <w:ind w:right="634"/>
        <w:rPr>
          <w:rFonts w:asciiTheme="minorHAnsi" w:hAnsiTheme="minorHAnsi" w:cstheme="minorHAnsi"/>
        </w:rPr>
      </w:pPr>
      <w:r w:rsidRPr="00F461E5">
        <w:rPr>
          <w:rFonts w:asciiTheme="minorHAnsi" w:hAnsiTheme="minorHAnsi" w:cstheme="minorHAnsi"/>
        </w:rPr>
        <w:t>DEQ’s proposed fee structure is comparable to the fee structures in three other states (WA, CT, VT) that use a similar approach: establish a revenue need and allocate fees based on market share to meet that need. Washington’s program and fee structure are most comparable to Oregon’s. Washington’s 2011 registration fee for the top tier was $43,721.</w:t>
      </w:r>
      <w:r w:rsidRPr="00825035">
        <w:rPr>
          <w:rFonts w:asciiTheme="minorHAnsi" w:hAnsiTheme="minorHAnsi" w:cstheme="minorHAnsi"/>
        </w:rPr>
        <w:t xml:space="preserve"> </w:t>
      </w:r>
    </w:p>
    <w:p w:rsidR="00F461E5" w:rsidRPr="00F461E5" w:rsidRDefault="00F461E5" w:rsidP="00360896">
      <w:pPr>
        <w:pStyle w:val="ListParagraph"/>
        <w:ind w:left="1080"/>
        <w:rPr>
          <w:rFonts w:asciiTheme="minorHAnsi" w:hAnsiTheme="minorHAnsi" w:cstheme="minorHAnsi"/>
        </w:rPr>
      </w:pPr>
    </w:p>
    <w:p w:rsidR="00DC07BD" w:rsidRDefault="007A4786" w:rsidP="00360896">
      <w:pPr>
        <w:pStyle w:val="ListParagraph"/>
        <w:numPr>
          <w:ilvl w:val="0"/>
          <w:numId w:val="42"/>
        </w:numPr>
        <w:ind w:right="634"/>
        <w:rPr>
          <w:rFonts w:asciiTheme="minorHAnsi" w:hAnsiTheme="minorHAnsi" w:cstheme="minorHAnsi"/>
        </w:rPr>
      </w:pPr>
      <w:r w:rsidRPr="007A4786">
        <w:rPr>
          <w:rFonts w:asciiTheme="minorHAnsi" w:hAnsiTheme="minorHAnsi" w:cstheme="minorHAnsi"/>
        </w:rPr>
        <w:t>Seven other state programs DEQ reviewed (ME, HI, MN, NC, NY, PA, MI) used one, two or three tier fee schedules with fees ranging from $3-15,000, but their programs and funding requirements were not similar to Oregon’s. For example, five of those are not fully funded by registration fees and two were start ups and did not yet know their total revenue needs.</w:t>
      </w:r>
    </w:p>
    <w:p w:rsidR="00360896" w:rsidRDefault="00360896" w:rsidP="00C063DC">
      <w:pPr>
        <w:ind w:right="630"/>
        <w:rPr>
          <w:rFonts w:asciiTheme="minorHAnsi" w:hAnsiTheme="minorHAnsi" w:cstheme="minorHAnsi"/>
          <w:b/>
        </w:rPr>
        <w:sectPr w:rsidR="00360896" w:rsidSect="008F3499">
          <w:pgSz w:w="12240" w:h="15840"/>
          <w:pgMar w:top="1350" w:right="360" w:bottom="1080" w:left="450" w:header="720" w:footer="720" w:gutter="0"/>
          <w:cols w:space="720"/>
          <w:docGrid w:linePitch="360"/>
        </w:sectPr>
      </w:pPr>
    </w:p>
    <w:p w:rsidR="0075792E" w:rsidRDefault="00241046">
      <w:pPr>
        <w:pStyle w:val="ListParagraph"/>
        <w:numPr>
          <w:ilvl w:val="0"/>
          <w:numId w:val="24"/>
        </w:numPr>
        <w:ind w:left="1080" w:right="634"/>
        <w:rPr>
          <w:rFonts w:asciiTheme="minorHAnsi" w:hAnsiTheme="minorHAnsi" w:cstheme="minorHAnsi"/>
          <w:b/>
        </w:rPr>
      </w:pPr>
      <w:r w:rsidRPr="00CE27D0">
        <w:rPr>
          <w:rFonts w:asciiTheme="minorHAnsi" w:hAnsiTheme="minorHAnsi" w:cstheme="minorHAnsi"/>
          <w:b/>
        </w:rPr>
        <w:lastRenderedPageBreak/>
        <w:t xml:space="preserve">Revenue need adjustments provide little incentive for DEQ to pare costs </w:t>
      </w:r>
    </w:p>
    <w:p w:rsidR="00DC07BD" w:rsidRDefault="00241046" w:rsidP="0075792E">
      <w:pPr>
        <w:pStyle w:val="ListParagraph"/>
        <w:ind w:left="1080" w:right="634"/>
        <w:rPr>
          <w:rFonts w:asciiTheme="minorHAnsi" w:hAnsiTheme="minorHAnsi" w:cstheme="minorHAnsi"/>
        </w:rPr>
      </w:pPr>
      <w:r w:rsidRPr="00CE27D0">
        <w:rPr>
          <w:rFonts w:asciiTheme="minorHAnsi" w:hAnsiTheme="minorHAnsi" w:cstheme="minorHAnsi"/>
        </w:rPr>
        <w:t>Commenter #7</w:t>
      </w:r>
    </w:p>
    <w:p w:rsidR="00825035" w:rsidRDefault="00825035" w:rsidP="0075792E">
      <w:pPr>
        <w:pStyle w:val="ListParagraph"/>
        <w:ind w:left="1080" w:right="634"/>
        <w:rPr>
          <w:rFonts w:asciiTheme="minorHAnsi" w:hAnsiTheme="minorHAnsi" w:cstheme="minorHAnsi"/>
          <w:b/>
        </w:rPr>
      </w:pPr>
    </w:p>
    <w:p w:rsidR="00DC07BD" w:rsidRDefault="00241046" w:rsidP="0075792E">
      <w:pPr>
        <w:pStyle w:val="ListParagraph"/>
        <w:numPr>
          <w:ilvl w:val="0"/>
          <w:numId w:val="49"/>
        </w:numPr>
        <w:ind w:left="1440" w:right="634"/>
        <w:rPr>
          <w:rFonts w:asciiTheme="minorHAnsi" w:hAnsiTheme="minorHAnsi" w:cstheme="minorHAnsi"/>
        </w:rPr>
      </w:pPr>
      <w:r w:rsidRPr="00CE27D0">
        <w:rPr>
          <w:rFonts w:asciiTheme="minorHAnsi" w:hAnsiTheme="minorHAnsi" w:cstheme="minorHAnsi"/>
        </w:rPr>
        <w:t>Adjusting the revenue target upward for subsequent years and guaranteeing an annual revenue stream provides little incentive for DEQ to seek program efficiencies or cost savings. (7)</w:t>
      </w:r>
    </w:p>
    <w:p w:rsidR="00825035" w:rsidRDefault="00825035" w:rsidP="00825035">
      <w:pPr>
        <w:pStyle w:val="ListParagraph"/>
        <w:ind w:left="1440" w:right="634"/>
        <w:rPr>
          <w:rFonts w:asciiTheme="minorHAnsi" w:hAnsiTheme="minorHAnsi" w:cstheme="minorHAnsi"/>
        </w:rPr>
      </w:pPr>
    </w:p>
    <w:p w:rsidR="00DC07BD" w:rsidRDefault="00241046" w:rsidP="0075792E">
      <w:pPr>
        <w:pStyle w:val="ListParagraph"/>
        <w:numPr>
          <w:ilvl w:val="0"/>
          <w:numId w:val="49"/>
        </w:numPr>
        <w:ind w:left="1440" w:right="634"/>
        <w:rPr>
          <w:rFonts w:asciiTheme="minorHAnsi" w:hAnsiTheme="minorHAnsi" w:cstheme="minorHAnsi"/>
        </w:rPr>
      </w:pPr>
      <w:r w:rsidRPr="00CE27D0">
        <w:rPr>
          <w:rFonts w:asciiTheme="minorHAnsi" w:hAnsiTheme="minorHAnsi" w:cstheme="minorHAnsi"/>
        </w:rPr>
        <w:t>The revenue need adjustment implies that DEQ can increase guaranteed revenue targets upward if it asserts it needs more revenue. (7)</w:t>
      </w:r>
    </w:p>
    <w:p w:rsidR="00825035" w:rsidRPr="00825035" w:rsidRDefault="00825035" w:rsidP="00825035">
      <w:pPr>
        <w:pStyle w:val="ListParagraph"/>
        <w:rPr>
          <w:rFonts w:asciiTheme="minorHAnsi" w:hAnsiTheme="minorHAnsi" w:cstheme="minorHAnsi"/>
        </w:rPr>
      </w:pPr>
    </w:p>
    <w:p w:rsidR="00DC07BD" w:rsidRDefault="00241046" w:rsidP="0075792E">
      <w:pPr>
        <w:pStyle w:val="ListParagraph"/>
        <w:numPr>
          <w:ilvl w:val="0"/>
          <w:numId w:val="49"/>
        </w:numPr>
        <w:ind w:left="1440" w:right="634"/>
        <w:rPr>
          <w:rFonts w:asciiTheme="minorHAnsi" w:hAnsiTheme="minorHAnsi" w:cstheme="minorHAnsi"/>
        </w:rPr>
      </w:pPr>
      <w:r w:rsidRPr="00CE27D0">
        <w:rPr>
          <w:rFonts w:asciiTheme="minorHAnsi" w:hAnsiTheme="minorHAnsi" w:cstheme="minorHAnsi"/>
        </w:rPr>
        <w:t>Allowing DEQ to raise revenue for uncollected fees provides little incentive for DEQ to collect fees owed. (7)</w:t>
      </w:r>
    </w:p>
    <w:p w:rsidR="00360896" w:rsidRDefault="00360896">
      <w:pPr>
        <w:ind w:left="1080" w:right="634"/>
        <w:rPr>
          <w:rFonts w:asciiTheme="minorHAnsi" w:hAnsiTheme="minorHAnsi" w:cstheme="minorHAnsi"/>
          <w:b/>
        </w:rPr>
      </w:pPr>
    </w:p>
    <w:p w:rsidR="00DC07BD" w:rsidRDefault="00241046">
      <w:pPr>
        <w:ind w:left="1080" w:right="634"/>
        <w:rPr>
          <w:rFonts w:asciiTheme="minorHAnsi" w:hAnsiTheme="minorHAnsi" w:cstheme="minorHAnsi"/>
          <w:b/>
        </w:rPr>
      </w:pPr>
      <w:r w:rsidRPr="00CE27D0">
        <w:rPr>
          <w:rFonts w:asciiTheme="minorHAnsi" w:hAnsiTheme="minorHAnsi" w:cstheme="minorHAnsi"/>
          <w:b/>
        </w:rPr>
        <w:t xml:space="preserve">Response </w:t>
      </w:r>
    </w:p>
    <w:p w:rsidR="00DC07BD" w:rsidRDefault="007A4786">
      <w:pPr>
        <w:pStyle w:val="ListParagraph"/>
        <w:numPr>
          <w:ilvl w:val="0"/>
          <w:numId w:val="46"/>
        </w:numPr>
        <w:ind w:left="1440" w:right="634"/>
        <w:rPr>
          <w:rFonts w:asciiTheme="minorHAnsi" w:hAnsiTheme="minorHAnsi" w:cstheme="minorHAnsi"/>
        </w:rPr>
      </w:pPr>
      <w:r w:rsidRPr="007A4786">
        <w:rPr>
          <w:rFonts w:asciiTheme="minorHAnsi" w:hAnsiTheme="minorHAnsi" w:cstheme="minorHAnsi"/>
        </w:rPr>
        <w:t xml:space="preserve">The proposed rules would </w:t>
      </w:r>
      <w:r w:rsidRPr="007A4786">
        <w:rPr>
          <w:rFonts w:asciiTheme="minorHAnsi" w:hAnsiTheme="minorHAnsi" w:cstheme="minorHAnsi"/>
          <w:i/>
        </w:rPr>
        <w:t>require</w:t>
      </w:r>
      <w:r w:rsidRPr="007A4786">
        <w:rPr>
          <w:rFonts w:asciiTheme="minorHAnsi" w:hAnsiTheme="minorHAnsi" w:cstheme="minorHAnsi"/>
        </w:rPr>
        <w:t xml:space="preserve"> DEQ to </w:t>
      </w:r>
      <w:r w:rsidRPr="007A4786">
        <w:rPr>
          <w:rFonts w:asciiTheme="minorHAnsi" w:hAnsiTheme="minorHAnsi" w:cstheme="minorHAnsi"/>
          <w:i/>
        </w:rPr>
        <w:t>reduce</w:t>
      </w:r>
      <w:r w:rsidRPr="007A4786">
        <w:rPr>
          <w:rFonts w:asciiTheme="minorHAnsi" w:hAnsiTheme="minorHAnsi" w:cstheme="minorHAnsi"/>
        </w:rPr>
        <w:t xml:space="preserve"> revenue need if registration fee revenue exceeds DEQ’s actual costs for the program. They would </w:t>
      </w:r>
      <w:r w:rsidRPr="007A4786">
        <w:rPr>
          <w:rFonts w:asciiTheme="minorHAnsi" w:hAnsiTheme="minorHAnsi" w:cstheme="minorHAnsi"/>
          <w:i/>
        </w:rPr>
        <w:t>allow</w:t>
      </w:r>
      <w:r w:rsidRPr="007A4786">
        <w:rPr>
          <w:rFonts w:asciiTheme="minorHAnsi" w:hAnsiTheme="minorHAnsi" w:cstheme="minorHAnsi"/>
        </w:rPr>
        <w:t xml:space="preserve"> DEQ to </w:t>
      </w:r>
      <w:r w:rsidRPr="007A4786">
        <w:rPr>
          <w:rFonts w:asciiTheme="minorHAnsi" w:hAnsiTheme="minorHAnsi" w:cstheme="minorHAnsi"/>
          <w:i/>
        </w:rPr>
        <w:t>increase</w:t>
      </w:r>
      <w:r w:rsidRPr="007A4786">
        <w:rPr>
          <w:rFonts w:asciiTheme="minorHAnsi" w:hAnsiTheme="minorHAnsi" w:cstheme="minorHAnsi"/>
        </w:rPr>
        <w:t xml:space="preserve"> </w:t>
      </w:r>
      <w:r w:rsidRPr="007A4786">
        <w:rPr>
          <w:rFonts w:asciiTheme="minorHAnsi" w:hAnsiTheme="minorHAnsi" w:cstheme="minorHAnsi"/>
        </w:rPr>
        <w:lastRenderedPageBreak/>
        <w:t xml:space="preserve">revenue need only in the amount of uncollected fees owed for prior years (e.g., major bankruptcies or other uncollectable debt), and then only as needed to cover program costs. Any other adjustments to revenue need would require a rule amendment. </w:t>
      </w:r>
    </w:p>
    <w:p w:rsidR="00DC07BD" w:rsidRDefault="00DC07BD">
      <w:pPr>
        <w:pStyle w:val="ListParagraph"/>
        <w:ind w:left="1440" w:right="634"/>
        <w:rPr>
          <w:rFonts w:asciiTheme="minorHAnsi" w:hAnsiTheme="minorHAnsi" w:cstheme="minorHAnsi"/>
        </w:rPr>
      </w:pPr>
    </w:p>
    <w:p w:rsidR="00DC07BD" w:rsidRDefault="007A4786">
      <w:pPr>
        <w:pStyle w:val="ListParagraph"/>
        <w:numPr>
          <w:ilvl w:val="0"/>
          <w:numId w:val="46"/>
        </w:numPr>
        <w:ind w:left="1440" w:right="634"/>
        <w:rPr>
          <w:rFonts w:asciiTheme="minorHAnsi" w:hAnsiTheme="minorHAnsi" w:cstheme="minorHAnsi"/>
        </w:rPr>
      </w:pPr>
      <w:r w:rsidRPr="007A4786">
        <w:rPr>
          <w:rFonts w:asciiTheme="minorHAnsi" w:hAnsiTheme="minorHAnsi" w:cstheme="minorHAnsi"/>
        </w:rPr>
        <w:t xml:space="preserve">DEQ has a high collection rate and will continue to aggressively pursue fee collection and strive to control costs to cover revenue shortfalls. Nevertheless, retaining the authority to add uncollected revenue to revenue need </w:t>
      </w:r>
      <w:r w:rsidR="00D34EE8">
        <w:rPr>
          <w:rFonts w:asciiTheme="minorHAnsi" w:hAnsiTheme="minorHAnsi" w:cstheme="minorHAnsi"/>
        </w:rPr>
        <w:t>would</w:t>
      </w:r>
      <w:r w:rsidR="00D34EE8" w:rsidRPr="007A4786">
        <w:rPr>
          <w:rFonts w:asciiTheme="minorHAnsi" w:hAnsiTheme="minorHAnsi" w:cstheme="minorHAnsi"/>
        </w:rPr>
        <w:t xml:space="preserve"> </w:t>
      </w:r>
      <w:r w:rsidRPr="007A4786">
        <w:rPr>
          <w:rFonts w:asciiTheme="minorHAnsi" w:hAnsiTheme="minorHAnsi" w:cstheme="minorHAnsi"/>
        </w:rPr>
        <w:t xml:space="preserve">help ensure that registrations fees do cover DEQ’s program costs, as intended by the legislature. DEQ has added language to the proposed rules stating that it will make reasonable efforts to collect fees owed. </w:t>
      </w:r>
    </w:p>
    <w:p w:rsidR="00DC07BD" w:rsidRDefault="00DC07BD">
      <w:pPr>
        <w:pStyle w:val="ListParagraph"/>
        <w:ind w:left="1440" w:right="634"/>
        <w:rPr>
          <w:rFonts w:asciiTheme="minorHAnsi" w:hAnsiTheme="minorHAnsi" w:cstheme="minorHAnsi"/>
        </w:rPr>
      </w:pPr>
    </w:p>
    <w:p w:rsidR="00DC07BD" w:rsidRDefault="007A4786">
      <w:pPr>
        <w:pStyle w:val="ListParagraph"/>
        <w:numPr>
          <w:ilvl w:val="0"/>
          <w:numId w:val="46"/>
        </w:numPr>
        <w:ind w:left="1440" w:right="634"/>
        <w:rPr>
          <w:rFonts w:asciiTheme="minorHAnsi" w:hAnsiTheme="minorHAnsi" w:cstheme="minorHAnsi"/>
        </w:rPr>
      </w:pPr>
      <w:r w:rsidRPr="007A4786">
        <w:rPr>
          <w:rFonts w:asciiTheme="minorHAnsi" w:hAnsiTheme="minorHAnsi" w:cstheme="minorHAnsi"/>
        </w:rPr>
        <w:t xml:space="preserve">To help provide accountability for controlling program costs, the proposed rules require DEQ to report its current and projected </w:t>
      </w:r>
      <w:r w:rsidRPr="007A4786">
        <w:rPr>
          <w:rFonts w:asciiTheme="minorHAnsi" w:hAnsiTheme="minorHAnsi" w:cstheme="minorHAnsi"/>
        </w:rPr>
        <w:lastRenderedPageBreak/>
        <w:t>program expenditures and revenue each year. If fee revenue exceeds program costs, the rules would also require DEQ to evaluate whether revenue need should be reduced in future years. DEQ will continue to discuss this financial information with stakeholders and, as noted in response to comment 9, will continue to work with them on continuous program improvements and cost reductions.</w:t>
      </w:r>
    </w:p>
    <w:p w:rsidR="00241046" w:rsidRPr="00CE27D0" w:rsidRDefault="00241046" w:rsidP="00C063DC">
      <w:pPr>
        <w:ind w:right="630"/>
        <w:rPr>
          <w:rFonts w:asciiTheme="minorHAnsi" w:hAnsiTheme="minorHAnsi" w:cstheme="minorHAnsi"/>
        </w:rPr>
      </w:pPr>
    </w:p>
    <w:p w:rsidR="00825035" w:rsidRDefault="00241046">
      <w:pPr>
        <w:pStyle w:val="ListParagraph"/>
        <w:numPr>
          <w:ilvl w:val="0"/>
          <w:numId w:val="24"/>
        </w:numPr>
        <w:ind w:left="1080" w:right="634"/>
        <w:rPr>
          <w:rFonts w:asciiTheme="minorHAnsi" w:hAnsiTheme="minorHAnsi" w:cstheme="minorHAnsi"/>
          <w:b/>
        </w:rPr>
      </w:pPr>
      <w:r w:rsidRPr="00CE27D0">
        <w:rPr>
          <w:rFonts w:asciiTheme="minorHAnsi" w:hAnsiTheme="minorHAnsi" w:cstheme="minorHAnsi"/>
          <w:b/>
        </w:rPr>
        <w:t xml:space="preserve">DEQ should reduce its administrative costs for the E-Cycles program </w:t>
      </w:r>
    </w:p>
    <w:p w:rsidR="00DC07BD" w:rsidRDefault="00241046" w:rsidP="00825035">
      <w:pPr>
        <w:pStyle w:val="ListParagraph"/>
        <w:ind w:left="1080" w:right="634"/>
        <w:rPr>
          <w:rFonts w:asciiTheme="minorHAnsi" w:hAnsiTheme="minorHAnsi" w:cstheme="minorHAnsi"/>
        </w:rPr>
      </w:pPr>
      <w:r w:rsidRPr="00CE27D0">
        <w:rPr>
          <w:rFonts w:asciiTheme="minorHAnsi" w:hAnsiTheme="minorHAnsi" w:cstheme="minorHAnsi"/>
        </w:rPr>
        <w:t>Commenters 5, 6</w:t>
      </w:r>
      <w:r w:rsidR="00730472">
        <w:rPr>
          <w:rFonts w:asciiTheme="minorHAnsi" w:hAnsiTheme="minorHAnsi" w:cstheme="minorHAnsi"/>
        </w:rPr>
        <w:t xml:space="preserve"> and</w:t>
      </w:r>
      <w:r w:rsidRPr="00CE27D0">
        <w:rPr>
          <w:rFonts w:asciiTheme="minorHAnsi" w:hAnsiTheme="minorHAnsi" w:cstheme="minorHAnsi"/>
        </w:rPr>
        <w:t xml:space="preserve"> 8</w:t>
      </w:r>
    </w:p>
    <w:p w:rsidR="00825035" w:rsidRDefault="00825035" w:rsidP="00825035">
      <w:pPr>
        <w:pStyle w:val="ListParagraph"/>
        <w:ind w:left="1080" w:right="634"/>
        <w:rPr>
          <w:rFonts w:asciiTheme="minorHAnsi" w:hAnsiTheme="minorHAnsi" w:cstheme="minorHAnsi"/>
          <w:b/>
        </w:rPr>
      </w:pPr>
    </w:p>
    <w:p w:rsidR="00DC07BD" w:rsidRDefault="00241046" w:rsidP="0075792E">
      <w:pPr>
        <w:pStyle w:val="ListParagraph"/>
        <w:numPr>
          <w:ilvl w:val="0"/>
          <w:numId w:val="48"/>
        </w:numPr>
        <w:ind w:left="1440" w:right="634"/>
        <w:rPr>
          <w:rFonts w:asciiTheme="minorHAnsi" w:hAnsiTheme="minorHAnsi" w:cstheme="minorHAnsi"/>
        </w:rPr>
      </w:pPr>
      <w:r w:rsidRPr="00CE27D0">
        <w:rPr>
          <w:rFonts w:asciiTheme="minorHAnsi" w:hAnsiTheme="minorHAnsi" w:cstheme="minorHAnsi"/>
        </w:rPr>
        <w:t>DEQ assured stakeholders that possible revenue reductions and cost containment strategies would be presented along with tier revisions, but stakeholders have not been provided with a good faith effort to provide this information. (5)</w:t>
      </w:r>
    </w:p>
    <w:p w:rsidR="0075792E" w:rsidRDefault="0075792E" w:rsidP="0075792E">
      <w:pPr>
        <w:pStyle w:val="ListParagraph"/>
        <w:ind w:left="1440" w:right="634"/>
        <w:rPr>
          <w:rFonts w:asciiTheme="minorHAnsi" w:hAnsiTheme="minorHAnsi" w:cstheme="minorHAnsi"/>
        </w:rPr>
      </w:pPr>
    </w:p>
    <w:p w:rsidR="0075792E" w:rsidRDefault="00241046" w:rsidP="0075792E">
      <w:pPr>
        <w:pStyle w:val="ListParagraph"/>
        <w:numPr>
          <w:ilvl w:val="0"/>
          <w:numId w:val="48"/>
        </w:numPr>
        <w:ind w:left="1440" w:right="634"/>
        <w:rPr>
          <w:rFonts w:asciiTheme="minorHAnsi" w:hAnsiTheme="minorHAnsi" w:cstheme="minorHAnsi"/>
        </w:rPr>
      </w:pPr>
      <w:r w:rsidRPr="0075792E">
        <w:rPr>
          <w:rFonts w:asciiTheme="minorHAnsi" w:hAnsiTheme="minorHAnsi" w:cstheme="minorHAnsi"/>
        </w:rPr>
        <w:t xml:space="preserve">With the program in its fourth year of operations and start-up activities completed, </w:t>
      </w:r>
      <w:r w:rsidRPr="0075792E">
        <w:rPr>
          <w:rFonts w:asciiTheme="minorHAnsi" w:hAnsiTheme="minorHAnsi" w:cstheme="minorHAnsi"/>
        </w:rPr>
        <w:lastRenderedPageBreak/>
        <w:t>program oversight should be streamlined to reflect that it is now an ongoing program that is running effectively. (5)</w:t>
      </w:r>
    </w:p>
    <w:p w:rsidR="0075792E" w:rsidRPr="0075792E" w:rsidRDefault="0075792E" w:rsidP="0075792E">
      <w:pPr>
        <w:pStyle w:val="ListParagraph"/>
        <w:ind w:left="1440"/>
        <w:rPr>
          <w:rFonts w:asciiTheme="minorHAnsi" w:hAnsiTheme="minorHAnsi" w:cstheme="minorHAnsi"/>
        </w:rPr>
      </w:pPr>
    </w:p>
    <w:p w:rsidR="00DC07BD" w:rsidRPr="0075792E" w:rsidRDefault="00241046" w:rsidP="0075792E">
      <w:pPr>
        <w:pStyle w:val="ListParagraph"/>
        <w:numPr>
          <w:ilvl w:val="0"/>
          <w:numId w:val="48"/>
        </w:numPr>
        <w:ind w:left="1440" w:right="634"/>
        <w:rPr>
          <w:rFonts w:asciiTheme="minorHAnsi" w:hAnsiTheme="minorHAnsi" w:cstheme="minorHAnsi"/>
        </w:rPr>
      </w:pPr>
      <w:r w:rsidRPr="0075792E">
        <w:rPr>
          <w:rFonts w:asciiTheme="minorHAnsi" w:hAnsiTheme="minorHAnsi" w:cstheme="minorHAnsi"/>
        </w:rPr>
        <w:t>DEQ should work with the Consumer Electronics Association to develop a plan to reduce program oversight costs by 90% during the coming years so that manufacturers’ resources are spent on recycling and other direct program costs. (6)</w:t>
      </w:r>
    </w:p>
    <w:p w:rsidR="00241046" w:rsidRPr="00CE27D0" w:rsidRDefault="00241046" w:rsidP="00C063DC">
      <w:pPr>
        <w:ind w:left="360" w:right="630"/>
        <w:rPr>
          <w:rFonts w:asciiTheme="minorHAnsi" w:hAnsiTheme="minorHAnsi" w:cstheme="minorHAnsi"/>
        </w:rPr>
      </w:pPr>
    </w:p>
    <w:p w:rsidR="00DC07BD" w:rsidRDefault="00241046" w:rsidP="00360896">
      <w:pPr>
        <w:tabs>
          <w:tab w:val="center" w:pos="1080"/>
        </w:tabs>
        <w:ind w:left="1080" w:right="634"/>
        <w:rPr>
          <w:rFonts w:asciiTheme="minorHAnsi" w:hAnsiTheme="minorHAnsi" w:cstheme="minorHAnsi"/>
          <w:b/>
        </w:rPr>
      </w:pPr>
      <w:r w:rsidRPr="00CE27D0">
        <w:rPr>
          <w:rFonts w:asciiTheme="minorHAnsi" w:hAnsiTheme="minorHAnsi" w:cstheme="minorHAnsi"/>
          <w:b/>
        </w:rPr>
        <w:t>Response</w:t>
      </w:r>
    </w:p>
    <w:p w:rsidR="00DC07BD" w:rsidRDefault="007D7E1F">
      <w:pPr>
        <w:ind w:left="1080" w:right="634"/>
        <w:rPr>
          <w:rFonts w:asciiTheme="minorHAnsi" w:hAnsiTheme="minorHAnsi" w:cstheme="minorHAnsi"/>
        </w:rPr>
      </w:pPr>
      <w:r>
        <w:rPr>
          <w:rFonts w:asciiTheme="minorHAnsi" w:hAnsiTheme="minorHAnsi" w:cstheme="minorHAnsi"/>
        </w:rPr>
        <w:t>A</w:t>
      </w:r>
      <w:r w:rsidRPr="00524969">
        <w:rPr>
          <w:rFonts w:asciiTheme="minorHAnsi" w:hAnsiTheme="minorHAnsi" w:cstheme="minorHAnsi"/>
        </w:rPr>
        <w:t xml:space="preserve">s promised to the E-Cycles </w:t>
      </w:r>
      <w:r>
        <w:rPr>
          <w:rFonts w:asciiTheme="minorHAnsi" w:hAnsiTheme="minorHAnsi" w:cstheme="minorHAnsi"/>
        </w:rPr>
        <w:t xml:space="preserve">advisory </w:t>
      </w:r>
      <w:r w:rsidRPr="00524969">
        <w:rPr>
          <w:rFonts w:asciiTheme="minorHAnsi" w:hAnsiTheme="minorHAnsi" w:cstheme="minorHAnsi"/>
        </w:rPr>
        <w:t>workgroup in June 2010</w:t>
      </w:r>
      <w:r>
        <w:rPr>
          <w:rFonts w:asciiTheme="minorHAnsi" w:hAnsiTheme="minorHAnsi" w:cstheme="minorHAnsi"/>
        </w:rPr>
        <w:t xml:space="preserve">, </w:t>
      </w:r>
      <w:r w:rsidR="00524969" w:rsidRPr="00524969">
        <w:rPr>
          <w:rFonts w:asciiTheme="minorHAnsi" w:hAnsiTheme="minorHAnsi" w:cstheme="minorHAnsi"/>
        </w:rPr>
        <w:t>DEQ</w:t>
      </w:r>
      <w:r w:rsidR="003E6567">
        <w:rPr>
          <w:rFonts w:asciiTheme="minorHAnsi" w:hAnsiTheme="minorHAnsi" w:cstheme="minorHAnsi"/>
        </w:rPr>
        <w:t xml:space="preserve"> reduced costs by </w:t>
      </w:r>
      <w:r w:rsidR="003E6567" w:rsidRPr="00524969">
        <w:rPr>
          <w:rFonts w:asciiTheme="minorHAnsi" w:hAnsiTheme="minorHAnsi" w:cstheme="minorHAnsi"/>
        </w:rPr>
        <w:t>$232,000</w:t>
      </w:r>
      <w:r w:rsidR="003E6567">
        <w:rPr>
          <w:rFonts w:asciiTheme="minorHAnsi" w:hAnsiTheme="minorHAnsi" w:cstheme="minorHAnsi"/>
        </w:rPr>
        <w:t xml:space="preserve"> </w:t>
      </w:r>
      <w:r w:rsidR="00B42504">
        <w:rPr>
          <w:rFonts w:asciiTheme="minorHAnsi" w:hAnsiTheme="minorHAnsi" w:cstheme="minorHAnsi"/>
        </w:rPr>
        <w:t xml:space="preserve">in its budget </w:t>
      </w:r>
      <w:r w:rsidR="003E6567">
        <w:rPr>
          <w:rFonts w:asciiTheme="minorHAnsi" w:hAnsiTheme="minorHAnsi" w:cstheme="minorHAnsi"/>
        </w:rPr>
        <w:t>for the two-year period ending June 2013</w:t>
      </w:r>
      <w:r w:rsidR="00B42504">
        <w:rPr>
          <w:rFonts w:asciiTheme="minorHAnsi" w:hAnsiTheme="minorHAnsi" w:cstheme="minorHAnsi"/>
        </w:rPr>
        <w:t xml:space="preserve"> and is achieving those cost reductions</w:t>
      </w:r>
      <w:r w:rsidR="00524969" w:rsidRPr="00524969">
        <w:rPr>
          <w:rFonts w:asciiTheme="minorHAnsi" w:hAnsiTheme="minorHAnsi" w:cstheme="minorHAnsi"/>
        </w:rPr>
        <w:t>. The program reduced staff from 2.7 to 1.7 FTE and significantly reduced program activities</w:t>
      </w:r>
      <w:r w:rsidR="009E15CB">
        <w:rPr>
          <w:rFonts w:asciiTheme="minorHAnsi" w:hAnsiTheme="minorHAnsi" w:cstheme="minorHAnsi"/>
        </w:rPr>
        <w:t xml:space="preserve"> </w:t>
      </w:r>
      <w:r w:rsidR="003E6567">
        <w:rPr>
          <w:rFonts w:asciiTheme="minorHAnsi" w:hAnsiTheme="minorHAnsi" w:cstheme="minorHAnsi"/>
        </w:rPr>
        <w:t xml:space="preserve">such as </w:t>
      </w:r>
      <w:r w:rsidR="009E15CB" w:rsidRPr="006A3EBC">
        <w:rPr>
          <w:rFonts w:asciiTheme="minorHAnsi" w:hAnsiTheme="minorHAnsi" w:cstheme="minorHAnsi"/>
        </w:rPr>
        <w:t>education and outreach, legislative work</w:t>
      </w:r>
      <w:r w:rsidR="00143C0F" w:rsidRPr="006A3EBC">
        <w:rPr>
          <w:rFonts w:asciiTheme="minorHAnsi" w:hAnsiTheme="minorHAnsi" w:cstheme="minorHAnsi"/>
        </w:rPr>
        <w:t xml:space="preserve"> and</w:t>
      </w:r>
      <w:r w:rsidR="009E15CB" w:rsidRPr="006A3EBC">
        <w:rPr>
          <w:rFonts w:asciiTheme="minorHAnsi" w:hAnsiTheme="minorHAnsi" w:cstheme="minorHAnsi"/>
        </w:rPr>
        <w:t xml:space="preserve"> design of sampling methodology</w:t>
      </w:r>
      <w:r w:rsidR="00524969" w:rsidRPr="006A3EBC">
        <w:rPr>
          <w:rFonts w:asciiTheme="minorHAnsi" w:hAnsiTheme="minorHAnsi" w:cstheme="minorHAnsi"/>
        </w:rPr>
        <w:t>.</w:t>
      </w:r>
      <w:r w:rsidR="00616723" w:rsidRPr="006A3EBC">
        <w:rPr>
          <w:rFonts w:asciiTheme="minorHAnsi" w:hAnsiTheme="minorHAnsi" w:cstheme="minorHAnsi"/>
        </w:rPr>
        <w:t xml:space="preserve"> </w:t>
      </w:r>
      <w:r w:rsidR="00524969" w:rsidRPr="006A3EBC">
        <w:rPr>
          <w:rFonts w:asciiTheme="minorHAnsi" w:hAnsiTheme="minorHAnsi" w:cstheme="minorHAnsi"/>
        </w:rPr>
        <w:t xml:space="preserve">To operate within the proposed revenue need, DEQ expects to further </w:t>
      </w:r>
      <w:r w:rsidR="003E6567">
        <w:rPr>
          <w:rFonts w:asciiTheme="minorHAnsi" w:hAnsiTheme="minorHAnsi" w:cstheme="minorHAnsi"/>
        </w:rPr>
        <w:t>reduce</w:t>
      </w:r>
      <w:r w:rsidR="00524969" w:rsidRPr="006A3EBC">
        <w:rPr>
          <w:rFonts w:asciiTheme="minorHAnsi" w:hAnsiTheme="minorHAnsi" w:cstheme="minorHAnsi"/>
        </w:rPr>
        <w:t xml:space="preserve"> program activities and gain efficiencies to offset cost increases </w:t>
      </w:r>
      <w:r w:rsidR="003E6567">
        <w:rPr>
          <w:rFonts w:asciiTheme="minorHAnsi" w:hAnsiTheme="minorHAnsi" w:cstheme="minorHAnsi"/>
        </w:rPr>
        <w:t xml:space="preserve">from </w:t>
      </w:r>
      <w:r w:rsidR="00524969" w:rsidRPr="006A3EBC">
        <w:rPr>
          <w:rFonts w:asciiTheme="minorHAnsi" w:hAnsiTheme="minorHAnsi" w:cstheme="minorHAnsi"/>
        </w:rPr>
        <w:t xml:space="preserve">salary </w:t>
      </w:r>
      <w:r w:rsidR="00524969" w:rsidRPr="006A3EBC">
        <w:rPr>
          <w:rFonts w:asciiTheme="minorHAnsi" w:hAnsiTheme="minorHAnsi" w:cstheme="minorHAnsi"/>
        </w:rPr>
        <w:lastRenderedPageBreak/>
        <w:t>and benefit adjustments and inflation</w:t>
      </w:r>
      <w:r w:rsidR="003E6567">
        <w:rPr>
          <w:rFonts w:asciiTheme="minorHAnsi" w:hAnsiTheme="minorHAnsi" w:cstheme="minorHAnsi"/>
        </w:rPr>
        <w:t xml:space="preserve"> and other factors</w:t>
      </w:r>
      <w:r w:rsidR="00524969" w:rsidRPr="006A3EBC">
        <w:rPr>
          <w:rFonts w:asciiTheme="minorHAnsi" w:hAnsiTheme="minorHAnsi" w:cstheme="minorHAnsi"/>
        </w:rPr>
        <w:t>.</w:t>
      </w:r>
      <w:r w:rsidR="00616723">
        <w:rPr>
          <w:rFonts w:asciiTheme="minorHAnsi" w:hAnsiTheme="minorHAnsi" w:cstheme="minorHAnsi"/>
        </w:rPr>
        <w:t xml:space="preserve"> </w:t>
      </w:r>
    </w:p>
    <w:p w:rsidR="00DC07BD" w:rsidRDefault="00DC07BD">
      <w:pPr>
        <w:ind w:left="1080" w:right="634"/>
        <w:rPr>
          <w:rFonts w:asciiTheme="minorHAnsi" w:hAnsiTheme="minorHAnsi" w:cstheme="minorHAnsi"/>
        </w:rPr>
      </w:pPr>
    </w:p>
    <w:p w:rsidR="00DC07BD" w:rsidRDefault="00524969">
      <w:pPr>
        <w:ind w:left="1080" w:right="634"/>
        <w:rPr>
          <w:rFonts w:asciiTheme="minorHAnsi" w:hAnsiTheme="minorHAnsi" w:cstheme="minorHAnsi"/>
        </w:rPr>
      </w:pPr>
      <w:r w:rsidRPr="00524969">
        <w:rPr>
          <w:rFonts w:asciiTheme="minorHAnsi" w:hAnsiTheme="minorHAnsi" w:cstheme="minorHAnsi"/>
        </w:rPr>
        <w:t>DEQ is also committed to continue working with manufacturers, E-Cycles recycling program representatives and other stakeholders to identify and pursue additional opportunities to improve and streamline the program and costs for both DEQ and manufacturers, who fund their recycling programs as well as DEQ’s oversight.</w:t>
      </w:r>
      <w:r w:rsidR="00616723">
        <w:rPr>
          <w:rFonts w:asciiTheme="minorHAnsi" w:hAnsiTheme="minorHAnsi" w:cstheme="minorHAnsi"/>
        </w:rPr>
        <w:t xml:space="preserve"> </w:t>
      </w:r>
      <w:r w:rsidRPr="00524969">
        <w:rPr>
          <w:rFonts w:asciiTheme="minorHAnsi" w:hAnsiTheme="minorHAnsi" w:cstheme="minorHAnsi"/>
        </w:rPr>
        <w:t>DEQ has determined that program costs cannot be reduced by 90</w:t>
      </w:r>
      <w:r w:rsidR="00730472">
        <w:rPr>
          <w:rFonts w:asciiTheme="minorHAnsi" w:hAnsiTheme="minorHAnsi" w:cstheme="minorHAnsi"/>
        </w:rPr>
        <w:t xml:space="preserve"> percent</w:t>
      </w:r>
      <w:r w:rsidRPr="00524969">
        <w:rPr>
          <w:rFonts w:asciiTheme="minorHAnsi" w:hAnsiTheme="minorHAnsi" w:cstheme="minorHAnsi"/>
        </w:rPr>
        <w:t>, as suggested, without significant changes in program design that would require legislation; DEQ is willing to discuss such changes. DEQ has appreciated the Consumer Electronics Association’s interest and involvement in the E-Cycles program and looks forward to its participation in these ongoing dialogs.</w:t>
      </w:r>
      <w:r w:rsidR="00616723">
        <w:rPr>
          <w:rFonts w:asciiTheme="minorHAnsi" w:hAnsiTheme="minorHAnsi" w:cstheme="minorHAnsi"/>
        </w:rPr>
        <w:t xml:space="preserve"> </w:t>
      </w:r>
    </w:p>
    <w:p w:rsidR="00241046" w:rsidRPr="00CE27D0" w:rsidRDefault="00241046" w:rsidP="00C063DC">
      <w:pPr>
        <w:ind w:left="720" w:right="630"/>
        <w:rPr>
          <w:rFonts w:asciiTheme="minorHAnsi" w:hAnsiTheme="minorHAnsi" w:cstheme="minorHAnsi"/>
          <w:b/>
        </w:rPr>
      </w:pPr>
    </w:p>
    <w:p w:rsidR="00730472" w:rsidRPr="00CE27D0" w:rsidRDefault="00730472" w:rsidP="00C063DC">
      <w:pPr>
        <w:ind w:left="360" w:right="630"/>
        <w:rPr>
          <w:rFonts w:asciiTheme="minorHAnsi" w:hAnsiTheme="minorHAnsi" w:cstheme="minorHAnsi"/>
        </w:rPr>
      </w:pPr>
    </w:p>
    <w:p w:rsidR="0075792E" w:rsidRDefault="00241046" w:rsidP="0075792E">
      <w:pPr>
        <w:pStyle w:val="ListParagraph"/>
        <w:numPr>
          <w:ilvl w:val="0"/>
          <w:numId w:val="24"/>
        </w:numPr>
        <w:ind w:left="1080" w:right="634"/>
        <w:rPr>
          <w:rFonts w:asciiTheme="minorHAnsi" w:hAnsiTheme="minorHAnsi" w:cstheme="minorHAnsi"/>
          <w:b/>
        </w:rPr>
      </w:pPr>
      <w:r w:rsidRPr="00CE27D0">
        <w:rPr>
          <w:rFonts w:asciiTheme="minorHAnsi" w:hAnsiTheme="minorHAnsi" w:cstheme="minorHAnsi"/>
          <w:b/>
        </w:rPr>
        <w:t xml:space="preserve">DEQ should continue dialog on whether to base market share on units or weight </w:t>
      </w:r>
    </w:p>
    <w:p w:rsidR="00DC07BD" w:rsidRDefault="00241046" w:rsidP="0075792E">
      <w:pPr>
        <w:pStyle w:val="ListParagraph"/>
        <w:ind w:left="1080" w:right="634"/>
        <w:rPr>
          <w:rFonts w:asciiTheme="minorHAnsi" w:hAnsiTheme="minorHAnsi" w:cstheme="minorHAnsi"/>
        </w:rPr>
      </w:pPr>
      <w:r w:rsidRPr="00CE27D0">
        <w:rPr>
          <w:rFonts w:asciiTheme="minorHAnsi" w:hAnsiTheme="minorHAnsi" w:cstheme="minorHAnsi"/>
        </w:rPr>
        <w:lastRenderedPageBreak/>
        <w:t>Commenter 7</w:t>
      </w:r>
    </w:p>
    <w:p w:rsidR="0075792E" w:rsidRDefault="0075792E" w:rsidP="0075792E">
      <w:pPr>
        <w:pStyle w:val="ListParagraph"/>
        <w:ind w:left="1080" w:right="634"/>
        <w:rPr>
          <w:rFonts w:asciiTheme="minorHAnsi" w:hAnsiTheme="minorHAnsi" w:cstheme="minorHAnsi"/>
          <w:b/>
        </w:rPr>
      </w:pPr>
    </w:p>
    <w:p w:rsidR="00DC07BD" w:rsidRDefault="00241046" w:rsidP="0075792E">
      <w:pPr>
        <w:ind w:left="1080" w:right="634"/>
        <w:rPr>
          <w:rFonts w:asciiTheme="minorHAnsi" w:hAnsiTheme="minorHAnsi" w:cstheme="minorHAnsi"/>
        </w:rPr>
      </w:pPr>
      <w:r w:rsidRPr="00CE27D0">
        <w:rPr>
          <w:rFonts w:asciiTheme="minorHAnsi" w:hAnsiTheme="minorHAnsi" w:cstheme="minorHAnsi"/>
        </w:rPr>
        <w:t>DEQ should in the future continue the dialog about whether fees should be based on units sold or weight.</w:t>
      </w:r>
      <w:r w:rsidR="00616723">
        <w:rPr>
          <w:rFonts w:asciiTheme="minorHAnsi" w:hAnsiTheme="minorHAnsi" w:cstheme="minorHAnsi"/>
        </w:rPr>
        <w:t xml:space="preserve"> </w:t>
      </w:r>
      <w:r w:rsidRPr="00CE27D0">
        <w:rPr>
          <w:rFonts w:asciiTheme="minorHAnsi" w:hAnsiTheme="minorHAnsi" w:cstheme="minorHAnsi"/>
        </w:rPr>
        <w:t>IT m</w:t>
      </w:r>
      <w:r w:rsidR="001E443D" w:rsidRPr="00CE27D0">
        <w:rPr>
          <w:rFonts w:asciiTheme="minorHAnsi" w:hAnsiTheme="minorHAnsi" w:cstheme="minorHAnsi"/>
        </w:rPr>
        <w:t>anu</w:t>
      </w:r>
      <w:r w:rsidRPr="00CE27D0">
        <w:rPr>
          <w:rFonts w:asciiTheme="minorHAnsi" w:hAnsiTheme="minorHAnsi" w:cstheme="minorHAnsi"/>
        </w:rPr>
        <w:t>f</w:t>
      </w:r>
      <w:r w:rsidR="001E443D" w:rsidRPr="00CE27D0">
        <w:rPr>
          <w:rFonts w:asciiTheme="minorHAnsi" w:hAnsiTheme="minorHAnsi" w:cstheme="minorHAnsi"/>
        </w:rPr>
        <w:t>actu</w:t>
      </w:r>
      <w:r w:rsidRPr="00CE27D0">
        <w:rPr>
          <w:rFonts w:asciiTheme="minorHAnsi" w:hAnsiTheme="minorHAnsi" w:cstheme="minorHAnsi"/>
        </w:rPr>
        <w:t>r</w:t>
      </w:r>
      <w:r w:rsidR="001E443D" w:rsidRPr="00CE27D0">
        <w:rPr>
          <w:rFonts w:asciiTheme="minorHAnsi" w:hAnsiTheme="minorHAnsi" w:cstheme="minorHAnsi"/>
        </w:rPr>
        <w:t>er</w:t>
      </w:r>
      <w:r w:rsidRPr="00CE27D0">
        <w:rPr>
          <w:rFonts w:asciiTheme="minorHAnsi" w:hAnsiTheme="minorHAnsi" w:cstheme="minorHAnsi"/>
        </w:rPr>
        <w:t>s are at a disadvantage if market share is based on units because their products are lighter than TVs. (7)</w:t>
      </w:r>
    </w:p>
    <w:p w:rsidR="00241046" w:rsidRPr="00CE27D0" w:rsidRDefault="00241046" w:rsidP="00C063DC">
      <w:pPr>
        <w:ind w:left="720" w:right="630"/>
        <w:rPr>
          <w:rFonts w:asciiTheme="minorHAnsi" w:hAnsiTheme="minorHAnsi" w:cstheme="minorHAnsi"/>
        </w:rPr>
      </w:pPr>
    </w:p>
    <w:p w:rsidR="00DC07BD" w:rsidRDefault="00241046" w:rsidP="00360896">
      <w:pPr>
        <w:ind w:left="1080" w:right="634"/>
        <w:rPr>
          <w:rFonts w:asciiTheme="minorHAnsi" w:hAnsiTheme="minorHAnsi" w:cstheme="minorHAnsi"/>
          <w:b/>
        </w:rPr>
      </w:pPr>
      <w:r w:rsidRPr="00CE27D0">
        <w:rPr>
          <w:rFonts w:asciiTheme="minorHAnsi" w:hAnsiTheme="minorHAnsi" w:cstheme="minorHAnsi"/>
          <w:b/>
        </w:rPr>
        <w:t>Response</w:t>
      </w:r>
    </w:p>
    <w:p w:rsidR="00DC07BD" w:rsidRDefault="00241046" w:rsidP="00360896">
      <w:pPr>
        <w:ind w:left="1080" w:right="634"/>
        <w:rPr>
          <w:rFonts w:asciiTheme="minorHAnsi" w:hAnsiTheme="minorHAnsi" w:cstheme="minorHAnsi"/>
        </w:rPr>
      </w:pPr>
      <w:r w:rsidRPr="00CE27D0">
        <w:rPr>
          <w:rFonts w:asciiTheme="minorHAnsi" w:hAnsiTheme="minorHAnsi" w:cstheme="minorHAnsi"/>
        </w:rPr>
        <w:t>DEQ will continue the dialog requested as part of discussion</w:t>
      </w:r>
      <w:r w:rsidR="00143C0F">
        <w:rPr>
          <w:rFonts w:asciiTheme="minorHAnsi" w:hAnsiTheme="minorHAnsi" w:cstheme="minorHAnsi"/>
        </w:rPr>
        <w:t>s</w:t>
      </w:r>
      <w:r w:rsidRPr="00CE27D0">
        <w:rPr>
          <w:rFonts w:asciiTheme="minorHAnsi" w:hAnsiTheme="minorHAnsi" w:cstheme="minorHAnsi"/>
        </w:rPr>
        <w:t xml:space="preserve"> with stakeholders on program improvements. </w:t>
      </w:r>
      <w:r w:rsidR="00143C0F">
        <w:rPr>
          <w:rFonts w:asciiTheme="minorHAnsi" w:hAnsiTheme="minorHAnsi" w:cstheme="minorHAnsi"/>
        </w:rPr>
        <w:t xml:space="preserve">The electronics </w:t>
      </w:r>
      <w:r w:rsidR="00691E26">
        <w:rPr>
          <w:rFonts w:asciiTheme="minorHAnsi" w:hAnsiTheme="minorHAnsi" w:cstheme="minorHAnsi"/>
        </w:rPr>
        <w:t>recycling law describes market share as a percentage of the total number of units of covered devices sold in or into Oregon the previous calendar year</w:t>
      </w:r>
      <w:r w:rsidR="00143C0F">
        <w:rPr>
          <w:rFonts w:asciiTheme="minorHAnsi" w:hAnsiTheme="minorHAnsi" w:cstheme="minorHAnsi"/>
        </w:rPr>
        <w:t>, and the proposed rule</w:t>
      </w:r>
      <w:r w:rsidR="00B42504">
        <w:rPr>
          <w:rFonts w:asciiTheme="minorHAnsi" w:hAnsiTheme="minorHAnsi" w:cstheme="minorHAnsi"/>
        </w:rPr>
        <w:t>s</w:t>
      </w:r>
      <w:r w:rsidR="00143C0F">
        <w:rPr>
          <w:rFonts w:asciiTheme="minorHAnsi" w:hAnsiTheme="minorHAnsi" w:cstheme="minorHAnsi"/>
        </w:rPr>
        <w:t xml:space="preserve"> continue using units</w:t>
      </w:r>
      <w:r w:rsidR="00691E26">
        <w:rPr>
          <w:rFonts w:asciiTheme="minorHAnsi" w:hAnsiTheme="minorHAnsi" w:cstheme="minorHAnsi"/>
        </w:rPr>
        <w:t>.</w:t>
      </w:r>
    </w:p>
    <w:p w:rsidR="008336FC" w:rsidRDefault="008336FC">
      <w:pPr>
        <w:spacing w:after="200" w:line="276" w:lineRule="auto"/>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1430" w:type="dxa"/>
        <w:tblInd w:w="108" w:type="dxa"/>
        <w:tblLook w:val="04A0"/>
      </w:tblPr>
      <w:tblGrid>
        <w:gridCol w:w="11430"/>
      </w:tblGrid>
      <w:tr w:rsidR="00241046" w:rsidRPr="00B15DF7" w:rsidTr="001E443D">
        <w:trPr>
          <w:trHeight w:val="600"/>
        </w:trPr>
        <w:tc>
          <w:tcPr>
            <w:tcW w:w="11430" w:type="dxa"/>
            <w:tcBorders>
              <w:top w:val="nil"/>
              <w:left w:val="nil"/>
              <w:bottom w:val="double" w:sz="6" w:space="0" w:color="7F7F7F"/>
              <w:right w:val="nil"/>
            </w:tcBorders>
            <w:shd w:val="clear" w:color="000000" w:fill="D8D3C6"/>
            <w:noWrap/>
            <w:vAlign w:val="bottom"/>
          </w:tcPr>
          <w:p w:rsidR="00241046" w:rsidRPr="00823C9D" w:rsidRDefault="00241046" w:rsidP="001E443D">
            <w:pPr>
              <w:outlineLvl w:val="0"/>
              <w:rPr>
                <w:rFonts w:eastAsia="Times New Roman"/>
                <w:b/>
                <w:bCs/>
                <w:color w:val="32525C"/>
                <w:sz w:val="28"/>
                <w:szCs w:val="28"/>
              </w:rPr>
            </w:pPr>
            <w:r w:rsidRPr="00B15DF7">
              <w:rPr>
                <w:rFonts w:eastAsia="Times New Roman"/>
                <w:bCs/>
                <w:color w:val="504938"/>
                <w:sz w:val="22"/>
                <w:szCs w:val="22"/>
              </w:rPr>
              <w:lastRenderedPageBreak/>
              <w:t> </w:t>
            </w:r>
          </w:p>
          <w:p w:rsidR="00241046" w:rsidRPr="0005383A" w:rsidRDefault="00241046" w:rsidP="001E443D">
            <w:pPr>
              <w:outlineLvl w:val="0"/>
              <w:rPr>
                <w:rFonts w:eastAsia="Times New Roman"/>
                <w:b/>
                <w:bCs/>
                <w:color w:val="00494F"/>
                <w:sz w:val="28"/>
                <w:szCs w:val="28"/>
              </w:rPr>
            </w:pPr>
            <w:bookmarkStart w:id="11" w:name="Commenters"/>
            <w:r w:rsidRPr="0005383A">
              <w:rPr>
                <w:rFonts w:eastAsia="Times New Roman"/>
                <w:b/>
                <w:bCs/>
                <w:color w:val="00494F"/>
                <w:sz w:val="28"/>
                <w:szCs w:val="28"/>
              </w:rPr>
              <w:t>Commenters</w:t>
            </w:r>
            <w:bookmarkEnd w:id="11"/>
          </w:p>
        </w:tc>
      </w:tr>
    </w:tbl>
    <w:p w:rsidR="00241046" w:rsidRPr="00B15DF7" w:rsidRDefault="00616723" w:rsidP="00241046">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241046" w:rsidRPr="00DC04D1" w:rsidRDefault="00241046" w:rsidP="0024104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241046" w:rsidRDefault="00241046" w:rsidP="00241046">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eight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for submitting public comment. The original comments are on file with DEQ.</w:t>
      </w:r>
    </w:p>
    <w:p w:rsidR="00825035" w:rsidRDefault="00825035" w:rsidP="00241046">
      <w:pPr>
        <w:spacing w:after="120"/>
        <w:ind w:left="720" w:right="630"/>
        <w:outlineLvl w:val="0"/>
        <w:rPr>
          <w:rFonts w:asciiTheme="minorHAnsi" w:eastAsia="Times New Roman" w:hAnsiTheme="minorHAnsi" w:cstheme="minorHAnsi"/>
          <w:bCs/>
          <w:color w:val="000000" w:themeColor="text1"/>
        </w:rPr>
      </w:pP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Tom Sherman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Pr>
          <w:rFonts w:asciiTheme="minorHAnsi" w:eastAsia="Times New Roman" w:hAnsiTheme="minorHAnsi" w:cstheme="minorHAnsi"/>
          <w:bCs/>
          <w:color w:val="000000" w:themeColor="text1"/>
        </w:rPr>
        <w:t xml:space="preserve"> Interested Party</w:t>
      </w:r>
    </w:p>
    <w:p w:rsidR="00241046" w:rsidRPr="00C944E5"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Comment 2</w:t>
      </w:r>
      <w:r w:rsidRPr="00C944E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241046" w:rsidRPr="00B838E2" w:rsidRDefault="00241046" w:rsidP="00825035">
      <w:pPr>
        <w:pStyle w:val="ListParagraph"/>
        <w:spacing w:after="120"/>
        <w:ind w:left="1440" w:right="630"/>
        <w:outlineLvl w:val="0"/>
        <w:rPr>
          <w:rFonts w:asciiTheme="minorHAnsi" w:eastAsia="Times New Roman" w:hAnsiTheme="minorHAnsi" w:cstheme="minorHAnsi"/>
          <w:b/>
          <w:bCs/>
          <w:color w:val="000000" w:themeColor="text1"/>
        </w:rPr>
      </w:pPr>
      <w:r>
        <w:rPr>
          <w:rFonts w:asciiTheme="minorHAnsi" w:eastAsia="Times New Roman" w:hAnsiTheme="minorHAnsi" w:cstheme="minorHAnsi"/>
          <w:bCs/>
          <w:color w:val="000000" w:themeColor="text1"/>
          <w:sz w:val="22"/>
          <w:szCs w:val="22"/>
        </w:rPr>
        <w:tab/>
      </w:r>
      <w:r w:rsidRPr="00B838E2">
        <w:rPr>
          <w:rFonts w:asciiTheme="majorHAnsi" w:eastAsia="Times New Roman" w:hAnsiTheme="majorHAnsi" w:cstheme="majorHAnsi"/>
          <w:bCs/>
          <w:color w:val="000000" w:themeColor="text1"/>
          <w:sz w:val="22"/>
          <w:szCs w:val="22"/>
        </w:rPr>
        <w:tab/>
      </w: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Chris Chenoweth</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Acupro-Oregon</w:t>
      </w:r>
    </w:p>
    <w:p w:rsidR="00241046" w:rsidRPr="00C944E5"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w:t>
      </w:r>
      <w:r w:rsidR="003513B3">
        <w:rPr>
          <w:rFonts w:asciiTheme="minorHAnsi" w:eastAsia="Times New Roman" w:hAnsiTheme="minorHAnsi" w:cstheme="minorHAnsi"/>
          <w:bCs/>
          <w:color w:val="000000" w:themeColor="text1"/>
        </w:rPr>
        <w:t>ubmitted comments under Comment</w:t>
      </w:r>
      <w:r w:rsidR="000D3932">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241046" w:rsidRPr="00B838E2" w:rsidRDefault="00241046" w:rsidP="00241046">
      <w:pPr>
        <w:pStyle w:val="ListParagraph"/>
        <w:spacing w:after="120"/>
        <w:ind w:left="1440" w:right="630" w:hanging="360"/>
        <w:outlineLvl w:val="0"/>
        <w:rPr>
          <w:rFonts w:asciiTheme="minorHAnsi" w:eastAsia="Times New Roman" w:hAnsiTheme="minorHAnsi" w:cstheme="minorHAnsi"/>
          <w:b/>
          <w:bCs/>
          <w:color w:val="000000" w:themeColor="text1"/>
        </w:rPr>
      </w:pP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lastRenderedPageBreak/>
        <w:t>Commenter:</w:t>
      </w:r>
      <w:r>
        <w:rPr>
          <w:rFonts w:asciiTheme="majorHAnsi" w:eastAsia="Times New Roman" w:hAnsiTheme="majorHAnsi" w:cstheme="majorHAnsi"/>
          <w:b/>
          <w:bCs/>
          <w:color w:val="463D38" w:themeColor="accent4" w:themeShade="80"/>
          <w:sz w:val="22"/>
          <w:szCs w:val="22"/>
        </w:rPr>
        <w:tab/>
        <w:t xml:space="preserve"> </w:t>
      </w:r>
      <w:r>
        <w:rPr>
          <w:rFonts w:asciiTheme="minorHAnsi" w:eastAsia="Times New Roman" w:hAnsiTheme="minorHAnsi" w:cstheme="minorHAnsi"/>
          <w:bCs/>
          <w:color w:val="000000" w:themeColor="text1"/>
        </w:rPr>
        <w:t>Patrick Ewing</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Gizmobyte Computers</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Comment 3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825035"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sidRPr="00B040EA">
        <w:rPr>
          <w:rFonts w:asciiTheme="majorHAnsi" w:eastAsia="Times New Roman" w:hAnsiTheme="majorHAnsi" w:cstheme="majorHAnsi"/>
          <w:b/>
          <w:bCs/>
          <w:color w:val="463D38" w:themeColor="accent4" w:themeShade="80"/>
          <w:sz w:val="22"/>
          <w:szCs w:val="22"/>
        </w:rPr>
        <w:t>Commenter:</w:t>
      </w:r>
      <w:r w:rsidRPr="00B040EA">
        <w:rPr>
          <w:rFonts w:asciiTheme="majorHAnsi" w:eastAsia="Times New Roman" w:hAnsiTheme="majorHAnsi" w:cstheme="majorHAnsi"/>
          <w:b/>
          <w:bCs/>
          <w:color w:val="463D38" w:themeColor="accent4" w:themeShade="80"/>
          <w:sz w:val="22"/>
          <w:szCs w:val="22"/>
        </w:rPr>
        <w:tab/>
      </w:r>
      <w:r w:rsidRPr="00B040EA">
        <w:rPr>
          <w:rFonts w:asciiTheme="minorHAnsi" w:eastAsia="Times New Roman" w:hAnsiTheme="minorHAnsi" w:cstheme="minorHAnsi"/>
          <w:bCs/>
          <w:color w:val="000000" w:themeColor="text1"/>
        </w:rPr>
        <w:t>Pa</w:t>
      </w:r>
      <w:r>
        <w:rPr>
          <w:rFonts w:asciiTheme="minorHAnsi" w:eastAsia="Times New Roman" w:hAnsiTheme="minorHAnsi" w:cstheme="minorHAnsi"/>
          <w:bCs/>
          <w:color w:val="000000" w:themeColor="text1"/>
        </w:rPr>
        <w:t>u</w:t>
      </w:r>
      <w:r w:rsidRPr="00B040EA">
        <w:rPr>
          <w:rFonts w:asciiTheme="minorHAnsi" w:eastAsia="Times New Roman" w:hAnsiTheme="minorHAnsi" w:cstheme="minorHAnsi"/>
          <w:bCs/>
          <w:color w:val="000000" w:themeColor="text1"/>
        </w:rPr>
        <w:t>l Aziz</w:t>
      </w:r>
      <w:r w:rsidRPr="00B040EA">
        <w:rPr>
          <w:rFonts w:asciiTheme="minorHAnsi" w:eastAsia="Times New Roman" w:hAnsiTheme="minorHAnsi" w:cstheme="minorHAnsi"/>
          <w:bCs/>
          <w:color w:val="000000" w:themeColor="text1"/>
        </w:rPr>
        <w:tab/>
      </w:r>
      <w:r w:rsidRPr="00B040EA">
        <w:rPr>
          <w:rFonts w:asciiTheme="majorHAnsi" w:eastAsia="Times New Roman" w:hAnsiTheme="majorHAnsi" w:cstheme="majorHAnsi"/>
          <w:b/>
          <w:bCs/>
          <w:color w:val="463D38" w:themeColor="accent4" w:themeShade="80"/>
          <w:sz w:val="22"/>
          <w:szCs w:val="22"/>
        </w:rPr>
        <w:t>Affiliation:</w:t>
      </w:r>
      <w:r w:rsidRPr="00B040EA">
        <w:rPr>
          <w:rFonts w:asciiTheme="minorHAnsi" w:eastAsia="Times New Roman" w:hAnsiTheme="minorHAnsi" w:cstheme="minorHAnsi"/>
          <w:bCs/>
          <w:color w:val="000000" w:themeColor="text1"/>
        </w:rPr>
        <w:tab/>
      </w:r>
      <w:r w:rsidR="00691E26" w:rsidRPr="00B040EA">
        <w:rPr>
          <w:rFonts w:asciiTheme="minorHAnsi" w:eastAsia="Times New Roman" w:hAnsiTheme="minorHAnsi" w:cstheme="minorHAnsi"/>
          <w:bCs/>
          <w:color w:val="000000" w:themeColor="text1"/>
        </w:rPr>
        <w:t>Paul’s Computer Repair</w:t>
      </w:r>
      <w:r w:rsidR="00616723">
        <w:rPr>
          <w:rFonts w:asciiTheme="minorHAnsi" w:eastAsia="Times New Roman" w:hAnsiTheme="minorHAnsi" w:cstheme="minorHAnsi"/>
          <w:bCs/>
          <w:color w:val="000000" w:themeColor="text1"/>
        </w:rPr>
        <w:t xml:space="preserve"> </w:t>
      </w:r>
    </w:p>
    <w:p w:rsidR="00143C0F" w:rsidRDefault="00825035" w:rsidP="00825035">
      <w:pPr>
        <w:pStyle w:val="ListParagraph"/>
        <w:tabs>
          <w:tab w:val="left" w:pos="2520"/>
          <w:tab w:val="left" w:pos="5760"/>
          <w:tab w:val="left" w:pos="7020"/>
        </w:tabs>
        <w:ind w:left="1080" w:right="634"/>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ab/>
      </w:r>
      <w:r>
        <w:rPr>
          <w:rFonts w:asciiTheme="majorHAnsi" w:eastAsia="Times New Roman" w:hAnsiTheme="majorHAnsi" w:cstheme="majorHAnsi"/>
          <w:b/>
          <w:bCs/>
          <w:color w:val="463D38" w:themeColor="accent4" w:themeShade="80"/>
          <w:sz w:val="22"/>
          <w:szCs w:val="22"/>
        </w:rPr>
        <w:tab/>
      </w:r>
      <w:r>
        <w:rPr>
          <w:rFonts w:asciiTheme="majorHAnsi" w:eastAsia="Times New Roman" w:hAnsiTheme="majorHAnsi" w:cstheme="majorHAnsi"/>
          <w:b/>
          <w:bCs/>
          <w:color w:val="463D38" w:themeColor="accent4" w:themeShade="80"/>
          <w:sz w:val="22"/>
          <w:szCs w:val="22"/>
        </w:rPr>
        <w:tab/>
      </w:r>
      <w:r w:rsidR="00691E26">
        <w:rPr>
          <w:rFonts w:asciiTheme="minorHAnsi" w:eastAsia="Times New Roman" w:hAnsiTheme="minorHAnsi" w:cstheme="minorHAnsi"/>
          <w:bCs/>
          <w:color w:val="000000" w:themeColor="text1"/>
        </w:rPr>
        <w:t>(transmitted by Rep. Sprenger)</w:t>
      </w:r>
    </w:p>
    <w:p w:rsidR="000E5396" w:rsidRDefault="00767DF2" w:rsidP="00825035">
      <w:pPr>
        <w:tabs>
          <w:tab w:val="left" w:pos="2520"/>
          <w:tab w:val="left" w:pos="5760"/>
          <w:tab w:val="left" w:pos="7020"/>
        </w:tabs>
        <w:ind w:left="1080" w:right="634"/>
        <w:outlineLvl w:val="0"/>
        <w:rPr>
          <w:rFonts w:asciiTheme="minorHAnsi" w:eastAsia="Times New Roman" w:hAnsiTheme="minorHAnsi" w:cstheme="minorHAnsi"/>
          <w:bCs/>
          <w:color w:val="000000" w:themeColor="text1"/>
        </w:rPr>
      </w:pPr>
      <w:r w:rsidRPr="00767DF2">
        <w:rPr>
          <w:rFonts w:asciiTheme="majorHAnsi" w:eastAsia="Times New Roman" w:hAnsiTheme="majorHAnsi" w:cstheme="majorHAnsi"/>
          <w:bCs/>
          <w:color w:val="463D38" w:themeColor="accent4" w:themeShade="80"/>
          <w:sz w:val="22"/>
          <w:szCs w:val="22"/>
        </w:rPr>
        <w:t>This commen</w:t>
      </w:r>
      <w:r w:rsidRPr="00767DF2">
        <w:rPr>
          <w:rFonts w:asciiTheme="minorHAnsi" w:eastAsia="Times New Roman" w:hAnsiTheme="minorHAnsi" w:cstheme="minorHAnsi"/>
          <w:bCs/>
          <w:color w:val="000000" w:themeColor="text1"/>
        </w:rPr>
        <w:t xml:space="preserve">ter submitted comments </w:t>
      </w:r>
      <w:r w:rsidR="003513B3">
        <w:rPr>
          <w:rFonts w:asciiTheme="minorHAnsi" w:eastAsia="Times New Roman" w:hAnsiTheme="minorHAnsi" w:cstheme="minorHAnsi"/>
          <w:bCs/>
          <w:color w:val="000000" w:themeColor="text1"/>
        </w:rPr>
        <w:t xml:space="preserve">under Comment </w:t>
      </w:r>
      <w:r w:rsidRPr="00767DF2">
        <w:rPr>
          <w:rFonts w:asciiTheme="minorHAnsi" w:eastAsia="Times New Roman" w:hAnsiTheme="minorHAnsi" w:cstheme="minorHAnsi"/>
          <w:bCs/>
          <w:color w:val="000000" w:themeColor="text1"/>
        </w:rPr>
        <w:t xml:space="preserve">3 in the </w:t>
      </w:r>
      <w:r w:rsidRPr="00767DF2">
        <w:rPr>
          <w:rFonts w:asciiTheme="minorHAnsi" w:eastAsia="Times New Roman" w:hAnsiTheme="minorHAnsi" w:cstheme="minorHAnsi"/>
          <w:bCs/>
          <w:i/>
          <w:color w:val="000000" w:themeColor="text1"/>
        </w:rPr>
        <w:t>Summary of com</w:t>
      </w:r>
      <w:r w:rsidRPr="00767DF2">
        <w:rPr>
          <w:rFonts w:asciiTheme="majorHAnsi" w:eastAsia="Times New Roman" w:hAnsiTheme="majorHAnsi" w:cstheme="majorHAnsi"/>
          <w:bCs/>
          <w:i/>
          <w:color w:val="463D38" w:themeColor="accent4" w:themeShade="80"/>
          <w:sz w:val="22"/>
          <w:szCs w:val="22"/>
        </w:rPr>
        <w:t>ments and DE</w:t>
      </w:r>
      <w:r w:rsidRPr="00767DF2">
        <w:rPr>
          <w:rFonts w:asciiTheme="minorHAnsi" w:eastAsia="Times New Roman" w:hAnsiTheme="minorHAnsi" w:cstheme="minorHAnsi"/>
          <w:bCs/>
          <w:i/>
          <w:color w:val="000000" w:themeColor="text1"/>
        </w:rPr>
        <w:t xml:space="preserve">Q responses </w:t>
      </w:r>
      <w:r w:rsidRPr="00767DF2">
        <w:rPr>
          <w:rFonts w:asciiTheme="minorHAnsi" w:eastAsia="Times New Roman" w:hAnsiTheme="minorHAnsi" w:cstheme="minorHAnsi"/>
          <w:bCs/>
          <w:color w:val="000000" w:themeColor="text1"/>
        </w:rPr>
        <w:t>section above.</w:t>
      </w:r>
    </w:p>
    <w:p w:rsidR="00241046" w:rsidRPr="00691E2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241046" w:rsidRPr="00C35CF6" w:rsidRDefault="00825035"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sidRPr="00B040EA">
        <w:rPr>
          <w:rFonts w:asciiTheme="majorHAnsi" w:eastAsia="Times New Roman" w:hAnsiTheme="majorHAnsi" w:cstheme="majorHAnsi"/>
          <w:b/>
          <w:bCs/>
          <w:color w:val="463D38" w:themeColor="accent4" w:themeShade="80"/>
          <w:sz w:val="22"/>
          <w:szCs w:val="22"/>
        </w:rPr>
        <w:t>Commenter:</w:t>
      </w:r>
      <w:r w:rsidR="00241046" w:rsidRPr="00691E26">
        <w:rPr>
          <w:rFonts w:asciiTheme="minorHAnsi" w:eastAsia="Times New Roman" w:hAnsiTheme="minorHAnsi" w:cstheme="minorHAnsi"/>
          <w:b/>
          <w:bCs/>
          <w:color w:val="000000" w:themeColor="text1"/>
          <w:sz w:val="22"/>
          <w:szCs w:val="22"/>
        </w:rPr>
        <w:tab/>
      </w:r>
      <w:r w:rsidR="00241046" w:rsidRPr="00691E26">
        <w:rPr>
          <w:rFonts w:asciiTheme="minorHAnsi" w:eastAsia="Times New Roman" w:hAnsiTheme="minorHAnsi" w:cstheme="minorHAnsi"/>
          <w:bCs/>
          <w:color w:val="000000" w:themeColor="text1"/>
        </w:rPr>
        <w:t>Betty Patton</w:t>
      </w:r>
      <w:r w:rsidR="00241046" w:rsidRPr="00691E26">
        <w:rPr>
          <w:rFonts w:asciiTheme="minorHAnsi" w:eastAsia="Times New Roman" w:hAnsiTheme="minorHAnsi" w:cstheme="minorHAnsi"/>
          <w:bCs/>
          <w:color w:val="000000" w:themeColor="text1"/>
        </w:rPr>
        <w:tab/>
      </w:r>
      <w:r w:rsidRPr="00B040EA">
        <w:rPr>
          <w:rFonts w:asciiTheme="majorHAnsi" w:eastAsia="Times New Roman" w:hAnsiTheme="majorHAnsi" w:cstheme="majorHAnsi"/>
          <w:b/>
          <w:bCs/>
          <w:color w:val="463D38" w:themeColor="accent4" w:themeShade="80"/>
          <w:sz w:val="22"/>
          <w:szCs w:val="22"/>
        </w:rPr>
        <w:t>Affiliation</w:t>
      </w:r>
      <w:r w:rsidR="00241046" w:rsidRPr="00691E26">
        <w:rPr>
          <w:rFonts w:asciiTheme="minorHAnsi" w:eastAsia="Times New Roman" w:hAnsiTheme="minorHAnsi" w:cstheme="minorHAnsi"/>
          <w:b/>
          <w:bCs/>
          <w:i/>
          <w:color w:val="000000" w:themeColor="text1"/>
          <w:sz w:val="22"/>
          <w:szCs w:val="22"/>
        </w:rPr>
        <w:t>:</w:t>
      </w:r>
      <w:r w:rsidR="00241046" w:rsidRPr="00691E26">
        <w:rPr>
          <w:rFonts w:asciiTheme="minorHAnsi" w:eastAsia="Times New Roman" w:hAnsiTheme="minorHAnsi" w:cstheme="minorHAnsi"/>
          <w:b/>
          <w:bCs/>
          <w:i/>
          <w:color w:val="000000" w:themeColor="text1"/>
          <w:sz w:val="22"/>
          <w:szCs w:val="22"/>
        </w:rPr>
        <w:tab/>
      </w:r>
      <w:r w:rsidR="00767DF2" w:rsidRPr="00767DF2">
        <w:rPr>
          <w:rFonts w:asciiTheme="minorHAnsi" w:eastAsia="Times New Roman" w:hAnsiTheme="minorHAnsi" w:cstheme="minorHAnsi"/>
          <w:bCs/>
          <w:color w:val="000000" w:themeColor="text1"/>
        </w:rPr>
        <w:t>Electronic Manufacturers Recycli</w:t>
      </w:r>
      <w:r w:rsidR="00241046" w:rsidRPr="00C35CF6">
        <w:rPr>
          <w:rFonts w:asciiTheme="minorHAnsi" w:eastAsia="Times New Roman" w:hAnsiTheme="minorHAnsi" w:cstheme="minorHAnsi"/>
          <w:bCs/>
          <w:color w:val="000000" w:themeColor="text1"/>
        </w:rPr>
        <w:t>ng Management Company, Oregon E-Cycle Registration Fee Advisory Committee Member</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r w:rsidRPr="00015125">
        <w:rPr>
          <w:rFonts w:asciiTheme="minorHAnsi" w:eastAsia="Times New Roman" w:hAnsiTheme="minorHAnsi" w:cstheme="minorHAnsi"/>
          <w:bCs/>
          <w:color w:val="000000" w:themeColor="text1"/>
        </w:rPr>
        <w:t xml:space="preserve">Comments </w:t>
      </w:r>
      <w:r w:rsidRPr="00B94546">
        <w:rPr>
          <w:rFonts w:asciiTheme="minorHAnsi" w:eastAsia="Times New Roman" w:hAnsiTheme="minorHAnsi" w:cstheme="minorHAnsi"/>
          <w:bCs/>
          <w:color w:val="000000" w:themeColor="text1"/>
        </w:rPr>
        <w:t>4, 5, 6 and 9 i</w:t>
      </w:r>
      <w:r w:rsidRPr="00015125">
        <w:rPr>
          <w:rFonts w:asciiTheme="minorHAnsi" w:eastAsia="Times New Roman" w:hAnsiTheme="minorHAnsi" w:cstheme="minorHAnsi"/>
          <w:bCs/>
          <w:color w:val="000000" w:themeColor="text1"/>
        </w:rPr>
        <w:t xml:space="preserve">n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241046" w:rsidRPr="00C944E5"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lastRenderedPageBreak/>
        <w:t>Commenter:</w:t>
      </w:r>
      <w:r>
        <w:rPr>
          <w:rFonts w:asciiTheme="majorHAnsi" w:eastAsia="Times New Roman" w:hAnsiTheme="majorHAnsi" w:cstheme="majorHAnsi"/>
          <w:b/>
          <w:bCs/>
          <w:color w:val="463D38" w:themeColor="accent4" w:themeShade="80"/>
          <w:sz w:val="22"/>
          <w:szCs w:val="22"/>
        </w:rPr>
        <w:tab/>
      </w:r>
      <w:r w:rsidRPr="003A2225">
        <w:rPr>
          <w:rFonts w:asciiTheme="minorHAnsi" w:eastAsia="Times New Roman" w:hAnsiTheme="minorHAnsi" w:cstheme="minorHAnsi"/>
          <w:bCs/>
          <w:color w:val="000000" w:themeColor="text1"/>
        </w:rPr>
        <w:t>Wal</w:t>
      </w:r>
      <w:r>
        <w:rPr>
          <w:rFonts w:asciiTheme="minorHAnsi" w:eastAsia="Times New Roman" w:hAnsiTheme="minorHAnsi" w:cstheme="minorHAnsi"/>
          <w:bCs/>
          <w:color w:val="000000" w:themeColor="text1"/>
        </w:rPr>
        <w:t>ter Alcorn</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The Consumer Electronics Association</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w:t>
      </w:r>
      <w:r w:rsidRPr="00015125">
        <w:rPr>
          <w:rFonts w:asciiTheme="minorHAnsi" w:eastAsia="Times New Roman" w:hAnsiTheme="minorHAnsi" w:cstheme="minorHAnsi"/>
          <w:bCs/>
          <w:color w:val="000000" w:themeColor="text1"/>
        </w:rPr>
        <w:t xml:space="preserve">Comments </w:t>
      </w:r>
      <w:r w:rsidRPr="00B94546">
        <w:rPr>
          <w:rFonts w:asciiTheme="minorHAnsi" w:eastAsia="Times New Roman" w:hAnsiTheme="minorHAnsi" w:cstheme="minorHAnsi"/>
          <w:bCs/>
          <w:color w:val="000000" w:themeColor="text1"/>
        </w:rPr>
        <w:t>1 and 9 i</w:t>
      </w:r>
      <w:r w:rsidRPr="00015125">
        <w:rPr>
          <w:rFonts w:asciiTheme="minorHAnsi" w:eastAsia="Times New Roman" w:hAnsiTheme="minorHAnsi" w:cstheme="minorHAnsi"/>
          <w:bCs/>
          <w:color w:val="000000" w:themeColor="text1"/>
        </w:rPr>
        <w:t xml:space="preserve">n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241046"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3A2225">
        <w:rPr>
          <w:rFonts w:asciiTheme="minorHAnsi" w:eastAsia="Times New Roman" w:hAnsiTheme="minorHAnsi" w:cstheme="minorHAnsi"/>
          <w:bCs/>
          <w:color w:val="000000" w:themeColor="text1"/>
        </w:rPr>
        <w:t>Kelly McKechnie</w:t>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TechAmerica</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Comments 1, 4, 5, 8, and 10</w:t>
      </w:r>
      <w:r w:rsidRPr="00B94546">
        <w:rPr>
          <w:rFonts w:asciiTheme="minorHAnsi" w:eastAsia="Times New Roman" w:hAnsiTheme="minorHAnsi" w:cstheme="minorHAnsi"/>
          <w:bCs/>
          <w:color w:val="000000" w:themeColor="text1"/>
        </w:rPr>
        <w:t xml:space="preserve"> in</w:t>
      </w:r>
      <w:r w:rsidRPr="00015125">
        <w:rPr>
          <w:rFonts w:asciiTheme="minorHAnsi" w:eastAsia="Times New Roman" w:hAnsiTheme="minorHAnsi" w:cstheme="minorHAnsi"/>
          <w:bCs/>
          <w:color w:val="000000" w:themeColor="text1"/>
        </w:rPr>
        <w:t xml:space="preserve"> the</w:t>
      </w:r>
      <w:r>
        <w:rPr>
          <w:rFonts w:asciiTheme="minorHAnsi" w:eastAsia="Times New Roman" w:hAnsiTheme="minorHAnsi" w:cstheme="minorHAnsi"/>
          <w:bCs/>
          <w:color w:val="000000" w:themeColor="text1"/>
        </w:rPr>
        <w:t xml:space="preserv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241046" w:rsidRDefault="00241046" w:rsidP="00241046">
      <w:pPr>
        <w:pStyle w:val="ListParagraph"/>
        <w:tabs>
          <w:tab w:val="left" w:pos="2160"/>
          <w:tab w:val="left" w:pos="5760"/>
        </w:tabs>
        <w:spacing w:after="120"/>
        <w:ind w:left="1080" w:right="630"/>
        <w:outlineLvl w:val="0"/>
        <w:rPr>
          <w:rFonts w:asciiTheme="minorHAnsi" w:eastAsia="Times New Roman" w:hAnsiTheme="minorHAnsi" w:cstheme="minorHAnsi"/>
          <w:bCs/>
          <w:color w:val="000000" w:themeColor="text1"/>
        </w:rPr>
      </w:pPr>
    </w:p>
    <w:p w:rsidR="00241046" w:rsidRPr="003A2225" w:rsidRDefault="00241046" w:rsidP="00241046">
      <w:pPr>
        <w:pStyle w:val="ListParagraph"/>
        <w:numPr>
          <w:ilvl w:val="0"/>
          <w:numId w:val="6"/>
        </w:numPr>
        <w:tabs>
          <w:tab w:val="left" w:pos="2520"/>
          <w:tab w:val="left" w:pos="5760"/>
          <w:tab w:val="left" w:pos="7020"/>
        </w:tabs>
        <w:spacing w:after="120"/>
        <w:ind w:left="1080" w:right="630" w:hanging="360"/>
        <w:outlineLvl w:val="0"/>
        <w:rPr>
          <w:rFonts w:asciiTheme="minorHAnsi" w:eastAsia="Times New Roman" w:hAnsiTheme="minorHAnsi" w:cstheme="minorHAnsi"/>
          <w:bCs/>
          <w:color w:val="000000" w:themeColor="text1"/>
          <w:lang w:val="fr-FR"/>
        </w:rPr>
      </w:pPr>
      <w:r w:rsidRPr="003A2225">
        <w:rPr>
          <w:rFonts w:asciiTheme="majorHAnsi" w:eastAsia="Times New Roman" w:hAnsiTheme="majorHAnsi" w:cstheme="majorHAnsi"/>
          <w:b/>
          <w:bCs/>
          <w:color w:val="463D38" w:themeColor="accent4" w:themeShade="80"/>
          <w:sz w:val="22"/>
          <w:szCs w:val="22"/>
          <w:lang w:val="fr-FR"/>
        </w:rPr>
        <w:t>Commenter:</w:t>
      </w:r>
      <w:r w:rsidRPr="003A2225">
        <w:rPr>
          <w:rFonts w:asciiTheme="majorHAnsi" w:eastAsia="Times New Roman" w:hAnsiTheme="majorHAnsi" w:cstheme="majorHAnsi"/>
          <w:b/>
          <w:bCs/>
          <w:color w:val="463D38" w:themeColor="accent4" w:themeShade="80"/>
          <w:sz w:val="22"/>
          <w:szCs w:val="22"/>
          <w:lang w:val="fr-FR"/>
        </w:rPr>
        <w:tab/>
      </w:r>
      <w:r w:rsidRPr="003A2225">
        <w:rPr>
          <w:rFonts w:asciiTheme="minorHAnsi" w:eastAsia="Times New Roman" w:hAnsiTheme="minorHAnsi" w:cstheme="minorHAnsi"/>
          <w:bCs/>
          <w:color w:val="000000" w:themeColor="text1"/>
          <w:lang w:val="fr-FR"/>
        </w:rPr>
        <w:t>Frank Marella</w:t>
      </w:r>
      <w:r w:rsidRPr="003A2225">
        <w:rPr>
          <w:rFonts w:asciiTheme="minorHAnsi" w:eastAsia="Times New Roman" w:hAnsiTheme="minorHAnsi" w:cstheme="minorHAnsi"/>
          <w:bCs/>
          <w:color w:val="000000" w:themeColor="text1"/>
          <w:lang w:val="fr-FR"/>
        </w:rPr>
        <w:tab/>
      </w:r>
      <w:r w:rsidRPr="003A2225">
        <w:rPr>
          <w:rFonts w:asciiTheme="majorHAnsi" w:eastAsia="Times New Roman" w:hAnsiTheme="majorHAnsi" w:cstheme="majorHAnsi"/>
          <w:b/>
          <w:bCs/>
          <w:color w:val="463D38" w:themeColor="accent4" w:themeShade="80"/>
          <w:sz w:val="22"/>
          <w:szCs w:val="22"/>
          <w:lang w:val="fr-FR"/>
        </w:rPr>
        <w:t>Affiliation:</w:t>
      </w:r>
      <w:r w:rsidRPr="003A2225">
        <w:rPr>
          <w:rFonts w:asciiTheme="minorHAnsi" w:eastAsia="Times New Roman" w:hAnsiTheme="minorHAnsi" w:cstheme="minorHAnsi"/>
          <w:bCs/>
          <w:color w:val="000000" w:themeColor="text1"/>
          <w:lang w:val="fr-FR"/>
        </w:rPr>
        <w:tab/>
        <w:t>Marella Environmental Consulting</w:t>
      </w:r>
    </w:p>
    <w:p w:rsidR="00241046" w:rsidRDefault="00241046" w:rsidP="00825035">
      <w:pPr>
        <w:pStyle w:val="ListParagraph"/>
        <w:tabs>
          <w:tab w:val="left" w:pos="2160"/>
          <w:tab w:val="left" w:pos="5760"/>
        </w:tabs>
        <w:ind w:left="108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Comments</w:t>
      </w:r>
      <w:r w:rsidRPr="0001512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1, 4, 5, 7 and 9</w:t>
      </w:r>
      <w:r w:rsidRPr="00B94546">
        <w:rPr>
          <w:rFonts w:asciiTheme="minorHAnsi" w:eastAsia="Times New Roman" w:hAnsiTheme="minorHAnsi" w:cstheme="minorHAnsi"/>
          <w:bCs/>
          <w:color w:val="000000" w:themeColor="text1"/>
        </w:rPr>
        <w:t xml:space="preserve"> in</w:t>
      </w:r>
      <w:r w:rsidRPr="00015125">
        <w:rPr>
          <w:rFonts w:asciiTheme="minorHAnsi" w:eastAsia="Times New Roman" w:hAnsiTheme="minorHAnsi" w:cstheme="minorHAnsi"/>
          <w:bCs/>
          <w:color w:val="000000" w:themeColor="text1"/>
        </w:rPr>
        <w:t xml:space="preserve"> the </w:t>
      </w:r>
      <w:r w:rsidRPr="00015125">
        <w:rPr>
          <w:rFonts w:asciiTheme="minorHAnsi" w:eastAsia="Times New Roman" w:hAnsiTheme="minorHAnsi" w:cstheme="minorHAnsi"/>
          <w:bCs/>
          <w:i/>
          <w:color w:val="000000" w:themeColor="text1"/>
        </w:rPr>
        <w:t xml:space="preserve">Summary of comments and DEQ responses </w:t>
      </w:r>
      <w:r w:rsidRPr="00015125">
        <w:rPr>
          <w:rFonts w:asciiTheme="minorHAnsi" w:eastAsia="Times New Roman" w:hAnsiTheme="minorHAnsi" w:cstheme="minorHAnsi"/>
          <w:bCs/>
          <w:color w:val="000000" w:themeColor="text1"/>
        </w:rPr>
        <w:t>section above.</w:t>
      </w:r>
    </w:p>
    <w:p w:rsidR="00825035" w:rsidRDefault="00825035" w:rsidP="00825035">
      <w:pPr>
        <w:pStyle w:val="ListParagraph"/>
        <w:tabs>
          <w:tab w:val="left" w:pos="2160"/>
          <w:tab w:val="left" w:pos="5760"/>
        </w:tabs>
        <w:ind w:left="1080" w:right="634"/>
        <w:outlineLvl w:val="0"/>
        <w:rPr>
          <w:rFonts w:asciiTheme="minorHAnsi" w:eastAsia="Times New Roman" w:hAnsiTheme="minorHAnsi" w:cstheme="minorHAnsi"/>
          <w:bCs/>
          <w:color w:val="000000" w:themeColor="text1"/>
        </w:rPr>
      </w:pPr>
    </w:p>
    <w:p w:rsidR="00241046" w:rsidRPr="00DC04D1" w:rsidRDefault="00241046" w:rsidP="0024104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CE27D0" w:rsidRDefault="00241046" w:rsidP="00C063DC">
      <w:pPr>
        <w:spacing w:after="200" w:line="276" w:lineRule="auto"/>
        <w:ind w:left="720" w:right="630"/>
        <w:rPr>
          <w:rFonts w:asciiTheme="minorHAnsi" w:hAnsiTheme="minorHAnsi" w:cstheme="minorHAnsi"/>
        </w:rPr>
      </w:pPr>
      <w:r>
        <w:rPr>
          <w:rFonts w:asciiTheme="minorHAnsi" w:eastAsia="Times New Roman" w:hAnsiTheme="minorHAnsi" w:cstheme="minorHAnsi"/>
          <w:bCs/>
          <w:color w:val="000000" w:themeColor="text1"/>
        </w:rPr>
        <w:t>DEQ did not receive any comments after the close of public comment</w:t>
      </w:r>
      <w:r w:rsidR="00730472">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 </w:t>
      </w:r>
    </w:p>
    <w:tbl>
      <w:tblPr>
        <w:tblW w:w="11070" w:type="dxa"/>
        <w:tblInd w:w="108" w:type="dxa"/>
        <w:tblLook w:val="04A0"/>
      </w:tblPr>
      <w:tblGrid>
        <w:gridCol w:w="11070"/>
      </w:tblGrid>
      <w:tr w:rsidR="00CE27D0" w:rsidRPr="00B15DF7" w:rsidTr="00CE27D0">
        <w:trPr>
          <w:trHeight w:val="600"/>
        </w:trPr>
        <w:tc>
          <w:tcPr>
            <w:tcW w:w="11070" w:type="dxa"/>
            <w:tcBorders>
              <w:top w:val="nil"/>
              <w:left w:val="nil"/>
              <w:bottom w:val="double" w:sz="6" w:space="0" w:color="7F7F7F"/>
              <w:right w:val="nil"/>
            </w:tcBorders>
            <w:shd w:val="clear" w:color="000000" w:fill="D8D3C6"/>
            <w:noWrap/>
            <w:vAlign w:val="bottom"/>
            <w:hideMark/>
          </w:tcPr>
          <w:p w:rsidR="00CE27D0" w:rsidRPr="00B15DF7" w:rsidRDefault="00CE27D0" w:rsidP="00CE27D0">
            <w:pPr>
              <w:outlineLvl w:val="0"/>
              <w:rPr>
                <w:rFonts w:eastAsia="Times New Roman"/>
                <w:bCs/>
                <w:color w:val="32525C"/>
                <w:sz w:val="28"/>
                <w:szCs w:val="28"/>
              </w:rPr>
            </w:pPr>
            <w:r>
              <w:rPr>
                <w:rFonts w:asciiTheme="minorHAnsi" w:hAnsiTheme="minorHAnsi" w:cstheme="minorHAnsi"/>
              </w:rPr>
              <w:lastRenderedPageBreak/>
              <w:br w:type="page"/>
            </w:r>
          </w:p>
          <w:p w:rsidR="00CE27D0" w:rsidRPr="0005383A" w:rsidRDefault="00C063DC" w:rsidP="00CE27D0">
            <w:pPr>
              <w:outlineLvl w:val="0"/>
              <w:rPr>
                <w:rFonts w:eastAsia="Times New Roman"/>
                <w:b/>
                <w:bCs/>
                <w:color w:val="00494F"/>
                <w:sz w:val="28"/>
                <w:szCs w:val="28"/>
              </w:rPr>
            </w:pPr>
            <w:bookmarkStart w:id="12" w:name="ProposedRule"/>
            <w:r w:rsidRPr="0005383A">
              <w:rPr>
                <w:rFonts w:eastAsia="Times New Roman"/>
                <w:b/>
                <w:bCs/>
                <w:color w:val="00494F"/>
                <w:sz w:val="28"/>
                <w:szCs w:val="28"/>
              </w:rPr>
              <w:t xml:space="preserve">Attachment A: </w:t>
            </w:r>
            <w:r w:rsidR="00CE27D0" w:rsidRPr="0005383A">
              <w:rPr>
                <w:rFonts w:eastAsia="Times New Roman"/>
                <w:b/>
                <w:bCs/>
                <w:color w:val="00494F"/>
                <w:sz w:val="28"/>
                <w:szCs w:val="28"/>
              </w:rPr>
              <w:t>Proposed Rules</w:t>
            </w:r>
            <w:bookmarkEnd w:id="12"/>
          </w:p>
        </w:tc>
      </w:tr>
    </w:tbl>
    <w:p w:rsidR="008F3499" w:rsidRDefault="008F3499" w:rsidP="00CE27D0">
      <w:pPr>
        <w:shd w:val="clear" w:color="auto" w:fill="FFFFFF"/>
        <w:spacing w:before="100" w:after="50"/>
        <w:jc w:val="center"/>
        <w:outlineLvl w:val="1"/>
        <w:rPr>
          <w:rFonts w:eastAsia="Times New Roman"/>
          <w:b/>
          <w:bCs/>
          <w:color w:val="000000" w:themeColor="text1"/>
        </w:rPr>
      </w:pPr>
    </w:p>
    <w:p w:rsidR="00CE27D0" w:rsidRPr="0042749A" w:rsidRDefault="00CE27D0" w:rsidP="00CE27D0">
      <w:pPr>
        <w:shd w:val="clear" w:color="auto" w:fill="FFFFFF"/>
        <w:spacing w:before="100" w:after="50"/>
        <w:jc w:val="center"/>
        <w:outlineLvl w:val="1"/>
        <w:rPr>
          <w:rFonts w:eastAsia="Times New Roman"/>
          <w:b/>
          <w:bCs/>
          <w:color w:val="000000" w:themeColor="text1"/>
        </w:rPr>
      </w:pPr>
      <w:r w:rsidRPr="0042749A">
        <w:rPr>
          <w:rFonts w:eastAsia="Times New Roman"/>
          <w:b/>
          <w:bCs/>
          <w:color w:val="000000" w:themeColor="text1"/>
        </w:rPr>
        <w:t xml:space="preserve">DEPARTMENT OF ENVIRONMENTAL QUALITY </w:t>
      </w:r>
    </w:p>
    <w:p w:rsidR="00CE27D0" w:rsidRPr="0042749A" w:rsidRDefault="00CE27D0" w:rsidP="00CE27D0">
      <w:pPr>
        <w:shd w:val="clear" w:color="auto" w:fill="FFFFFF"/>
        <w:spacing w:before="100" w:beforeAutospacing="1" w:after="100" w:afterAutospacing="1"/>
        <w:jc w:val="center"/>
        <w:rPr>
          <w:rFonts w:eastAsia="Times New Roman"/>
          <w:color w:val="000000"/>
        </w:rPr>
      </w:pPr>
      <w:r w:rsidRPr="0042749A">
        <w:rPr>
          <w:rFonts w:eastAsia="Times New Roman"/>
          <w:b/>
          <w:bCs/>
          <w:color w:val="000000"/>
        </w:rPr>
        <w:t>DIVISION 98</w:t>
      </w:r>
    </w:p>
    <w:p w:rsidR="00CE27D0" w:rsidRPr="0042749A" w:rsidRDefault="00CE27D0" w:rsidP="00CE27D0">
      <w:pPr>
        <w:shd w:val="clear" w:color="auto" w:fill="FFFFFF"/>
        <w:spacing w:before="100" w:beforeAutospacing="1" w:after="100" w:afterAutospacing="1"/>
        <w:jc w:val="center"/>
        <w:rPr>
          <w:rFonts w:eastAsia="Times New Roman"/>
          <w:color w:val="000000"/>
        </w:rPr>
      </w:pPr>
      <w:r w:rsidRPr="0042749A">
        <w:rPr>
          <w:rFonts w:eastAsia="Times New Roman"/>
          <w:b/>
          <w:bCs/>
          <w:color w:val="000000"/>
        </w:rPr>
        <w:t>SOLID WASTE</w:t>
      </w:r>
      <w:r w:rsidRPr="00143439">
        <w:rPr>
          <w:rFonts w:eastAsia="Times New Roman"/>
          <w:b/>
          <w:bCs/>
          <w:color w:val="000000"/>
        </w:rPr>
        <w:t>: Electronics</w:t>
      </w:r>
      <w:r>
        <w:rPr>
          <w:rFonts w:eastAsia="Times New Roman"/>
          <w:b/>
          <w:bCs/>
          <w:color w:val="000000"/>
        </w:rPr>
        <w:t xml:space="preserve"> Recycling</w:t>
      </w:r>
    </w:p>
    <w:p w:rsidR="00CE27D0" w:rsidRPr="00F751EF" w:rsidRDefault="00CE27D0" w:rsidP="00F751EF">
      <w:pPr>
        <w:ind w:left="720"/>
        <w:rPr>
          <w:rFonts w:ascii="Calibri" w:hAnsi="Calibri" w:cs="Calibri"/>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OAR 340-098-0000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Applicability</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These rules apply to manufacturers of covered electronic devices sold or offered for sale in the State of Oregon for calendar years 2012 and beyond.</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Stats. Implemented: ORS 459A.315</w:t>
      </w:r>
    </w:p>
    <w:p w:rsidR="00CE27D0" w:rsidRPr="00C063DC" w:rsidRDefault="00CE27D0" w:rsidP="00C063DC">
      <w:pPr>
        <w:ind w:left="720" w:right="630"/>
        <w:rPr>
          <w:rFonts w:asciiTheme="minorHAnsi" w:hAnsiTheme="minorHAnsi" w:cstheme="minorHAnsi"/>
        </w:rPr>
      </w:pPr>
    </w:p>
    <w:p w:rsidR="00CE27D0" w:rsidRPr="00C063DC" w:rsidRDefault="00CE27D0" w:rsidP="00C063DC">
      <w:pPr>
        <w:ind w:left="1440" w:right="630"/>
        <w:rPr>
          <w:rFonts w:asciiTheme="minorHAnsi" w:hAnsiTheme="minorHAnsi" w:cstheme="minorHAnsi"/>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OAR 340-098-0010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lastRenderedPageBreak/>
        <w:t>Definitions</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Terms used in OAR 340-098-0000 through 340-098-0200 have the meaning provided in ORS 459A.305. Definitions for additional terms used in OAR 340-098-0000 through 340-098-0200 are:</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(1) “DEQ” means the Department of Environmental Quality.</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(2) “Market share” means the percentage of the total number of units of covered electronic devices sold in or into Oregon the previous calendar year or most recent four quarters for which data is available, as determined by DEQ.</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(3) “Revenue need” means the total amount of revenue DEQ must collect in registration fees in order for the registration fees to approximately match DEQ’s projected costs for implementing ORS 459A.305 to 459A.355, excluding costs incurred under ORS 459A.340(4).</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Stats. Implemented: ORS 459A.305, ORS 459A.315</w:t>
      </w:r>
    </w:p>
    <w:p w:rsidR="00CE27D0" w:rsidRPr="00C063DC" w:rsidRDefault="00CE27D0" w:rsidP="00C063DC">
      <w:pPr>
        <w:ind w:left="720" w:right="630"/>
        <w:rPr>
          <w:rFonts w:asciiTheme="minorHAnsi" w:hAnsiTheme="minorHAnsi" w:cstheme="minorHAnsi"/>
          <w:b/>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OAR 340-098-0100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lastRenderedPageBreak/>
        <w:t>Revenue Need</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(1) </w:t>
      </w:r>
      <w:r w:rsidRPr="00C063DC">
        <w:rPr>
          <w:rFonts w:asciiTheme="minorHAnsi" w:hAnsiTheme="minorHAnsi" w:cstheme="minorHAnsi"/>
          <w:b/>
        </w:rPr>
        <w:t>Revenue need.</w:t>
      </w:r>
      <w:r w:rsidRPr="00C063DC">
        <w:rPr>
          <w:rFonts w:asciiTheme="minorHAnsi" w:hAnsiTheme="minorHAnsi" w:cstheme="minorHAnsi"/>
        </w:rPr>
        <w:t xml:space="preserve"> The revenue need for the fiscal year beginning:</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(a) </w:t>
      </w:r>
      <w:r w:rsidRPr="00C063DC">
        <w:rPr>
          <w:rFonts w:asciiTheme="minorHAnsi" w:hAnsiTheme="minorHAnsi" w:cstheme="minorHAnsi"/>
          <w:b/>
        </w:rPr>
        <w:t>July 1, 2012</w:t>
      </w:r>
      <w:r w:rsidRPr="00C063DC">
        <w:rPr>
          <w:rFonts w:asciiTheme="minorHAnsi" w:hAnsiTheme="minorHAnsi" w:cstheme="minorHAnsi"/>
        </w:rPr>
        <w:t xml:space="preserve"> is $415,000;</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(b) </w:t>
      </w:r>
      <w:r w:rsidRPr="00C063DC">
        <w:rPr>
          <w:rFonts w:asciiTheme="minorHAnsi" w:hAnsiTheme="minorHAnsi" w:cstheme="minorHAnsi"/>
          <w:b/>
        </w:rPr>
        <w:t>July 1, 2013</w:t>
      </w:r>
      <w:r w:rsidRPr="00C063DC">
        <w:rPr>
          <w:rFonts w:asciiTheme="minorHAnsi" w:hAnsiTheme="minorHAnsi" w:cstheme="minorHAnsi"/>
        </w:rPr>
        <w:t xml:space="preserve"> is $435,000;</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w:t>
      </w:r>
      <w:r w:rsidR="00F751EF" w:rsidRPr="00C063DC">
        <w:rPr>
          <w:rFonts w:asciiTheme="minorHAnsi" w:hAnsiTheme="minorHAnsi" w:cstheme="minorHAnsi"/>
        </w:rPr>
        <w:t>c</w:t>
      </w:r>
      <w:r w:rsidRPr="00C063DC">
        <w:rPr>
          <w:rFonts w:asciiTheme="minorHAnsi" w:hAnsiTheme="minorHAnsi" w:cstheme="minorHAnsi"/>
        </w:rPr>
        <w:t xml:space="preserve">) </w:t>
      </w:r>
      <w:r w:rsidRPr="00C063DC">
        <w:rPr>
          <w:rFonts w:asciiTheme="minorHAnsi" w:hAnsiTheme="minorHAnsi" w:cstheme="minorHAnsi"/>
          <w:b/>
        </w:rPr>
        <w:t>July 1, 2014</w:t>
      </w:r>
      <w:r w:rsidRPr="00C063DC">
        <w:rPr>
          <w:rFonts w:asciiTheme="minorHAnsi" w:hAnsiTheme="minorHAnsi" w:cstheme="minorHAnsi"/>
        </w:rPr>
        <w:t xml:space="preserve"> is $435,000; and</w:t>
      </w:r>
    </w:p>
    <w:p w:rsidR="00CE27D0" w:rsidRPr="00C063DC" w:rsidRDefault="00F751EF" w:rsidP="00C063DC">
      <w:pPr>
        <w:ind w:left="1440" w:right="630"/>
        <w:rPr>
          <w:rFonts w:asciiTheme="minorHAnsi" w:hAnsiTheme="minorHAnsi" w:cstheme="minorHAnsi"/>
        </w:rPr>
      </w:pPr>
      <w:r w:rsidRPr="00C063DC">
        <w:rPr>
          <w:rFonts w:asciiTheme="minorHAnsi" w:hAnsiTheme="minorHAnsi" w:cstheme="minorHAnsi"/>
        </w:rPr>
        <w:t>(d</w:t>
      </w:r>
      <w:r w:rsidR="00CE27D0" w:rsidRPr="00C063DC">
        <w:rPr>
          <w:rFonts w:asciiTheme="minorHAnsi" w:hAnsiTheme="minorHAnsi" w:cstheme="minorHAnsi"/>
        </w:rPr>
        <w:t xml:space="preserve">) </w:t>
      </w:r>
      <w:r w:rsidR="00CE27D0" w:rsidRPr="00C063DC">
        <w:rPr>
          <w:rFonts w:asciiTheme="minorHAnsi" w:hAnsiTheme="minorHAnsi" w:cstheme="minorHAnsi"/>
          <w:b/>
        </w:rPr>
        <w:t>July 1, 2015</w:t>
      </w:r>
      <w:r w:rsidR="00CE27D0" w:rsidRPr="00C063DC">
        <w:rPr>
          <w:rFonts w:asciiTheme="minorHAnsi" w:hAnsiTheme="minorHAnsi" w:cstheme="minorHAnsi"/>
        </w:rPr>
        <w:t xml:space="preserve"> and for subsequent fiscal years is $465,000.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rPr>
        <w:t xml:space="preserve">(2) </w:t>
      </w:r>
      <w:r w:rsidRPr="00C063DC">
        <w:rPr>
          <w:rFonts w:asciiTheme="minorHAnsi" w:hAnsiTheme="minorHAnsi" w:cstheme="minorHAnsi"/>
          <w:b/>
        </w:rPr>
        <w:t xml:space="preserve">Revenue need adjustments.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(a)</w:t>
      </w:r>
      <w:r w:rsidRPr="00C063DC">
        <w:rPr>
          <w:rFonts w:asciiTheme="minorHAnsi" w:hAnsiTheme="minorHAnsi" w:cstheme="minorHAnsi"/>
          <w:b/>
        </w:rPr>
        <w:t xml:space="preserve"> </w:t>
      </w:r>
      <w:r w:rsidRPr="00C063DC">
        <w:rPr>
          <w:rFonts w:asciiTheme="minorHAnsi" w:hAnsiTheme="minorHAnsi" w:cstheme="minorHAnsi"/>
        </w:rPr>
        <w:t xml:space="preserve">If the revenue collected from registration fees under </w:t>
      </w:r>
      <w:r w:rsidR="000D3932">
        <w:rPr>
          <w:rFonts w:asciiTheme="minorHAnsi" w:hAnsiTheme="minorHAnsi" w:cstheme="minorHAnsi"/>
        </w:rPr>
        <w:t>OAR 340-098-0150</w:t>
      </w:r>
      <w:r w:rsidRPr="00C063DC">
        <w:rPr>
          <w:rFonts w:asciiTheme="minorHAnsi" w:hAnsiTheme="minorHAnsi" w:cstheme="minorHAnsi"/>
        </w:rPr>
        <w:t xml:space="preserve"> exceeds DEQ’s actual costs for the program, DEQ will reduce the revenue need by the excess amount in a subsequent year. DEQ will also evaluate whether to revise the revenue need for future years to ensure that revenue need approximately matches DEQ’s projected costs for implementing ORS 459A.305 to 459A.355, excluding costs incurred under ORS 459A.340(4).</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(b) If DEQ has been unable to collect revenue from registration fees owed for a prior year, DEQ may add the amount of uncollected </w:t>
      </w:r>
      <w:r w:rsidRPr="00C063DC">
        <w:rPr>
          <w:rFonts w:asciiTheme="minorHAnsi" w:hAnsiTheme="minorHAnsi" w:cstheme="minorHAnsi"/>
        </w:rPr>
        <w:lastRenderedPageBreak/>
        <w:t>revenue to the revenue need in a subsequent year as necessary to ensure that revenue approximately matches DEQ’s projected costs as described in subsection (a). DEQ will make good faith efforts to collect registration fees owed.</w:t>
      </w:r>
    </w:p>
    <w:p w:rsidR="00CE27D0" w:rsidRPr="00C063DC" w:rsidRDefault="00CE27D0" w:rsidP="00C063DC">
      <w:pPr>
        <w:ind w:left="1440" w:right="630"/>
        <w:rPr>
          <w:rFonts w:asciiTheme="minorHAnsi" w:hAnsiTheme="minorHAnsi" w:cstheme="minorHAnsi"/>
        </w:rPr>
      </w:pP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(3) </w:t>
      </w:r>
      <w:r w:rsidRPr="00C063DC">
        <w:rPr>
          <w:rFonts w:asciiTheme="minorHAnsi" w:hAnsiTheme="minorHAnsi" w:cstheme="minorHAnsi"/>
          <w:b/>
        </w:rPr>
        <w:t xml:space="preserve">Reporting. </w:t>
      </w:r>
      <w:r w:rsidRPr="00C063DC">
        <w:rPr>
          <w:rFonts w:asciiTheme="minorHAnsi" w:hAnsiTheme="minorHAnsi" w:cstheme="minorHAnsi"/>
        </w:rPr>
        <w:t xml:space="preserve">Each fiscal year DEQ will report its current and projected program expenditures and revenue. </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Stats. Implemented: ORS 459A.315</w:t>
      </w:r>
    </w:p>
    <w:p w:rsidR="00CE27D0" w:rsidRPr="00C063DC" w:rsidRDefault="00CE27D0" w:rsidP="00C063DC">
      <w:pPr>
        <w:ind w:left="720" w:right="630"/>
        <w:rPr>
          <w:rFonts w:asciiTheme="minorHAnsi" w:hAnsiTheme="minorHAnsi" w:cstheme="minorHAnsi"/>
          <w:b/>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OAR 340-098-0150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Registration Fees</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Section (1) describes generally how DEQ determines registration fees, and sections (2) through (4) provide the specific process for determining registration fees. </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(1) </w:t>
      </w:r>
      <w:r w:rsidRPr="00C063DC">
        <w:rPr>
          <w:rFonts w:asciiTheme="minorHAnsi" w:hAnsiTheme="minorHAnsi" w:cstheme="minorHAnsi"/>
          <w:b/>
        </w:rPr>
        <w:t>Overview.</w:t>
      </w:r>
      <w:r w:rsidR="00616723">
        <w:rPr>
          <w:rFonts w:asciiTheme="minorHAnsi" w:hAnsiTheme="minorHAnsi" w:cstheme="minorHAnsi"/>
          <w:b/>
        </w:rPr>
        <w:t xml:space="preserve"> </w:t>
      </w:r>
      <w:r w:rsidRPr="00C063DC">
        <w:rPr>
          <w:rFonts w:asciiTheme="minorHAnsi" w:hAnsiTheme="minorHAnsi" w:cstheme="minorHAnsi"/>
        </w:rPr>
        <w:t>Each year manufacturer registration fees total the revenue need for that year.</w:t>
      </w:r>
      <w:r w:rsidR="00925F7C" w:rsidRPr="00C063DC">
        <w:rPr>
          <w:rFonts w:asciiTheme="minorHAnsi" w:hAnsiTheme="minorHAnsi" w:cstheme="minorHAnsi"/>
        </w:rPr>
        <w:t xml:space="preserve"> </w:t>
      </w:r>
      <w:r w:rsidRPr="00C063DC">
        <w:rPr>
          <w:rFonts w:asciiTheme="minorHAnsi" w:hAnsiTheme="minorHAnsi" w:cstheme="minorHAnsi"/>
        </w:rPr>
        <w:t xml:space="preserve">DEQ assigns manufacturers to registration fee </w:t>
      </w:r>
      <w:r w:rsidR="00522BB4" w:rsidRPr="00C063DC">
        <w:rPr>
          <w:rFonts w:asciiTheme="minorHAnsi" w:hAnsiTheme="minorHAnsi" w:cstheme="minorHAnsi"/>
        </w:rPr>
        <w:t xml:space="preserve">Tiers </w:t>
      </w:r>
      <w:r w:rsidRPr="00C063DC">
        <w:rPr>
          <w:rFonts w:asciiTheme="minorHAnsi" w:hAnsiTheme="minorHAnsi" w:cstheme="minorHAnsi"/>
        </w:rPr>
        <w:t xml:space="preserve">1-7 based on their market share. All manufacturers within a tier </w:t>
      </w:r>
      <w:r w:rsidRPr="00C063DC">
        <w:rPr>
          <w:rFonts w:asciiTheme="minorHAnsi" w:hAnsiTheme="minorHAnsi" w:cstheme="minorHAnsi"/>
        </w:rPr>
        <w:lastRenderedPageBreak/>
        <w:t>pay the same registration fee in any given year. Manufacturers in Tier 6</w:t>
      </w:r>
      <w:r w:rsidR="00522BB4" w:rsidRPr="00C063DC">
        <w:rPr>
          <w:rFonts w:asciiTheme="minorHAnsi" w:hAnsiTheme="minorHAnsi" w:cstheme="minorHAnsi"/>
        </w:rPr>
        <w:t xml:space="preserve"> </w:t>
      </w:r>
      <w:r w:rsidRPr="00C063DC">
        <w:rPr>
          <w:rFonts w:asciiTheme="minorHAnsi" w:hAnsiTheme="minorHAnsi" w:cstheme="minorHAnsi"/>
        </w:rPr>
        <w:t xml:space="preserve">pay a fee of $200. Manufacturers in Tier 7, with the smallest market share, pay $40. </w:t>
      </w:r>
      <w:r w:rsidR="00925F7C" w:rsidRPr="00C063DC">
        <w:rPr>
          <w:rFonts w:asciiTheme="minorHAnsi" w:hAnsiTheme="minorHAnsi" w:cstheme="minorHAnsi"/>
        </w:rPr>
        <w:t>Fees for m</w:t>
      </w:r>
      <w:r w:rsidRPr="00C063DC">
        <w:rPr>
          <w:rFonts w:asciiTheme="minorHAnsi" w:hAnsiTheme="minorHAnsi" w:cstheme="minorHAnsi"/>
        </w:rPr>
        <w:t xml:space="preserve">anufacturers in Tiers 1-5 </w:t>
      </w:r>
      <w:r w:rsidR="00925F7C" w:rsidRPr="00C063DC">
        <w:rPr>
          <w:rFonts w:asciiTheme="minorHAnsi" w:hAnsiTheme="minorHAnsi" w:cstheme="minorHAnsi"/>
        </w:rPr>
        <w:t>are calculated each year to total</w:t>
      </w:r>
      <w:r w:rsidRPr="00C063DC">
        <w:rPr>
          <w:rFonts w:asciiTheme="minorHAnsi" w:hAnsiTheme="minorHAnsi" w:cstheme="minorHAnsi"/>
        </w:rPr>
        <w:t xml:space="preserve"> the revenue need remaining after subtracting the revenue expected from Tiers 6 and 7. </w:t>
      </w:r>
      <w:r w:rsidR="00C259C6" w:rsidRPr="00C063DC">
        <w:rPr>
          <w:rFonts w:asciiTheme="minorHAnsi" w:hAnsiTheme="minorHAnsi" w:cstheme="minorHAnsi"/>
          <w:color w:val="000000"/>
        </w:rPr>
        <w:t xml:space="preserve">To determine the manufacturer fee for each of Tiers 1-5, the </w:t>
      </w:r>
      <w:r w:rsidR="008A4F44" w:rsidRPr="00C063DC">
        <w:rPr>
          <w:rFonts w:asciiTheme="minorHAnsi" w:hAnsiTheme="minorHAnsi" w:cstheme="minorHAnsi"/>
          <w:color w:val="000000"/>
        </w:rPr>
        <w:t xml:space="preserve">total </w:t>
      </w:r>
      <w:r w:rsidR="00C259C6" w:rsidRPr="00C063DC">
        <w:rPr>
          <w:rFonts w:asciiTheme="minorHAnsi" w:hAnsiTheme="minorHAnsi" w:cstheme="minorHAnsi"/>
          <w:color w:val="000000"/>
        </w:rPr>
        <w:t>market share for all manufacturers in a tier is multiplied by the remaining revenue need. That revenue share for the tier is then divided by the number of manufacturers in the tier to determine the fee for th</w:t>
      </w:r>
      <w:r w:rsidR="008A4F44" w:rsidRPr="00C063DC">
        <w:rPr>
          <w:rFonts w:asciiTheme="minorHAnsi" w:hAnsiTheme="minorHAnsi" w:cstheme="minorHAnsi"/>
          <w:color w:val="000000"/>
        </w:rPr>
        <w:t>os</w:t>
      </w:r>
      <w:r w:rsidR="00C259C6" w:rsidRPr="00C063DC">
        <w:rPr>
          <w:rFonts w:asciiTheme="minorHAnsi" w:hAnsiTheme="minorHAnsi" w:cstheme="minorHAnsi"/>
          <w:color w:val="000000"/>
        </w:rPr>
        <w:t>e manufacturers. DEQ then adjusts the fees for Tiers 1-5 so that no fee is more than $35,000 or less than $200. If the fee for any tier is over $35,000, DEQ caps the fee at $35,000, and distributes the amount of unallocated revenue from that tier to lower tiers in proportion with their market share (excluding Tiers 6 and 7).</w:t>
      </w:r>
      <w:r w:rsidRPr="00C063DC">
        <w:rPr>
          <w:rFonts w:asciiTheme="minorHAnsi" w:hAnsiTheme="minorHAnsi" w:cstheme="minorHAnsi"/>
        </w:rPr>
        <w:t xml:space="preserve"> If the resulting fee for any tier is below $200, DEQ raises the fee to $200 for that tier and recalculates the fees for the higher tiers as described above for Tiers 1-5. </w:t>
      </w:r>
    </w:p>
    <w:p w:rsidR="00CE27D0" w:rsidRPr="00C063DC" w:rsidRDefault="00CE27D0" w:rsidP="00C063DC">
      <w:pPr>
        <w:ind w:left="720" w:right="630"/>
        <w:rPr>
          <w:rFonts w:asciiTheme="minorHAnsi" w:hAnsiTheme="minorHAnsi" w:cstheme="minorHAnsi"/>
        </w:rPr>
      </w:pPr>
      <w:r w:rsidRPr="00C063DC" w:rsidDel="0014239A">
        <w:rPr>
          <w:rFonts w:asciiTheme="minorHAnsi" w:hAnsiTheme="minorHAnsi" w:cstheme="minorHAnsi"/>
        </w:rPr>
        <w:t xml:space="preserve"> </w:t>
      </w:r>
      <w:r w:rsidRPr="00C063DC">
        <w:rPr>
          <w:rFonts w:asciiTheme="minorHAnsi" w:hAnsiTheme="minorHAnsi" w:cstheme="minorHAnsi"/>
        </w:rPr>
        <w:t xml:space="preserve">(2) </w:t>
      </w:r>
      <w:r w:rsidRPr="00C063DC">
        <w:rPr>
          <w:rFonts w:asciiTheme="minorHAnsi" w:hAnsiTheme="minorHAnsi" w:cstheme="minorHAnsi"/>
          <w:b/>
        </w:rPr>
        <w:t xml:space="preserve">Total registration fees. </w:t>
      </w:r>
      <w:r w:rsidRPr="00C063DC">
        <w:rPr>
          <w:rFonts w:asciiTheme="minorHAnsi" w:hAnsiTheme="minorHAnsi" w:cstheme="minorHAnsi"/>
        </w:rPr>
        <w:t>Each year the total registration fees of manufacturers required to pay a registration fee under ORS 459A.315 and OAR 340-</w:t>
      </w:r>
      <w:r w:rsidRPr="00C063DC">
        <w:rPr>
          <w:rFonts w:asciiTheme="minorHAnsi" w:hAnsiTheme="minorHAnsi" w:cstheme="minorHAnsi"/>
        </w:rPr>
        <w:lastRenderedPageBreak/>
        <w:t>098-0000 through 340-098-0200 will equal the revenue need for the fiscal year beginning July 1 of that year.</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(3) </w:t>
      </w:r>
      <w:r w:rsidRPr="00C063DC">
        <w:rPr>
          <w:rFonts w:asciiTheme="minorHAnsi" w:hAnsiTheme="minorHAnsi" w:cstheme="minorHAnsi"/>
          <w:b/>
        </w:rPr>
        <w:t>Registration fees.</w:t>
      </w:r>
      <w:r w:rsidRPr="00C063DC">
        <w:rPr>
          <w:rFonts w:asciiTheme="minorHAnsi" w:hAnsiTheme="minorHAnsi" w:cstheme="minorHAnsi"/>
        </w:rPr>
        <w:t xml:space="preserve"> For each year after 2012, each manufacturer will pay a registration fee described in this section: </w:t>
      </w:r>
    </w:p>
    <w:p w:rsidR="00CE27D0" w:rsidRPr="00C063DC" w:rsidRDefault="00CE27D0" w:rsidP="00C063DC">
      <w:pPr>
        <w:ind w:left="720" w:right="630" w:firstLine="720"/>
        <w:rPr>
          <w:rFonts w:asciiTheme="minorHAnsi" w:hAnsiTheme="minorHAnsi" w:cstheme="minorHAnsi"/>
        </w:rPr>
      </w:pPr>
      <w:r w:rsidRPr="00C063DC" w:rsidDel="009D6D39">
        <w:rPr>
          <w:rFonts w:asciiTheme="minorHAnsi" w:hAnsiTheme="minorHAnsi" w:cstheme="minorHAnsi"/>
        </w:rPr>
        <w:t xml:space="preserve"> </w:t>
      </w:r>
      <w:r w:rsidRPr="00C063DC">
        <w:rPr>
          <w:rFonts w:asciiTheme="minorHAnsi" w:hAnsiTheme="minorHAnsi" w:cstheme="minorHAnsi"/>
        </w:rPr>
        <w:t>(a) Registration fees will be based on the following fee tiers:</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(A) </w:t>
      </w:r>
      <w:r w:rsidRPr="00C063DC">
        <w:rPr>
          <w:rFonts w:asciiTheme="minorHAnsi" w:hAnsiTheme="minorHAnsi" w:cstheme="minorHAnsi"/>
          <w:b/>
        </w:rPr>
        <w:t>Tier 1</w:t>
      </w:r>
      <w:r w:rsidRPr="00C063DC">
        <w:rPr>
          <w:rFonts w:asciiTheme="minorHAnsi" w:hAnsiTheme="minorHAnsi" w:cstheme="minorHAnsi"/>
        </w:rPr>
        <w:t xml:space="preserve"> includes all manufacturers with a market share greater than or equal to 5%;</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(B) </w:t>
      </w:r>
      <w:r w:rsidRPr="00C063DC">
        <w:rPr>
          <w:rFonts w:asciiTheme="minorHAnsi" w:hAnsiTheme="minorHAnsi" w:cstheme="minorHAnsi"/>
          <w:b/>
        </w:rPr>
        <w:t>Tier 2</w:t>
      </w:r>
      <w:r w:rsidRPr="00C063DC">
        <w:rPr>
          <w:rFonts w:asciiTheme="minorHAnsi" w:hAnsiTheme="minorHAnsi" w:cstheme="minorHAnsi"/>
        </w:rPr>
        <w:t xml:space="preserve"> includes all manufacturers with a market share greater than or equal to 1% but less than 5%; </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(C) </w:t>
      </w:r>
      <w:r w:rsidRPr="00C063DC">
        <w:rPr>
          <w:rFonts w:asciiTheme="minorHAnsi" w:hAnsiTheme="minorHAnsi" w:cstheme="minorHAnsi"/>
          <w:b/>
        </w:rPr>
        <w:t>Tier 3</w:t>
      </w:r>
      <w:r w:rsidRPr="00C063DC">
        <w:rPr>
          <w:rFonts w:asciiTheme="minorHAnsi" w:hAnsiTheme="minorHAnsi" w:cstheme="minorHAnsi"/>
        </w:rPr>
        <w:t xml:space="preserve"> includes all manufacturers with a market share greater than or equal to 0.1% but less than 1%;</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(D) </w:t>
      </w:r>
      <w:r w:rsidRPr="00C063DC">
        <w:rPr>
          <w:rFonts w:asciiTheme="minorHAnsi" w:hAnsiTheme="minorHAnsi" w:cstheme="minorHAnsi"/>
          <w:b/>
        </w:rPr>
        <w:t>Tier 4</w:t>
      </w:r>
      <w:r w:rsidRPr="00C063DC">
        <w:rPr>
          <w:rFonts w:asciiTheme="minorHAnsi" w:hAnsiTheme="minorHAnsi" w:cstheme="minorHAnsi"/>
        </w:rPr>
        <w:t xml:space="preserve"> includes all manufacturers with a market share greater than or equal to 0.03% but less than 0.1%;</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(E) </w:t>
      </w:r>
      <w:r w:rsidRPr="00C063DC">
        <w:rPr>
          <w:rFonts w:asciiTheme="minorHAnsi" w:hAnsiTheme="minorHAnsi" w:cstheme="minorHAnsi"/>
          <w:b/>
        </w:rPr>
        <w:t>Tier 5</w:t>
      </w:r>
      <w:r w:rsidRPr="00C063DC">
        <w:rPr>
          <w:rFonts w:asciiTheme="minorHAnsi" w:hAnsiTheme="minorHAnsi" w:cstheme="minorHAnsi"/>
        </w:rPr>
        <w:t xml:space="preserve"> includes all manufacturers with a market share greater than or equal to 0.01% but less than 0.03%;</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lastRenderedPageBreak/>
        <w:t xml:space="preserve">(F) </w:t>
      </w:r>
      <w:r w:rsidRPr="00C063DC">
        <w:rPr>
          <w:rFonts w:asciiTheme="minorHAnsi" w:hAnsiTheme="minorHAnsi" w:cstheme="minorHAnsi"/>
          <w:b/>
        </w:rPr>
        <w:t>Tier 6</w:t>
      </w:r>
      <w:r w:rsidRPr="00C063DC">
        <w:rPr>
          <w:rFonts w:asciiTheme="minorHAnsi" w:hAnsiTheme="minorHAnsi" w:cstheme="minorHAnsi"/>
        </w:rPr>
        <w:t xml:space="preserve"> includes all manufacturers with a market share less than 0.01% that equates to 50 or more units.</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 xml:space="preserve">(G) </w:t>
      </w:r>
      <w:r w:rsidRPr="00C063DC">
        <w:rPr>
          <w:rFonts w:asciiTheme="minorHAnsi" w:hAnsiTheme="minorHAnsi" w:cstheme="minorHAnsi"/>
          <w:b/>
        </w:rPr>
        <w:t>Tier 7</w:t>
      </w:r>
      <w:r w:rsidRPr="00C063DC">
        <w:rPr>
          <w:rFonts w:asciiTheme="minorHAnsi" w:hAnsiTheme="minorHAnsi" w:cstheme="minorHAnsi"/>
        </w:rPr>
        <w:t xml:space="preserve"> includes all manufactu</w:t>
      </w:r>
      <w:r w:rsidR="00906440" w:rsidRPr="00C063DC">
        <w:rPr>
          <w:rFonts w:asciiTheme="minorHAnsi" w:hAnsiTheme="minorHAnsi" w:cstheme="minorHAnsi"/>
        </w:rPr>
        <w:t>r</w:t>
      </w:r>
      <w:r w:rsidRPr="00C063DC">
        <w:rPr>
          <w:rFonts w:asciiTheme="minorHAnsi" w:hAnsiTheme="minorHAnsi" w:cstheme="minorHAnsi"/>
        </w:rPr>
        <w:t>ers with a market share that equates to less than 50 units.</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(b) The registration fee for each manufacturer in Tier 6 will be $200. The registration fee for each manufacturer in Tier 7 will be $40.</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(c) The registrations fees for manufacturers in Tiers 1-5 will equal the revenue need remaining after subtracting the revenue expected from Tier 6 and 7 fees.</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(d) For Tiers 1-5, except as adjusted by subsections (3)(f) through (3)(i), the total registration fees for each tier will be a percentage of the remaining revenue need that is equal to the total market share of the manufacturers in that tier.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(e) For Tiers 1-5, </w:t>
      </w:r>
      <w:r w:rsidR="009A1BC1" w:rsidRPr="00C063DC">
        <w:rPr>
          <w:rFonts w:asciiTheme="minorHAnsi" w:hAnsiTheme="minorHAnsi" w:cstheme="minorHAnsi"/>
        </w:rPr>
        <w:t xml:space="preserve">except </w:t>
      </w:r>
      <w:r w:rsidRPr="00C063DC">
        <w:rPr>
          <w:rFonts w:asciiTheme="minorHAnsi" w:hAnsiTheme="minorHAnsi" w:cstheme="minorHAnsi"/>
        </w:rPr>
        <w:t>as adjusted by subsections (3)(f) through (3)(i), the registration fee of each manufacturer in a given tier will be the amount of the</w:t>
      </w:r>
      <w:r w:rsidR="00616723">
        <w:rPr>
          <w:rFonts w:asciiTheme="minorHAnsi" w:hAnsiTheme="minorHAnsi" w:cstheme="minorHAnsi"/>
        </w:rPr>
        <w:t xml:space="preserve"> </w:t>
      </w:r>
      <w:r w:rsidRPr="00C063DC">
        <w:rPr>
          <w:rFonts w:asciiTheme="minorHAnsi" w:hAnsiTheme="minorHAnsi" w:cstheme="minorHAnsi"/>
        </w:rPr>
        <w:t xml:space="preserve">remaining </w:t>
      </w:r>
      <w:r w:rsidRPr="00C063DC">
        <w:rPr>
          <w:rFonts w:asciiTheme="minorHAnsi" w:hAnsiTheme="minorHAnsi" w:cstheme="minorHAnsi"/>
        </w:rPr>
        <w:lastRenderedPageBreak/>
        <w:t xml:space="preserve">revenue need that the manufacturer’s tier is responsible for, as stated subsection (3)(d), divided by the number of manufacturers in that tier.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(f) For Tiers 1-5, the registration fee for manufacturers in any tier will not be more than $35,000. The registration fee for manufacturers in a tier in which the registration fee is calculated to be more than $35,000 will be adjusted to $35,000.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(g) For Tiers 1-5, after the registration fee adjustments described in subsection(3)(f), the registration fees of each manufacturer in a tier with registration fees below $35,000 will also be adjusted so that total registration fees still equal the remaining revenue need, as follows:</w:t>
      </w:r>
    </w:p>
    <w:p w:rsidR="00CE27D0" w:rsidRPr="00C063DC" w:rsidRDefault="00CE27D0" w:rsidP="00C063DC">
      <w:pPr>
        <w:ind w:left="1440" w:right="630" w:firstLine="720"/>
        <w:rPr>
          <w:rFonts w:asciiTheme="minorHAnsi" w:hAnsiTheme="minorHAnsi" w:cstheme="minorHAnsi"/>
        </w:rPr>
      </w:pPr>
      <w:r w:rsidRPr="00C063DC">
        <w:rPr>
          <w:rFonts w:asciiTheme="minorHAnsi" w:hAnsiTheme="minorHAnsi" w:cstheme="minorHAnsi"/>
        </w:rPr>
        <w:t>(A) Fee adjustment = (W × (X ÷ Y)) ÷ Z.</w:t>
      </w:r>
    </w:p>
    <w:p w:rsidR="00CE27D0" w:rsidRPr="00C063DC" w:rsidRDefault="00CE27D0" w:rsidP="00C063DC">
      <w:pPr>
        <w:ind w:left="1440" w:right="630" w:firstLine="720"/>
        <w:rPr>
          <w:rFonts w:asciiTheme="minorHAnsi" w:hAnsiTheme="minorHAnsi" w:cstheme="minorHAnsi"/>
        </w:rPr>
      </w:pPr>
      <w:r w:rsidRPr="00C063DC">
        <w:rPr>
          <w:rFonts w:asciiTheme="minorHAnsi" w:hAnsiTheme="minorHAnsi" w:cstheme="minorHAnsi"/>
        </w:rPr>
        <w:t>(B) “W” is the net amount of registration fees above $35,000.</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(C) “X” is the total market share of all the manufacturers in the manufacturer’s tier.</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lastRenderedPageBreak/>
        <w:t>(D) “Y” is the total market share for all manufacturers in tiers 1-5 with registration fees below $35,000, excluding manufacturers whose fees have been adjusted to $200 in accordance with subsection (3)(i).</w:t>
      </w:r>
    </w:p>
    <w:p w:rsidR="00CE27D0" w:rsidRPr="00C063DC" w:rsidRDefault="00CE27D0" w:rsidP="00C063DC">
      <w:pPr>
        <w:ind w:left="1440" w:right="630" w:firstLine="720"/>
        <w:rPr>
          <w:rFonts w:asciiTheme="minorHAnsi" w:hAnsiTheme="minorHAnsi" w:cstheme="minorHAnsi"/>
        </w:rPr>
      </w:pPr>
      <w:r w:rsidRPr="00C063DC">
        <w:rPr>
          <w:rFonts w:asciiTheme="minorHAnsi" w:hAnsiTheme="minorHAnsi" w:cstheme="minorHAnsi"/>
        </w:rPr>
        <w:t xml:space="preserve">(E) “Z” is the total number of manufacturer’s in the manufacturer’s tier.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(h) If any manufacturer in Tiers 1-5 would pay a registration fee greater than $35,000 after the process described in subsection (3)(g), the process described in subsections (3)(f) and (3)(g) will be repeated until no manufacturer pays a registration fee greater than $35,000.</w:t>
      </w:r>
      <w:r w:rsidR="00616723">
        <w:rPr>
          <w:rFonts w:asciiTheme="minorHAnsi" w:hAnsiTheme="minorHAnsi" w:cstheme="minorHAnsi"/>
        </w:rPr>
        <w:t xml:space="preserve">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(i) </w:t>
      </w:r>
      <w:r w:rsidR="008A4F44" w:rsidRPr="00C063DC">
        <w:rPr>
          <w:rFonts w:asciiTheme="minorHAnsi" w:hAnsiTheme="minorHAnsi" w:cstheme="minorHAnsi"/>
        </w:rPr>
        <w:t>A</w:t>
      </w:r>
      <w:r w:rsidRPr="00C063DC">
        <w:rPr>
          <w:rFonts w:asciiTheme="minorHAnsi" w:hAnsiTheme="minorHAnsi" w:cstheme="minorHAnsi"/>
        </w:rPr>
        <w:t xml:space="preserve">fter the process described in subsections (3)(f) through (3)(h) has been completed, the registration fee for any manufacturer in Tiers 1-5 in which the registration fee is calculated to be less than $200 will be adjusted to $200. The total revenue from all fees in tiers for which fees are raised to $200 will be subtracted from the remaining revenue need and the fees for all higher tiers will be recalculated to meet that adjusted revenue </w:t>
      </w:r>
      <w:r w:rsidRPr="00C063DC">
        <w:rPr>
          <w:rFonts w:asciiTheme="minorHAnsi" w:hAnsiTheme="minorHAnsi" w:cstheme="minorHAnsi"/>
        </w:rPr>
        <w:lastRenderedPageBreak/>
        <w:t>need as described in subsections (3)(d) through (3)(i). The process described in subsections (3)(d) through (3)(i) will be repeated until no manufacturer pays a registration fee less than $200.</w:t>
      </w:r>
      <w:r w:rsidR="00616723">
        <w:rPr>
          <w:rFonts w:asciiTheme="minorHAnsi" w:hAnsiTheme="minorHAnsi" w:cstheme="minorHAnsi"/>
        </w:rPr>
        <w:t xml:space="preserve"> </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(4)</w:t>
      </w:r>
      <w:r w:rsidRPr="00C063DC">
        <w:rPr>
          <w:rFonts w:asciiTheme="minorHAnsi" w:hAnsiTheme="minorHAnsi" w:cstheme="minorHAnsi"/>
          <w:b/>
        </w:rPr>
        <w:t xml:space="preserve"> 2012 fees.</w:t>
      </w:r>
      <w:r w:rsidRPr="00C063DC">
        <w:rPr>
          <w:rFonts w:asciiTheme="minorHAnsi" w:hAnsiTheme="minorHAnsi" w:cstheme="minorHAnsi"/>
        </w:rPr>
        <w:t xml:space="preserve"> Manufacturers will pay registration fees in ORS 459A.315(2)(b)</w:t>
      </w:r>
      <w:r w:rsidR="009A1BC1" w:rsidRPr="00C063DC">
        <w:rPr>
          <w:rFonts w:asciiTheme="minorHAnsi" w:hAnsiTheme="minorHAnsi" w:cstheme="minorHAnsi"/>
        </w:rPr>
        <w:t xml:space="preserve"> </w:t>
      </w:r>
      <w:r w:rsidRPr="00C063DC">
        <w:rPr>
          <w:rFonts w:asciiTheme="minorHAnsi" w:hAnsiTheme="minorHAnsi" w:cstheme="minorHAnsi"/>
        </w:rPr>
        <w:t xml:space="preserve">for calendar year 2012, except: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(a) If the total revenue to be collected under the method described in ORS 459A.315(2)(b) is less than the revenue need for 2012, DEQ will calculate each manufacturer’s registration fee according to OAR 340-098-0150(3);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(b) The registration fees of manufacturers whose registration fees would be at least $250 higher calculated under OAR 340-098-0150(3) than under ORS 459A.315(2)(b) will be adjusted so that the total registration fees for 2012 equal revenue need; and </w:t>
      </w:r>
    </w:p>
    <w:p w:rsidR="00CE27D0" w:rsidRPr="00C063DC" w:rsidRDefault="00CE27D0" w:rsidP="00C063DC">
      <w:pPr>
        <w:ind w:left="1440" w:right="630"/>
        <w:rPr>
          <w:rFonts w:asciiTheme="minorHAnsi" w:hAnsiTheme="minorHAnsi" w:cstheme="minorHAnsi"/>
        </w:rPr>
      </w:pPr>
      <w:r w:rsidRPr="00C063DC">
        <w:rPr>
          <w:rFonts w:asciiTheme="minorHAnsi" w:hAnsiTheme="minorHAnsi" w:cstheme="minorHAnsi"/>
        </w:rPr>
        <w:t xml:space="preserve">(c) Each manufacturer described in subsection </w:t>
      </w:r>
      <w:r w:rsidR="009A1BC1" w:rsidRPr="00C063DC">
        <w:rPr>
          <w:rFonts w:asciiTheme="minorHAnsi" w:hAnsiTheme="minorHAnsi" w:cstheme="minorHAnsi"/>
        </w:rPr>
        <w:t>(4)(b)</w:t>
      </w:r>
      <w:r w:rsidRPr="00C063DC">
        <w:rPr>
          <w:rFonts w:asciiTheme="minorHAnsi" w:hAnsiTheme="minorHAnsi" w:cstheme="minorHAnsi"/>
        </w:rPr>
        <w:t xml:space="preserve"> will pay the following registration fee adjustment: Fee adjustment = (A × (B ÷ C)) ÷ D where:</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lastRenderedPageBreak/>
        <w:t>(A) “A” is the difference between the revenue need and the amount to be collected under the method described in ORS 459A.315(2)(b);</w:t>
      </w:r>
    </w:p>
    <w:p w:rsidR="00CE27D0" w:rsidRPr="00C063DC" w:rsidRDefault="00CE27D0" w:rsidP="00C063DC">
      <w:pPr>
        <w:ind w:left="1440" w:right="630" w:firstLine="720"/>
        <w:rPr>
          <w:rFonts w:asciiTheme="minorHAnsi" w:hAnsiTheme="minorHAnsi" w:cstheme="minorHAnsi"/>
        </w:rPr>
      </w:pPr>
      <w:r w:rsidRPr="00C063DC">
        <w:rPr>
          <w:rFonts w:asciiTheme="minorHAnsi" w:hAnsiTheme="minorHAnsi" w:cstheme="minorHAnsi"/>
        </w:rPr>
        <w:t>(B) “B” is the total market share of all manufacturers in the manufacturer’s tier;</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(C) “C” is the total market share of all manufacturers described in subsection (4)(b); and</w:t>
      </w:r>
    </w:p>
    <w:p w:rsidR="00CE27D0" w:rsidRPr="00C063DC" w:rsidRDefault="00CE27D0" w:rsidP="00C063DC">
      <w:pPr>
        <w:ind w:left="2160" w:right="630"/>
        <w:rPr>
          <w:rFonts w:asciiTheme="minorHAnsi" w:hAnsiTheme="minorHAnsi" w:cstheme="minorHAnsi"/>
        </w:rPr>
      </w:pPr>
      <w:r w:rsidRPr="00C063DC">
        <w:rPr>
          <w:rFonts w:asciiTheme="minorHAnsi" w:hAnsiTheme="minorHAnsi" w:cstheme="minorHAnsi"/>
        </w:rPr>
        <w:t>(D) “D” is the total number of manufacturers in the same tier as the manufacturer.</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Stats. Implemented: ORS 459A.315</w:t>
      </w:r>
    </w:p>
    <w:p w:rsidR="00CE27D0" w:rsidRPr="00C063DC" w:rsidRDefault="00CE27D0" w:rsidP="00C063DC">
      <w:pPr>
        <w:ind w:left="720" w:right="630"/>
        <w:rPr>
          <w:rFonts w:asciiTheme="minorHAnsi" w:hAnsiTheme="minorHAnsi" w:cstheme="minorHAnsi"/>
          <w:b/>
        </w:rPr>
      </w:pP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340-098-0200</w:t>
      </w:r>
    </w:p>
    <w:p w:rsidR="00CE27D0" w:rsidRPr="00C063DC" w:rsidRDefault="00CE27D0" w:rsidP="00C063DC">
      <w:pPr>
        <w:ind w:left="720" w:right="630"/>
        <w:rPr>
          <w:rFonts w:asciiTheme="minorHAnsi" w:hAnsiTheme="minorHAnsi" w:cstheme="minorHAnsi"/>
          <w:b/>
        </w:rPr>
      </w:pPr>
      <w:r w:rsidRPr="00C063DC">
        <w:rPr>
          <w:rFonts w:asciiTheme="minorHAnsi" w:hAnsiTheme="minorHAnsi" w:cstheme="minorHAnsi"/>
          <w:b/>
        </w:rPr>
        <w:t>Notifications</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 xml:space="preserve">(1) </w:t>
      </w:r>
      <w:r w:rsidRPr="00C063DC">
        <w:rPr>
          <w:rFonts w:asciiTheme="minorHAnsi" w:hAnsiTheme="minorHAnsi" w:cstheme="minorHAnsi"/>
          <w:b/>
        </w:rPr>
        <w:t xml:space="preserve">Preliminary determination. </w:t>
      </w:r>
      <w:r w:rsidRPr="00C063DC">
        <w:rPr>
          <w:rFonts w:asciiTheme="minorHAnsi" w:hAnsiTheme="minorHAnsi" w:cstheme="minorHAnsi"/>
        </w:rPr>
        <w:t xml:space="preserve">Beginning in 2013 and each year thereafter, DEQ will make a preliminary determination of each manufacturer’s market share and fee tier for that fiscal year and notify each manufacturer of that determination. </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lastRenderedPageBreak/>
        <w:t xml:space="preserve">(2) </w:t>
      </w:r>
      <w:r w:rsidRPr="00C063DC">
        <w:rPr>
          <w:rFonts w:asciiTheme="minorHAnsi" w:hAnsiTheme="minorHAnsi" w:cstheme="minorHAnsi"/>
          <w:b/>
        </w:rPr>
        <w:t xml:space="preserve">Change requests. </w:t>
      </w:r>
      <w:r w:rsidRPr="00C063DC">
        <w:rPr>
          <w:rFonts w:asciiTheme="minorHAnsi" w:hAnsiTheme="minorHAnsi" w:cstheme="minorHAnsi"/>
        </w:rPr>
        <w:t>Each manufacturer will have 30 days to request changes to the preliminary market share and fee tier determination. A manufacturer requesting a change must provide DEQ the relevant information the manufacturer believes supports the change and any other information requested by DEQ to evaluate the requested change.</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(3)</w:t>
      </w:r>
      <w:r w:rsidR="009A1BC1" w:rsidRPr="00C063DC">
        <w:rPr>
          <w:rFonts w:asciiTheme="minorHAnsi" w:hAnsiTheme="minorHAnsi" w:cstheme="minorHAnsi"/>
        </w:rPr>
        <w:t xml:space="preserve"> </w:t>
      </w:r>
      <w:r w:rsidRPr="00C063DC">
        <w:rPr>
          <w:rFonts w:asciiTheme="minorHAnsi" w:hAnsiTheme="minorHAnsi" w:cstheme="minorHAnsi"/>
          <w:b/>
        </w:rPr>
        <w:t xml:space="preserve">Final determination. </w:t>
      </w:r>
      <w:r w:rsidRPr="00C063DC">
        <w:rPr>
          <w:rFonts w:asciiTheme="minorHAnsi" w:hAnsiTheme="minorHAnsi" w:cstheme="minorHAnsi"/>
        </w:rPr>
        <w:t xml:space="preserve">After the 30-day period described in section (2), DEQ will make a final </w:t>
      </w:r>
      <w:r w:rsidR="000D3932">
        <w:rPr>
          <w:rFonts w:asciiTheme="minorHAnsi" w:hAnsiTheme="minorHAnsi" w:cstheme="minorHAnsi"/>
        </w:rPr>
        <w:t xml:space="preserve">determination of each manufacturer’s </w:t>
      </w:r>
      <w:r w:rsidRPr="00C063DC">
        <w:rPr>
          <w:rFonts w:asciiTheme="minorHAnsi" w:hAnsiTheme="minorHAnsi" w:cstheme="minorHAnsi"/>
        </w:rPr>
        <w:t>market share and fee tier and notify each manufacturer of that determination. In making the final market share and fee tier determination</w:t>
      </w:r>
      <w:r w:rsidR="000D3932">
        <w:rPr>
          <w:rFonts w:asciiTheme="minorHAnsi" w:hAnsiTheme="minorHAnsi" w:cstheme="minorHAnsi"/>
        </w:rPr>
        <w:t>s</w:t>
      </w:r>
      <w:r w:rsidRPr="00C063DC">
        <w:rPr>
          <w:rFonts w:asciiTheme="minorHAnsi" w:hAnsiTheme="minorHAnsi" w:cstheme="minorHAnsi"/>
        </w:rPr>
        <w:t>, DEQ will use the best available information as determined by DEQ including any relevant information provided by manufacturer</w:t>
      </w:r>
      <w:r w:rsidR="000D3932">
        <w:rPr>
          <w:rFonts w:asciiTheme="minorHAnsi" w:hAnsiTheme="minorHAnsi" w:cstheme="minorHAnsi"/>
        </w:rPr>
        <w:t>s</w:t>
      </w:r>
      <w:r w:rsidRPr="00C063DC">
        <w:rPr>
          <w:rFonts w:asciiTheme="minorHAnsi" w:hAnsiTheme="minorHAnsi" w:cstheme="minorHAnsi"/>
        </w:rPr>
        <w:t xml:space="preserve"> under section (2).</w:t>
      </w:r>
    </w:p>
    <w:p w:rsidR="001E5718" w:rsidRDefault="001E5718" w:rsidP="00C063DC">
      <w:pPr>
        <w:ind w:left="720" w:right="630"/>
        <w:rPr>
          <w:rFonts w:asciiTheme="minorHAnsi" w:hAnsiTheme="minorHAnsi" w:cstheme="minorHAnsi"/>
        </w:rPr>
      </w:pP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 Auth: ORS 468.020, ORS 468.065, ORS 459A.345</w:t>
      </w:r>
    </w:p>
    <w:p w:rsidR="00CE27D0" w:rsidRPr="00C063DC" w:rsidRDefault="00CE27D0" w:rsidP="00C063DC">
      <w:pPr>
        <w:ind w:left="720" w:right="630"/>
        <w:rPr>
          <w:rFonts w:asciiTheme="minorHAnsi" w:hAnsiTheme="minorHAnsi" w:cstheme="minorHAnsi"/>
        </w:rPr>
      </w:pPr>
      <w:r w:rsidRPr="00C063DC">
        <w:rPr>
          <w:rFonts w:asciiTheme="minorHAnsi" w:hAnsiTheme="minorHAnsi" w:cstheme="minorHAnsi"/>
        </w:rPr>
        <w:t>Stats. Implemented: ORS 459A.315</w:t>
      </w:r>
    </w:p>
    <w:p w:rsidR="00241046" w:rsidRPr="00C063DC" w:rsidRDefault="00241046" w:rsidP="00C063DC">
      <w:pPr>
        <w:spacing w:after="200" w:line="276" w:lineRule="auto"/>
        <w:ind w:left="720" w:right="630"/>
        <w:rPr>
          <w:rFonts w:asciiTheme="minorHAnsi" w:eastAsia="Times New Roman" w:hAnsiTheme="minorHAnsi" w:cstheme="minorHAnsi"/>
          <w:bCs/>
          <w:color w:val="000000" w:themeColor="text1"/>
        </w:rPr>
      </w:pPr>
    </w:p>
    <w:sectPr w:rsidR="00241046" w:rsidRPr="00C063DC" w:rsidSect="008F3499">
      <w:pgSz w:w="12240" w:h="15840"/>
      <w:pgMar w:top="1350" w:right="360" w:bottom="1080"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823" w:rsidRDefault="00CD5823" w:rsidP="00524969">
      <w:r>
        <w:separator/>
      </w:r>
    </w:p>
  </w:endnote>
  <w:endnote w:type="continuationSeparator" w:id="0">
    <w:p w:rsidR="00CD5823" w:rsidRDefault="00CD5823" w:rsidP="00524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94" w:rsidRDefault="00A46C94">
    <w:pPr>
      <w:pStyle w:val="Footer"/>
      <w:jc w:val="center"/>
    </w:pPr>
  </w:p>
  <w:p w:rsidR="00A46C94" w:rsidRDefault="00A46C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823" w:rsidRDefault="00CD5823" w:rsidP="00524969">
      <w:r>
        <w:separator/>
      </w:r>
    </w:p>
  </w:footnote>
  <w:footnote w:type="continuationSeparator" w:id="0">
    <w:p w:rsidR="00CD5823" w:rsidRDefault="00CD5823" w:rsidP="005249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24F23"/>
    <w:multiLevelType w:val="hybridMultilevel"/>
    <w:tmpl w:val="8D5A3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595ACC"/>
    <w:multiLevelType w:val="hybridMultilevel"/>
    <w:tmpl w:val="299CAAA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25940B8"/>
    <w:multiLevelType w:val="hybridMultilevel"/>
    <w:tmpl w:val="197C20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B55D45"/>
    <w:multiLevelType w:val="hybridMultilevel"/>
    <w:tmpl w:val="BE124F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C76EDF"/>
    <w:multiLevelType w:val="hybridMultilevel"/>
    <w:tmpl w:val="6EFAD80A"/>
    <w:lvl w:ilvl="0" w:tplc="04090011">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05C4A35"/>
    <w:multiLevelType w:val="hybridMultilevel"/>
    <w:tmpl w:val="18D865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F96128"/>
    <w:multiLevelType w:val="hybridMultilevel"/>
    <w:tmpl w:val="0D26D2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0FA77C3"/>
    <w:multiLevelType w:val="hybridMultilevel"/>
    <w:tmpl w:val="18E6B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14C5602"/>
    <w:multiLevelType w:val="hybridMultilevel"/>
    <w:tmpl w:val="8430C1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262319"/>
    <w:multiLevelType w:val="hybridMultilevel"/>
    <w:tmpl w:val="F64698A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554B12"/>
    <w:multiLevelType w:val="hybridMultilevel"/>
    <w:tmpl w:val="5CB63A1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nsid w:val="18A9502B"/>
    <w:multiLevelType w:val="hybridMultilevel"/>
    <w:tmpl w:val="F3326546"/>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222781"/>
    <w:multiLevelType w:val="hybridMultilevel"/>
    <w:tmpl w:val="7CEE4D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E0193"/>
    <w:multiLevelType w:val="hybridMultilevel"/>
    <w:tmpl w:val="33C8FFFA"/>
    <w:lvl w:ilvl="0" w:tplc="04090011">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615396B"/>
    <w:multiLevelType w:val="hybridMultilevel"/>
    <w:tmpl w:val="E68060F4"/>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2D73E0"/>
    <w:multiLevelType w:val="hybridMultilevel"/>
    <w:tmpl w:val="79EA7B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0097386"/>
    <w:multiLevelType w:val="hybridMultilevel"/>
    <w:tmpl w:val="6588A59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0F4366"/>
    <w:multiLevelType w:val="hybridMultilevel"/>
    <w:tmpl w:val="7A080352"/>
    <w:lvl w:ilvl="0" w:tplc="BC70A6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296659D"/>
    <w:multiLevelType w:val="hybridMultilevel"/>
    <w:tmpl w:val="E4BEE54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nsid w:val="331B536C"/>
    <w:multiLevelType w:val="hybridMultilevel"/>
    <w:tmpl w:val="4B3EEB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1B5072"/>
    <w:multiLevelType w:val="hybridMultilevel"/>
    <w:tmpl w:val="A5C4F2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97737B"/>
    <w:multiLevelType w:val="hybridMultilevel"/>
    <w:tmpl w:val="32C2ABC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AE23CD0"/>
    <w:multiLevelType w:val="hybridMultilevel"/>
    <w:tmpl w:val="7562A2EE"/>
    <w:lvl w:ilvl="0" w:tplc="0409000F">
      <w:start w:val="1"/>
      <w:numFmt w:val="decimal"/>
      <w:lvlText w:val="%1."/>
      <w:lvlJc w:val="left"/>
      <w:pPr>
        <w:ind w:left="1440" w:hanging="360"/>
      </w:pPr>
    </w:lvl>
    <w:lvl w:ilvl="1" w:tplc="FA7AC1BC">
      <w:start w:val="6"/>
      <w:numFmt w:val="bullet"/>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AEF28C8"/>
    <w:multiLevelType w:val="hybridMultilevel"/>
    <w:tmpl w:val="D870DA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0F55A0"/>
    <w:multiLevelType w:val="hybridMultilevel"/>
    <w:tmpl w:val="6AD875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EC41A57"/>
    <w:multiLevelType w:val="hybridMultilevel"/>
    <w:tmpl w:val="F87AE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0C61FAB"/>
    <w:multiLevelType w:val="hybridMultilevel"/>
    <w:tmpl w:val="8CC01A48"/>
    <w:lvl w:ilvl="0" w:tplc="04090017">
      <w:start w:val="1"/>
      <w:numFmt w:val="lowerLetter"/>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14F279E"/>
    <w:multiLevelType w:val="hybridMultilevel"/>
    <w:tmpl w:val="1C2651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4E841B3"/>
    <w:multiLevelType w:val="hybridMultilevel"/>
    <w:tmpl w:val="4B80C7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596612F"/>
    <w:multiLevelType w:val="hybridMultilevel"/>
    <w:tmpl w:val="43104C2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3D19E4"/>
    <w:multiLevelType w:val="hybridMultilevel"/>
    <w:tmpl w:val="DDE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E272FE"/>
    <w:multiLevelType w:val="hybridMultilevel"/>
    <w:tmpl w:val="919A34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4E3166F1"/>
    <w:multiLevelType w:val="hybridMultilevel"/>
    <w:tmpl w:val="0F06DA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512966CF"/>
    <w:multiLevelType w:val="hybridMultilevel"/>
    <w:tmpl w:val="B2004198"/>
    <w:lvl w:ilvl="0" w:tplc="0409000F">
      <w:start w:val="1"/>
      <w:numFmt w:val="decimal"/>
      <w:lvlText w:val="%1."/>
      <w:lvlJc w:val="left"/>
      <w:pPr>
        <w:ind w:left="171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288746B"/>
    <w:multiLevelType w:val="hybridMultilevel"/>
    <w:tmpl w:val="E11480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BD2175"/>
    <w:multiLevelType w:val="hybridMultilevel"/>
    <w:tmpl w:val="8EB8C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AF0043B"/>
    <w:multiLevelType w:val="hybridMultilevel"/>
    <w:tmpl w:val="E416A9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B5877C9"/>
    <w:multiLevelType w:val="hybridMultilevel"/>
    <w:tmpl w:val="557AB4E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5C63F7"/>
    <w:multiLevelType w:val="hybridMultilevel"/>
    <w:tmpl w:val="6A96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06972B1"/>
    <w:multiLevelType w:val="hybridMultilevel"/>
    <w:tmpl w:val="309E6C36"/>
    <w:lvl w:ilvl="0" w:tplc="683ADE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06E1A53"/>
    <w:multiLevelType w:val="hybridMultilevel"/>
    <w:tmpl w:val="2F36817E"/>
    <w:lvl w:ilvl="0" w:tplc="04090019">
      <w:start w:val="1"/>
      <w:numFmt w:val="lowerLetter"/>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618F72A4"/>
    <w:multiLevelType w:val="hybridMultilevel"/>
    <w:tmpl w:val="AEBC0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B448F2"/>
    <w:multiLevelType w:val="hybridMultilevel"/>
    <w:tmpl w:val="7DF6E980"/>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8E200EC"/>
    <w:multiLevelType w:val="hybridMultilevel"/>
    <w:tmpl w:val="2FFEA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FE03A9C"/>
    <w:multiLevelType w:val="hybridMultilevel"/>
    <w:tmpl w:val="56DC86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42F75D4"/>
    <w:multiLevelType w:val="hybridMultilevel"/>
    <w:tmpl w:val="30080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53C5BD8"/>
    <w:multiLevelType w:val="hybridMultilevel"/>
    <w:tmpl w:val="5A4800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9BE49B0"/>
    <w:multiLevelType w:val="hybridMultilevel"/>
    <w:tmpl w:val="09F07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E0B4ECB"/>
    <w:multiLevelType w:val="hybridMultilevel"/>
    <w:tmpl w:val="037AAFE4"/>
    <w:lvl w:ilvl="0" w:tplc="694632C0">
      <w:start w:val="1"/>
      <w:numFmt w:val="bullet"/>
      <w:lvlText w:val="•"/>
      <w:lvlJc w:val="left"/>
      <w:pPr>
        <w:tabs>
          <w:tab w:val="num" w:pos="2520"/>
        </w:tabs>
        <w:ind w:left="2520" w:hanging="360"/>
      </w:pPr>
      <w:rPr>
        <w:rFonts w:ascii="Arial" w:hAnsi="Arial" w:hint="default"/>
      </w:rPr>
    </w:lvl>
    <w:lvl w:ilvl="1" w:tplc="37006582" w:tentative="1">
      <w:start w:val="1"/>
      <w:numFmt w:val="bullet"/>
      <w:lvlText w:val="•"/>
      <w:lvlJc w:val="left"/>
      <w:pPr>
        <w:tabs>
          <w:tab w:val="num" w:pos="3240"/>
        </w:tabs>
        <w:ind w:left="3240" w:hanging="360"/>
      </w:pPr>
      <w:rPr>
        <w:rFonts w:ascii="Arial" w:hAnsi="Arial" w:hint="default"/>
      </w:rPr>
    </w:lvl>
    <w:lvl w:ilvl="2" w:tplc="9BCC7E46" w:tentative="1">
      <w:start w:val="1"/>
      <w:numFmt w:val="bullet"/>
      <w:lvlText w:val="•"/>
      <w:lvlJc w:val="left"/>
      <w:pPr>
        <w:tabs>
          <w:tab w:val="num" w:pos="3960"/>
        </w:tabs>
        <w:ind w:left="3960" w:hanging="360"/>
      </w:pPr>
      <w:rPr>
        <w:rFonts w:ascii="Arial" w:hAnsi="Arial" w:hint="default"/>
      </w:rPr>
    </w:lvl>
    <w:lvl w:ilvl="3" w:tplc="9FB8E5F8" w:tentative="1">
      <w:start w:val="1"/>
      <w:numFmt w:val="bullet"/>
      <w:lvlText w:val="•"/>
      <w:lvlJc w:val="left"/>
      <w:pPr>
        <w:tabs>
          <w:tab w:val="num" w:pos="4680"/>
        </w:tabs>
        <w:ind w:left="4680" w:hanging="360"/>
      </w:pPr>
      <w:rPr>
        <w:rFonts w:ascii="Arial" w:hAnsi="Arial" w:hint="default"/>
      </w:rPr>
    </w:lvl>
    <w:lvl w:ilvl="4" w:tplc="F4BC64BA" w:tentative="1">
      <w:start w:val="1"/>
      <w:numFmt w:val="bullet"/>
      <w:lvlText w:val="•"/>
      <w:lvlJc w:val="left"/>
      <w:pPr>
        <w:tabs>
          <w:tab w:val="num" w:pos="5400"/>
        </w:tabs>
        <w:ind w:left="5400" w:hanging="360"/>
      </w:pPr>
      <w:rPr>
        <w:rFonts w:ascii="Arial" w:hAnsi="Arial" w:hint="default"/>
      </w:rPr>
    </w:lvl>
    <w:lvl w:ilvl="5" w:tplc="A0263F28" w:tentative="1">
      <w:start w:val="1"/>
      <w:numFmt w:val="bullet"/>
      <w:lvlText w:val="•"/>
      <w:lvlJc w:val="left"/>
      <w:pPr>
        <w:tabs>
          <w:tab w:val="num" w:pos="6120"/>
        </w:tabs>
        <w:ind w:left="6120" w:hanging="360"/>
      </w:pPr>
      <w:rPr>
        <w:rFonts w:ascii="Arial" w:hAnsi="Arial" w:hint="default"/>
      </w:rPr>
    </w:lvl>
    <w:lvl w:ilvl="6" w:tplc="3E581C42" w:tentative="1">
      <w:start w:val="1"/>
      <w:numFmt w:val="bullet"/>
      <w:lvlText w:val="•"/>
      <w:lvlJc w:val="left"/>
      <w:pPr>
        <w:tabs>
          <w:tab w:val="num" w:pos="6840"/>
        </w:tabs>
        <w:ind w:left="6840" w:hanging="360"/>
      </w:pPr>
      <w:rPr>
        <w:rFonts w:ascii="Arial" w:hAnsi="Arial" w:hint="default"/>
      </w:rPr>
    </w:lvl>
    <w:lvl w:ilvl="7" w:tplc="6A4A074E" w:tentative="1">
      <w:start w:val="1"/>
      <w:numFmt w:val="bullet"/>
      <w:lvlText w:val="•"/>
      <w:lvlJc w:val="left"/>
      <w:pPr>
        <w:tabs>
          <w:tab w:val="num" w:pos="7560"/>
        </w:tabs>
        <w:ind w:left="7560" w:hanging="360"/>
      </w:pPr>
      <w:rPr>
        <w:rFonts w:ascii="Arial" w:hAnsi="Arial" w:hint="default"/>
      </w:rPr>
    </w:lvl>
    <w:lvl w:ilvl="8" w:tplc="8CDE9D5E" w:tentative="1">
      <w:start w:val="1"/>
      <w:numFmt w:val="bullet"/>
      <w:lvlText w:val="•"/>
      <w:lvlJc w:val="left"/>
      <w:pPr>
        <w:tabs>
          <w:tab w:val="num" w:pos="8280"/>
        </w:tabs>
        <w:ind w:left="8280" w:hanging="360"/>
      </w:pPr>
      <w:rPr>
        <w:rFonts w:ascii="Arial" w:hAnsi="Arial" w:hint="default"/>
      </w:rPr>
    </w:lvl>
  </w:abstractNum>
  <w:abstractNum w:abstractNumId="53">
    <w:nsid w:val="7F87422D"/>
    <w:multiLevelType w:val="hybridMultilevel"/>
    <w:tmpl w:val="00701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16"/>
  </w:num>
  <w:num w:numId="3">
    <w:abstractNumId w:val="0"/>
  </w:num>
  <w:num w:numId="4">
    <w:abstractNumId w:val="46"/>
  </w:num>
  <w:num w:numId="5">
    <w:abstractNumId w:val="18"/>
  </w:num>
  <w:num w:numId="6">
    <w:abstractNumId w:val="12"/>
  </w:num>
  <w:num w:numId="7">
    <w:abstractNumId w:val="25"/>
  </w:num>
  <w:num w:numId="8">
    <w:abstractNumId w:val="21"/>
  </w:num>
  <w:num w:numId="9">
    <w:abstractNumId w:val="5"/>
  </w:num>
  <w:num w:numId="10">
    <w:abstractNumId w:val="14"/>
  </w:num>
  <w:num w:numId="11">
    <w:abstractNumId w:val="7"/>
  </w:num>
  <w:num w:numId="12">
    <w:abstractNumId w:val="41"/>
  </w:num>
  <w:num w:numId="13">
    <w:abstractNumId w:val="30"/>
  </w:num>
  <w:num w:numId="14">
    <w:abstractNumId w:val="23"/>
  </w:num>
  <w:num w:numId="15">
    <w:abstractNumId w:val="45"/>
  </w:num>
  <w:num w:numId="16">
    <w:abstractNumId w:val="32"/>
  </w:num>
  <w:num w:numId="17">
    <w:abstractNumId w:val="13"/>
  </w:num>
  <w:num w:numId="18">
    <w:abstractNumId w:val="3"/>
  </w:num>
  <w:num w:numId="19">
    <w:abstractNumId w:val="10"/>
  </w:num>
  <w:num w:numId="20">
    <w:abstractNumId w:val="15"/>
  </w:num>
  <w:num w:numId="21">
    <w:abstractNumId w:val="29"/>
  </w:num>
  <w:num w:numId="22">
    <w:abstractNumId w:val="26"/>
  </w:num>
  <w:num w:numId="23">
    <w:abstractNumId w:val="1"/>
  </w:num>
  <w:num w:numId="24">
    <w:abstractNumId w:val="4"/>
  </w:num>
  <w:num w:numId="25">
    <w:abstractNumId w:val="48"/>
  </w:num>
  <w:num w:numId="26">
    <w:abstractNumId w:val="27"/>
  </w:num>
  <w:num w:numId="27">
    <w:abstractNumId w:val="9"/>
  </w:num>
  <w:num w:numId="28">
    <w:abstractNumId w:val="8"/>
  </w:num>
  <w:num w:numId="29">
    <w:abstractNumId w:val="22"/>
  </w:num>
  <w:num w:numId="30">
    <w:abstractNumId w:val="52"/>
  </w:num>
  <w:num w:numId="31">
    <w:abstractNumId w:val="44"/>
  </w:num>
  <w:num w:numId="32">
    <w:abstractNumId w:val="36"/>
  </w:num>
  <w:num w:numId="33">
    <w:abstractNumId w:val="42"/>
  </w:num>
  <w:num w:numId="34">
    <w:abstractNumId w:val="49"/>
  </w:num>
  <w:num w:numId="35">
    <w:abstractNumId w:val="35"/>
  </w:num>
  <w:num w:numId="36">
    <w:abstractNumId w:val="34"/>
  </w:num>
  <w:num w:numId="37">
    <w:abstractNumId w:val="17"/>
  </w:num>
  <w:num w:numId="38">
    <w:abstractNumId w:val="50"/>
  </w:num>
  <w:num w:numId="39">
    <w:abstractNumId w:val="39"/>
  </w:num>
  <w:num w:numId="40">
    <w:abstractNumId w:val="53"/>
  </w:num>
  <w:num w:numId="41">
    <w:abstractNumId w:val="38"/>
  </w:num>
  <w:num w:numId="42">
    <w:abstractNumId w:val="51"/>
  </w:num>
  <w:num w:numId="43">
    <w:abstractNumId w:val="47"/>
  </w:num>
  <w:num w:numId="44">
    <w:abstractNumId w:val="31"/>
  </w:num>
  <w:num w:numId="45">
    <w:abstractNumId w:val="6"/>
  </w:num>
  <w:num w:numId="46">
    <w:abstractNumId w:val="33"/>
  </w:num>
  <w:num w:numId="47">
    <w:abstractNumId w:val="2"/>
  </w:num>
  <w:num w:numId="48">
    <w:abstractNumId w:val="43"/>
  </w:num>
  <w:num w:numId="49">
    <w:abstractNumId w:val="19"/>
  </w:num>
  <w:num w:numId="50">
    <w:abstractNumId w:val="40"/>
  </w:num>
  <w:num w:numId="51">
    <w:abstractNumId w:val="37"/>
  </w:num>
  <w:num w:numId="52">
    <w:abstractNumId w:val="11"/>
  </w:num>
  <w:num w:numId="53">
    <w:abstractNumId w:val="24"/>
  </w:num>
  <w:num w:numId="54">
    <w:abstractNumId w:val="2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4D58"/>
    <w:rsid w:val="00000C8A"/>
    <w:rsid w:val="000012BE"/>
    <w:rsid w:val="00035352"/>
    <w:rsid w:val="000418FA"/>
    <w:rsid w:val="00051DA8"/>
    <w:rsid w:val="00052DBB"/>
    <w:rsid w:val="0005383A"/>
    <w:rsid w:val="0005564A"/>
    <w:rsid w:val="00081F93"/>
    <w:rsid w:val="000904FA"/>
    <w:rsid w:val="0009279B"/>
    <w:rsid w:val="0009694C"/>
    <w:rsid w:val="000B685A"/>
    <w:rsid w:val="000B783F"/>
    <w:rsid w:val="000D07CA"/>
    <w:rsid w:val="000D0B4D"/>
    <w:rsid w:val="000D3932"/>
    <w:rsid w:val="000D711B"/>
    <w:rsid w:val="000E5396"/>
    <w:rsid w:val="000E58E7"/>
    <w:rsid w:val="000E5ECC"/>
    <w:rsid w:val="00107189"/>
    <w:rsid w:val="00115219"/>
    <w:rsid w:val="00126135"/>
    <w:rsid w:val="00127581"/>
    <w:rsid w:val="00134693"/>
    <w:rsid w:val="00143C0F"/>
    <w:rsid w:val="00154DBC"/>
    <w:rsid w:val="00157C03"/>
    <w:rsid w:val="001602E5"/>
    <w:rsid w:val="00164210"/>
    <w:rsid w:val="001725E9"/>
    <w:rsid w:val="00174C57"/>
    <w:rsid w:val="00176D61"/>
    <w:rsid w:val="00182C5A"/>
    <w:rsid w:val="00184DD2"/>
    <w:rsid w:val="001864D3"/>
    <w:rsid w:val="00192E08"/>
    <w:rsid w:val="0019385F"/>
    <w:rsid w:val="001C0BC0"/>
    <w:rsid w:val="001C7274"/>
    <w:rsid w:val="001E443D"/>
    <w:rsid w:val="001E5718"/>
    <w:rsid w:val="001E7296"/>
    <w:rsid w:val="001F04FD"/>
    <w:rsid w:val="001F2D3C"/>
    <w:rsid w:val="001F544C"/>
    <w:rsid w:val="001F5BF4"/>
    <w:rsid w:val="002023EE"/>
    <w:rsid w:val="00212A60"/>
    <w:rsid w:val="00216917"/>
    <w:rsid w:val="00233475"/>
    <w:rsid w:val="00236519"/>
    <w:rsid w:val="002405F8"/>
    <w:rsid w:val="00241046"/>
    <w:rsid w:val="00254A78"/>
    <w:rsid w:val="00267344"/>
    <w:rsid w:val="002735AE"/>
    <w:rsid w:val="002813B2"/>
    <w:rsid w:val="0028335B"/>
    <w:rsid w:val="00296A9D"/>
    <w:rsid w:val="00296BE1"/>
    <w:rsid w:val="002B72AA"/>
    <w:rsid w:val="002D6FCA"/>
    <w:rsid w:val="002E283F"/>
    <w:rsid w:val="002E4AA0"/>
    <w:rsid w:val="002F5550"/>
    <w:rsid w:val="00304756"/>
    <w:rsid w:val="00304A23"/>
    <w:rsid w:val="00317F4B"/>
    <w:rsid w:val="00320EFF"/>
    <w:rsid w:val="00341F90"/>
    <w:rsid w:val="003513B3"/>
    <w:rsid w:val="0035250D"/>
    <w:rsid w:val="00352B2C"/>
    <w:rsid w:val="0035740D"/>
    <w:rsid w:val="00360896"/>
    <w:rsid w:val="00365C19"/>
    <w:rsid w:val="00376B3E"/>
    <w:rsid w:val="003801B6"/>
    <w:rsid w:val="003845D8"/>
    <w:rsid w:val="003918FF"/>
    <w:rsid w:val="00397D49"/>
    <w:rsid w:val="003A2225"/>
    <w:rsid w:val="003C6C7E"/>
    <w:rsid w:val="003D2459"/>
    <w:rsid w:val="003E6567"/>
    <w:rsid w:val="003E7BF3"/>
    <w:rsid w:val="003F413E"/>
    <w:rsid w:val="00414001"/>
    <w:rsid w:val="0041573F"/>
    <w:rsid w:val="004269D9"/>
    <w:rsid w:val="00427C66"/>
    <w:rsid w:val="004369FF"/>
    <w:rsid w:val="00447281"/>
    <w:rsid w:val="0045366E"/>
    <w:rsid w:val="00465FA5"/>
    <w:rsid w:val="00470AD8"/>
    <w:rsid w:val="004A5282"/>
    <w:rsid w:val="004A6180"/>
    <w:rsid w:val="004B020E"/>
    <w:rsid w:val="004B18D2"/>
    <w:rsid w:val="004B22BC"/>
    <w:rsid w:val="004C5F43"/>
    <w:rsid w:val="004C6F60"/>
    <w:rsid w:val="004E60E9"/>
    <w:rsid w:val="004F274D"/>
    <w:rsid w:val="004F29F3"/>
    <w:rsid w:val="004F3DFD"/>
    <w:rsid w:val="004F4412"/>
    <w:rsid w:val="004F673A"/>
    <w:rsid w:val="00505068"/>
    <w:rsid w:val="00516FBC"/>
    <w:rsid w:val="0052233E"/>
    <w:rsid w:val="00522BB4"/>
    <w:rsid w:val="00524969"/>
    <w:rsid w:val="00534408"/>
    <w:rsid w:val="005409B2"/>
    <w:rsid w:val="00540AFE"/>
    <w:rsid w:val="00544127"/>
    <w:rsid w:val="00572FA9"/>
    <w:rsid w:val="005814D4"/>
    <w:rsid w:val="00584C7D"/>
    <w:rsid w:val="005857AA"/>
    <w:rsid w:val="00586FAF"/>
    <w:rsid w:val="00590275"/>
    <w:rsid w:val="005904C4"/>
    <w:rsid w:val="00592199"/>
    <w:rsid w:val="00593446"/>
    <w:rsid w:val="00596D65"/>
    <w:rsid w:val="005A2EBE"/>
    <w:rsid w:val="005A424D"/>
    <w:rsid w:val="005A7DF4"/>
    <w:rsid w:val="005A7F26"/>
    <w:rsid w:val="005C304F"/>
    <w:rsid w:val="005C30D8"/>
    <w:rsid w:val="005D5B14"/>
    <w:rsid w:val="005E0E5E"/>
    <w:rsid w:val="005E374E"/>
    <w:rsid w:val="005E7616"/>
    <w:rsid w:val="005F0119"/>
    <w:rsid w:val="005F40B1"/>
    <w:rsid w:val="00616723"/>
    <w:rsid w:val="00624BAA"/>
    <w:rsid w:val="00630F21"/>
    <w:rsid w:val="00634B28"/>
    <w:rsid w:val="00635206"/>
    <w:rsid w:val="006416C7"/>
    <w:rsid w:val="00643871"/>
    <w:rsid w:val="00651920"/>
    <w:rsid w:val="00671070"/>
    <w:rsid w:val="006713A3"/>
    <w:rsid w:val="00677B8A"/>
    <w:rsid w:val="00680AC2"/>
    <w:rsid w:val="00691E26"/>
    <w:rsid w:val="00696716"/>
    <w:rsid w:val="006A0B81"/>
    <w:rsid w:val="006A0E65"/>
    <w:rsid w:val="006A2188"/>
    <w:rsid w:val="006A3437"/>
    <w:rsid w:val="006A3EBC"/>
    <w:rsid w:val="006A41AC"/>
    <w:rsid w:val="006B1843"/>
    <w:rsid w:val="006B481C"/>
    <w:rsid w:val="006B66B2"/>
    <w:rsid w:val="006D05A8"/>
    <w:rsid w:val="006D329A"/>
    <w:rsid w:val="006D6F9D"/>
    <w:rsid w:val="006E68F8"/>
    <w:rsid w:val="006F0A57"/>
    <w:rsid w:val="006F0D97"/>
    <w:rsid w:val="006F3A8D"/>
    <w:rsid w:val="006F61F5"/>
    <w:rsid w:val="00705C22"/>
    <w:rsid w:val="00721D94"/>
    <w:rsid w:val="00730472"/>
    <w:rsid w:val="00731AFC"/>
    <w:rsid w:val="00732601"/>
    <w:rsid w:val="00733A49"/>
    <w:rsid w:val="0073490E"/>
    <w:rsid w:val="0075792E"/>
    <w:rsid w:val="00761C1E"/>
    <w:rsid w:val="00764239"/>
    <w:rsid w:val="007667BF"/>
    <w:rsid w:val="007677D5"/>
    <w:rsid w:val="00767DF2"/>
    <w:rsid w:val="00772447"/>
    <w:rsid w:val="00781C53"/>
    <w:rsid w:val="00786B1B"/>
    <w:rsid w:val="007948EE"/>
    <w:rsid w:val="007A0EDF"/>
    <w:rsid w:val="007A4786"/>
    <w:rsid w:val="007A7EFA"/>
    <w:rsid w:val="007B2740"/>
    <w:rsid w:val="007C77AA"/>
    <w:rsid w:val="007D1A36"/>
    <w:rsid w:val="007D3B7E"/>
    <w:rsid w:val="007D6004"/>
    <w:rsid w:val="007D60EA"/>
    <w:rsid w:val="007D65AD"/>
    <w:rsid w:val="007D7E1F"/>
    <w:rsid w:val="007E5070"/>
    <w:rsid w:val="007F4318"/>
    <w:rsid w:val="00805C3F"/>
    <w:rsid w:val="00811EE1"/>
    <w:rsid w:val="008141CD"/>
    <w:rsid w:val="00823C9D"/>
    <w:rsid w:val="00825035"/>
    <w:rsid w:val="0083323F"/>
    <w:rsid w:val="008336FC"/>
    <w:rsid w:val="00835C99"/>
    <w:rsid w:val="00866F57"/>
    <w:rsid w:val="00882392"/>
    <w:rsid w:val="008918D8"/>
    <w:rsid w:val="008971A4"/>
    <w:rsid w:val="008A0C97"/>
    <w:rsid w:val="008A154D"/>
    <w:rsid w:val="008A2EAA"/>
    <w:rsid w:val="008A4E47"/>
    <w:rsid w:val="008A4F44"/>
    <w:rsid w:val="008A5C06"/>
    <w:rsid w:val="008A7A06"/>
    <w:rsid w:val="008C7798"/>
    <w:rsid w:val="008D52B1"/>
    <w:rsid w:val="008D59EB"/>
    <w:rsid w:val="008E5C84"/>
    <w:rsid w:val="008F2AA3"/>
    <w:rsid w:val="008F3499"/>
    <w:rsid w:val="00902D68"/>
    <w:rsid w:val="00906139"/>
    <w:rsid w:val="00906440"/>
    <w:rsid w:val="009208B5"/>
    <w:rsid w:val="00925F7C"/>
    <w:rsid w:val="00930372"/>
    <w:rsid w:val="009322D3"/>
    <w:rsid w:val="0095365D"/>
    <w:rsid w:val="0096369D"/>
    <w:rsid w:val="0097451D"/>
    <w:rsid w:val="00977134"/>
    <w:rsid w:val="00977FA1"/>
    <w:rsid w:val="00981F50"/>
    <w:rsid w:val="009A049C"/>
    <w:rsid w:val="009A1BC1"/>
    <w:rsid w:val="009B4ACA"/>
    <w:rsid w:val="009D3EBB"/>
    <w:rsid w:val="009D4455"/>
    <w:rsid w:val="009D69C4"/>
    <w:rsid w:val="009E15CB"/>
    <w:rsid w:val="009E1691"/>
    <w:rsid w:val="009F669D"/>
    <w:rsid w:val="00A004FF"/>
    <w:rsid w:val="00A04AFA"/>
    <w:rsid w:val="00A120B0"/>
    <w:rsid w:val="00A1268D"/>
    <w:rsid w:val="00A17802"/>
    <w:rsid w:val="00A21579"/>
    <w:rsid w:val="00A23B90"/>
    <w:rsid w:val="00A23C1D"/>
    <w:rsid w:val="00A3244F"/>
    <w:rsid w:val="00A361C6"/>
    <w:rsid w:val="00A4180B"/>
    <w:rsid w:val="00A46C94"/>
    <w:rsid w:val="00A46F33"/>
    <w:rsid w:val="00A50464"/>
    <w:rsid w:val="00A50735"/>
    <w:rsid w:val="00A522AD"/>
    <w:rsid w:val="00A61B18"/>
    <w:rsid w:val="00A74227"/>
    <w:rsid w:val="00A77657"/>
    <w:rsid w:val="00A812D7"/>
    <w:rsid w:val="00A86096"/>
    <w:rsid w:val="00A9276C"/>
    <w:rsid w:val="00AB1CE2"/>
    <w:rsid w:val="00AB50EA"/>
    <w:rsid w:val="00AC0514"/>
    <w:rsid w:val="00AC1660"/>
    <w:rsid w:val="00AD0243"/>
    <w:rsid w:val="00AD33B5"/>
    <w:rsid w:val="00AF07FC"/>
    <w:rsid w:val="00B040EA"/>
    <w:rsid w:val="00B041EC"/>
    <w:rsid w:val="00B1210C"/>
    <w:rsid w:val="00B15DF7"/>
    <w:rsid w:val="00B204CF"/>
    <w:rsid w:val="00B2570F"/>
    <w:rsid w:val="00B3249F"/>
    <w:rsid w:val="00B33CBF"/>
    <w:rsid w:val="00B356CF"/>
    <w:rsid w:val="00B378D1"/>
    <w:rsid w:val="00B42504"/>
    <w:rsid w:val="00B4779D"/>
    <w:rsid w:val="00B51723"/>
    <w:rsid w:val="00B52430"/>
    <w:rsid w:val="00B57441"/>
    <w:rsid w:val="00B600D5"/>
    <w:rsid w:val="00B60B1B"/>
    <w:rsid w:val="00B82764"/>
    <w:rsid w:val="00B838E2"/>
    <w:rsid w:val="00B84EF5"/>
    <w:rsid w:val="00BA0973"/>
    <w:rsid w:val="00BA466F"/>
    <w:rsid w:val="00BA655F"/>
    <w:rsid w:val="00BB42A0"/>
    <w:rsid w:val="00BB6CA4"/>
    <w:rsid w:val="00BD3CBE"/>
    <w:rsid w:val="00BD6173"/>
    <w:rsid w:val="00BE3484"/>
    <w:rsid w:val="00BE554A"/>
    <w:rsid w:val="00BF347E"/>
    <w:rsid w:val="00BF7EA1"/>
    <w:rsid w:val="00C02811"/>
    <w:rsid w:val="00C031BB"/>
    <w:rsid w:val="00C046A4"/>
    <w:rsid w:val="00C063DC"/>
    <w:rsid w:val="00C071E0"/>
    <w:rsid w:val="00C07DC6"/>
    <w:rsid w:val="00C15DD4"/>
    <w:rsid w:val="00C163B2"/>
    <w:rsid w:val="00C22E0C"/>
    <w:rsid w:val="00C259C6"/>
    <w:rsid w:val="00C32AE3"/>
    <w:rsid w:val="00C35520"/>
    <w:rsid w:val="00C35CF6"/>
    <w:rsid w:val="00C53F0F"/>
    <w:rsid w:val="00C573F0"/>
    <w:rsid w:val="00C62ECC"/>
    <w:rsid w:val="00C62F68"/>
    <w:rsid w:val="00C65D06"/>
    <w:rsid w:val="00C7432A"/>
    <w:rsid w:val="00C74D58"/>
    <w:rsid w:val="00C9239E"/>
    <w:rsid w:val="00C944E5"/>
    <w:rsid w:val="00C95762"/>
    <w:rsid w:val="00CA1AD2"/>
    <w:rsid w:val="00CB188A"/>
    <w:rsid w:val="00CB27F9"/>
    <w:rsid w:val="00CB474C"/>
    <w:rsid w:val="00CB54E6"/>
    <w:rsid w:val="00CC2FC5"/>
    <w:rsid w:val="00CC74F4"/>
    <w:rsid w:val="00CD5823"/>
    <w:rsid w:val="00CE27D0"/>
    <w:rsid w:val="00D17CDB"/>
    <w:rsid w:val="00D32D45"/>
    <w:rsid w:val="00D34D18"/>
    <w:rsid w:val="00D34EE8"/>
    <w:rsid w:val="00D37DC4"/>
    <w:rsid w:val="00D50590"/>
    <w:rsid w:val="00D57D65"/>
    <w:rsid w:val="00D61DA4"/>
    <w:rsid w:val="00D72D63"/>
    <w:rsid w:val="00D90062"/>
    <w:rsid w:val="00D9108B"/>
    <w:rsid w:val="00DA0AA5"/>
    <w:rsid w:val="00DB6D3B"/>
    <w:rsid w:val="00DC04D1"/>
    <w:rsid w:val="00DC07BD"/>
    <w:rsid w:val="00DD419A"/>
    <w:rsid w:val="00DD5959"/>
    <w:rsid w:val="00DF3C97"/>
    <w:rsid w:val="00E03EB8"/>
    <w:rsid w:val="00E046C6"/>
    <w:rsid w:val="00E06AB4"/>
    <w:rsid w:val="00E221D5"/>
    <w:rsid w:val="00E278B9"/>
    <w:rsid w:val="00E33649"/>
    <w:rsid w:val="00E364BC"/>
    <w:rsid w:val="00E51C22"/>
    <w:rsid w:val="00E51F15"/>
    <w:rsid w:val="00E541B5"/>
    <w:rsid w:val="00E54670"/>
    <w:rsid w:val="00E55F16"/>
    <w:rsid w:val="00E606F1"/>
    <w:rsid w:val="00E62093"/>
    <w:rsid w:val="00E71C3C"/>
    <w:rsid w:val="00E74C78"/>
    <w:rsid w:val="00E77F18"/>
    <w:rsid w:val="00E82FA7"/>
    <w:rsid w:val="00E95548"/>
    <w:rsid w:val="00EA4362"/>
    <w:rsid w:val="00EB2CFC"/>
    <w:rsid w:val="00EC7426"/>
    <w:rsid w:val="00EE6743"/>
    <w:rsid w:val="00EE7495"/>
    <w:rsid w:val="00EF38E9"/>
    <w:rsid w:val="00EF7B09"/>
    <w:rsid w:val="00F00F86"/>
    <w:rsid w:val="00F045A8"/>
    <w:rsid w:val="00F07114"/>
    <w:rsid w:val="00F07710"/>
    <w:rsid w:val="00F10CC7"/>
    <w:rsid w:val="00F1103E"/>
    <w:rsid w:val="00F129EB"/>
    <w:rsid w:val="00F16229"/>
    <w:rsid w:val="00F17DC8"/>
    <w:rsid w:val="00F21154"/>
    <w:rsid w:val="00F25F25"/>
    <w:rsid w:val="00F42724"/>
    <w:rsid w:val="00F44E4D"/>
    <w:rsid w:val="00F461E5"/>
    <w:rsid w:val="00F650B7"/>
    <w:rsid w:val="00F66EDE"/>
    <w:rsid w:val="00F73FD6"/>
    <w:rsid w:val="00F751EF"/>
    <w:rsid w:val="00F91414"/>
    <w:rsid w:val="00F918D4"/>
    <w:rsid w:val="00F951B2"/>
    <w:rsid w:val="00FA3C76"/>
    <w:rsid w:val="00FB2799"/>
    <w:rsid w:val="00FB3480"/>
    <w:rsid w:val="00FB6A86"/>
    <w:rsid w:val="00FC2369"/>
    <w:rsid w:val="00FC28B7"/>
    <w:rsid w:val="00FC5C08"/>
    <w:rsid w:val="00FD7A2B"/>
    <w:rsid w:val="00FD7A96"/>
    <w:rsid w:val="00FE235D"/>
    <w:rsid w:val="00FE3FC2"/>
    <w:rsid w:val="00FE4243"/>
    <w:rsid w:val="00FF128D"/>
    <w:rsid w:val="00FF2CB9"/>
    <w:rsid w:val="00FF7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b/>
      <w:bCs/>
    </w:rPr>
  </w:style>
  <w:style w:type="paragraph" w:styleId="Header">
    <w:name w:val="header"/>
    <w:basedOn w:val="Normal"/>
    <w:link w:val="HeaderChar"/>
    <w:uiPriority w:val="99"/>
    <w:semiHidden/>
    <w:unhideWhenUsed/>
    <w:rsid w:val="00524969"/>
    <w:pPr>
      <w:tabs>
        <w:tab w:val="center" w:pos="4680"/>
        <w:tab w:val="right" w:pos="9360"/>
      </w:tabs>
    </w:pPr>
  </w:style>
  <w:style w:type="character" w:customStyle="1" w:styleId="HeaderChar">
    <w:name w:val="Header Char"/>
    <w:basedOn w:val="DefaultParagraphFont"/>
    <w:link w:val="Header"/>
    <w:uiPriority w:val="99"/>
    <w:semiHidden/>
    <w:rsid w:val="00524969"/>
    <w:rPr>
      <w:rFonts w:ascii="Arial" w:hAnsi="Arial" w:cs="Arial"/>
      <w:sz w:val="24"/>
      <w:szCs w:val="24"/>
    </w:rPr>
  </w:style>
  <w:style w:type="paragraph" w:styleId="Footer">
    <w:name w:val="footer"/>
    <w:basedOn w:val="Normal"/>
    <w:link w:val="FooterChar"/>
    <w:uiPriority w:val="99"/>
    <w:unhideWhenUsed/>
    <w:rsid w:val="00524969"/>
    <w:pPr>
      <w:tabs>
        <w:tab w:val="center" w:pos="4680"/>
        <w:tab w:val="right" w:pos="9360"/>
      </w:tabs>
    </w:pPr>
  </w:style>
  <w:style w:type="character" w:customStyle="1" w:styleId="FooterChar">
    <w:name w:val="Footer Char"/>
    <w:basedOn w:val="DefaultParagraphFont"/>
    <w:link w:val="Footer"/>
    <w:uiPriority w:val="99"/>
    <w:rsid w:val="00524969"/>
    <w:rPr>
      <w:rFonts w:ascii="Arial" w:hAnsi="Arial" w:cs="Arial"/>
      <w:sz w:val="24"/>
      <w:szCs w:val="24"/>
    </w:rPr>
  </w:style>
  <w:style w:type="paragraph" w:styleId="Revision">
    <w:name w:val="Revision"/>
    <w:hidden/>
    <w:uiPriority w:val="99"/>
    <w:semiHidden/>
    <w:rsid w:val="00143C0F"/>
    <w:pPr>
      <w:spacing w:after="0" w:line="240" w:lineRule="auto"/>
    </w:pPr>
    <w:rPr>
      <w:rFonts w:ascii="Arial" w:hAnsi="Arial" w:cs="Arial"/>
      <w:sz w:val="24"/>
      <w:szCs w:val="24"/>
    </w:rPr>
  </w:style>
  <w:style w:type="paragraph" w:styleId="DocumentMap">
    <w:name w:val="Document Map"/>
    <w:basedOn w:val="Normal"/>
    <w:link w:val="DocumentMapChar"/>
    <w:uiPriority w:val="99"/>
    <w:semiHidden/>
    <w:unhideWhenUsed/>
    <w:rsid w:val="00DA0AA5"/>
    <w:rPr>
      <w:rFonts w:ascii="Tahoma" w:hAnsi="Tahoma" w:cs="Tahoma"/>
      <w:sz w:val="16"/>
      <w:szCs w:val="16"/>
    </w:rPr>
  </w:style>
  <w:style w:type="character" w:customStyle="1" w:styleId="DocumentMapChar">
    <w:name w:val="Document Map Char"/>
    <w:basedOn w:val="DefaultParagraphFont"/>
    <w:link w:val="DocumentMap"/>
    <w:uiPriority w:val="99"/>
    <w:semiHidden/>
    <w:rsid w:val="00DA0A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57378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722632505">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2932451">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pubs/docs/ORECyclesBiennialReportLeg2011.pdf" TargetMode="External"/><Relationship Id="rId18" Type="http://schemas.openxmlformats.org/officeDocument/2006/relationships/footer" Target="footer1.xml"/><Relationship Id="rId26" Type="http://schemas.openxmlformats.org/officeDocument/2006/relationships/hyperlink" Target="http://arcweb.sos.state.or.us/pages/rules/oars_600/oar_660/660_tofc.html" TargetMode="External"/><Relationship Id="rId3" Type="http://schemas.openxmlformats.org/officeDocument/2006/relationships/customXml" Target="../customXml/item3.xml"/><Relationship Id="rId21" Type="http://schemas.openxmlformats.org/officeDocument/2006/relationships/hyperlink" Target="http://www.oregonlaws.org/ors/468A.327" TargetMode="External"/><Relationship Id="rId7" Type="http://schemas.openxmlformats.org/officeDocument/2006/relationships/settings" Target="settings.xml"/><Relationship Id="rId12" Type="http://schemas.openxmlformats.org/officeDocument/2006/relationships/hyperlink" Target="http://deq05/intranet/working/rulemaking/qcards/P02-Caption.pdf"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lq/ecycle/rulemaking.htm"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regulations/proposedrul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18.html"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package" Target="embeddings/Microsoft_Office_PowerPoint_Slide1.sldx"/><Relationship Id="rId23" Type="http://schemas.openxmlformats.org/officeDocument/2006/relationships/hyperlink" Target="http://deq05/intranet/working/rulemaking/qcards/P06-AboutRulesRulemakingActionsDefined.pdf" TargetMode="Externa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leg.state.or.us/ors/468a.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deq05/intranet/working/rulemaking/qcards/P04-AboutRulesNumbersTitles.pdf" TargetMode="External"/><Relationship Id="rId27" Type="http://schemas.openxmlformats.org/officeDocument/2006/relationships/hyperlink" Target="http://deq05/intranet/working/guidance/stateAgencyCoordinationProgram10-MSD-009.pdf" TargetMode="External"/><Relationship Id="rId30"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4"/>
        <w:category>
          <w:name w:val="General"/>
          <w:gallery w:val="placeholder"/>
        </w:category>
        <w:types>
          <w:type w:val="bbPlcHdr"/>
        </w:types>
        <w:behaviors>
          <w:behavior w:val="content"/>
        </w:behaviors>
        <w:guid w:val="{161B99E5-88EF-4481-9512-BBA57FF800BF}"/>
      </w:docPartPr>
      <w:docPartBody>
        <w:p w:rsidR="00610C97" w:rsidRDefault="00610C97">
          <w:r w:rsidRPr="00FA0461">
            <w:rPr>
              <w:rStyle w:val="PlaceholderText"/>
            </w:rPr>
            <w:t>Choose an item.</w:t>
          </w:r>
        </w:p>
      </w:docPartBody>
    </w:docPart>
    <w:docPart>
      <w:docPartPr>
        <w:name w:val="F57D3D14D68446CB87BE762BDFB2DA2A"/>
        <w:category>
          <w:name w:val="General"/>
          <w:gallery w:val="placeholder"/>
        </w:category>
        <w:types>
          <w:type w:val="bbPlcHdr"/>
        </w:types>
        <w:behaviors>
          <w:behavior w:val="content"/>
        </w:behaviors>
        <w:guid w:val="{0D3B03DB-9724-48F5-8550-10FE84E4836E}"/>
      </w:docPartPr>
      <w:docPartBody>
        <w:p w:rsidR="00610C97" w:rsidRDefault="00C96CBE" w:rsidP="00C96CBE">
          <w:pPr>
            <w:pStyle w:val="F57D3D14D68446CB87BE762BDFB2DA2A11"/>
          </w:pPr>
          <w:r w:rsidRPr="00B15DF7">
            <w:rPr>
              <w:rStyle w:val="PlaceholderText"/>
              <w:rFonts w:ascii="Times New Roman" w:hAnsi="Times New Roman" w:cs="Times New Roman"/>
              <w:color w:val="000000" w:themeColor="text1"/>
            </w:rPr>
            <w:t>Choose an item.</w:t>
          </w:r>
        </w:p>
      </w:docPartBody>
    </w:docPart>
    <w:docPart>
      <w:docPartPr>
        <w:name w:val="DEDF1061CBCE49C1B48125D2A6E4F4B1"/>
        <w:category>
          <w:name w:val="General"/>
          <w:gallery w:val="placeholder"/>
        </w:category>
        <w:types>
          <w:type w:val="bbPlcHdr"/>
        </w:types>
        <w:behaviors>
          <w:behavior w:val="content"/>
        </w:behaviors>
        <w:guid w:val="{CD69A0F0-4364-4170-A00E-77E38C0DFD61}"/>
      </w:docPartPr>
      <w:docPartBody>
        <w:p w:rsidR="00610C97" w:rsidRDefault="00C96CBE" w:rsidP="00C96CBE">
          <w:pPr>
            <w:pStyle w:val="DEDF1061CBCE49C1B48125D2A6E4F4B111"/>
          </w:pPr>
          <w:r w:rsidRPr="00B15DF7">
            <w:rPr>
              <w:rStyle w:val="PlaceholderText"/>
              <w:rFonts w:ascii="Times New Roman" w:hAnsi="Times New Roman" w:cs="Times New Roman"/>
              <w:color w:val="000000" w:themeColor="text1"/>
            </w:rPr>
            <w:t>Choose an item.</w:t>
          </w:r>
        </w:p>
      </w:docPartBody>
    </w:docPart>
    <w:docPart>
      <w:docPartPr>
        <w:name w:val="BFD667EE4FA54AD59C0219C0376E6A4D"/>
        <w:category>
          <w:name w:val="General"/>
          <w:gallery w:val="placeholder"/>
        </w:category>
        <w:types>
          <w:type w:val="bbPlcHdr"/>
        </w:types>
        <w:behaviors>
          <w:behavior w:val="content"/>
        </w:behaviors>
        <w:guid w:val="{BE16FAB7-3E32-423E-88EC-954FE1F45927}"/>
      </w:docPartPr>
      <w:docPartBody>
        <w:p w:rsidR="00610C97" w:rsidRDefault="00C96CBE" w:rsidP="00C96CBE">
          <w:pPr>
            <w:pStyle w:val="BFD667EE4FA54AD59C0219C0376E6A4D11"/>
          </w:pPr>
          <w:r w:rsidRPr="00B15DF7">
            <w:rPr>
              <w:rStyle w:val="PlaceholderText"/>
              <w:rFonts w:ascii="Times New Roman" w:hAnsi="Times New Roman" w:cs="Times New Roman"/>
              <w:color w:val="000000" w:themeColor="text1"/>
            </w:rPr>
            <w:t>Choose an item.</w:t>
          </w:r>
        </w:p>
      </w:docPartBody>
    </w:docPart>
    <w:docPart>
      <w:docPartPr>
        <w:name w:val="A67B9E2E86774764A0E498B0565A1E8B"/>
        <w:category>
          <w:name w:val="General"/>
          <w:gallery w:val="placeholder"/>
        </w:category>
        <w:types>
          <w:type w:val="bbPlcHdr"/>
        </w:types>
        <w:behaviors>
          <w:behavior w:val="content"/>
        </w:behaviors>
        <w:guid w:val="{81EE12FD-7CAF-45DB-A2EC-9C368B87C90B}"/>
      </w:docPartPr>
      <w:docPartBody>
        <w:p w:rsidR="00610C97" w:rsidRDefault="00C96CBE" w:rsidP="00C96CBE">
          <w:pPr>
            <w:pStyle w:val="A67B9E2E86774764A0E498B0565A1E8B11"/>
          </w:pPr>
          <w:r w:rsidRPr="00B15DF7">
            <w:rPr>
              <w:rStyle w:val="PlaceholderText"/>
              <w:rFonts w:ascii="Times New Roman" w:hAnsi="Times New Roman" w:cs="Times New Roman"/>
              <w:color w:val="000000" w:themeColor="text1"/>
            </w:rPr>
            <w:t>Choose an item.</w:t>
          </w:r>
        </w:p>
      </w:docPartBody>
    </w:docPart>
    <w:docPart>
      <w:docPartPr>
        <w:name w:val="0EB185DD7D07431B8DAC12F27EA60F41"/>
        <w:category>
          <w:name w:val="General"/>
          <w:gallery w:val="placeholder"/>
        </w:category>
        <w:types>
          <w:type w:val="bbPlcHdr"/>
        </w:types>
        <w:behaviors>
          <w:behavior w:val="content"/>
        </w:behaviors>
        <w:guid w:val="{2D3FF762-B0E3-43F5-8626-A4655065A654}"/>
      </w:docPartPr>
      <w:docPartBody>
        <w:p w:rsidR="000E35D2" w:rsidRDefault="00C96CBE" w:rsidP="00C96CBE">
          <w:pPr>
            <w:pStyle w:val="0EB185DD7D07431B8DAC12F27EA60F4110"/>
          </w:pPr>
          <w:r w:rsidRPr="00B15DF7">
            <w:rPr>
              <w:rStyle w:val="PlaceholderText"/>
              <w:rFonts w:ascii="Times New Roman" w:hAnsi="Times New Roman" w:cs="Times New Roman"/>
              <w:color w:val="000000" w:themeColor="text1"/>
            </w:rPr>
            <w:t>Choose an item.</w:t>
          </w:r>
        </w:p>
      </w:docPartBody>
    </w:docPart>
    <w:docPart>
      <w:docPartPr>
        <w:name w:val="4F31E2F3DD6B48E89CA671DCA3A013F3"/>
        <w:category>
          <w:name w:val="General"/>
          <w:gallery w:val="placeholder"/>
        </w:category>
        <w:types>
          <w:type w:val="bbPlcHdr"/>
        </w:types>
        <w:behaviors>
          <w:behavior w:val="content"/>
        </w:behaviors>
        <w:guid w:val="{DB01918E-280B-4E4B-8EC9-7EE29EAE4E4A}"/>
      </w:docPartPr>
      <w:docPartBody>
        <w:p w:rsidR="000E35D2" w:rsidRDefault="00C96CBE" w:rsidP="00C96CBE">
          <w:pPr>
            <w:pStyle w:val="4F31E2F3DD6B48E89CA671DCA3A013F39"/>
          </w:pPr>
          <w:r w:rsidRPr="00FA0461">
            <w:rPr>
              <w:rStyle w:val="PlaceholderText"/>
            </w:rPr>
            <w:t>Choose an item.</w:t>
          </w:r>
        </w:p>
      </w:docPartBody>
    </w:docPart>
    <w:docPart>
      <w:docPartPr>
        <w:name w:val="C17A291BC1AC438AAB5A994E043F4EC4"/>
        <w:category>
          <w:name w:val="General"/>
          <w:gallery w:val="placeholder"/>
        </w:category>
        <w:types>
          <w:type w:val="bbPlcHdr"/>
        </w:types>
        <w:behaviors>
          <w:behavior w:val="content"/>
        </w:behaviors>
        <w:guid w:val="{AA1482A2-21A8-4ECC-AD6F-CE55192DDFA1}"/>
      </w:docPartPr>
      <w:docPartBody>
        <w:p w:rsidR="000E35D2" w:rsidRDefault="00C96CBE" w:rsidP="00C96CBE">
          <w:pPr>
            <w:pStyle w:val="C17A291BC1AC438AAB5A994E043F4EC45"/>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1BA4"/>
    <w:rsid w:val="000513A5"/>
    <w:rsid w:val="000D7E1C"/>
    <w:rsid w:val="000E35D2"/>
    <w:rsid w:val="001729D8"/>
    <w:rsid w:val="00173BA4"/>
    <w:rsid w:val="00180B70"/>
    <w:rsid w:val="00212E61"/>
    <w:rsid w:val="002773AD"/>
    <w:rsid w:val="002F2A75"/>
    <w:rsid w:val="00304F82"/>
    <w:rsid w:val="00386DB7"/>
    <w:rsid w:val="003C3CCF"/>
    <w:rsid w:val="00465310"/>
    <w:rsid w:val="004E3A90"/>
    <w:rsid w:val="00566253"/>
    <w:rsid w:val="00590B9E"/>
    <w:rsid w:val="00610C97"/>
    <w:rsid w:val="00623DC0"/>
    <w:rsid w:val="00674259"/>
    <w:rsid w:val="006F0BB0"/>
    <w:rsid w:val="00831733"/>
    <w:rsid w:val="00897F48"/>
    <w:rsid w:val="008E52A6"/>
    <w:rsid w:val="009634D4"/>
    <w:rsid w:val="009E3D97"/>
    <w:rsid w:val="009F564D"/>
    <w:rsid w:val="00A1296C"/>
    <w:rsid w:val="00A519B5"/>
    <w:rsid w:val="00B6374E"/>
    <w:rsid w:val="00B7572C"/>
    <w:rsid w:val="00C96CBE"/>
    <w:rsid w:val="00CE7717"/>
    <w:rsid w:val="00D34945"/>
    <w:rsid w:val="00DA64FA"/>
    <w:rsid w:val="00E56AD7"/>
    <w:rsid w:val="00F17506"/>
    <w:rsid w:val="00F52065"/>
    <w:rsid w:val="00F7029D"/>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06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7CAF7E26B4146AE24DE7AADC1DF46" ma:contentTypeVersion="0" ma:contentTypeDescription="Create a new document." ma:contentTypeScope="" ma:versionID="b1fe43f6c18f725b3f02f45b3bb18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34123A1-799C-43B2-A810-A95076A9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93F1706-447B-46A3-80D2-DFB8BA5A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10043</Words>
  <Characters>57250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mvandeh</cp:lastModifiedBy>
  <cp:revision>2</cp:revision>
  <cp:lastPrinted>2012-05-30T14:21:00Z</cp:lastPrinted>
  <dcterms:created xsi:type="dcterms:W3CDTF">2012-05-30T14:33:00Z</dcterms:created>
  <dcterms:modified xsi:type="dcterms:W3CDTF">2012-05-30T14:33:00Z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0x0101004E27CAF7E26B4146AE24DE7AADC1DF46</vt:lpwstr>
  </property>
</Properties>
</file>