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1B" w:rsidRPr="00D1171D" w:rsidRDefault="00893D1B" w:rsidP="00893D1B">
      <w:pPr>
        <w:pStyle w:val="Heading4"/>
      </w:pPr>
      <w:r w:rsidRPr="00D1171D">
        <w:t>State of Oregon</w:t>
      </w:r>
    </w:p>
    <w:p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:rsidR="00893D1B" w:rsidRPr="00D1171D" w:rsidRDefault="0024309D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 w:rsidRPr="005414CE">
        <w:rPr>
          <w:rFonts w:ascii="Times New Roman" w:hAnsi="Times New Roman"/>
          <w:b/>
        </w:rPr>
        <w:t xml:space="preserve">Date: </w:t>
      </w:r>
      <w:r w:rsidRPr="005414CE">
        <w:rPr>
          <w:rFonts w:ascii="Times New Roman" w:hAnsi="Times New Roman"/>
          <w:b/>
        </w:rPr>
        <w:tab/>
      </w:r>
      <w:r w:rsidR="003A530F">
        <w:rPr>
          <w:rFonts w:ascii="Times New Roman" w:hAnsi="Times New Roman"/>
        </w:rPr>
        <w:t>Jan. 23</w:t>
      </w:r>
      <w:r w:rsidR="002B3CE4">
        <w:rPr>
          <w:rFonts w:ascii="Times New Roman" w:hAnsi="Times New Roman"/>
        </w:rPr>
        <w:t>, 2012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  <w:t>Environmental Quality Commission</w:t>
      </w:r>
    </w:p>
    <w:p w:rsidR="00893D1B" w:rsidRPr="00D1171D" w:rsidRDefault="00893D1B" w:rsidP="00893D1B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  <w:t>Dick Pederse</w:t>
      </w:r>
      <w:r w:rsidRPr="00D1171D">
        <w:rPr>
          <w:rFonts w:ascii="Times New Roman" w:hAnsi="Times New Roman"/>
        </w:rPr>
        <w:t>n, Director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1E1F22" w:rsidRDefault="00893D1B" w:rsidP="00BE014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item </w:t>
      </w:r>
      <w:r w:rsidR="003F4564">
        <w:rPr>
          <w:rFonts w:ascii="Times New Roman" w:hAnsi="Times New Roman"/>
        </w:rPr>
        <w:t>F</w:t>
      </w:r>
      <w:r w:rsidRPr="00D1171D">
        <w:rPr>
          <w:rFonts w:ascii="Times New Roman" w:hAnsi="Times New Roman"/>
        </w:rPr>
        <w:t xml:space="preserve">, </w:t>
      </w:r>
      <w:bookmarkEnd w:id="0"/>
      <w:r w:rsidR="007B2C91">
        <w:rPr>
          <w:rFonts w:ascii="Times New Roman" w:hAnsi="Times New Roman"/>
        </w:rPr>
        <w:t xml:space="preserve">Action item, </w:t>
      </w:r>
      <w:r w:rsidR="00C96391">
        <w:rPr>
          <w:rFonts w:ascii="Times New Roman" w:hAnsi="Times New Roman"/>
        </w:rPr>
        <w:t>Rulemaking</w:t>
      </w:r>
      <w:r w:rsidR="00894EC4">
        <w:rPr>
          <w:rFonts w:ascii="Times New Roman" w:hAnsi="Times New Roman"/>
        </w:rPr>
        <w:t xml:space="preserve">: </w:t>
      </w:r>
      <w:r w:rsidR="00F03DA3">
        <w:rPr>
          <w:rFonts w:ascii="Times New Roman" w:hAnsi="Times New Roman"/>
        </w:rPr>
        <w:t xml:space="preserve">Small and </w:t>
      </w:r>
      <w:r w:rsidR="00D001F3">
        <w:rPr>
          <w:rFonts w:ascii="Times New Roman" w:hAnsi="Times New Roman"/>
        </w:rPr>
        <w:t>mid</w:t>
      </w:r>
      <w:r w:rsidR="00F03DA3">
        <w:rPr>
          <w:rFonts w:ascii="Times New Roman" w:hAnsi="Times New Roman"/>
        </w:rPr>
        <w:t xml:space="preserve">-size </w:t>
      </w:r>
      <w:r w:rsidR="00D001F3">
        <w:rPr>
          <w:rFonts w:ascii="Times New Roman" w:hAnsi="Times New Roman"/>
        </w:rPr>
        <w:t>boiler rule amendments</w:t>
      </w:r>
      <w:r w:rsidR="00BE0149">
        <w:rPr>
          <w:rFonts w:ascii="Times New Roman" w:hAnsi="Times New Roman"/>
          <w:b/>
        </w:rPr>
        <w:t xml:space="preserve"> </w:t>
      </w:r>
    </w:p>
    <w:p w:rsidR="00893D1B" w:rsidRPr="006E7804" w:rsidRDefault="001E1F22" w:rsidP="00BE014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F6054">
        <w:rPr>
          <w:rFonts w:ascii="Times New Roman" w:hAnsi="Times New Roman"/>
        </w:rPr>
        <w:t>Feb</w:t>
      </w:r>
      <w:r w:rsidR="00894EC4">
        <w:rPr>
          <w:rFonts w:ascii="Times New Roman" w:hAnsi="Times New Roman"/>
        </w:rPr>
        <w:t>.</w:t>
      </w:r>
      <w:r w:rsidR="00F03DA3">
        <w:rPr>
          <w:rFonts w:ascii="Times New Roman" w:hAnsi="Times New Roman"/>
        </w:rPr>
        <w:t xml:space="preserve"> </w:t>
      </w:r>
      <w:r w:rsidR="00DF6054">
        <w:rPr>
          <w:rFonts w:ascii="Times New Roman" w:hAnsi="Times New Roman"/>
        </w:rPr>
        <w:t>16-17</w:t>
      </w:r>
      <w:r w:rsidR="00F03DA3">
        <w:rPr>
          <w:rFonts w:ascii="Times New Roman" w:hAnsi="Times New Roman"/>
        </w:rPr>
        <w:t xml:space="preserve">, </w:t>
      </w:r>
      <w:r w:rsidR="00DF6054">
        <w:rPr>
          <w:rFonts w:ascii="Times New Roman" w:hAnsi="Times New Roman"/>
        </w:rPr>
        <w:t>2012</w:t>
      </w:r>
      <w:r w:rsidR="00C96391">
        <w:rPr>
          <w:rFonts w:ascii="Times New Roman" w:hAnsi="Times New Roman"/>
        </w:rPr>
        <w:t xml:space="preserve">, </w:t>
      </w:r>
      <w:r w:rsidR="00120648" w:rsidRPr="00D1171D">
        <w:rPr>
          <w:rFonts w:ascii="Times New Roman" w:hAnsi="Times New Roman"/>
        </w:rPr>
        <w:t>EQC m</w:t>
      </w:r>
      <w:r w:rsidR="00893D1B" w:rsidRPr="00D1171D">
        <w:rPr>
          <w:rFonts w:ascii="Times New Roman" w:hAnsi="Times New Roman"/>
        </w:rPr>
        <w:t>eeting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763"/>
        <w:gridCol w:w="7128"/>
      </w:tblGrid>
      <w:tr w:rsidR="00893D1B" w:rsidRPr="00D1171D">
        <w:tc>
          <w:tcPr>
            <w:tcW w:w="1728" w:type="dxa"/>
          </w:tcPr>
          <w:p w:rsidR="00893D1B" w:rsidRPr="00D1171D" w:rsidRDefault="008B6CE8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</w:rPr>
            </w:pPr>
            <w:r w:rsidRPr="003D0AD5">
              <w:rPr>
                <w:rFonts w:ascii="Times New Roman" w:hAnsi="Times New Roman"/>
                <w:b/>
                <w:spacing w:val="-3"/>
                <w:sz w:val="22"/>
              </w:rPr>
              <w:t>Why</w:t>
            </w:r>
            <w:r w:rsidR="001D08CB" w:rsidRPr="003D0AD5">
              <w:rPr>
                <w:rFonts w:ascii="Times New Roman" w:hAnsi="Times New Roman"/>
                <w:b/>
                <w:spacing w:val="-3"/>
                <w:sz w:val="22"/>
              </w:rPr>
              <w:t xml:space="preserve"> this</w:t>
            </w:r>
            <w:r w:rsidR="001D08CB">
              <w:rPr>
                <w:rFonts w:ascii="Times New Roman" w:hAnsi="Times New Roman"/>
                <w:b/>
                <w:spacing w:val="-3"/>
                <w:sz w:val="22"/>
              </w:rPr>
              <w:t xml:space="preserve"> is important</w:t>
            </w:r>
          </w:p>
        </w:tc>
        <w:tc>
          <w:tcPr>
            <w:tcW w:w="7128" w:type="dxa"/>
          </w:tcPr>
          <w:p w:rsidR="00B70653" w:rsidRDefault="00C50BB6" w:rsidP="00C50BB6">
            <w:pPr>
              <w:rPr>
                <w:rFonts w:ascii="Times New Roman" w:hAnsi="Times New Roman"/>
                <w:szCs w:val="24"/>
              </w:rPr>
            </w:pPr>
            <w:r>
              <w:t xml:space="preserve">DEQ’s Heat Smart rules, as revised and approved by the commission </w:t>
            </w:r>
            <w:r w:rsidR="00B35351">
              <w:t>in 2011</w:t>
            </w:r>
            <w:r>
              <w:t>, had the unintended consequence of limiting the sale and use of some small-scale biomass or solid</w:t>
            </w:r>
            <w:r w:rsidR="003732A3">
              <w:t>-</w:t>
            </w:r>
            <w:r>
              <w:t>fuel</w:t>
            </w:r>
            <w:r w:rsidR="003732A3">
              <w:t>-</w:t>
            </w:r>
            <w:r>
              <w:t>burning</w:t>
            </w:r>
            <w:r w:rsidR="0045533A">
              <w:t xml:space="preserve"> commercial</w:t>
            </w:r>
            <w:r w:rsidR="00203315">
              <w:t>, industrial</w:t>
            </w:r>
            <w:r w:rsidR="00457EAF">
              <w:t xml:space="preserve"> and</w:t>
            </w:r>
            <w:r w:rsidR="0045533A">
              <w:t xml:space="preserve"> institutional</w:t>
            </w:r>
            <w:r>
              <w:t xml:space="preserve"> boilers. These boilers are necessary for biomass energy</w:t>
            </w:r>
            <w:r w:rsidR="0000637A">
              <w:t xml:space="preserve"> initiatives planned in Oregon. </w:t>
            </w:r>
            <w:r>
              <w:t xml:space="preserve">DEQ proposes </w:t>
            </w:r>
            <w:r w:rsidR="00B747CA">
              <w:t xml:space="preserve">the </w:t>
            </w:r>
            <w:r w:rsidR="00B747CA" w:rsidRPr="00021B58">
              <w:t xml:space="preserve">attached </w:t>
            </w:r>
            <w:r w:rsidR="00B35351" w:rsidRPr="00021B58">
              <w:t>rule revisions</w:t>
            </w:r>
            <w:r w:rsidR="00B35351">
              <w:t xml:space="preserve"> </w:t>
            </w:r>
            <w:r>
              <w:t xml:space="preserve">to </w:t>
            </w:r>
            <w:r w:rsidR="002D26E4">
              <w:t xml:space="preserve">exempt </w:t>
            </w:r>
            <w:r w:rsidR="003732A3">
              <w:t>such</w:t>
            </w:r>
            <w:r w:rsidR="0000637A">
              <w:t xml:space="preserve"> </w:t>
            </w:r>
            <w:r w:rsidR="00E13AB2">
              <w:t>boilers</w:t>
            </w:r>
            <w:r w:rsidR="002D26E4">
              <w:t xml:space="preserve"> fr</w:t>
            </w:r>
            <w:r w:rsidR="004506D9">
              <w:t>o</w:t>
            </w:r>
            <w:r w:rsidR="002D26E4">
              <w:t xml:space="preserve">m </w:t>
            </w:r>
            <w:r w:rsidR="004506D9">
              <w:t>H</w:t>
            </w:r>
            <w:r w:rsidR="002D26E4">
              <w:t xml:space="preserve">eat Smart </w:t>
            </w:r>
            <w:r w:rsidR="0000637A">
              <w:t xml:space="preserve">rules, provided they meet </w:t>
            </w:r>
            <w:r w:rsidR="002D26E4">
              <w:t xml:space="preserve">certain </w:t>
            </w:r>
            <w:r w:rsidR="00E13AB2">
              <w:t>conditions</w:t>
            </w:r>
            <w:r w:rsidR="002D26E4">
              <w:t>.</w:t>
            </w:r>
            <w:r w:rsidR="006A7DBF">
              <w:t xml:space="preserve"> </w:t>
            </w:r>
          </w:p>
          <w:p w:rsidR="003A40C8" w:rsidRDefault="003A40C8">
            <w:pPr>
              <w:rPr>
                <w:rFonts w:ascii="Times New Roman" w:hAnsi="Times New Roman"/>
                <w:spacing w:val="-3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DEQ recommendation and EQC motion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E015F8" w:rsidRPr="00E015F8" w:rsidRDefault="00F52FC8" w:rsidP="00E015F8">
            <w:pPr>
              <w:pStyle w:val="DEQTEXTforFACTSHEE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DEQ recommends that the </w:t>
            </w:r>
            <w:r w:rsidR="00BE53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commission </w:t>
            </w: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adopt the proposed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revisions to Oregon Administrative Rules, Chapter 340, </w:t>
            </w:r>
            <w:r w:rsidR="00F22289" w:rsidRPr="00592A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divisions 200, 210, 228 and 262 as presented </w:t>
            </w:r>
            <w:r w:rsidRPr="00592A08">
              <w:rPr>
                <w:rFonts w:ascii="Times New Roman" w:hAnsi="Times New Roman"/>
                <w:spacing w:val="-3"/>
                <w:sz w:val="24"/>
                <w:szCs w:val="24"/>
              </w:rPr>
              <w:t>in attachment A.</w:t>
            </w:r>
            <w:r w:rsidR="004273AF" w:rsidRPr="00592A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F22289" w:rsidRPr="00592A08">
              <w:rPr>
                <w:rFonts w:ascii="Times New Roman" w:hAnsi="Times New Roman"/>
                <w:spacing w:val="-3"/>
                <w:sz w:val="24"/>
                <w:szCs w:val="24"/>
              </w:rPr>
              <w:t>DEQ also reco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mmends that the commission amend the </w:t>
            </w:r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 xml:space="preserve">Oregon Clean Air Act </w:t>
            </w:r>
            <w:r w:rsidR="00F4642A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>Implement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 Plan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>, and authorize DEQ to submit these revisions to the U.S. Environmental Protection Agency for approval</w:t>
            </w:r>
            <w:r w:rsidR="00EB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 xml:space="preserve">as revisions to Oregon’s </w:t>
            </w:r>
            <w:r w:rsidR="00EB38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6391" w:rsidRPr="00E015F8" w:rsidRDefault="00C96391" w:rsidP="00B9424A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Background </w:t>
            </w:r>
            <w:r w:rsidR="0011753D">
              <w:rPr>
                <w:rFonts w:ascii="Times New Roman" w:hAnsi="Times New Roman"/>
                <w:b/>
                <w:spacing w:val="-3"/>
                <w:sz w:val="22"/>
              </w:rPr>
              <w:t>and need for rulemaking</w:t>
            </w:r>
          </w:p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BF2DA3" w:rsidRDefault="004E55B0" w:rsidP="00B31A9C">
            <w:r>
              <w:t xml:space="preserve">In February 2011, the </w:t>
            </w:r>
            <w:r w:rsidR="00BE5397">
              <w:t xml:space="preserve">commission </w:t>
            </w:r>
            <w:r w:rsidR="00AD2DCC">
              <w:t>revised</w:t>
            </w:r>
            <w:r w:rsidR="00880E73">
              <w:t xml:space="preserve"> the </w:t>
            </w:r>
            <w:r>
              <w:t>Heat Smart rules</w:t>
            </w:r>
            <w:r w:rsidR="00F4642A">
              <w:t xml:space="preserve"> </w:t>
            </w:r>
            <w:r w:rsidR="00D935DB">
              <w:t xml:space="preserve">to require </w:t>
            </w:r>
            <w:r w:rsidR="000014EE">
              <w:t>small</w:t>
            </w:r>
            <w:r w:rsidR="00B747CA">
              <w:t>-scale</w:t>
            </w:r>
            <w:r w:rsidR="00761567">
              <w:t xml:space="preserve"> </w:t>
            </w:r>
            <w:r>
              <w:t>solid fuel burning devices</w:t>
            </w:r>
            <w:r w:rsidR="000014EE">
              <w:t xml:space="preserve"> </w:t>
            </w:r>
            <w:r>
              <w:t xml:space="preserve">with </w:t>
            </w:r>
            <w:r w:rsidR="00520F14">
              <w:t xml:space="preserve">maximum </w:t>
            </w:r>
            <w:r>
              <w:t>heat output</w:t>
            </w:r>
            <w:r w:rsidR="00520F14">
              <w:t xml:space="preserve"> capacitie</w:t>
            </w:r>
            <w:r>
              <w:t xml:space="preserve">s </w:t>
            </w:r>
            <w:r w:rsidR="00880E73">
              <w:t>below</w:t>
            </w:r>
            <w:r w:rsidR="006020EA">
              <w:t xml:space="preserve"> one</w:t>
            </w:r>
            <w:r>
              <w:t xml:space="preserve"> million </w:t>
            </w:r>
            <w:r w:rsidR="00463128">
              <w:t>B</w:t>
            </w:r>
            <w:r w:rsidR="003732A3">
              <w:t>TU</w:t>
            </w:r>
            <w:r w:rsidR="006A7DBF">
              <w:t>s</w:t>
            </w:r>
            <w:r>
              <w:t xml:space="preserve"> per hour</w:t>
            </w:r>
            <w:r w:rsidR="00F51DC7">
              <w:t xml:space="preserve"> </w:t>
            </w:r>
            <w:r w:rsidR="003732A3">
              <w:t xml:space="preserve">to </w:t>
            </w:r>
            <w:r w:rsidR="00520F14">
              <w:t>meet</w:t>
            </w:r>
            <w:r>
              <w:t xml:space="preserve"> EPA</w:t>
            </w:r>
            <w:r w:rsidR="00EB3845">
              <w:t>’s</w:t>
            </w:r>
            <w:r>
              <w:t xml:space="preserve"> </w:t>
            </w:r>
            <w:r w:rsidR="00B9424A">
              <w:t>New Source</w:t>
            </w:r>
            <w:r w:rsidR="00EB3845">
              <w:t xml:space="preserve"> </w:t>
            </w:r>
            <w:r w:rsidR="00B9424A">
              <w:t>Performance</w:t>
            </w:r>
            <w:r w:rsidR="00EB3845">
              <w:t xml:space="preserve"> </w:t>
            </w:r>
            <w:r w:rsidR="00B9424A">
              <w:t>Standards</w:t>
            </w:r>
            <w:r w:rsidR="00EB3845">
              <w:t xml:space="preserve"> </w:t>
            </w:r>
            <w:r w:rsidR="00B9424A">
              <w:t xml:space="preserve">for </w:t>
            </w:r>
            <w:r w:rsidR="00EB3845">
              <w:t>residential wood heating appliances</w:t>
            </w:r>
            <w:r w:rsidR="003C3F6D">
              <w:rPr>
                <w:rStyle w:val="FootnoteReference"/>
              </w:rPr>
              <w:footnoteReference w:id="1"/>
            </w:r>
            <w:r w:rsidR="00EB3845">
              <w:t xml:space="preserve"> </w:t>
            </w:r>
            <w:r>
              <w:t>in order to be sold in Oregon.</w:t>
            </w:r>
            <w:r w:rsidR="009C765C">
              <w:t xml:space="preserve"> </w:t>
            </w:r>
            <w:r w:rsidR="00225676">
              <w:t xml:space="preserve">After </w:t>
            </w:r>
            <w:r w:rsidR="001D6496">
              <w:t xml:space="preserve">adopting </w:t>
            </w:r>
            <w:r w:rsidR="00AD2DCC">
              <w:t>the revisions</w:t>
            </w:r>
            <w:r w:rsidR="000D5C81">
              <w:t>,</w:t>
            </w:r>
            <w:r w:rsidR="00225676">
              <w:t xml:space="preserve"> </w:t>
            </w:r>
            <w:r w:rsidR="00B9424A">
              <w:t>it</w:t>
            </w:r>
            <w:r w:rsidR="00225676">
              <w:t xml:space="preserve"> came to DEQ’s attention </w:t>
            </w:r>
            <w:r w:rsidR="003E69F2">
              <w:t xml:space="preserve">that </w:t>
            </w:r>
            <w:r w:rsidR="00524D44">
              <w:t xml:space="preserve">the </w:t>
            </w:r>
            <w:r w:rsidR="00EB3845">
              <w:t>rules had the unintended consequence of affecting</w:t>
            </w:r>
            <w:r w:rsidR="006F55A5">
              <w:t xml:space="preserve"> </w:t>
            </w:r>
            <w:r w:rsidR="00EB3845">
              <w:t>small-scale commercial</w:t>
            </w:r>
            <w:r w:rsidR="00DF6054">
              <w:t>, industrial</w:t>
            </w:r>
            <w:r w:rsidR="00EB3845">
              <w:t xml:space="preserve"> and institutional wood-fired boilers</w:t>
            </w:r>
            <w:r w:rsidR="003E69F2">
              <w:t xml:space="preserve">. </w:t>
            </w:r>
          </w:p>
          <w:p w:rsidR="00BF2DA3" w:rsidRDefault="00BF2DA3" w:rsidP="00B31A9C"/>
          <w:p w:rsidR="00203315" w:rsidRDefault="006020EA" w:rsidP="00B31A9C">
            <w:r>
              <w:t xml:space="preserve">The </w:t>
            </w:r>
            <w:r w:rsidR="009C765C">
              <w:t xml:space="preserve">Heat Smart rules </w:t>
            </w:r>
            <w:r>
              <w:t xml:space="preserve">primarily </w:t>
            </w:r>
            <w:r w:rsidR="00225676">
              <w:t xml:space="preserve">address </w:t>
            </w:r>
            <w:r w:rsidR="009C765C">
              <w:t>residential</w:t>
            </w:r>
            <w:r w:rsidR="00225676">
              <w:t xml:space="preserve"> </w:t>
            </w:r>
            <w:r w:rsidR="00524D44">
              <w:t xml:space="preserve">wood </w:t>
            </w:r>
            <w:r w:rsidR="009C765C">
              <w:t>heating devices, including</w:t>
            </w:r>
            <w:r w:rsidR="00225676">
              <w:t xml:space="preserve"> </w:t>
            </w:r>
            <w:r w:rsidR="00633EB0">
              <w:t xml:space="preserve">residential </w:t>
            </w:r>
            <w:r w:rsidR="009C765C">
              <w:t>outdoor wood-fired boilers</w:t>
            </w:r>
            <w:r w:rsidR="00BE5397">
              <w:t xml:space="preserve">, also known as </w:t>
            </w:r>
            <w:r w:rsidR="009C765C">
              <w:t>hydronic heaters</w:t>
            </w:r>
            <w:r w:rsidR="00E4598F">
              <w:t>, but can also apply to</w:t>
            </w:r>
            <w:r w:rsidR="00463128">
              <w:t xml:space="preserve"> </w:t>
            </w:r>
            <w:r w:rsidR="00E4598F">
              <w:t xml:space="preserve">some </w:t>
            </w:r>
            <w:r w:rsidR="00B9424A">
              <w:t>small-</w:t>
            </w:r>
            <w:r w:rsidR="009C765C">
              <w:t xml:space="preserve">scale commercial space heating </w:t>
            </w:r>
            <w:r w:rsidR="00225676">
              <w:t>systems</w:t>
            </w:r>
            <w:r w:rsidR="007C416D">
              <w:t xml:space="preserve"> that</w:t>
            </w:r>
            <w:r w:rsidR="00225676">
              <w:t xml:space="preserve"> </w:t>
            </w:r>
            <w:r w:rsidR="009C765C">
              <w:t>us</w:t>
            </w:r>
            <w:r w:rsidR="007C416D">
              <w:t>e</w:t>
            </w:r>
            <w:r w:rsidR="009C765C">
              <w:t xml:space="preserve"> wood</w:t>
            </w:r>
            <w:r w:rsidR="007C416D">
              <w:t xml:space="preserve"> as a primary fuel</w:t>
            </w:r>
            <w:r w:rsidR="000014EE">
              <w:t xml:space="preserve">. </w:t>
            </w:r>
            <w:r w:rsidR="00AF350F">
              <w:t xml:space="preserve">Small and mid-size biomass </w:t>
            </w:r>
            <w:r w:rsidR="00E4598F">
              <w:t xml:space="preserve">boilers used </w:t>
            </w:r>
            <w:r>
              <w:t>for</w:t>
            </w:r>
            <w:r w:rsidR="00E4598F">
              <w:t xml:space="preserve"> </w:t>
            </w:r>
            <w:r w:rsidR="006C3DD8">
              <w:t>commercial</w:t>
            </w:r>
            <w:r w:rsidR="00181B3B">
              <w:t>,</w:t>
            </w:r>
            <w:r w:rsidR="006C3DD8">
              <w:t xml:space="preserve"> institutional</w:t>
            </w:r>
            <w:r w:rsidR="00181B3B">
              <w:t xml:space="preserve"> and industrial</w:t>
            </w:r>
            <w:r w:rsidR="006C3DD8">
              <w:t xml:space="preserve"> </w:t>
            </w:r>
            <w:r w:rsidR="00E4598F">
              <w:t xml:space="preserve">facilities </w:t>
            </w:r>
            <w:r w:rsidR="009926A7">
              <w:t xml:space="preserve">are </w:t>
            </w:r>
            <w:r w:rsidR="00AF350F">
              <w:t xml:space="preserve">at </w:t>
            </w:r>
            <w:r w:rsidR="009926A7">
              <w:t>a different </w:t>
            </w:r>
            <w:r w:rsidR="00AF350F">
              <w:t>scale</w:t>
            </w:r>
            <w:r w:rsidR="009926A7">
              <w:t xml:space="preserve"> than those used for residential or </w:t>
            </w:r>
            <w:r w:rsidR="00464EE4">
              <w:t>small</w:t>
            </w:r>
            <w:r w:rsidR="00B9424A">
              <w:t>-</w:t>
            </w:r>
            <w:r w:rsidR="00464EE4">
              <w:lastRenderedPageBreak/>
              <w:t xml:space="preserve">scale </w:t>
            </w:r>
            <w:r w:rsidR="009926A7">
              <w:t>commercial space heating</w:t>
            </w:r>
            <w:r w:rsidR="00E4598F">
              <w:t>, and should not be subject to Heat Smart</w:t>
            </w:r>
            <w:r>
              <w:t xml:space="preserve"> rules</w:t>
            </w:r>
            <w:r w:rsidR="006F55A5">
              <w:t>.</w:t>
            </w:r>
            <w:r w:rsidR="009926A7">
              <w:t xml:space="preserve"> </w:t>
            </w:r>
            <w:r w:rsidR="006F55A5">
              <w:t>T</w:t>
            </w:r>
            <w:r w:rsidR="009926A7">
              <w:t>ypically</w:t>
            </w:r>
            <w:r w:rsidR="00D935DB">
              <w:t>,</w:t>
            </w:r>
            <w:r w:rsidR="009926A7">
              <w:t xml:space="preserve"> </w:t>
            </w:r>
            <w:r w:rsidR="006F55A5">
              <w:t xml:space="preserve">these boilers are </w:t>
            </w:r>
            <w:r>
              <w:t>f</w:t>
            </w:r>
            <w:r w:rsidR="009926A7">
              <w:t>or wood drying applications and for heating much larger spaces, such as schools or hospitals.</w:t>
            </w:r>
            <w:r w:rsidR="004273AF">
              <w:t xml:space="preserve"> </w:t>
            </w:r>
            <w:r w:rsidR="003732A3">
              <w:t>Such</w:t>
            </w:r>
            <w:r w:rsidR="00A91A46">
              <w:t xml:space="preserve"> boilers are </w:t>
            </w:r>
            <w:r w:rsidR="003732A3">
              <w:t xml:space="preserve">already </w:t>
            </w:r>
            <w:r w:rsidR="00A91A46">
              <w:t xml:space="preserve">subject to </w:t>
            </w:r>
            <w:r w:rsidR="006C3DD8">
              <w:t>existing</w:t>
            </w:r>
            <w:r w:rsidR="00A91A46">
              <w:t xml:space="preserve"> state and federal air quality standards, </w:t>
            </w:r>
            <w:r w:rsidR="00AD2DCC">
              <w:t>including federal air toxics standards</w:t>
            </w:r>
            <w:r w:rsidR="00834916">
              <w:t xml:space="preserve">. </w:t>
            </w:r>
            <w:r w:rsidR="003732A3">
              <w:t>The</w:t>
            </w:r>
            <w:r w:rsidR="00EB3845">
              <w:t xml:space="preserve"> current Heat Smart </w:t>
            </w:r>
            <w:r w:rsidR="00625EE1">
              <w:t>rules unintentionally restrict</w:t>
            </w:r>
            <w:r w:rsidR="00EB3845">
              <w:t xml:space="preserve"> the</w:t>
            </w:r>
            <w:r w:rsidR="00A91A46">
              <w:t xml:space="preserve"> sale of these units in Oregon</w:t>
            </w:r>
            <w:r w:rsidR="00EB3845">
              <w:t>.</w:t>
            </w:r>
            <w:r w:rsidR="00A91A46">
              <w:t xml:space="preserve"> </w:t>
            </w:r>
          </w:p>
          <w:p w:rsidR="00DE76CC" w:rsidRDefault="00DE76CC" w:rsidP="00B31A9C"/>
          <w:p w:rsidR="00DE76CC" w:rsidRPr="00DE76CC" w:rsidRDefault="00BF2DA3" w:rsidP="00DE76CC">
            <w:pPr>
              <w:tabs>
                <w:tab w:val="center" w:pos="4320"/>
                <w:tab w:val="right" w:pos="8640"/>
              </w:tabs>
            </w:pPr>
            <w:r>
              <w:t>To resolve this concern</w:t>
            </w:r>
            <w:r w:rsidR="002079F6">
              <w:t xml:space="preserve">, </w:t>
            </w:r>
            <w:r w:rsidR="002079F6" w:rsidRPr="00DE76CC">
              <w:t>DEQ</w:t>
            </w:r>
            <w:r w:rsidR="002079F6">
              <w:t xml:space="preserve"> is proposing to </w:t>
            </w:r>
            <w:r w:rsidR="002079F6" w:rsidRPr="00DE76CC">
              <w:t xml:space="preserve">exempt </w:t>
            </w:r>
            <w:r w:rsidR="002079F6">
              <w:t>small</w:t>
            </w:r>
            <w:r w:rsidR="00625EE1">
              <w:t>-</w:t>
            </w:r>
            <w:r w:rsidR="00404B3E">
              <w:t xml:space="preserve">scale industrial, commercial, and institutional </w:t>
            </w:r>
            <w:r w:rsidR="00DE62E2">
              <w:t>sold</w:t>
            </w:r>
            <w:r w:rsidR="00203315">
              <w:t xml:space="preserve"> </w:t>
            </w:r>
            <w:r w:rsidR="00DE62E2">
              <w:t xml:space="preserve">fuel </w:t>
            </w:r>
            <w:r w:rsidR="00404B3E">
              <w:t>boilers</w:t>
            </w:r>
            <w:r w:rsidR="00404B3E" w:rsidRPr="00DE76CC">
              <w:t xml:space="preserve"> </w:t>
            </w:r>
            <w:r w:rsidR="00404B3E">
              <w:t>with heat output</w:t>
            </w:r>
            <w:r w:rsidR="00203315">
              <w:t>s</w:t>
            </w:r>
            <w:r w:rsidR="00404B3E">
              <w:t xml:space="preserve"> les</w:t>
            </w:r>
            <w:r w:rsidR="00DE62E2">
              <w:t>s</w:t>
            </w:r>
            <w:r w:rsidR="00625EE1">
              <w:t xml:space="preserve"> than one</w:t>
            </w:r>
            <w:r w:rsidR="00404B3E">
              <w:t xml:space="preserve"> million </w:t>
            </w:r>
            <w:r w:rsidR="003732A3">
              <w:t xml:space="preserve">BTUs </w:t>
            </w:r>
            <w:r w:rsidR="00625EE1">
              <w:t>per hour</w:t>
            </w:r>
            <w:r w:rsidR="00404B3E">
              <w:t xml:space="preserve"> </w:t>
            </w:r>
            <w:r w:rsidR="002079F6" w:rsidRPr="00DE76CC">
              <w:t xml:space="preserve">from Heat Smart </w:t>
            </w:r>
            <w:r w:rsidR="00625EE1">
              <w:t xml:space="preserve">rules </w:t>
            </w:r>
            <w:r w:rsidR="002079F6">
              <w:t xml:space="preserve">if they </w:t>
            </w:r>
            <w:r w:rsidR="003732A3" w:rsidRPr="00DE76CC">
              <w:t>obtain construction approval from DEQ</w:t>
            </w:r>
            <w:r w:rsidR="003732A3">
              <w:t xml:space="preserve"> and </w:t>
            </w:r>
            <w:r w:rsidR="002079F6">
              <w:t xml:space="preserve">are </w:t>
            </w:r>
            <w:r w:rsidR="003732A3">
              <w:t xml:space="preserve">also </w:t>
            </w:r>
            <w:r w:rsidR="00DE76CC" w:rsidRPr="00DE76CC">
              <w:t>subject to National Emission Standards for Hazardous Air Pollutants</w:t>
            </w:r>
            <w:r w:rsidR="003732A3">
              <w:t>.</w:t>
            </w:r>
            <w:r w:rsidR="002079F6">
              <w:t xml:space="preserve"> </w:t>
            </w:r>
            <w:r w:rsidR="00625EE1">
              <w:t>T</w:t>
            </w:r>
            <w:r w:rsidR="002079F6">
              <w:t>his exemption</w:t>
            </w:r>
            <w:r w:rsidR="00625EE1">
              <w:t xml:space="preserve"> would allow the sale of these</w:t>
            </w:r>
            <w:r w:rsidR="00404B3E">
              <w:t xml:space="preserve"> small biomass boilers</w:t>
            </w:r>
            <w:r w:rsidR="00DE76CC" w:rsidRPr="00DE76CC">
              <w:t xml:space="preserve"> in Oregon. </w:t>
            </w:r>
          </w:p>
          <w:p w:rsidR="00DE76CC" w:rsidRPr="00444332" w:rsidRDefault="00DE76CC" w:rsidP="00DE76CC">
            <w:pPr>
              <w:rPr>
                <w:highlight w:val="yellow"/>
              </w:rPr>
            </w:pPr>
          </w:p>
          <w:p w:rsidR="000371A0" w:rsidRDefault="00DE76CC" w:rsidP="004E55B0">
            <w:r w:rsidRPr="00DE76CC">
              <w:t>The proposed rule amendments also contain clarifications to existing rule</w:t>
            </w:r>
            <w:r w:rsidR="00BF2DA3">
              <w:t>s</w:t>
            </w:r>
            <w:r w:rsidRPr="00DE76CC">
              <w:t xml:space="preserve"> affecting smaller emissions sources not subject to DEQ permitting requirements. Existing rules require that all air contaminant sources provide DEQ a Notice to Construct, and require sources, </w:t>
            </w:r>
            <w:r w:rsidR="00625EE1">
              <w:t>at</w:t>
            </w:r>
            <w:r w:rsidRPr="00DE76CC">
              <w:t xml:space="preserve"> </w:t>
            </w:r>
            <w:r w:rsidR="00625EE1">
              <w:t>DEQ</w:t>
            </w:r>
            <w:r w:rsidRPr="00DE76CC">
              <w:t>’s request, to register annually with DEQ.</w:t>
            </w:r>
            <w:r w:rsidR="006A7DBF">
              <w:t xml:space="preserve"> </w:t>
            </w:r>
            <w:r w:rsidRPr="00DE76CC">
              <w:t>The proposed rules clarify these requirements generally and make clear that registration applies to the owner or ope</w:t>
            </w:r>
            <w:r w:rsidR="00625EE1">
              <w:t>rator of industrial, commercial</w:t>
            </w:r>
            <w:r w:rsidRPr="00DE76CC">
              <w:t xml:space="preserve"> and institutional boilers </w:t>
            </w:r>
            <w:r w:rsidR="00625EE1" w:rsidRPr="003D183A">
              <w:t>that are located at unpermitted facilities</w:t>
            </w:r>
            <w:r w:rsidR="00625EE1" w:rsidRPr="00DE76CC">
              <w:t xml:space="preserve"> </w:t>
            </w:r>
            <w:r w:rsidR="00625EE1">
              <w:t xml:space="preserve">and are </w:t>
            </w:r>
            <w:r w:rsidRPr="00DE76CC">
              <w:t xml:space="preserve">subject to National Emission Standards for Hazardous Air </w:t>
            </w:r>
            <w:r w:rsidRPr="003D183A">
              <w:t>Pollutants</w:t>
            </w:r>
            <w:r w:rsidR="00B37713" w:rsidRPr="003D183A">
              <w:t>.</w:t>
            </w:r>
            <w:r w:rsidR="006A7DBF">
              <w:t xml:space="preserve"> </w:t>
            </w:r>
            <w:r w:rsidR="00625EE1">
              <w:t>With r</w:t>
            </w:r>
            <w:r w:rsidRPr="003D183A">
              <w:t>egistration</w:t>
            </w:r>
            <w:r w:rsidR="00625EE1">
              <w:t xml:space="preserve">, DEQ can provide </w:t>
            </w:r>
            <w:r w:rsidRPr="003D183A">
              <w:t xml:space="preserve">technical assistance and </w:t>
            </w:r>
            <w:r w:rsidR="00BF2DA3">
              <w:t xml:space="preserve">can </w:t>
            </w:r>
            <w:r w:rsidR="00625EE1">
              <w:t>verify that the solid fuel-</w:t>
            </w:r>
            <w:r w:rsidRPr="003D183A">
              <w:t xml:space="preserve">burning device </w:t>
            </w:r>
            <w:r w:rsidR="00625EE1">
              <w:t>complies</w:t>
            </w:r>
            <w:r w:rsidRPr="00DE76CC">
              <w:t xml:space="preserve"> with applicable </w:t>
            </w:r>
            <w:r w:rsidR="00463128">
              <w:t>NESHAPs</w:t>
            </w:r>
            <w:r w:rsidRPr="00DE76CC">
              <w:t xml:space="preserve"> as well as state standards for opacity and particulate grain loading.</w:t>
            </w:r>
            <w:r>
              <w:t xml:space="preserve"> </w:t>
            </w:r>
          </w:p>
          <w:p w:rsidR="00EB48EC" w:rsidRDefault="00EB48EC" w:rsidP="003C534B">
            <w:pPr>
              <w:rPr>
                <w:rFonts w:ascii="Times New Roman" w:hAnsi="Times New Roman"/>
                <w:szCs w:val="24"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Effect of rule</w:t>
            </w:r>
          </w:p>
          <w:p w:rsidR="0011753D" w:rsidRPr="00D1171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E2226D" w:rsidRDefault="00625EE1">
            <w:r>
              <w:t xml:space="preserve">The commission adopted a temporary rule June 17, 2011, that provided an exemption to </w:t>
            </w:r>
            <w:r w:rsidR="00AF56ED">
              <w:t xml:space="preserve">Heat Smart </w:t>
            </w:r>
            <w:r>
              <w:t xml:space="preserve">rules </w:t>
            </w:r>
            <w:r w:rsidR="008A67D2">
              <w:t>for small</w:t>
            </w:r>
            <w:r w:rsidR="00F415FB">
              <w:t>-scale</w:t>
            </w:r>
            <w:r w:rsidR="008A67D2">
              <w:t xml:space="preserve"> biomass boilers</w:t>
            </w:r>
            <w:r>
              <w:t xml:space="preserve">. That temporary rule expired Dec. 19, 2011, in accordance with the six-month time limit for temporary rules. </w:t>
            </w:r>
            <w:r w:rsidR="00EF77B9">
              <w:rPr>
                <w:rFonts w:ascii="Times New Roman" w:hAnsi="Times New Roman"/>
              </w:rPr>
              <w:t>If adopted, the</w:t>
            </w:r>
            <w:r w:rsidR="00F00544">
              <w:rPr>
                <w:rFonts w:ascii="Times New Roman" w:hAnsi="Times New Roman"/>
              </w:rPr>
              <w:t>se</w:t>
            </w:r>
            <w:r w:rsidR="00EF77B9">
              <w:rPr>
                <w:rFonts w:ascii="Times New Roman" w:hAnsi="Times New Roman"/>
              </w:rPr>
              <w:t xml:space="preserve"> proposed</w:t>
            </w:r>
            <w:r>
              <w:rPr>
                <w:rFonts w:ascii="Times New Roman" w:hAnsi="Times New Roman"/>
              </w:rPr>
              <w:t xml:space="preserve"> </w:t>
            </w:r>
            <w:r w:rsidR="00AF56ED">
              <w:rPr>
                <w:rFonts w:ascii="Times New Roman" w:hAnsi="Times New Roman"/>
              </w:rPr>
              <w:t xml:space="preserve">rules would make </w:t>
            </w:r>
            <w:r w:rsidR="00F00544">
              <w:rPr>
                <w:rFonts w:ascii="Times New Roman" w:hAnsi="Times New Roman"/>
              </w:rPr>
              <w:t xml:space="preserve">permanent </w:t>
            </w:r>
            <w:r w:rsidR="00AF56ED">
              <w:rPr>
                <w:rFonts w:ascii="Times New Roman" w:hAnsi="Times New Roman"/>
              </w:rPr>
              <w:t xml:space="preserve">the Heat Smart exemption and </w:t>
            </w:r>
            <w:r w:rsidR="00EF77B9">
              <w:t xml:space="preserve">allow the sale of </w:t>
            </w:r>
            <w:r w:rsidR="00194094">
              <w:t xml:space="preserve">commercial, industrial and institutional </w:t>
            </w:r>
            <w:r w:rsidR="00517473">
              <w:t>solid fuel</w:t>
            </w:r>
            <w:r w:rsidR="00EF77B9">
              <w:t xml:space="preserve"> boilers </w:t>
            </w:r>
            <w:r w:rsidR="00265E6B">
              <w:t xml:space="preserve">subject to </w:t>
            </w:r>
            <w:r w:rsidR="00463128">
              <w:t xml:space="preserve">National Emissions Standards </w:t>
            </w:r>
            <w:r w:rsidR="003F3EF7">
              <w:t xml:space="preserve">for </w:t>
            </w:r>
            <w:r w:rsidR="00463128">
              <w:t xml:space="preserve">Hazardous Air Pollutants </w:t>
            </w:r>
            <w:r w:rsidR="00517473" w:rsidRPr="001227AC">
              <w:t xml:space="preserve">with heat outputs less than </w:t>
            </w:r>
            <w:r w:rsidR="00D935DB">
              <w:t>one</w:t>
            </w:r>
            <w:r w:rsidR="00517473" w:rsidRPr="001227AC">
              <w:t xml:space="preserve"> million </w:t>
            </w:r>
            <w:r w:rsidR="003732A3" w:rsidRPr="001227AC">
              <w:t>B</w:t>
            </w:r>
            <w:r w:rsidR="003732A3">
              <w:t>TUs</w:t>
            </w:r>
            <w:r w:rsidR="003732A3" w:rsidRPr="001227AC">
              <w:t xml:space="preserve"> </w:t>
            </w:r>
            <w:r w:rsidR="00517473" w:rsidRPr="001227AC">
              <w:t>per hour</w:t>
            </w:r>
            <w:r w:rsidR="00C702C7">
              <w:t xml:space="preserve"> that</w:t>
            </w:r>
            <w:r w:rsidR="008A24D5" w:rsidRPr="001227AC">
              <w:t xml:space="preserve"> </w:t>
            </w:r>
            <w:r w:rsidR="001227AC" w:rsidRPr="001227AC">
              <w:t>have obtained construction approval from DEQ.</w:t>
            </w:r>
            <w:r w:rsidR="00EF77B9" w:rsidRPr="001227AC">
              <w:t xml:space="preserve"> </w:t>
            </w:r>
          </w:p>
          <w:p w:rsidR="00E2226D" w:rsidRDefault="00E2226D"/>
          <w:p w:rsidR="008564D7" w:rsidRDefault="00E2226D">
            <w:r>
              <w:t>The proposed rules also clarify that DEQ may require source testing or registration as a condition of approving construction of an emission source not subject to permitting.</w:t>
            </w:r>
            <w:r w:rsidR="001A0BB6">
              <w:t xml:space="preserve"> </w:t>
            </w:r>
            <w:r w:rsidR="0004679A">
              <w:t>R</w:t>
            </w:r>
            <w:r w:rsidR="003C56DD">
              <w:t xml:space="preserve">egistrations would be triggered in the future </w:t>
            </w:r>
            <w:r w:rsidR="001A0BB6">
              <w:t xml:space="preserve">upon DEQ request, allowing </w:t>
            </w:r>
            <w:r w:rsidR="00F15E3D">
              <w:t>DEQ</w:t>
            </w:r>
            <w:r w:rsidR="00463128">
              <w:t xml:space="preserve"> </w:t>
            </w:r>
            <w:r w:rsidR="001A0BB6">
              <w:t>to phase</w:t>
            </w:r>
            <w:r w:rsidR="003C56DD">
              <w:t>-</w:t>
            </w:r>
            <w:r w:rsidR="001A0BB6">
              <w:t xml:space="preserve">in the </w:t>
            </w:r>
            <w:r w:rsidR="003C56DD">
              <w:t>registration</w:t>
            </w:r>
            <w:r w:rsidR="001A0BB6">
              <w:t xml:space="preserve"> process and manage the workload of providing technical assistance to boiler owners.</w:t>
            </w:r>
            <w:r w:rsidR="006A7DBF">
              <w:t xml:space="preserve"> </w:t>
            </w:r>
            <w:r w:rsidR="00E0546E">
              <w:t xml:space="preserve">Registrants would be required to update their registration information annually. </w:t>
            </w:r>
            <w:r>
              <w:t>An owner or operator of a b</w:t>
            </w:r>
            <w:r w:rsidR="00517473">
              <w:t>oiler at an existing facility with an air quality permit</w:t>
            </w:r>
            <w:r w:rsidR="00F87899">
              <w:t xml:space="preserve"> </w:t>
            </w:r>
            <w:r w:rsidR="00BA756D">
              <w:t xml:space="preserve">will continue to </w:t>
            </w:r>
            <w:r w:rsidR="00F87899">
              <w:lastRenderedPageBreak/>
              <w:t xml:space="preserve">demonstrate compliance </w:t>
            </w:r>
            <w:r w:rsidR="00517473">
              <w:t xml:space="preserve">with applicable emissions standards through permitting. </w:t>
            </w:r>
          </w:p>
          <w:p w:rsidR="00517473" w:rsidRDefault="00517473" w:rsidP="00EF77B9"/>
          <w:p w:rsidR="008564D7" w:rsidRDefault="00B537E0">
            <w:pPr>
              <w:rPr>
                <w:rFonts w:ascii="Times New Roman" w:hAnsi="Times New Roman"/>
                <w:szCs w:val="24"/>
              </w:rPr>
            </w:pPr>
            <w:r w:rsidRPr="00B537E0">
              <w:rPr>
                <w:rFonts w:ascii="Times New Roman" w:hAnsi="Times New Roman"/>
                <w:szCs w:val="24"/>
              </w:rPr>
              <w:t xml:space="preserve">There </w:t>
            </w:r>
            <w:r w:rsidR="00247B26">
              <w:rPr>
                <w:rFonts w:ascii="Times New Roman" w:hAnsi="Times New Roman"/>
                <w:szCs w:val="24"/>
              </w:rPr>
              <w:t>is</w:t>
            </w:r>
            <w:r w:rsidRPr="00B537E0">
              <w:rPr>
                <w:rFonts w:ascii="Times New Roman" w:hAnsi="Times New Roman"/>
                <w:szCs w:val="24"/>
              </w:rPr>
              <w:t xml:space="preserve"> no </w:t>
            </w:r>
            <w:r w:rsidR="00BC5CD7">
              <w:rPr>
                <w:rFonts w:ascii="Times New Roman" w:hAnsi="Times New Roman"/>
                <w:szCs w:val="24"/>
              </w:rPr>
              <w:t xml:space="preserve">registration </w:t>
            </w:r>
            <w:r w:rsidRPr="00B537E0">
              <w:rPr>
                <w:rFonts w:ascii="Times New Roman" w:hAnsi="Times New Roman"/>
                <w:szCs w:val="24"/>
              </w:rPr>
              <w:t>fee</w:t>
            </w:r>
            <w:r w:rsidR="00463128">
              <w:rPr>
                <w:rFonts w:ascii="Times New Roman" w:hAnsi="Times New Roman"/>
                <w:szCs w:val="24"/>
              </w:rPr>
              <w:t xml:space="preserve"> associated with the proposed rule amendments</w:t>
            </w:r>
            <w:r w:rsidRPr="00B537E0">
              <w:rPr>
                <w:rFonts w:ascii="Times New Roman" w:hAnsi="Times New Roman"/>
                <w:szCs w:val="24"/>
              </w:rPr>
              <w:t xml:space="preserve">, but there could be costs </w:t>
            </w:r>
            <w:r w:rsidR="005D3E59">
              <w:rPr>
                <w:rFonts w:ascii="Times New Roman" w:hAnsi="Times New Roman"/>
                <w:szCs w:val="24"/>
              </w:rPr>
              <w:t xml:space="preserve">to owners and operators </w:t>
            </w:r>
            <w:r w:rsidR="00E0546E">
              <w:rPr>
                <w:rFonts w:ascii="Times New Roman" w:hAnsi="Times New Roman"/>
                <w:szCs w:val="24"/>
              </w:rPr>
              <w:t xml:space="preserve">of </w:t>
            </w:r>
            <w:r w:rsidR="00247B26">
              <w:rPr>
                <w:rFonts w:ascii="Times New Roman" w:hAnsi="Times New Roman"/>
                <w:szCs w:val="24"/>
              </w:rPr>
              <w:t>the relevant d</w:t>
            </w:r>
            <w:r w:rsidR="00E0546E">
              <w:rPr>
                <w:rFonts w:ascii="Times New Roman" w:hAnsi="Times New Roman"/>
                <w:szCs w:val="24"/>
              </w:rPr>
              <w:t>evices</w:t>
            </w:r>
            <w:r w:rsidR="00247B26">
              <w:rPr>
                <w:rFonts w:ascii="Times New Roman" w:hAnsi="Times New Roman"/>
                <w:szCs w:val="24"/>
              </w:rPr>
              <w:t xml:space="preserve">. Those costs would be for any source testing DEQ determines is necessary for the device to </w:t>
            </w:r>
            <w:r w:rsidRPr="00B537E0">
              <w:rPr>
                <w:rFonts w:ascii="Times New Roman" w:hAnsi="Times New Roman"/>
                <w:szCs w:val="24"/>
              </w:rPr>
              <w:t>demonstrate compliance with the grain loading standard</w:t>
            </w:r>
            <w:r w:rsidR="00247B26">
              <w:rPr>
                <w:rFonts w:ascii="Times New Roman" w:hAnsi="Times New Roman"/>
                <w:szCs w:val="24"/>
              </w:rPr>
              <w:t>.</w:t>
            </w:r>
          </w:p>
          <w:p w:rsid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59" w:rsidRDefault="008C5959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proposed rule amendments also </w:t>
            </w:r>
            <w:r w:rsidR="00DC0165">
              <w:rPr>
                <w:rFonts w:ascii="Times New Roman" w:hAnsi="Times New Roman" w:cs="Times New Roman"/>
                <w:sz w:val="24"/>
                <w:szCs w:val="24"/>
              </w:rPr>
              <w:t xml:space="preserve">improve readability of rules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sulfur dioxide standards (OAR 340-228-0200) and grain loading standards (OAR 340-228-0120) for fuel burning equipment. </w:t>
            </w:r>
          </w:p>
          <w:p w:rsidR="008C5959" w:rsidRDefault="008C5959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7E0" w:rsidRP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="00BE5397">
              <w:rPr>
                <w:rFonts w:ascii="Times New Roman" w:hAnsi="Times New Roman" w:cs="Times New Roman"/>
                <w:sz w:val="24"/>
                <w:szCs w:val="24"/>
              </w:rPr>
              <w:t xml:space="preserve">proposed </w:t>
            </w: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>rulemaking w</w:t>
            </w:r>
            <w:r w:rsidR="00BE5397">
              <w:rPr>
                <w:rFonts w:ascii="Times New Roman" w:hAnsi="Times New Roman" w:cs="Times New Roman"/>
                <w:sz w:val="24"/>
                <w:szCs w:val="24"/>
              </w:rPr>
              <w:t>ould</w:t>
            </w: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 amend the State of Oregon Clean Air Act </w:t>
            </w:r>
            <w:r w:rsidR="00E34F9B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Implementation Plan. </w:t>
            </w:r>
          </w:p>
          <w:p w:rsidR="00B537E0" w:rsidRPr="0011753D" w:rsidRDefault="00B537E0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Commission authority</w:t>
            </w:r>
          </w:p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12"/>
            </w:tblGrid>
            <w:tr w:rsidR="00663AD9">
              <w:trPr>
                <w:trHeight w:val="206"/>
              </w:trPr>
              <w:tc>
                <w:tcPr>
                  <w:tcW w:w="0" w:type="auto"/>
                </w:tcPr>
                <w:p w:rsidR="004E55B0" w:rsidRPr="005D6F46" w:rsidRDefault="00171E35" w:rsidP="001838E4">
                  <w:pPr>
                    <w:ind w:left="-71"/>
                    <w:rPr>
                      <w:b/>
                    </w:rPr>
                  </w:pPr>
                  <w:r w:rsidRPr="00007AEB">
                    <w:t xml:space="preserve">The commission has authority to take this action under </w:t>
                  </w:r>
                  <w:r w:rsidR="00007AEB" w:rsidRPr="006B1A15">
                    <w:rPr>
                      <w:szCs w:val="24"/>
                    </w:rPr>
                    <w:t xml:space="preserve">ORS 468, ORS 468A, ORS 468.020, ORS 468A.025, ORS 468A.035, ORS 468A.050, ORS 468A.055, ORS 468A.070, ORS 468A.460 to 468A.515, </w:t>
                  </w:r>
                  <w:r w:rsidR="00007AEB">
                    <w:t xml:space="preserve">and </w:t>
                  </w:r>
                  <w:r w:rsidR="00007AEB" w:rsidRPr="006B1A15">
                    <w:rPr>
                      <w:szCs w:val="24"/>
                    </w:rPr>
                    <w:t>ORS 468A.310</w:t>
                  </w:r>
                  <w:r w:rsidR="00007AEB">
                    <w:t>.</w:t>
                  </w:r>
                  <w:r w:rsidRPr="00171E35">
                    <w:t xml:space="preserve"> </w:t>
                  </w:r>
                </w:p>
                <w:p w:rsidR="004E55B0" w:rsidRPr="00663AD9" w:rsidRDefault="004E55B0" w:rsidP="006D5FB2">
                  <w:pPr>
                    <w:pStyle w:val="Defaul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11753D" w:rsidRDefault="0011753D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  <w:p w:rsidR="00C96391" w:rsidRPr="00D1171D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4E55B0" w:rsidRDefault="004E55B0" w:rsidP="004E55B0">
            <w:r>
              <w:t xml:space="preserve">Several small-scale commercial, industrial and institutional biomass boiler projects are under development across the state as part of </w:t>
            </w:r>
            <w:r w:rsidR="0056251C">
              <w:t>Oregon’s</w:t>
            </w:r>
            <w:r>
              <w:t xml:space="preserve"> biomass initiative. These projects are relying on </w:t>
            </w:r>
            <w:r w:rsidR="00BC5CD7">
              <w:t xml:space="preserve">federal </w:t>
            </w:r>
            <w:r>
              <w:t>a</w:t>
            </w:r>
            <w:r w:rsidR="00B424AE">
              <w:t>nd Oregon Department of Energy f</w:t>
            </w:r>
            <w:r>
              <w:t xml:space="preserve">unding, </w:t>
            </w:r>
            <w:r w:rsidR="00BC5CD7">
              <w:t xml:space="preserve">with </w:t>
            </w:r>
            <w:r w:rsidR="003732A3">
              <w:t xml:space="preserve">critical </w:t>
            </w:r>
            <w:r>
              <w:t>project timelines</w:t>
            </w:r>
            <w:r w:rsidR="003732A3">
              <w:t>.</w:t>
            </w:r>
            <w:r>
              <w:t xml:space="preserve"> </w:t>
            </w:r>
            <w:r w:rsidR="00D24D2A">
              <w:t>Without these proposed rule</w:t>
            </w:r>
            <w:r w:rsidR="00C52C03">
              <w:t xml:space="preserve"> amendment</w:t>
            </w:r>
            <w:r w:rsidR="00D24D2A">
              <w:t xml:space="preserve">s, some projects under the state biomass </w:t>
            </w:r>
            <w:r w:rsidR="006A244D">
              <w:t>initiative</w:t>
            </w:r>
            <w:r w:rsidR="00D24D2A">
              <w:t xml:space="preserve"> </w:t>
            </w:r>
            <w:r w:rsidR="00247B26">
              <w:t>would not be allowed</w:t>
            </w:r>
            <w:r w:rsidR="006A244D">
              <w:t xml:space="preserve"> </w:t>
            </w:r>
            <w:r w:rsidR="00D24D2A">
              <w:t>in Oregon.</w:t>
            </w:r>
            <w:r w:rsidR="006A7DBF">
              <w:t xml:space="preserve"> </w:t>
            </w:r>
            <w:r>
              <w:t xml:space="preserve"> </w:t>
            </w:r>
          </w:p>
          <w:p w:rsidR="00942D1D" w:rsidRDefault="00942D1D" w:rsidP="004E55B0"/>
          <w:p w:rsidR="00942D1D" w:rsidRDefault="00942D1D" w:rsidP="00942D1D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DEQ’s</w:t>
            </w:r>
            <w:r w:rsidR="00A50B25">
              <w:rPr>
                <w:rFonts w:ascii="Times New Roman" w:hAnsi="Times New Roman"/>
                <w:spacing w:val="-3"/>
              </w:rPr>
              <w:t xml:space="preserve"> </w:t>
            </w:r>
            <w:r w:rsidR="004F242A">
              <w:rPr>
                <w:rFonts w:ascii="Times New Roman" w:hAnsi="Times New Roman"/>
                <w:spacing w:val="-3"/>
              </w:rPr>
              <w:t>temporary</w:t>
            </w:r>
            <w:r w:rsidR="00247B26">
              <w:rPr>
                <w:rFonts w:ascii="Times New Roman" w:hAnsi="Times New Roman"/>
                <w:spacing w:val="-3"/>
              </w:rPr>
              <w:t xml:space="preserve"> Heat Smart rule, </w:t>
            </w:r>
            <w:r w:rsidR="00104D7B">
              <w:rPr>
                <w:rFonts w:ascii="Times New Roman" w:hAnsi="Times New Roman"/>
                <w:spacing w:val="-3"/>
              </w:rPr>
              <w:t>adopted</w:t>
            </w:r>
            <w:r w:rsidR="00AF350F">
              <w:rPr>
                <w:rFonts w:ascii="Times New Roman" w:hAnsi="Times New Roman"/>
                <w:spacing w:val="-3"/>
              </w:rPr>
              <w:t xml:space="preserve"> </w:t>
            </w:r>
            <w:r w:rsidR="00247B26">
              <w:rPr>
                <w:rFonts w:ascii="Times New Roman" w:hAnsi="Times New Roman"/>
                <w:spacing w:val="-3"/>
              </w:rPr>
              <w:t xml:space="preserve">June 2011, </w:t>
            </w:r>
            <w:r>
              <w:rPr>
                <w:rFonts w:ascii="Times New Roman" w:hAnsi="Times New Roman"/>
                <w:spacing w:val="-3"/>
              </w:rPr>
              <w:t>required all new small and mid</w:t>
            </w:r>
            <w:r w:rsidR="00247B26">
              <w:rPr>
                <w:rFonts w:ascii="Times New Roman" w:hAnsi="Times New Roman"/>
                <w:spacing w:val="-3"/>
              </w:rPr>
              <w:t>-size commercial, industrial</w:t>
            </w:r>
            <w:r>
              <w:rPr>
                <w:rFonts w:ascii="Times New Roman" w:hAnsi="Times New Roman"/>
                <w:spacing w:val="-3"/>
              </w:rPr>
              <w:t xml:space="preserve"> and institutional solid fuel </w:t>
            </w:r>
            <w:r w:rsidR="00AF350F">
              <w:rPr>
                <w:rFonts w:ascii="Times New Roman" w:hAnsi="Times New Roman"/>
                <w:spacing w:val="-3"/>
              </w:rPr>
              <w:t xml:space="preserve">burning devices </w:t>
            </w:r>
            <w:r>
              <w:rPr>
                <w:rFonts w:ascii="Times New Roman" w:hAnsi="Times New Roman"/>
                <w:spacing w:val="-3"/>
              </w:rPr>
              <w:t xml:space="preserve">to register with DEQ within </w:t>
            </w:r>
            <w:r w:rsidR="00021B58">
              <w:rPr>
                <w:rFonts w:ascii="Times New Roman" w:hAnsi="Times New Roman"/>
                <w:spacing w:val="-3"/>
              </w:rPr>
              <w:t>six</w:t>
            </w:r>
            <w:r>
              <w:rPr>
                <w:rFonts w:ascii="Times New Roman" w:hAnsi="Times New Roman"/>
                <w:spacing w:val="-3"/>
              </w:rPr>
              <w:t xml:space="preserve"> months of construction, and the </w:t>
            </w:r>
            <w:r w:rsidR="00104D7B">
              <w:rPr>
                <w:rFonts w:ascii="Times New Roman" w:hAnsi="Times New Roman"/>
                <w:spacing w:val="-3"/>
              </w:rPr>
              <w:t xml:space="preserve">subsequent </w:t>
            </w:r>
            <w:r w:rsidR="00A50B25">
              <w:rPr>
                <w:rFonts w:ascii="Times New Roman" w:hAnsi="Times New Roman"/>
                <w:spacing w:val="-3"/>
              </w:rPr>
              <w:t xml:space="preserve">permanent </w:t>
            </w:r>
            <w:r>
              <w:rPr>
                <w:rFonts w:ascii="Times New Roman" w:hAnsi="Times New Roman"/>
                <w:spacing w:val="-3"/>
              </w:rPr>
              <w:t xml:space="preserve">rulemaking documents </w:t>
            </w:r>
            <w:r w:rsidR="00104D7B">
              <w:rPr>
                <w:rFonts w:ascii="Times New Roman" w:hAnsi="Times New Roman"/>
                <w:spacing w:val="-3"/>
              </w:rPr>
              <w:t xml:space="preserve">proposed for public comment in July 2011 </w:t>
            </w:r>
            <w:r>
              <w:rPr>
                <w:rFonts w:ascii="Times New Roman" w:hAnsi="Times New Roman"/>
                <w:spacing w:val="-3"/>
              </w:rPr>
              <w:t>were drafted to reflect that proposal.</w:t>
            </w:r>
            <w:r w:rsidR="006A7DB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DEQ has modified its </w:t>
            </w:r>
            <w:r w:rsidR="00A50B25">
              <w:rPr>
                <w:rFonts w:ascii="Times New Roman" w:hAnsi="Times New Roman"/>
                <w:spacing w:val="-3"/>
              </w:rPr>
              <w:t xml:space="preserve">permanent </w:t>
            </w:r>
            <w:r>
              <w:rPr>
                <w:rFonts w:ascii="Times New Roman" w:hAnsi="Times New Roman"/>
                <w:spacing w:val="-3"/>
              </w:rPr>
              <w:t>proposal to require registration only upon</w:t>
            </w:r>
            <w:r w:rsidR="003732A3">
              <w:rPr>
                <w:rFonts w:ascii="Times New Roman" w:hAnsi="Times New Roman"/>
                <w:spacing w:val="-3"/>
              </w:rPr>
              <w:t xml:space="preserve"> DEQ’s </w:t>
            </w:r>
            <w:r>
              <w:rPr>
                <w:rFonts w:ascii="Times New Roman" w:hAnsi="Times New Roman"/>
                <w:spacing w:val="-3"/>
              </w:rPr>
              <w:t xml:space="preserve">request. This allows DEQ more flexibility to require registration only when necessary under the initial construction approval </w:t>
            </w:r>
            <w:r w:rsidR="00247B26">
              <w:rPr>
                <w:rFonts w:ascii="Times New Roman" w:hAnsi="Times New Roman"/>
                <w:spacing w:val="-3"/>
              </w:rPr>
              <w:t>process, and to phase in any on</w:t>
            </w:r>
            <w:r>
              <w:rPr>
                <w:rFonts w:ascii="Times New Roman" w:hAnsi="Times New Roman"/>
                <w:spacing w:val="-3"/>
              </w:rPr>
              <w:t xml:space="preserve">going registration requirements as DEQ’s resources allow. </w:t>
            </w:r>
          </w:p>
          <w:p w:rsidR="00C96391" w:rsidRDefault="00C96391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Public outreach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held </w:t>
            </w:r>
            <w:r w:rsidR="00BC5CD7">
              <w:rPr>
                <w:rFonts w:ascii="Times New Roman" w:hAnsi="Times New Roman"/>
              </w:rPr>
              <w:t xml:space="preserve">a </w:t>
            </w:r>
            <w:r w:rsidR="006D5FB2">
              <w:rPr>
                <w:rFonts w:ascii="Times New Roman" w:hAnsi="Times New Roman"/>
              </w:rPr>
              <w:t>stakeholder meeting</w:t>
            </w:r>
            <w:r w:rsidR="0097495C">
              <w:rPr>
                <w:rFonts w:ascii="Times New Roman" w:hAnsi="Times New Roman"/>
              </w:rPr>
              <w:t xml:space="preserve"> to discuss the </w:t>
            </w:r>
            <w:r w:rsidR="003629F5">
              <w:rPr>
                <w:rFonts w:ascii="Times New Roman" w:hAnsi="Times New Roman"/>
              </w:rPr>
              <w:t xml:space="preserve">proposed temporary </w:t>
            </w:r>
            <w:r w:rsidR="0097495C">
              <w:rPr>
                <w:rFonts w:ascii="Times New Roman" w:hAnsi="Times New Roman"/>
              </w:rPr>
              <w:t>rule</w:t>
            </w:r>
            <w:r w:rsidR="003629F5">
              <w:rPr>
                <w:rFonts w:ascii="Times New Roman" w:hAnsi="Times New Roman"/>
              </w:rPr>
              <w:t xml:space="preserve"> amendment</w:t>
            </w:r>
            <w:r w:rsidR="0097495C">
              <w:rPr>
                <w:rFonts w:ascii="Times New Roman" w:hAnsi="Times New Roman"/>
              </w:rPr>
              <w:t>s</w:t>
            </w:r>
            <w:r w:rsidR="006D5FB2">
              <w:rPr>
                <w:rFonts w:ascii="Times New Roman" w:hAnsi="Times New Roman"/>
              </w:rPr>
              <w:t xml:space="preserve"> </w:t>
            </w:r>
            <w:r w:rsidR="0097495C">
              <w:rPr>
                <w:rFonts w:ascii="Times New Roman" w:hAnsi="Times New Roman"/>
              </w:rPr>
              <w:t xml:space="preserve">in Portland </w:t>
            </w:r>
            <w:r w:rsidR="003629F5">
              <w:rPr>
                <w:rFonts w:ascii="Times New Roman" w:hAnsi="Times New Roman"/>
              </w:rPr>
              <w:t xml:space="preserve">in </w:t>
            </w:r>
            <w:r>
              <w:rPr>
                <w:rFonts w:ascii="Times New Roman" w:hAnsi="Times New Roman"/>
              </w:rPr>
              <w:t>June</w:t>
            </w:r>
            <w:r w:rsidR="003629F5">
              <w:rPr>
                <w:rFonts w:ascii="Times New Roman" w:hAnsi="Times New Roman"/>
              </w:rPr>
              <w:t xml:space="preserve"> 2011</w:t>
            </w:r>
            <w:r w:rsidR="0097495C">
              <w:rPr>
                <w:rFonts w:ascii="Times New Roman" w:hAnsi="Times New Roman"/>
              </w:rPr>
              <w:t>.</w:t>
            </w:r>
            <w:r w:rsidR="004273AF">
              <w:rPr>
                <w:rFonts w:ascii="Times New Roman" w:hAnsi="Times New Roman"/>
              </w:rPr>
              <w:t xml:space="preserve"> </w:t>
            </w:r>
            <w:r w:rsidR="00F80103">
              <w:rPr>
                <w:rFonts w:ascii="Times New Roman" w:hAnsi="Times New Roman"/>
              </w:rPr>
              <w:t xml:space="preserve">DEQ’s public comment period </w:t>
            </w:r>
            <w:r w:rsidR="00C52C03">
              <w:rPr>
                <w:rFonts w:ascii="Times New Roman" w:hAnsi="Times New Roman"/>
              </w:rPr>
              <w:t xml:space="preserve">for the proposed permanent rule amendments </w:t>
            </w:r>
            <w:r w:rsidR="00F80103">
              <w:rPr>
                <w:rFonts w:ascii="Times New Roman" w:hAnsi="Times New Roman"/>
              </w:rPr>
              <w:t xml:space="preserve">was open </w:t>
            </w:r>
            <w:r w:rsidR="00AD17AD">
              <w:rPr>
                <w:rFonts w:ascii="Times New Roman" w:hAnsi="Times New Roman"/>
              </w:rPr>
              <w:t>July 15</w:t>
            </w:r>
            <w:r w:rsidR="00F80103">
              <w:rPr>
                <w:rFonts w:ascii="Times New Roman" w:hAnsi="Times New Roman"/>
              </w:rPr>
              <w:t xml:space="preserve"> to </w:t>
            </w:r>
            <w:r w:rsidR="00BE5397">
              <w:rPr>
                <w:rFonts w:ascii="Times New Roman" w:hAnsi="Times New Roman"/>
              </w:rPr>
              <w:t xml:space="preserve">Aug. </w:t>
            </w:r>
            <w:r w:rsidR="00AD17AD">
              <w:rPr>
                <w:rFonts w:ascii="Times New Roman" w:hAnsi="Times New Roman"/>
              </w:rPr>
              <w:t>25</w:t>
            </w:r>
            <w:r w:rsidR="003629F5">
              <w:rPr>
                <w:rFonts w:ascii="Times New Roman" w:hAnsi="Times New Roman"/>
              </w:rPr>
              <w:t>, 2011,</w:t>
            </w:r>
            <w:r w:rsidR="00BE5397">
              <w:rPr>
                <w:rFonts w:ascii="Times New Roman" w:hAnsi="Times New Roman"/>
              </w:rPr>
              <w:t xml:space="preserve"> and </w:t>
            </w:r>
            <w:r w:rsidR="00902F3F">
              <w:rPr>
                <w:rFonts w:ascii="Times New Roman" w:hAnsi="Times New Roman"/>
              </w:rPr>
              <w:t>DEQ held a public hearing Aug</w:t>
            </w:r>
            <w:r w:rsidR="00BE5397">
              <w:rPr>
                <w:rFonts w:ascii="Times New Roman" w:hAnsi="Times New Roman"/>
              </w:rPr>
              <w:t>.</w:t>
            </w:r>
            <w:r w:rsidR="00902F3F">
              <w:rPr>
                <w:rFonts w:ascii="Times New Roman" w:hAnsi="Times New Roman"/>
              </w:rPr>
              <w:t xml:space="preserve"> 18, 2011</w:t>
            </w:r>
            <w:r w:rsidR="00E23AD3">
              <w:rPr>
                <w:rFonts w:ascii="Times New Roman" w:hAnsi="Times New Roman"/>
              </w:rPr>
              <w:t>. No one from the public attended the hearing. DEQ received written comment</w:t>
            </w:r>
            <w:r w:rsidR="00BA756D">
              <w:rPr>
                <w:rFonts w:ascii="Times New Roman" w:hAnsi="Times New Roman"/>
              </w:rPr>
              <w:t>s from one commenter</w:t>
            </w:r>
            <w:r w:rsidR="00B424AE">
              <w:rPr>
                <w:rFonts w:ascii="Times New Roman" w:hAnsi="Times New Roman"/>
              </w:rPr>
              <w:t xml:space="preserve"> </w:t>
            </w:r>
            <w:r w:rsidR="00E23AD3">
              <w:rPr>
                <w:rFonts w:ascii="Times New Roman" w:hAnsi="Times New Roman"/>
              </w:rPr>
              <w:t>during the comment period</w:t>
            </w:r>
            <w:r w:rsidR="00BC5CD7">
              <w:rPr>
                <w:rFonts w:ascii="Times New Roman" w:hAnsi="Times New Roman"/>
              </w:rPr>
              <w:t xml:space="preserve">. </w:t>
            </w:r>
          </w:p>
          <w:p w:rsidR="00663AD9" w:rsidRP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893D1B" w:rsidRPr="00D1171D">
        <w:tc>
          <w:tcPr>
            <w:tcW w:w="1728" w:type="dxa"/>
          </w:tcPr>
          <w:p w:rsidR="00802DF9" w:rsidRDefault="00802DF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Next </w:t>
            </w:r>
            <w:r w:rsidR="00F8329D">
              <w:rPr>
                <w:rFonts w:ascii="Times New Roman" w:hAnsi="Times New Roman"/>
                <w:b/>
                <w:spacing w:val="-3"/>
                <w:sz w:val="22"/>
              </w:rPr>
              <w:t>s</w:t>
            </w: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>teps</w:t>
            </w:r>
          </w:p>
        </w:tc>
        <w:tc>
          <w:tcPr>
            <w:tcW w:w="7128" w:type="dxa"/>
          </w:tcPr>
          <w:p w:rsidR="00802DF9" w:rsidRDefault="00802DF9" w:rsidP="00247B26"/>
          <w:p w:rsidR="008D75F5" w:rsidRPr="00333337" w:rsidRDefault="00FC43C7" w:rsidP="00247B26">
            <w:pPr>
              <w:rPr>
                <w:rFonts w:ascii="Times New Roman" w:hAnsi="Times New Roman"/>
                <w:spacing w:val="-3"/>
              </w:rPr>
            </w:pPr>
            <w:r>
              <w:t>If adopted, the proposed permanent rule amendments would become effective upon filing with the Secretary of State.</w:t>
            </w:r>
            <w:r w:rsidR="002E4628">
              <w:rPr>
                <w:rFonts w:ascii="Times New Roman" w:hAnsi="Times New Roman"/>
              </w:rPr>
              <w:t xml:space="preserve"> </w:t>
            </w:r>
            <w:r w:rsidR="00663AD9">
              <w:rPr>
                <w:rFonts w:ascii="Times New Roman" w:hAnsi="Times New Roman"/>
              </w:rPr>
              <w:t>DEQ</w:t>
            </w:r>
            <w:r w:rsidR="00163E87">
              <w:rPr>
                <w:rFonts w:ascii="Times New Roman" w:hAnsi="Times New Roman"/>
              </w:rPr>
              <w:t>’s</w:t>
            </w:r>
            <w:r w:rsidR="00663AD9">
              <w:rPr>
                <w:rFonts w:ascii="Times New Roman" w:hAnsi="Times New Roman"/>
              </w:rPr>
              <w:t xml:space="preserve"> Air Quality Division will provide technical assistance to owners and operators of </w:t>
            </w:r>
            <w:r w:rsidR="00E23AD3">
              <w:rPr>
                <w:rFonts w:ascii="Times New Roman" w:hAnsi="Times New Roman"/>
              </w:rPr>
              <w:t>biomass boilers and other solid fuel burning dev</w:t>
            </w:r>
            <w:r w:rsidR="00E23AD3" w:rsidRPr="003D183A">
              <w:rPr>
                <w:rFonts w:ascii="Times New Roman" w:hAnsi="Times New Roman"/>
              </w:rPr>
              <w:t>ices</w:t>
            </w:r>
            <w:r w:rsidR="00ED14C1" w:rsidRPr="003D183A">
              <w:rPr>
                <w:rFonts w:ascii="Times New Roman" w:hAnsi="Times New Roman"/>
              </w:rPr>
              <w:t>.</w:t>
            </w:r>
            <w:r w:rsidR="00E23AD3" w:rsidRPr="003D183A">
              <w:rPr>
                <w:rFonts w:ascii="Times New Roman" w:hAnsi="Times New Roman"/>
              </w:rPr>
              <w:t xml:space="preserve"> Ou</w:t>
            </w:r>
            <w:r w:rsidR="004E55B0" w:rsidRPr="003D183A">
              <w:rPr>
                <w:rFonts w:ascii="Times New Roman" w:hAnsi="Times New Roman"/>
              </w:rPr>
              <w:t>treach activities will be coordinated and implemented through DEQ’s Small Business Assistance Program.</w:t>
            </w:r>
            <w:r w:rsidR="00247B26">
              <w:rPr>
                <w:rFonts w:ascii="Times New Roman" w:hAnsi="Times New Roman"/>
              </w:rPr>
              <w:t xml:space="preserve"> </w:t>
            </w:r>
            <w:r w:rsidR="001D6496" w:rsidRPr="003D183A">
              <w:rPr>
                <w:rFonts w:ascii="Times New Roman" w:hAnsi="Times New Roman"/>
              </w:rPr>
              <w:t xml:space="preserve">DEQ </w:t>
            </w:r>
            <w:r w:rsidR="003629F5" w:rsidRPr="003D183A">
              <w:rPr>
                <w:rFonts w:ascii="Times New Roman" w:hAnsi="Times New Roman"/>
              </w:rPr>
              <w:t>will</w:t>
            </w:r>
            <w:r w:rsidR="001D6496" w:rsidRPr="003D183A">
              <w:rPr>
                <w:rFonts w:ascii="Times New Roman" w:hAnsi="Times New Roman"/>
              </w:rPr>
              <w:t xml:space="preserve"> </w:t>
            </w:r>
            <w:r w:rsidR="00247B26">
              <w:rPr>
                <w:rFonts w:ascii="Times New Roman" w:hAnsi="Times New Roman"/>
              </w:rPr>
              <w:t>develop a simple, web-based</w:t>
            </w:r>
            <w:r w:rsidR="001D6496" w:rsidRPr="003D183A">
              <w:rPr>
                <w:rFonts w:ascii="Times New Roman" w:hAnsi="Times New Roman"/>
              </w:rPr>
              <w:t xml:space="preserve"> construction approval and registration </w:t>
            </w:r>
            <w:r w:rsidR="003629F5" w:rsidRPr="003D183A">
              <w:rPr>
                <w:rFonts w:ascii="Times New Roman" w:hAnsi="Times New Roman"/>
              </w:rPr>
              <w:t xml:space="preserve">tool </w:t>
            </w:r>
            <w:r w:rsidR="001D6496" w:rsidRPr="003D183A">
              <w:rPr>
                <w:rFonts w:ascii="Times New Roman" w:hAnsi="Times New Roman"/>
              </w:rPr>
              <w:t xml:space="preserve">for </w:t>
            </w:r>
            <w:r w:rsidR="00D07FD2" w:rsidRPr="003D183A">
              <w:rPr>
                <w:rFonts w:ascii="Times New Roman" w:hAnsi="Times New Roman"/>
              </w:rPr>
              <w:t>solid</w:t>
            </w:r>
            <w:r w:rsidR="00D07FD2">
              <w:rPr>
                <w:rFonts w:ascii="Times New Roman" w:hAnsi="Times New Roman"/>
              </w:rPr>
              <w:t xml:space="preserve"> fuel burning devices </w:t>
            </w:r>
            <w:r w:rsidR="001D6496">
              <w:rPr>
                <w:rFonts w:ascii="Times New Roman" w:hAnsi="Times New Roman"/>
              </w:rPr>
              <w:t>affected by these rules.</w:t>
            </w:r>
            <w:r w:rsidR="001D6496" w:rsidDel="001D6496">
              <w:rPr>
                <w:rFonts w:ascii="Times New Roman" w:hAnsi="Times New Roman"/>
              </w:rPr>
              <w:t xml:space="preserve"> </w:t>
            </w:r>
            <w:r w:rsidR="003A40C8" w:rsidRPr="003A40C8">
              <w:rPr>
                <w:rFonts w:ascii="Times New Roman" w:hAnsi="Times New Roman"/>
                <w:spacing w:val="-3"/>
              </w:rPr>
              <w:t>For more information</w:t>
            </w:r>
            <w:r w:rsidR="00B912CB">
              <w:rPr>
                <w:rFonts w:ascii="Times New Roman" w:hAnsi="Times New Roman"/>
                <w:spacing w:val="-3"/>
              </w:rPr>
              <w:t xml:space="preserve">, the </w:t>
            </w:r>
            <w:r w:rsidR="0097495C">
              <w:rPr>
                <w:rFonts w:ascii="Times New Roman" w:hAnsi="Times New Roman"/>
                <w:spacing w:val="-3"/>
              </w:rPr>
              <w:t>technical assistance implementation p</w:t>
            </w:r>
            <w:r w:rsidR="0097495C" w:rsidRPr="003A40C8">
              <w:rPr>
                <w:rFonts w:ascii="Times New Roman" w:hAnsi="Times New Roman"/>
                <w:spacing w:val="-3"/>
              </w:rPr>
              <w:t>lan</w:t>
            </w:r>
            <w:r w:rsidR="0097495C">
              <w:rPr>
                <w:rFonts w:ascii="Times New Roman" w:hAnsi="Times New Roman"/>
                <w:spacing w:val="-3"/>
              </w:rPr>
              <w:t xml:space="preserve"> </w:t>
            </w:r>
            <w:r w:rsidR="00B912CB">
              <w:rPr>
                <w:rFonts w:ascii="Times New Roman" w:hAnsi="Times New Roman"/>
                <w:spacing w:val="-3"/>
              </w:rPr>
              <w:t>is available upon request.</w:t>
            </w: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564D7" w:rsidRDefault="008564D7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AD17A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AD17AD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7128" w:type="dxa"/>
          </w:tcPr>
          <w:p w:rsidR="003E1D1D" w:rsidRPr="00AD17AD" w:rsidRDefault="00C96391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Proposed rules (redline)</w:t>
            </w:r>
          </w:p>
          <w:p w:rsidR="003E1D1D" w:rsidRPr="00AD17AD" w:rsidRDefault="000A3A61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</w:rPr>
              <w:t>Public hearing officer’s report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Public comment and agency responses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Relationship to Federal Requirements questions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Statement of Need and Fiscal and Economic Impact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Land use evaluation statement</w:t>
            </w:r>
          </w:p>
          <w:p w:rsidR="00893D1B" w:rsidRPr="00AD17AD" w:rsidRDefault="00893D1B" w:rsidP="00C41389">
            <w:pPr>
              <w:pStyle w:val="EndnoteText"/>
              <w:keepNext/>
              <w:keepLines/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  <w:tab w:val="center" w:pos="4320"/>
                <w:tab w:val="right" w:pos="8640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583FF8">
        <w:tc>
          <w:tcPr>
            <w:tcW w:w="1728" w:type="dxa"/>
          </w:tcPr>
          <w:p w:rsidR="00893D1B" w:rsidRPr="00D1171D" w:rsidRDefault="00B821B5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Available upon r</w:t>
            </w:r>
            <w:r w:rsidR="00893D1B" w:rsidRPr="00D1171D">
              <w:rPr>
                <w:rFonts w:ascii="Times New Roman" w:hAnsi="Times New Roman"/>
                <w:b/>
                <w:spacing w:val="-3"/>
                <w:sz w:val="22"/>
              </w:rPr>
              <w:t>equest</w:t>
            </w:r>
          </w:p>
        </w:tc>
        <w:tc>
          <w:tcPr>
            <w:tcW w:w="7128" w:type="dxa"/>
          </w:tcPr>
          <w:p w:rsidR="000A3A61" w:rsidRDefault="000A3A61" w:rsidP="00C41389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Rulemaking announcement</w:t>
            </w:r>
          </w:p>
          <w:p w:rsidR="00C41389" w:rsidRDefault="00C41389" w:rsidP="00C41389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Assistance Implementation Plan</w:t>
            </w:r>
          </w:p>
          <w:p w:rsidR="00893D1B" w:rsidRDefault="00C407E4" w:rsidP="003E1D1D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Temporary Rulemaking documents</w:t>
            </w:r>
          </w:p>
          <w:p w:rsidR="006C70DF" w:rsidRPr="00D1171D" w:rsidRDefault="006C70DF" w:rsidP="006C70DF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EPA Area Source MACT </w:t>
            </w:r>
            <w:r w:rsidR="00552E50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ules</w:t>
            </w:r>
          </w:p>
          <w:p w:rsidR="003A40C8" w:rsidRDefault="003A40C8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93D1B" w:rsidRPr="00D1171D" w:rsidRDefault="00893D1B" w:rsidP="007B7C77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</w:tbl>
    <w:p w:rsidR="00893D1B" w:rsidRPr="00D1171D" w:rsidRDefault="00893D1B" w:rsidP="00894EC4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</w:rPr>
        <w:tab/>
      </w:r>
      <w:r w:rsidR="00894EC4">
        <w:rPr>
          <w:rFonts w:ascii="Times New Roman" w:hAnsi="Times New Roman"/>
        </w:rPr>
        <w:tab/>
      </w:r>
      <w:r w:rsid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Approved: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Division: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D1171D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Section: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Pr="00D1171D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4EC4" w:rsidRDefault="00D1171D" w:rsidP="00894EC4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Report prepared b</w:t>
      </w:r>
      <w:r w:rsidR="00893D1B" w:rsidRPr="00D1171D">
        <w:rPr>
          <w:rFonts w:ascii="Times New Roman" w:hAnsi="Times New Roman"/>
        </w:rPr>
        <w:t>y:</w:t>
      </w:r>
      <w:r w:rsidR="00894EC4">
        <w:rPr>
          <w:rFonts w:ascii="Times New Roman" w:hAnsi="Times New Roman"/>
        </w:rPr>
        <w:t xml:space="preserve"> </w:t>
      </w:r>
      <w:r w:rsidR="00643139">
        <w:rPr>
          <w:rFonts w:ascii="Times New Roman" w:hAnsi="Times New Roman"/>
        </w:rPr>
        <w:t>Carrie Cap</w:t>
      </w:r>
      <w:r w:rsidR="00894EC4">
        <w:rPr>
          <w:rFonts w:ascii="Times New Roman" w:hAnsi="Times New Roman"/>
        </w:rPr>
        <w:t>p</w:t>
      </w:r>
    </w:p>
    <w:p w:rsidR="00E32BC9" w:rsidRDefault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 w:rsidRPr="00D1171D">
        <w:rPr>
          <w:rFonts w:ascii="Times New Roman" w:hAnsi="Times New Roman"/>
        </w:rPr>
        <w:t>Phone: 503-</w:t>
      </w:r>
      <w:r w:rsidR="00643139">
        <w:rPr>
          <w:rFonts w:ascii="Times New Roman" w:hAnsi="Times New Roman"/>
        </w:rPr>
        <w:t>229</w:t>
      </w:r>
      <w:r w:rsidRPr="00D1171D">
        <w:rPr>
          <w:rFonts w:ascii="Times New Roman" w:hAnsi="Times New Roman"/>
        </w:rPr>
        <w:t>-</w:t>
      </w:r>
      <w:r w:rsidR="00643139">
        <w:rPr>
          <w:rFonts w:ascii="Times New Roman" w:hAnsi="Times New Roman"/>
        </w:rPr>
        <w:t>5868</w:t>
      </w:r>
    </w:p>
    <w:sectPr w:rsidR="00E32BC9" w:rsidSect="00893D1B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A3" w:rsidRDefault="003732A3" w:rsidP="00893D1B">
      <w:r>
        <w:separator/>
      </w:r>
    </w:p>
  </w:endnote>
  <w:endnote w:type="continuationSeparator" w:id="0">
    <w:p w:rsidR="003732A3" w:rsidRDefault="003732A3" w:rsidP="0089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A3" w:rsidRDefault="003732A3" w:rsidP="00893D1B">
      <w:r>
        <w:separator/>
      </w:r>
    </w:p>
  </w:footnote>
  <w:footnote w:type="continuationSeparator" w:id="0">
    <w:p w:rsidR="003732A3" w:rsidRDefault="003732A3" w:rsidP="00893D1B">
      <w:r>
        <w:continuationSeparator/>
      </w:r>
    </w:p>
  </w:footnote>
  <w:footnote w:id="1">
    <w:p w:rsidR="003732A3" w:rsidRDefault="003732A3">
      <w:pPr>
        <w:pStyle w:val="FootnoteText"/>
      </w:pPr>
      <w:r>
        <w:rPr>
          <w:rStyle w:val="FootnoteReference"/>
        </w:rPr>
        <w:footnoteRef/>
      </w:r>
      <w:r>
        <w:t xml:space="preserve"> 40 CFR Part 60, Subpart AAA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A3" w:rsidRPr="000609DF" w:rsidRDefault="003732A3" w:rsidP="00893D1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Action i</w:t>
    </w:r>
    <w:r w:rsidRPr="00B821B5">
      <w:rPr>
        <w:rFonts w:ascii="Arial" w:hAnsi="Arial" w:cs="Arial"/>
        <w:sz w:val="20"/>
      </w:rPr>
      <w:t xml:space="preserve">tem: </w:t>
    </w:r>
    <w:r w:rsidRPr="000609DF">
      <w:rPr>
        <w:rFonts w:ascii="Arial" w:hAnsi="Arial" w:cs="Arial"/>
        <w:sz w:val="20"/>
      </w:rPr>
      <w:t>Small and mid-size boiler rule amendments</w:t>
    </w:r>
    <w:r w:rsidRPr="000609DF" w:rsidDel="000609DF">
      <w:rPr>
        <w:rFonts w:ascii="Arial" w:hAnsi="Arial" w:cs="Arial"/>
        <w:sz w:val="20"/>
      </w:rPr>
      <w:t xml:space="preserve"> </w:t>
    </w:r>
    <w:r w:rsidRPr="000609DF">
      <w:rPr>
        <w:rFonts w:ascii="Arial" w:hAnsi="Arial" w:cs="Arial"/>
        <w:sz w:val="20"/>
      </w:rPr>
      <w:t>rulemaking</w:t>
    </w:r>
  </w:p>
  <w:p w:rsidR="003732A3" w:rsidRPr="00B821B5" w:rsidRDefault="003732A3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Feb. 16-17, 2012, EQC meeting</w:t>
    </w:r>
  </w:p>
  <w:p w:rsidR="003732A3" w:rsidRPr="00B821B5" w:rsidRDefault="003732A3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24309D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24309D" w:rsidRPr="00B821B5">
      <w:rPr>
        <w:rStyle w:val="PageNumber"/>
        <w:rFonts w:ascii="Arial" w:hAnsi="Arial" w:cs="Arial"/>
        <w:sz w:val="20"/>
      </w:rPr>
      <w:fldChar w:fldCharType="separate"/>
    </w:r>
    <w:r w:rsidR="00802DF9">
      <w:rPr>
        <w:rStyle w:val="PageNumber"/>
        <w:rFonts w:ascii="Arial" w:hAnsi="Arial" w:cs="Arial"/>
        <w:noProof/>
        <w:sz w:val="20"/>
      </w:rPr>
      <w:t>4</w:t>
    </w:r>
    <w:r w:rsidR="0024309D" w:rsidRPr="00B821B5">
      <w:rPr>
        <w:rStyle w:val="PageNumber"/>
        <w:rFonts w:ascii="Arial" w:hAnsi="Arial" w:cs="Arial"/>
        <w:sz w:val="20"/>
      </w:rPr>
      <w:fldChar w:fldCharType="end"/>
    </w:r>
    <w:r w:rsidRPr="00B821B5">
      <w:rPr>
        <w:rFonts w:ascii="Arial" w:hAnsi="Arial" w:cs="Arial"/>
        <w:sz w:val="20"/>
      </w:rPr>
      <w:t xml:space="preserve"> of </w:t>
    </w:r>
    <w:r>
      <w:rPr>
        <w:rFonts w:ascii="Arial" w:hAnsi="Arial" w:cs="Arial"/>
        <w:sz w:val="20"/>
      </w:rPr>
      <w:t>4</w:t>
    </w:r>
  </w:p>
  <w:p w:rsidR="003732A3" w:rsidRPr="00D849B9" w:rsidRDefault="003732A3" w:rsidP="00893D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7E0"/>
    <w:rsid w:val="000014EE"/>
    <w:rsid w:val="00002ACE"/>
    <w:rsid w:val="00004F16"/>
    <w:rsid w:val="00005D46"/>
    <w:rsid w:val="0000637A"/>
    <w:rsid w:val="00006D49"/>
    <w:rsid w:val="00007AEB"/>
    <w:rsid w:val="00010685"/>
    <w:rsid w:val="00017691"/>
    <w:rsid w:val="00021B47"/>
    <w:rsid w:val="00021B58"/>
    <w:rsid w:val="00030ED6"/>
    <w:rsid w:val="000371A0"/>
    <w:rsid w:val="000450F8"/>
    <w:rsid w:val="0004679A"/>
    <w:rsid w:val="000512D4"/>
    <w:rsid w:val="00052FD3"/>
    <w:rsid w:val="00055F4A"/>
    <w:rsid w:val="000609DF"/>
    <w:rsid w:val="00064CAE"/>
    <w:rsid w:val="00067657"/>
    <w:rsid w:val="00071A13"/>
    <w:rsid w:val="00074C9B"/>
    <w:rsid w:val="00083E9C"/>
    <w:rsid w:val="00084468"/>
    <w:rsid w:val="00084732"/>
    <w:rsid w:val="00085BF1"/>
    <w:rsid w:val="00096A7A"/>
    <w:rsid w:val="000A06B3"/>
    <w:rsid w:val="000A17B9"/>
    <w:rsid w:val="000A3A61"/>
    <w:rsid w:val="000B4076"/>
    <w:rsid w:val="000B51A8"/>
    <w:rsid w:val="000C3C85"/>
    <w:rsid w:val="000C3D56"/>
    <w:rsid w:val="000D52CB"/>
    <w:rsid w:val="000D5C81"/>
    <w:rsid w:val="000E799B"/>
    <w:rsid w:val="000F3B32"/>
    <w:rsid w:val="000F77A5"/>
    <w:rsid w:val="001031C4"/>
    <w:rsid w:val="00104D7B"/>
    <w:rsid w:val="00105C22"/>
    <w:rsid w:val="00107DDA"/>
    <w:rsid w:val="0011009C"/>
    <w:rsid w:val="00113668"/>
    <w:rsid w:val="0011753D"/>
    <w:rsid w:val="00120648"/>
    <w:rsid w:val="001227AC"/>
    <w:rsid w:val="00134A15"/>
    <w:rsid w:val="00145BFA"/>
    <w:rsid w:val="0015343C"/>
    <w:rsid w:val="00153FF1"/>
    <w:rsid w:val="00155F02"/>
    <w:rsid w:val="001602A0"/>
    <w:rsid w:val="00163E87"/>
    <w:rsid w:val="001646F6"/>
    <w:rsid w:val="00171E35"/>
    <w:rsid w:val="00172797"/>
    <w:rsid w:val="00181B3B"/>
    <w:rsid w:val="001838E4"/>
    <w:rsid w:val="00191515"/>
    <w:rsid w:val="00193A73"/>
    <w:rsid w:val="00194094"/>
    <w:rsid w:val="001975A1"/>
    <w:rsid w:val="001A0210"/>
    <w:rsid w:val="001A0BB6"/>
    <w:rsid w:val="001A0BBE"/>
    <w:rsid w:val="001C27C8"/>
    <w:rsid w:val="001C2C76"/>
    <w:rsid w:val="001C2D74"/>
    <w:rsid w:val="001C7033"/>
    <w:rsid w:val="001D08CB"/>
    <w:rsid w:val="001D6496"/>
    <w:rsid w:val="001E1F22"/>
    <w:rsid w:val="001F58B0"/>
    <w:rsid w:val="00203315"/>
    <w:rsid w:val="002079F6"/>
    <w:rsid w:val="00213639"/>
    <w:rsid w:val="00213D40"/>
    <w:rsid w:val="002218F7"/>
    <w:rsid w:val="00225676"/>
    <w:rsid w:val="002412A1"/>
    <w:rsid w:val="00242447"/>
    <w:rsid w:val="0024309D"/>
    <w:rsid w:val="00247B26"/>
    <w:rsid w:val="00253E4B"/>
    <w:rsid w:val="00264FB8"/>
    <w:rsid w:val="00265E6B"/>
    <w:rsid w:val="002677D2"/>
    <w:rsid w:val="00270322"/>
    <w:rsid w:val="00281460"/>
    <w:rsid w:val="00281715"/>
    <w:rsid w:val="00287DA9"/>
    <w:rsid w:val="002A5A30"/>
    <w:rsid w:val="002B3CE4"/>
    <w:rsid w:val="002C588A"/>
    <w:rsid w:val="002D0489"/>
    <w:rsid w:val="002D26E4"/>
    <w:rsid w:val="002D6BC0"/>
    <w:rsid w:val="002E0ECE"/>
    <w:rsid w:val="002E1FEA"/>
    <w:rsid w:val="002E426F"/>
    <w:rsid w:val="002E4628"/>
    <w:rsid w:val="002F22CF"/>
    <w:rsid w:val="002F2BEE"/>
    <w:rsid w:val="002F4761"/>
    <w:rsid w:val="003034CA"/>
    <w:rsid w:val="00305B4A"/>
    <w:rsid w:val="00307C1F"/>
    <w:rsid w:val="0031376E"/>
    <w:rsid w:val="00315BAB"/>
    <w:rsid w:val="003200B5"/>
    <w:rsid w:val="00322BB8"/>
    <w:rsid w:val="00333337"/>
    <w:rsid w:val="003460C4"/>
    <w:rsid w:val="003560E1"/>
    <w:rsid w:val="003629F5"/>
    <w:rsid w:val="003634C1"/>
    <w:rsid w:val="00363EF0"/>
    <w:rsid w:val="003732A3"/>
    <w:rsid w:val="00386B98"/>
    <w:rsid w:val="0039089E"/>
    <w:rsid w:val="003A16E5"/>
    <w:rsid w:val="003A40C8"/>
    <w:rsid w:val="003A530F"/>
    <w:rsid w:val="003B453E"/>
    <w:rsid w:val="003B7DDF"/>
    <w:rsid w:val="003C3F6D"/>
    <w:rsid w:val="003C534B"/>
    <w:rsid w:val="003C56DD"/>
    <w:rsid w:val="003D0AD5"/>
    <w:rsid w:val="003D183A"/>
    <w:rsid w:val="003E0787"/>
    <w:rsid w:val="003E1D1D"/>
    <w:rsid w:val="003E69F2"/>
    <w:rsid w:val="003E7951"/>
    <w:rsid w:val="003F3EF7"/>
    <w:rsid w:val="003F4564"/>
    <w:rsid w:val="003F54A6"/>
    <w:rsid w:val="003F69C0"/>
    <w:rsid w:val="00400A95"/>
    <w:rsid w:val="00404706"/>
    <w:rsid w:val="00404B3E"/>
    <w:rsid w:val="0041368B"/>
    <w:rsid w:val="0041396D"/>
    <w:rsid w:val="004273AF"/>
    <w:rsid w:val="00431872"/>
    <w:rsid w:val="00433980"/>
    <w:rsid w:val="00436ACA"/>
    <w:rsid w:val="004376C0"/>
    <w:rsid w:val="0044166C"/>
    <w:rsid w:val="004446CD"/>
    <w:rsid w:val="004506D9"/>
    <w:rsid w:val="004508B8"/>
    <w:rsid w:val="00450A0B"/>
    <w:rsid w:val="0045533A"/>
    <w:rsid w:val="00457EAF"/>
    <w:rsid w:val="00463128"/>
    <w:rsid w:val="00464E41"/>
    <w:rsid w:val="00464EE4"/>
    <w:rsid w:val="0046697B"/>
    <w:rsid w:val="00484122"/>
    <w:rsid w:val="00484D77"/>
    <w:rsid w:val="004947F8"/>
    <w:rsid w:val="004972DB"/>
    <w:rsid w:val="004B7CDE"/>
    <w:rsid w:val="004C003B"/>
    <w:rsid w:val="004C0088"/>
    <w:rsid w:val="004C12F7"/>
    <w:rsid w:val="004C464D"/>
    <w:rsid w:val="004C7DF8"/>
    <w:rsid w:val="004D50A5"/>
    <w:rsid w:val="004D5F33"/>
    <w:rsid w:val="004E55B0"/>
    <w:rsid w:val="004F242A"/>
    <w:rsid w:val="004F35BB"/>
    <w:rsid w:val="004F5282"/>
    <w:rsid w:val="00500175"/>
    <w:rsid w:val="00500D2E"/>
    <w:rsid w:val="005135E4"/>
    <w:rsid w:val="00517473"/>
    <w:rsid w:val="0051757C"/>
    <w:rsid w:val="00520F14"/>
    <w:rsid w:val="00524D44"/>
    <w:rsid w:val="00530DB1"/>
    <w:rsid w:val="005414CE"/>
    <w:rsid w:val="0054318F"/>
    <w:rsid w:val="005523A3"/>
    <w:rsid w:val="00552E50"/>
    <w:rsid w:val="0056251C"/>
    <w:rsid w:val="00567B6A"/>
    <w:rsid w:val="00571EE2"/>
    <w:rsid w:val="00580224"/>
    <w:rsid w:val="00583D1A"/>
    <w:rsid w:val="00583FF8"/>
    <w:rsid w:val="00592A08"/>
    <w:rsid w:val="005A57CA"/>
    <w:rsid w:val="005B0BE7"/>
    <w:rsid w:val="005B469C"/>
    <w:rsid w:val="005C1CCF"/>
    <w:rsid w:val="005D3E59"/>
    <w:rsid w:val="005D746C"/>
    <w:rsid w:val="005F26A7"/>
    <w:rsid w:val="006020EA"/>
    <w:rsid w:val="00604E04"/>
    <w:rsid w:val="00625EE1"/>
    <w:rsid w:val="00633EB0"/>
    <w:rsid w:val="00643139"/>
    <w:rsid w:val="00650157"/>
    <w:rsid w:val="00663AD9"/>
    <w:rsid w:val="006640DF"/>
    <w:rsid w:val="006670D6"/>
    <w:rsid w:val="006709D2"/>
    <w:rsid w:val="00674E8B"/>
    <w:rsid w:val="00675BC0"/>
    <w:rsid w:val="00684DA5"/>
    <w:rsid w:val="006A076F"/>
    <w:rsid w:val="006A244D"/>
    <w:rsid w:val="006A3C9D"/>
    <w:rsid w:val="006A7DBF"/>
    <w:rsid w:val="006C2E23"/>
    <w:rsid w:val="006C2EE2"/>
    <w:rsid w:val="006C3C05"/>
    <w:rsid w:val="006C3DD8"/>
    <w:rsid w:val="006C3E31"/>
    <w:rsid w:val="006C70DF"/>
    <w:rsid w:val="006D5FB2"/>
    <w:rsid w:val="006D5FC5"/>
    <w:rsid w:val="006E1989"/>
    <w:rsid w:val="006E7804"/>
    <w:rsid w:val="006F2585"/>
    <w:rsid w:val="006F32DF"/>
    <w:rsid w:val="006F4CE1"/>
    <w:rsid w:val="006F55A5"/>
    <w:rsid w:val="00716743"/>
    <w:rsid w:val="007224BF"/>
    <w:rsid w:val="007233C1"/>
    <w:rsid w:val="00761567"/>
    <w:rsid w:val="00766B87"/>
    <w:rsid w:val="007708C3"/>
    <w:rsid w:val="00776ECC"/>
    <w:rsid w:val="00782374"/>
    <w:rsid w:val="007A728E"/>
    <w:rsid w:val="007B0733"/>
    <w:rsid w:val="007B1EE5"/>
    <w:rsid w:val="007B2C91"/>
    <w:rsid w:val="007B4372"/>
    <w:rsid w:val="007B7C77"/>
    <w:rsid w:val="007C295B"/>
    <w:rsid w:val="007C416D"/>
    <w:rsid w:val="007C4E5A"/>
    <w:rsid w:val="007D0211"/>
    <w:rsid w:val="007D506C"/>
    <w:rsid w:val="007E4BB2"/>
    <w:rsid w:val="00802DF9"/>
    <w:rsid w:val="00827960"/>
    <w:rsid w:val="00834916"/>
    <w:rsid w:val="00836AD7"/>
    <w:rsid w:val="00840C68"/>
    <w:rsid w:val="0084587D"/>
    <w:rsid w:val="00846434"/>
    <w:rsid w:val="008465C6"/>
    <w:rsid w:val="008564D7"/>
    <w:rsid w:val="00857B7D"/>
    <w:rsid w:val="00860C8C"/>
    <w:rsid w:val="0086326D"/>
    <w:rsid w:val="008645E6"/>
    <w:rsid w:val="00865396"/>
    <w:rsid w:val="008808D7"/>
    <w:rsid w:val="00880E73"/>
    <w:rsid w:val="00883C0D"/>
    <w:rsid w:val="00891525"/>
    <w:rsid w:val="00893D1B"/>
    <w:rsid w:val="00894EC4"/>
    <w:rsid w:val="008A12F9"/>
    <w:rsid w:val="008A24D5"/>
    <w:rsid w:val="008A3319"/>
    <w:rsid w:val="008A67D2"/>
    <w:rsid w:val="008B6CE8"/>
    <w:rsid w:val="008C5959"/>
    <w:rsid w:val="008D202A"/>
    <w:rsid w:val="008D75F5"/>
    <w:rsid w:val="0090155E"/>
    <w:rsid w:val="00902F3F"/>
    <w:rsid w:val="009204DE"/>
    <w:rsid w:val="00933C67"/>
    <w:rsid w:val="00942D1D"/>
    <w:rsid w:val="00954FFA"/>
    <w:rsid w:val="00960FFA"/>
    <w:rsid w:val="00964B36"/>
    <w:rsid w:val="0097495C"/>
    <w:rsid w:val="0097714D"/>
    <w:rsid w:val="00983A71"/>
    <w:rsid w:val="00987F37"/>
    <w:rsid w:val="009926A7"/>
    <w:rsid w:val="009A1623"/>
    <w:rsid w:val="009A260F"/>
    <w:rsid w:val="009C765C"/>
    <w:rsid w:val="009E027C"/>
    <w:rsid w:val="009F6235"/>
    <w:rsid w:val="009F6B05"/>
    <w:rsid w:val="00A00EEF"/>
    <w:rsid w:val="00A07985"/>
    <w:rsid w:val="00A17E48"/>
    <w:rsid w:val="00A21BA3"/>
    <w:rsid w:val="00A42DAA"/>
    <w:rsid w:val="00A4610F"/>
    <w:rsid w:val="00A50B25"/>
    <w:rsid w:val="00A578A1"/>
    <w:rsid w:val="00A67DCA"/>
    <w:rsid w:val="00A70A9F"/>
    <w:rsid w:val="00A7191B"/>
    <w:rsid w:val="00A72009"/>
    <w:rsid w:val="00A83508"/>
    <w:rsid w:val="00A8604F"/>
    <w:rsid w:val="00A91A46"/>
    <w:rsid w:val="00A928CA"/>
    <w:rsid w:val="00A9509D"/>
    <w:rsid w:val="00AA4793"/>
    <w:rsid w:val="00AA5F13"/>
    <w:rsid w:val="00AB3D7E"/>
    <w:rsid w:val="00AB57A4"/>
    <w:rsid w:val="00AC0460"/>
    <w:rsid w:val="00AC366E"/>
    <w:rsid w:val="00AD17AD"/>
    <w:rsid w:val="00AD2DCC"/>
    <w:rsid w:val="00AD6135"/>
    <w:rsid w:val="00AD7939"/>
    <w:rsid w:val="00AE12F5"/>
    <w:rsid w:val="00AE2A79"/>
    <w:rsid w:val="00AF350F"/>
    <w:rsid w:val="00AF56ED"/>
    <w:rsid w:val="00B13A69"/>
    <w:rsid w:val="00B14FA5"/>
    <w:rsid w:val="00B215A9"/>
    <w:rsid w:val="00B236D3"/>
    <w:rsid w:val="00B2419D"/>
    <w:rsid w:val="00B31A9C"/>
    <w:rsid w:val="00B35351"/>
    <w:rsid w:val="00B37713"/>
    <w:rsid w:val="00B424AE"/>
    <w:rsid w:val="00B45C1D"/>
    <w:rsid w:val="00B471F9"/>
    <w:rsid w:val="00B47945"/>
    <w:rsid w:val="00B51DF3"/>
    <w:rsid w:val="00B537E0"/>
    <w:rsid w:val="00B5442A"/>
    <w:rsid w:val="00B55799"/>
    <w:rsid w:val="00B56C5F"/>
    <w:rsid w:val="00B6668E"/>
    <w:rsid w:val="00B70653"/>
    <w:rsid w:val="00B734C7"/>
    <w:rsid w:val="00B747CA"/>
    <w:rsid w:val="00B74F5D"/>
    <w:rsid w:val="00B821B5"/>
    <w:rsid w:val="00B83ED5"/>
    <w:rsid w:val="00B84566"/>
    <w:rsid w:val="00B86BEA"/>
    <w:rsid w:val="00B912CB"/>
    <w:rsid w:val="00B9424A"/>
    <w:rsid w:val="00BA756D"/>
    <w:rsid w:val="00BC53CC"/>
    <w:rsid w:val="00BC5CD7"/>
    <w:rsid w:val="00BD1AD8"/>
    <w:rsid w:val="00BD33BD"/>
    <w:rsid w:val="00BD6E4B"/>
    <w:rsid w:val="00BE0149"/>
    <w:rsid w:val="00BE03DE"/>
    <w:rsid w:val="00BE0C0E"/>
    <w:rsid w:val="00BE1101"/>
    <w:rsid w:val="00BE5397"/>
    <w:rsid w:val="00BF2DA3"/>
    <w:rsid w:val="00C05293"/>
    <w:rsid w:val="00C13FCE"/>
    <w:rsid w:val="00C24DB5"/>
    <w:rsid w:val="00C400A4"/>
    <w:rsid w:val="00C407E4"/>
    <w:rsid w:val="00C41389"/>
    <w:rsid w:val="00C42C59"/>
    <w:rsid w:val="00C50BB6"/>
    <w:rsid w:val="00C52C03"/>
    <w:rsid w:val="00C53272"/>
    <w:rsid w:val="00C702C7"/>
    <w:rsid w:val="00C72998"/>
    <w:rsid w:val="00C72A0C"/>
    <w:rsid w:val="00C72AFE"/>
    <w:rsid w:val="00C7708F"/>
    <w:rsid w:val="00C83AB9"/>
    <w:rsid w:val="00C90079"/>
    <w:rsid w:val="00C96391"/>
    <w:rsid w:val="00C97A00"/>
    <w:rsid w:val="00CA03EE"/>
    <w:rsid w:val="00CA0624"/>
    <w:rsid w:val="00CA4010"/>
    <w:rsid w:val="00CA6668"/>
    <w:rsid w:val="00CB5C28"/>
    <w:rsid w:val="00CB5D3C"/>
    <w:rsid w:val="00CC4875"/>
    <w:rsid w:val="00CD06EA"/>
    <w:rsid w:val="00CD17F2"/>
    <w:rsid w:val="00CE04A1"/>
    <w:rsid w:val="00CE1981"/>
    <w:rsid w:val="00CF0069"/>
    <w:rsid w:val="00CF6236"/>
    <w:rsid w:val="00D001F3"/>
    <w:rsid w:val="00D0547A"/>
    <w:rsid w:val="00D05D82"/>
    <w:rsid w:val="00D07FD2"/>
    <w:rsid w:val="00D1171D"/>
    <w:rsid w:val="00D13B26"/>
    <w:rsid w:val="00D15320"/>
    <w:rsid w:val="00D24D2A"/>
    <w:rsid w:val="00D26BB7"/>
    <w:rsid w:val="00D36A7C"/>
    <w:rsid w:val="00D44B2F"/>
    <w:rsid w:val="00D46A11"/>
    <w:rsid w:val="00D5460F"/>
    <w:rsid w:val="00D5678C"/>
    <w:rsid w:val="00D60280"/>
    <w:rsid w:val="00D61167"/>
    <w:rsid w:val="00D624DC"/>
    <w:rsid w:val="00D8359F"/>
    <w:rsid w:val="00D935DB"/>
    <w:rsid w:val="00DA352A"/>
    <w:rsid w:val="00DB650A"/>
    <w:rsid w:val="00DC0165"/>
    <w:rsid w:val="00DD0CAF"/>
    <w:rsid w:val="00DD4970"/>
    <w:rsid w:val="00DD7D21"/>
    <w:rsid w:val="00DE62E2"/>
    <w:rsid w:val="00DE65CE"/>
    <w:rsid w:val="00DE76CC"/>
    <w:rsid w:val="00DF03A6"/>
    <w:rsid w:val="00DF6054"/>
    <w:rsid w:val="00DF66D7"/>
    <w:rsid w:val="00E015F8"/>
    <w:rsid w:val="00E02E4D"/>
    <w:rsid w:val="00E0546E"/>
    <w:rsid w:val="00E06C99"/>
    <w:rsid w:val="00E12A0B"/>
    <w:rsid w:val="00E13AB2"/>
    <w:rsid w:val="00E2226D"/>
    <w:rsid w:val="00E23AD3"/>
    <w:rsid w:val="00E32BC9"/>
    <w:rsid w:val="00E34F9B"/>
    <w:rsid w:val="00E35AB0"/>
    <w:rsid w:val="00E4598F"/>
    <w:rsid w:val="00E6051D"/>
    <w:rsid w:val="00E60730"/>
    <w:rsid w:val="00E6525D"/>
    <w:rsid w:val="00E73C00"/>
    <w:rsid w:val="00E94D7E"/>
    <w:rsid w:val="00EA3628"/>
    <w:rsid w:val="00EA6AC7"/>
    <w:rsid w:val="00EA7E92"/>
    <w:rsid w:val="00EB3845"/>
    <w:rsid w:val="00EB48EC"/>
    <w:rsid w:val="00ED14C1"/>
    <w:rsid w:val="00ED36F5"/>
    <w:rsid w:val="00ED5B90"/>
    <w:rsid w:val="00ED7FD3"/>
    <w:rsid w:val="00EE01DB"/>
    <w:rsid w:val="00EE37E9"/>
    <w:rsid w:val="00EF77B9"/>
    <w:rsid w:val="00F00544"/>
    <w:rsid w:val="00F03DA3"/>
    <w:rsid w:val="00F05C66"/>
    <w:rsid w:val="00F120F6"/>
    <w:rsid w:val="00F13568"/>
    <w:rsid w:val="00F15D17"/>
    <w:rsid w:val="00F15E3D"/>
    <w:rsid w:val="00F16A55"/>
    <w:rsid w:val="00F17CEA"/>
    <w:rsid w:val="00F22289"/>
    <w:rsid w:val="00F415FB"/>
    <w:rsid w:val="00F46262"/>
    <w:rsid w:val="00F4642A"/>
    <w:rsid w:val="00F51DC7"/>
    <w:rsid w:val="00F52664"/>
    <w:rsid w:val="00F52FC8"/>
    <w:rsid w:val="00F55AEC"/>
    <w:rsid w:val="00F5666F"/>
    <w:rsid w:val="00F56A64"/>
    <w:rsid w:val="00F626DA"/>
    <w:rsid w:val="00F80103"/>
    <w:rsid w:val="00F81D48"/>
    <w:rsid w:val="00F8329D"/>
    <w:rsid w:val="00F87899"/>
    <w:rsid w:val="00F90E76"/>
    <w:rsid w:val="00FA4FCC"/>
    <w:rsid w:val="00FB1080"/>
    <w:rsid w:val="00FB7540"/>
    <w:rsid w:val="00FC13A6"/>
    <w:rsid w:val="00FC43C7"/>
    <w:rsid w:val="00FE0ED2"/>
    <w:rsid w:val="00FE538A"/>
    <w:rsid w:val="00FF3280"/>
    <w:rsid w:val="00FF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customStyle="1" w:styleId="DEQTEXTforFACTSHEET">
    <w:name w:val="(DEQ)TEXT for FACT SHEET"/>
    <w:basedOn w:val="Normal"/>
    <w:uiPriority w:val="99"/>
    <w:rsid w:val="00B537E0"/>
    <w:rPr>
      <w:rFonts w:ascii="Times" w:eastAsia="Times" w:hAnsi="Times" w:cs="Times"/>
      <w:sz w:val="20"/>
    </w:rPr>
  </w:style>
  <w:style w:type="paragraph" w:customStyle="1" w:styleId="Default">
    <w:name w:val="Default"/>
    <w:rsid w:val="00663A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F6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F6D"/>
    <w:rPr>
      <w:rFonts w:ascii="CG Times" w:hAnsi="CG Times"/>
    </w:rPr>
  </w:style>
  <w:style w:type="character" w:styleId="FootnoteReference">
    <w:name w:val="footnote reference"/>
    <w:basedOn w:val="DefaultParagraphFont"/>
    <w:uiPriority w:val="99"/>
    <w:semiHidden/>
    <w:unhideWhenUsed/>
    <w:rsid w:val="003C3F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pp\Desktop\FINAL%20RM%20PKT\3%20EQCStaffReportRuleAdo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8645-A35A-49BB-9CB7-7D6C50A2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EQCStaffReportRuleAdoption.dotx</Template>
  <TotalTime>1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8400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ccapp</dc:creator>
  <cp:lastModifiedBy>Stephanie Clark</cp:lastModifiedBy>
  <cp:revision>4</cp:revision>
  <cp:lastPrinted>2012-01-21T00:46:00Z</cp:lastPrinted>
  <dcterms:created xsi:type="dcterms:W3CDTF">2012-01-25T18:49:00Z</dcterms:created>
  <dcterms:modified xsi:type="dcterms:W3CDTF">2012-01-25T18:49:00Z</dcterms:modified>
</cp:coreProperties>
</file>