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28" w:rsidRPr="002806C1" w:rsidRDefault="00767728" w:rsidP="002806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 w:rsidRPr="002806C1">
        <w:rPr>
          <w:rFonts w:ascii="Times New Roman" w:hAnsi="Times New Roman"/>
          <w:spacing w:val="-3"/>
          <w:sz w:val="28"/>
          <w:szCs w:val="28"/>
        </w:rPr>
        <w:t>State of Oregon</w:t>
      </w:r>
    </w:p>
    <w:p w:rsidR="00767728" w:rsidRPr="002806C1" w:rsidRDefault="00767728" w:rsidP="002806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 w:rsidRPr="002806C1">
        <w:rPr>
          <w:rFonts w:ascii="Times New Roman" w:hAnsi="Times New Roman"/>
          <w:spacing w:val="-3"/>
          <w:sz w:val="28"/>
          <w:szCs w:val="28"/>
        </w:rPr>
        <w:t>DEPARTMENT OF ENVIRONMENTAL QUALITY</w:t>
      </w:r>
    </w:p>
    <w:p w:rsidR="00767728" w:rsidRPr="002806C1" w:rsidRDefault="00767728" w:rsidP="002806C1">
      <w:pPr>
        <w:tabs>
          <w:tab w:val="left" w:pos="-720"/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</w:p>
    <w:p w:rsidR="00767728" w:rsidRPr="002806C1" w:rsidRDefault="00767728" w:rsidP="002806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 w:rsidRPr="002806C1">
        <w:rPr>
          <w:rFonts w:ascii="Times New Roman" w:hAnsi="Times New Roman"/>
          <w:spacing w:val="-3"/>
          <w:sz w:val="28"/>
          <w:szCs w:val="28"/>
        </w:rPr>
        <w:t>Rulemaking for</w:t>
      </w:r>
    </w:p>
    <w:p w:rsidR="00C43C45" w:rsidRPr="002806C1" w:rsidRDefault="004426EE" w:rsidP="002806C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Small and Mid-size solid fu</w:t>
      </w:r>
      <w:r w:rsidR="004379F0">
        <w:rPr>
          <w:rFonts w:ascii="Times New Roman" w:hAnsi="Times New Roman"/>
          <w:b/>
          <w:sz w:val="28"/>
          <w:szCs w:val="28"/>
        </w:rPr>
        <w:t>e</w:t>
      </w:r>
      <w:r>
        <w:rPr>
          <w:rFonts w:ascii="Times New Roman" w:hAnsi="Times New Roman"/>
          <w:b/>
          <w:sz w:val="28"/>
          <w:szCs w:val="28"/>
        </w:rPr>
        <w:t>l</w:t>
      </w:r>
      <w:r w:rsidR="004379F0">
        <w:rPr>
          <w:rFonts w:ascii="Times New Roman" w:hAnsi="Times New Roman"/>
          <w:b/>
          <w:sz w:val="28"/>
          <w:szCs w:val="28"/>
        </w:rPr>
        <w:t xml:space="preserve"> boilers</w:t>
      </w:r>
    </w:p>
    <w:p w:rsidR="00767728" w:rsidRPr="002806C1" w:rsidRDefault="00767728" w:rsidP="002806C1">
      <w:pPr>
        <w:tabs>
          <w:tab w:val="left" w:pos="-720"/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</w:p>
    <w:p w:rsidR="00767728" w:rsidRPr="002806C1" w:rsidRDefault="004426EE" w:rsidP="002806C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DRAFT </w:t>
      </w:r>
      <w:r w:rsidR="00767728" w:rsidRPr="002806C1">
        <w:rPr>
          <w:rFonts w:ascii="Times New Roman" w:hAnsi="Times New Roman"/>
          <w:b/>
          <w:spacing w:val="-3"/>
          <w:sz w:val="28"/>
          <w:szCs w:val="28"/>
        </w:rPr>
        <w:t>Rule Implementation Plan</w:t>
      </w:r>
    </w:p>
    <w:p w:rsidR="00767728" w:rsidRDefault="007677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54B46" w:rsidRDefault="00121472" w:rsidP="00154B46">
      <w:pPr>
        <w:autoSpaceDE w:val="0"/>
        <w:autoSpaceDN w:val="0"/>
        <w:adjustRightInd w:val="0"/>
        <w:spacing w:before="160"/>
        <w:rPr>
          <w:rFonts w:ascii="Times New Roman" w:hAnsi="Times New Roman"/>
          <w:sz w:val="22"/>
          <w:szCs w:val="22"/>
        </w:rPr>
      </w:pPr>
      <w:r w:rsidRPr="002622E5">
        <w:rPr>
          <w:rFonts w:ascii="Times New Roman" w:hAnsi="Times New Roman"/>
          <w:sz w:val="22"/>
          <w:szCs w:val="22"/>
          <w:u w:val="single"/>
        </w:rPr>
        <w:t>Background</w:t>
      </w:r>
      <w:r w:rsidRPr="002622E5">
        <w:rPr>
          <w:rFonts w:ascii="Times New Roman" w:hAnsi="Times New Roman"/>
          <w:sz w:val="22"/>
          <w:szCs w:val="22"/>
        </w:rPr>
        <w:t xml:space="preserve"> </w:t>
      </w:r>
      <w:bookmarkStart w:id="0" w:name="OLE_LINK2"/>
    </w:p>
    <w:p w:rsidR="001E0002" w:rsidRDefault="002A11AE" w:rsidP="001E0002">
      <w:pPr>
        <w:jc w:val="both"/>
        <w:rPr>
          <w:sz w:val="22"/>
          <w:szCs w:val="22"/>
        </w:rPr>
      </w:pPr>
      <w:r>
        <w:rPr>
          <w:sz w:val="22"/>
          <w:szCs w:val="22"/>
        </w:rPr>
        <w:t>Adopted in March, 2011, t</w:t>
      </w:r>
      <w:r w:rsidR="0097713C" w:rsidRPr="00961932">
        <w:rPr>
          <w:sz w:val="22"/>
          <w:szCs w:val="22"/>
        </w:rPr>
        <w:t>he Heat Smart rules</w:t>
      </w:r>
      <w:r>
        <w:rPr>
          <w:rStyle w:val="FootnoteReference"/>
          <w:sz w:val="22"/>
          <w:szCs w:val="22"/>
        </w:rPr>
        <w:footnoteReference w:id="1"/>
      </w:r>
      <w:r w:rsidR="0097713C" w:rsidRPr="00961932">
        <w:rPr>
          <w:sz w:val="22"/>
          <w:szCs w:val="22"/>
        </w:rPr>
        <w:t xml:space="preserve"> require</w:t>
      </w:r>
      <w:r w:rsidR="00403697">
        <w:rPr>
          <w:sz w:val="22"/>
          <w:szCs w:val="22"/>
        </w:rPr>
        <w:t>d</w:t>
      </w:r>
      <w:r w:rsidR="0097713C" w:rsidRPr="00961932">
        <w:rPr>
          <w:sz w:val="22"/>
          <w:szCs w:val="22"/>
        </w:rPr>
        <w:t xml:space="preserve"> </w:t>
      </w:r>
      <w:r w:rsidR="005A0983">
        <w:rPr>
          <w:sz w:val="22"/>
          <w:szCs w:val="22"/>
        </w:rPr>
        <w:t xml:space="preserve">small scale </w:t>
      </w:r>
      <w:r w:rsidR="0097713C" w:rsidRPr="00961932">
        <w:rPr>
          <w:sz w:val="22"/>
          <w:szCs w:val="22"/>
        </w:rPr>
        <w:t>solid fuel</w:t>
      </w:r>
      <w:r w:rsidR="00403697">
        <w:rPr>
          <w:sz w:val="22"/>
          <w:szCs w:val="22"/>
        </w:rPr>
        <w:t>-fired</w:t>
      </w:r>
      <w:r w:rsidR="0097713C" w:rsidRPr="00961932">
        <w:rPr>
          <w:sz w:val="22"/>
          <w:szCs w:val="22"/>
        </w:rPr>
        <w:t xml:space="preserve"> </w:t>
      </w:r>
      <w:r w:rsidR="007F5A2E">
        <w:rPr>
          <w:sz w:val="22"/>
          <w:szCs w:val="22"/>
        </w:rPr>
        <w:t>boilers</w:t>
      </w:r>
      <w:r w:rsidR="0097713C" w:rsidRPr="00961932">
        <w:rPr>
          <w:sz w:val="22"/>
          <w:szCs w:val="22"/>
        </w:rPr>
        <w:t xml:space="preserve"> </w:t>
      </w:r>
      <w:r w:rsidR="005A0983">
        <w:rPr>
          <w:sz w:val="22"/>
          <w:szCs w:val="22"/>
        </w:rPr>
        <w:t xml:space="preserve">(those with </w:t>
      </w:r>
      <w:r w:rsidR="0097713C" w:rsidRPr="00961932">
        <w:rPr>
          <w:sz w:val="22"/>
          <w:szCs w:val="22"/>
        </w:rPr>
        <w:t xml:space="preserve">maximum heat output capacities below </w:t>
      </w:r>
      <w:r w:rsidR="004A3161">
        <w:rPr>
          <w:sz w:val="22"/>
          <w:szCs w:val="22"/>
        </w:rPr>
        <w:t>1</w:t>
      </w:r>
      <w:r w:rsidR="0097713C" w:rsidRPr="00961932">
        <w:rPr>
          <w:sz w:val="22"/>
          <w:szCs w:val="22"/>
        </w:rPr>
        <w:t xml:space="preserve"> </w:t>
      </w:r>
      <w:r w:rsidR="004A3161">
        <w:rPr>
          <w:sz w:val="22"/>
          <w:szCs w:val="22"/>
        </w:rPr>
        <w:t>MM</w:t>
      </w:r>
      <w:r w:rsidR="0097713C" w:rsidRPr="00961932">
        <w:rPr>
          <w:sz w:val="22"/>
          <w:szCs w:val="22"/>
        </w:rPr>
        <w:t>BTU per hour</w:t>
      </w:r>
      <w:r w:rsidR="005A0983">
        <w:rPr>
          <w:sz w:val="22"/>
          <w:szCs w:val="22"/>
        </w:rPr>
        <w:t>)</w:t>
      </w:r>
      <w:r w:rsidR="0097713C" w:rsidRPr="00961932">
        <w:rPr>
          <w:sz w:val="22"/>
          <w:szCs w:val="22"/>
        </w:rPr>
        <w:t xml:space="preserve"> to meet EPA’s New Source Performance Standards </w:t>
      </w:r>
      <w:r w:rsidR="00527290">
        <w:rPr>
          <w:sz w:val="22"/>
          <w:szCs w:val="22"/>
        </w:rPr>
        <w:t xml:space="preserve">(NSPS) </w:t>
      </w:r>
      <w:r w:rsidR="0097713C" w:rsidRPr="00961932">
        <w:rPr>
          <w:sz w:val="22"/>
          <w:szCs w:val="22"/>
        </w:rPr>
        <w:t>for residential wood heating appliances</w:t>
      </w:r>
      <w:r w:rsidR="0097713C" w:rsidRPr="00961932">
        <w:rPr>
          <w:rStyle w:val="FootnoteReference"/>
          <w:sz w:val="22"/>
          <w:szCs w:val="22"/>
        </w:rPr>
        <w:footnoteReference w:id="2"/>
      </w:r>
      <w:r w:rsidR="0097713C" w:rsidRPr="00961932">
        <w:rPr>
          <w:sz w:val="22"/>
          <w:szCs w:val="22"/>
        </w:rPr>
        <w:t xml:space="preserve"> in order to be sold in Oregon. </w:t>
      </w:r>
      <w:r w:rsidR="00E24A1E" w:rsidRPr="00961932">
        <w:rPr>
          <w:sz w:val="22"/>
          <w:szCs w:val="22"/>
        </w:rPr>
        <w:t xml:space="preserve">The Heat Smart rules primarily address residential wood heating </w:t>
      </w:r>
      <w:proofErr w:type="gramStart"/>
      <w:r w:rsidR="00E24A1E" w:rsidRPr="00961932">
        <w:rPr>
          <w:sz w:val="22"/>
          <w:szCs w:val="22"/>
        </w:rPr>
        <w:t>devices,</w:t>
      </w:r>
      <w:proofErr w:type="gramEnd"/>
      <w:r w:rsidR="00E24A1E" w:rsidRPr="00961932">
        <w:rPr>
          <w:sz w:val="22"/>
          <w:szCs w:val="22"/>
        </w:rPr>
        <w:t xml:space="preserve"> </w:t>
      </w:r>
      <w:r w:rsidR="005A0983">
        <w:rPr>
          <w:sz w:val="22"/>
          <w:szCs w:val="22"/>
        </w:rPr>
        <w:t xml:space="preserve">however, they </w:t>
      </w:r>
      <w:r w:rsidR="00E24A1E" w:rsidRPr="00961932">
        <w:rPr>
          <w:sz w:val="22"/>
          <w:szCs w:val="22"/>
        </w:rPr>
        <w:t xml:space="preserve">unintentionally </w:t>
      </w:r>
      <w:r w:rsidR="0097713C" w:rsidRPr="00961932">
        <w:rPr>
          <w:sz w:val="22"/>
          <w:szCs w:val="22"/>
        </w:rPr>
        <w:t>affect</w:t>
      </w:r>
      <w:r w:rsidR="00E24A1E" w:rsidRPr="00961932">
        <w:rPr>
          <w:sz w:val="22"/>
          <w:szCs w:val="22"/>
        </w:rPr>
        <w:t>ed</w:t>
      </w:r>
      <w:r w:rsidR="0097713C" w:rsidRPr="00961932">
        <w:rPr>
          <w:sz w:val="22"/>
          <w:szCs w:val="22"/>
        </w:rPr>
        <w:t xml:space="preserve"> small-scale commercial, industrial and institutional biomass boilers </w:t>
      </w:r>
      <w:r w:rsidR="00E24A1E" w:rsidRPr="00961932">
        <w:rPr>
          <w:sz w:val="22"/>
          <w:szCs w:val="22"/>
        </w:rPr>
        <w:t xml:space="preserve">by restricting the sale of these units. </w:t>
      </w:r>
    </w:p>
    <w:p w:rsidR="00154B46" w:rsidRDefault="004920EC" w:rsidP="00154B46">
      <w:pPr>
        <w:autoSpaceDE w:val="0"/>
        <w:autoSpaceDN w:val="0"/>
        <w:adjustRightInd w:val="0"/>
        <w:spacing w:before="160"/>
        <w:jc w:val="both"/>
        <w:rPr>
          <w:rFonts w:ascii="Times New Roman" w:hAnsi="Times New Roman"/>
          <w:sz w:val="22"/>
          <w:szCs w:val="22"/>
        </w:rPr>
      </w:pPr>
      <w:r w:rsidRPr="00961932">
        <w:rPr>
          <w:sz w:val="22"/>
          <w:szCs w:val="22"/>
        </w:rPr>
        <w:t xml:space="preserve">In </w:t>
      </w:r>
      <w:r w:rsidR="00A12FF2">
        <w:rPr>
          <w:sz w:val="22"/>
          <w:szCs w:val="22"/>
        </w:rPr>
        <w:t xml:space="preserve">June of 2011, the EQC adopted temporary rule amendments to exempt small-scale commercial </w:t>
      </w:r>
      <w:r w:rsidR="005A0983">
        <w:rPr>
          <w:sz w:val="22"/>
          <w:szCs w:val="22"/>
        </w:rPr>
        <w:t>and</w:t>
      </w:r>
      <w:r w:rsidR="00A12FF2">
        <w:rPr>
          <w:sz w:val="22"/>
          <w:szCs w:val="22"/>
        </w:rPr>
        <w:t xml:space="preserve"> industrial solid fuel-fired boilers from the Heat Smart certification requirements for solid fuel burning devices </w:t>
      </w:r>
      <w:r w:rsidR="00A12FF2" w:rsidRPr="00961932">
        <w:rPr>
          <w:sz w:val="22"/>
          <w:szCs w:val="22"/>
        </w:rPr>
        <w:t>subject to National Emission Standards for Hazardous Air Pollutants</w:t>
      </w:r>
      <w:r w:rsidR="00A12FF2">
        <w:rPr>
          <w:sz w:val="22"/>
          <w:szCs w:val="22"/>
        </w:rPr>
        <w:t xml:space="preserve"> (NESHAP). In </w:t>
      </w:r>
      <w:r w:rsidRPr="00961932">
        <w:rPr>
          <w:sz w:val="22"/>
          <w:szCs w:val="22"/>
        </w:rPr>
        <w:t>February of 2012,</w:t>
      </w:r>
      <w:r w:rsidR="0097713C" w:rsidRPr="00961932">
        <w:rPr>
          <w:sz w:val="22"/>
          <w:szCs w:val="22"/>
        </w:rPr>
        <w:t xml:space="preserve"> </w:t>
      </w:r>
      <w:r w:rsidR="00E24A1E" w:rsidRPr="00961932">
        <w:rPr>
          <w:sz w:val="22"/>
          <w:szCs w:val="22"/>
        </w:rPr>
        <w:t>the EQC adopted</w:t>
      </w:r>
      <w:r w:rsidR="00A12FF2">
        <w:rPr>
          <w:sz w:val="22"/>
          <w:szCs w:val="22"/>
        </w:rPr>
        <w:t xml:space="preserve"> permanent</w:t>
      </w:r>
      <w:r w:rsidR="00E24A1E" w:rsidRPr="00961932">
        <w:rPr>
          <w:sz w:val="22"/>
          <w:szCs w:val="22"/>
        </w:rPr>
        <w:t xml:space="preserve"> rule amendments</w:t>
      </w:r>
      <w:r w:rsidR="0097713C" w:rsidRPr="00961932">
        <w:rPr>
          <w:sz w:val="22"/>
          <w:szCs w:val="22"/>
        </w:rPr>
        <w:t xml:space="preserve"> to</w:t>
      </w:r>
      <w:r w:rsidR="00A12FF2">
        <w:rPr>
          <w:sz w:val="22"/>
          <w:szCs w:val="22"/>
        </w:rPr>
        <w:t xml:space="preserve"> exempt such boilers from Heat Smart</w:t>
      </w:r>
      <w:r w:rsidR="0097713C" w:rsidRPr="00961932">
        <w:rPr>
          <w:sz w:val="22"/>
          <w:szCs w:val="22"/>
        </w:rPr>
        <w:t xml:space="preserve"> if they </w:t>
      </w:r>
      <w:r w:rsidR="00A10A62" w:rsidRPr="00961932">
        <w:rPr>
          <w:sz w:val="22"/>
          <w:szCs w:val="22"/>
        </w:rPr>
        <w:t>are subject to National Emission Standards for Hazardous Air Pollutants</w:t>
      </w:r>
      <w:r w:rsidR="00A10A62">
        <w:rPr>
          <w:sz w:val="22"/>
          <w:szCs w:val="22"/>
        </w:rPr>
        <w:t xml:space="preserve"> (NESHAP) and </w:t>
      </w:r>
      <w:r w:rsidR="0097713C" w:rsidRPr="00961932">
        <w:rPr>
          <w:sz w:val="22"/>
          <w:szCs w:val="22"/>
        </w:rPr>
        <w:t xml:space="preserve">obtain construction approval from DEQ. </w:t>
      </w:r>
      <w:bookmarkEnd w:id="0"/>
      <w:r w:rsidR="00121472" w:rsidRPr="005D1B1F">
        <w:rPr>
          <w:rFonts w:ascii="Times New Roman" w:hAnsi="Times New Roman"/>
          <w:sz w:val="22"/>
          <w:szCs w:val="22"/>
        </w:rPr>
        <w:t xml:space="preserve">The </w:t>
      </w:r>
      <w:r w:rsidR="00F10E13">
        <w:rPr>
          <w:rFonts w:ascii="Times New Roman" w:hAnsi="Times New Roman"/>
          <w:sz w:val="22"/>
          <w:szCs w:val="22"/>
        </w:rPr>
        <w:t xml:space="preserve">primary </w:t>
      </w:r>
      <w:r w:rsidR="00121472" w:rsidRPr="005D1B1F">
        <w:rPr>
          <w:rFonts w:ascii="Times New Roman" w:hAnsi="Times New Roman"/>
          <w:sz w:val="22"/>
          <w:szCs w:val="22"/>
        </w:rPr>
        <w:t xml:space="preserve">objective of </w:t>
      </w:r>
      <w:r w:rsidR="00A12FF2" w:rsidRPr="005D1B1F">
        <w:rPr>
          <w:rFonts w:ascii="Times New Roman" w:hAnsi="Times New Roman"/>
          <w:sz w:val="22"/>
          <w:szCs w:val="22"/>
        </w:rPr>
        <w:t>th</w:t>
      </w:r>
      <w:r w:rsidR="00A12FF2">
        <w:rPr>
          <w:rFonts w:ascii="Times New Roman" w:hAnsi="Times New Roman"/>
          <w:sz w:val="22"/>
          <w:szCs w:val="22"/>
        </w:rPr>
        <w:t>e permanent</w:t>
      </w:r>
      <w:r w:rsidR="00A12FF2" w:rsidRPr="005D1B1F">
        <w:rPr>
          <w:rFonts w:ascii="Times New Roman" w:hAnsi="Times New Roman"/>
          <w:sz w:val="22"/>
          <w:szCs w:val="22"/>
        </w:rPr>
        <w:t xml:space="preserve"> </w:t>
      </w:r>
      <w:r w:rsidR="00121472" w:rsidRPr="005D1B1F">
        <w:rPr>
          <w:rFonts w:ascii="Times New Roman" w:hAnsi="Times New Roman"/>
          <w:sz w:val="22"/>
          <w:szCs w:val="22"/>
        </w:rPr>
        <w:t xml:space="preserve">rulemaking </w:t>
      </w:r>
      <w:r w:rsidR="002A11AE">
        <w:rPr>
          <w:rFonts w:ascii="Times New Roman" w:hAnsi="Times New Roman"/>
          <w:sz w:val="22"/>
          <w:szCs w:val="22"/>
        </w:rPr>
        <w:t>wa</w:t>
      </w:r>
      <w:r w:rsidR="00121472" w:rsidRPr="005D1B1F">
        <w:rPr>
          <w:rFonts w:ascii="Times New Roman" w:hAnsi="Times New Roman"/>
          <w:sz w:val="22"/>
          <w:szCs w:val="22"/>
        </w:rPr>
        <w:t xml:space="preserve">s to </w:t>
      </w:r>
      <w:r w:rsidR="00DD7299">
        <w:rPr>
          <w:rFonts w:ascii="Times New Roman" w:hAnsi="Times New Roman"/>
          <w:sz w:val="22"/>
          <w:szCs w:val="22"/>
        </w:rPr>
        <w:t>allow the sale of small-scale solid fuel</w:t>
      </w:r>
      <w:r w:rsidR="002A11AE">
        <w:rPr>
          <w:rFonts w:ascii="Times New Roman" w:hAnsi="Times New Roman"/>
          <w:sz w:val="22"/>
          <w:szCs w:val="22"/>
        </w:rPr>
        <w:t>-fired</w:t>
      </w:r>
      <w:r w:rsidR="00DD7299">
        <w:rPr>
          <w:rFonts w:ascii="Times New Roman" w:hAnsi="Times New Roman"/>
          <w:sz w:val="22"/>
          <w:szCs w:val="22"/>
        </w:rPr>
        <w:t xml:space="preserve"> boilers used in commercial, industrial and institutional applications while ensuring that such boilers comply with applicable federal air toxics and state visibility standards. </w:t>
      </w:r>
      <w:r w:rsidR="00A12FF2">
        <w:rPr>
          <w:rFonts w:ascii="Times New Roman" w:hAnsi="Times New Roman"/>
          <w:sz w:val="22"/>
          <w:szCs w:val="22"/>
        </w:rPr>
        <w:t>Under the adopted rules, o</w:t>
      </w:r>
      <w:r w:rsidR="00DD7299">
        <w:rPr>
          <w:rFonts w:ascii="Times New Roman" w:hAnsi="Times New Roman"/>
          <w:sz w:val="22"/>
          <w:szCs w:val="22"/>
        </w:rPr>
        <w:t xml:space="preserve">wners and operators </w:t>
      </w:r>
      <w:r w:rsidR="002A11AE">
        <w:rPr>
          <w:rFonts w:ascii="Times New Roman" w:hAnsi="Times New Roman"/>
          <w:sz w:val="22"/>
          <w:szCs w:val="22"/>
        </w:rPr>
        <w:t xml:space="preserve">of affected boilers </w:t>
      </w:r>
      <w:r w:rsidR="00F67DE3">
        <w:rPr>
          <w:rFonts w:ascii="Times New Roman" w:hAnsi="Times New Roman"/>
          <w:sz w:val="22"/>
          <w:szCs w:val="22"/>
        </w:rPr>
        <w:t xml:space="preserve">are required to </w:t>
      </w:r>
      <w:r w:rsidR="00DD7299">
        <w:rPr>
          <w:rFonts w:ascii="Times New Roman" w:hAnsi="Times New Roman"/>
          <w:sz w:val="22"/>
          <w:szCs w:val="22"/>
        </w:rPr>
        <w:t xml:space="preserve">register their boiler with </w:t>
      </w:r>
      <w:r w:rsidR="002A11AE">
        <w:rPr>
          <w:rFonts w:ascii="Times New Roman" w:hAnsi="Times New Roman"/>
          <w:sz w:val="22"/>
          <w:szCs w:val="22"/>
        </w:rPr>
        <w:t>DEQ</w:t>
      </w:r>
      <w:r w:rsidR="00DD7299">
        <w:rPr>
          <w:rFonts w:ascii="Times New Roman" w:hAnsi="Times New Roman"/>
          <w:sz w:val="22"/>
          <w:szCs w:val="22"/>
        </w:rPr>
        <w:t xml:space="preserve"> </w:t>
      </w:r>
      <w:r w:rsidR="00F67DE3">
        <w:rPr>
          <w:rFonts w:ascii="Times New Roman" w:hAnsi="Times New Roman"/>
          <w:sz w:val="22"/>
          <w:szCs w:val="22"/>
        </w:rPr>
        <w:t>upon</w:t>
      </w:r>
      <w:r w:rsidR="00DD7299">
        <w:rPr>
          <w:rFonts w:ascii="Times New Roman" w:hAnsi="Times New Roman"/>
          <w:sz w:val="22"/>
          <w:szCs w:val="22"/>
        </w:rPr>
        <w:t xml:space="preserve"> writ</w:t>
      </w:r>
      <w:r w:rsidR="00F67DE3">
        <w:rPr>
          <w:rFonts w:ascii="Times New Roman" w:hAnsi="Times New Roman"/>
          <w:sz w:val="22"/>
          <w:szCs w:val="22"/>
        </w:rPr>
        <w:t>ten r</w:t>
      </w:r>
      <w:r w:rsidR="00594E41">
        <w:rPr>
          <w:rFonts w:ascii="Times New Roman" w:hAnsi="Times New Roman"/>
          <w:sz w:val="22"/>
          <w:szCs w:val="22"/>
        </w:rPr>
        <w:t>e</w:t>
      </w:r>
      <w:r w:rsidR="00F67DE3">
        <w:rPr>
          <w:rFonts w:ascii="Times New Roman" w:hAnsi="Times New Roman"/>
          <w:sz w:val="22"/>
          <w:szCs w:val="22"/>
        </w:rPr>
        <w:t>quest</w:t>
      </w:r>
      <w:r w:rsidR="00DD7299">
        <w:rPr>
          <w:rFonts w:ascii="Times New Roman" w:hAnsi="Times New Roman"/>
          <w:sz w:val="22"/>
          <w:szCs w:val="22"/>
        </w:rPr>
        <w:t xml:space="preserve">. </w:t>
      </w:r>
    </w:p>
    <w:p w:rsidR="00154B46" w:rsidRDefault="0097713C" w:rsidP="00154B46">
      <w:pPr>
        <w:autoSpaceDE w:val="0"/>
        <w:autoSpaceDN w:val="0"/>
        <w:adjustRightInd w:val="0"/>
        <w:spacing w:before="1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Adopted </w:t>
      </w:r>
      <w:r w:rsidR="00F44C00">
        <w:rPr>
          <w:rFonts w:ascii="Times New Roman" w:hAnsi="Times New Roman"/>
          <w:sz w:val="22"/>
          <w:szCs w:val="22"/>
          <w:u w:val="single"/>
        </w:rPr>
        <w:t xml:space="preserve">Rule </w:t>
      </w:r>
      <w:r w:rsidR="00F44C00" w:rsidRPr="00F44C00">
        <w:rPr>
          <w:rFonts w:ascii="Times New Roman" w:hAnsi="Times New Roman"/>
          <w:sz w:val="22"/>
          <w:szCs w:val="22"/>
          <w:u w:val="single"/>
        </w:rPr>
        <w:t>Amendments</w:t>
      </w:r>
      <w:r w:rsidR="00F44C00">
        <w:rPr>
          <w:rFonts w:ascii="Times New Roman" w:hAnsi="Times New Roman"/>
          <w:sz w:val="22"/>
          <w:szCs w:val="22"/>
        </w:rPr>
        <w:t xml:space="preserve"> </w:t>
      </w:r>
    </w:p>
    <w:p w:rsidR="00154B46" w:rsidRDefault="00D02CD2" w:rsidP="00154B4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02CD2">
        <w:rPr>
          <w:rFonts w:ascii="Times New Roman" w:hAnsi="Times New Roman"/>
          <w:b/>
          <w:sz w:val="22"/>
          <w:szCs w:val="22"/>
        </w:rPr>
        <w:t>Heat Smart Exemption:</w:t>
      </w:r>
      <w:r>
        <w:rPr>
          <w:rFonts w:ascii="Times New Roman" w:hAnsi="Times New Roman"/>
          <w:sz w:val="22"/>
          <w:szCs w:val="22"/>
        </w:rPr>
        <w:t xml:space="preserve"> </w:t>
      </w:r>
      <w:r w:rsidR="0097713C">
        <w:rPr>
          <w:rFonts w:ascii="Times New Roman" w:hAnsi="Times New Roman"/>
          <w:sz w:val="22"/>
          <w:szCs w:val="22"/>
        </w:rPr>
        <w:t>As adopted, the</w:t>
      </w:r>
      <w:r w:rsidR="005A0983">
        <w:rPr>
          <w:rFonts w:ascii="Times New Roman" w:hAnsi="Times New Roman"/>
          <w:sz w:val="22"/>
          <w:szCs w:val="22"/>
        </w:rPr>
        <w:t xml:space="preserve"> permanent</w:t>
      </w:r>
      <w:r w:rsidR="0097713C">
        <w:rPr>
          <w:rFonts w:ascii="Times New Roman" w:hAnsi="Times New Roman"/>
          <w:sz w:val="22"/>
          <w:szCs w:val="22"/>
        </w:rPr>
        <w:t xml:space="preserve"> rule amendments</w:t>
      </w:r>
      <w:r w:rsidR="0097713C" w:rsidRPr="0097713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exempt </w:t>
      </w:r>
      <w:r w:rsidR="00F67DE3">
        <w:rPr>
          <w:rFonts w:ascii="Times New Roman" w:hAnsi="Times New Roman"/>
          <w:sz w:val="22"/>
          <w:szCs w:val="22"/>
        </w:rPr>
        <w:t xml:space="preserve">all </w:t>
      </w:r>
      <w:r w:rsidR="0097713C" w:rsidRPr="0097713C">
        <w:rPr>
          <w:rFonts w:ascii="Times New Roman" w:hAnsi="Times New Roman"/>
          <w:sz w:val="22"/>
          <w:szCs w:val="22"/>
        </w:rPr>
        <w:t>commercial, industrial and institutional solid fuel</w:t>
      </w:r>
      <w:r w:rsidR="002A11AE">
        <w:rPr>
          <w:rFonts w:ascii="Times New Roman" w:hAnsi="Times New Roman"/>
          <w:sz w:val="22"/>
          <w:szCs w:val="22"/>
        </w:rPr>
        <w:t>-fired</w:t>
      </w:r>
      <w:r w:rsidR="0097713C" w:rsidRPr="0097713C">
        <w:rPr>
          <w:rFonts w:ascii="Times New Roman" w:hAnsi="Times New Roman"/>
          <w:sz w:val="22"/>
          <w:szCs w:val="22"/>
        </w:rPr>
        <w:t xml:space="preserve"> boilers with </w:t>
      </w:r>
      <w:r w:rsidR="00F67DE3">
        <w:rPr>
          <w:rFonts w:ascii="Times New Roman" w:hAnsi="Times New Roman"/>
          <w:sz w:val="22"/>
          <w:szCs w:val="22"/>
        </w:rPr>
        <w:t xml:space="preserve">maximum </w:t>
      </w:r>
      <w:r w:rsidR="0097713C" w:rsidRPr="0097713C">
        <w:rPr>
          <w:rFonts w:ascii="Times New Roman" w:hAnsi="Times New Roman"/>
          <w:sz w:val="22"/>
          <w:szCs w:val="22"/>
        </w:rPr>
        <w:t>heat output</w:t>
      </w:r>
      <w:r w:rsidR="00F67DE3">
        <w:rPr>
          <w:rFonts w:ascii="Times New Roman" w:hAnsi="Times New Roman"/>
          <w:sz w:val="22"/>
          <w:szCs w:val="22"/>
        </w:rPr>
        <w:t xml:space="preserve"> capacitie</w:t>
      </w:r>
      <w:r w:rsidR="0097713C" w:rsidRPr="0097713C">
        <w:rPr>
          <w:rFonts w:ascii="Times New Roman" w:hAnsi="Times New Roman"/>
          <w:sz w:val="22"/>
          <w:szCs w:val="22"/>
        </w:rPr>
        <w:t xml:space="preserve">s </w:t>
      </w:r>
      <w:r w:rsidR="00F67DE3">
        <w:rPr>
          <w:rFonts w:ascii="Times New Roman" w:hAnsi="Times New Roman"/>
          <w:sz w:val="22"/>
          <w:szCs w:val="22"/>
        </w:rPr>
        <w:t>below</w:t>
      </w:r>
      <w:r w:rsidR="0097713C" w:rsidRPr="0097713C">
        <w:rPr>
          <w:rFonts w:ascii="Times New Roman" w:hAnsi="Times New Roman"/>
          <w:sz w:val="22"/>
          <w:szCs w:val="22"/>
        </w:rPr>
        <w:t xml:space="preserve"> </w:t>
      </w:r>
      <w:r w:rsidR="002A11AE">
        <w:rPr>
          <w:rFonts w:ascii="Times New Roman" w:hAnsi="Times New Roman"/>
          <w:sz w:val="22"/>
          <w:szCs w:val="22"/>
        </w:rPr>
        <w:t>1</w:t>
      </w:r>
      <w:r w:rsidR="0097713C" w:rsidRPr="0097713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A11AE">
        <w:rPr>
          <w:rFonts w:ascii="Times New Roman" w:hAnsi="Times New Roman"/>
          <w:sz w:val="22"/>
          <w:szCs w:val="22"/>
        </w:rPr>
        <w:t>MM</w:t>
      </w:r>
      <w:r w:rsidR="0097713C" w:rsidRPr="0097713C">
        <w:rPr>
          <w:rFonts w:ascii="Times New Roman" w:hAnsi="Times New Roman"/>
          <w:sz w:val="22"/>
          <w:szCs w:val="22"/>
        </w:rPr>
        <w:t>B</w:t>
      </w:r>
      <w:r w:rsidR="00A10A62">
        <w:rPr>
          <w:rFonts w:ascii="Times New Roman" w:hAnsi="Times New Roman"/>
          <w:sz w:val="22"/>
          <w:szCs w:val="22"/>
        </w:rPr>
        <w:t>tu</w:t>
      </w:r>
      <w:proofErr w:type="spellEnd"/>
      <w:r w:rsidR="0097713C" w:rsidRPr="0097713C">
        <w:rPr>
          <w:rFonts w:ascii="Times New Roman" w:hAnsi="Times New Roman"/>
          <w:sz w:val="22"/>
          <w:szCs w:val="22"/>
        </w:rPr>
        <w:t xml:space="preserve"> per hour </w:t>
      </w:r>
      <w:r w:rsidR="005A0983">
        <w:rPr>
          <w:rFonts w:ascii="Times New Roman" w:hAnsi="Times New Roman"/>
          <w:sz w:val="22"/>
          <w:szCs w:val="22"/>
        </w:rPr>
        <w:t xml:space="preserve">which are located at unpermitted facilities </w:t>
      </w:r>
      <w:r w:rsidR="00A10A62">
        <w:rPr>
          <w:rFonts w:ascii="Times New Roman" w:hAnsi="Times New Roman"/>
          <w:sz w:val="22"/>
          <w:szCs w:val="22"/>
        </w:rPr>
        <w:t xml:space="preserve">from the </w:t>
      </w:r>
      <w:r w:rsidR="00A10A62" w:rsidRPr="0097713C">
        <w:rPr>
          <w:rFonts w:ascii="Times New Roman" w:hAnsi="Times New Roman"/>
          <w:sz w:val="22"/>
          <w:szCs w:val="22"/>
        </w:rPr>
        <w:t xml:space="preserve">Heat Smart </w:t>
      </w:r>
      <w:r w:rsidR="00A10A62">
        <w:rPr>
          <w:rFonts w:ascii="Times New Roman" w:hAnsi="Times New Roman"/>
          <w:sz w:val="22"/>
          <w:szCs w:val="22"/>
        </w:rPr>
        <w:t>rules if they</w:t>
      </w:r>
      <w:r w:rsidR="0097713C" w:rsidRPr="0097713C">
        <w:rPr>
          <w:rFonts w:ascii="Times New Roman" w:hAnsi="Times New Roman"/>
          <w:sz w:val="22"/>
          <w:szCs w:val="22"/>
        </w:rPr>
        <w:t xml:space="preserve"> </w:t>
      </w:r>
      <w:r w:rsidR="00F67DE3">
        <w:rPr>
          <w:rFonts w:ascii="Times New Roman" w:hAnsi="Times New Roman"/>
          <w:sz w:val="22"/>
          <w:szCs w:val="22"/>
        </w:rPr>
        <w:t xml:space="preserve">are </w:t>
      </w:r>
      <w:r w:rsidR="00F67DE3" w:rsidRPr="0097713C">
        <w:rPr>
          <w:rFonts w:ascii="Times New Roman" w:hAnsi="Times New Roman"/>
          <w:sz w:val="22"/>
          <w:szCs w:val="22"/>
        </w:rPr>
        <w:t xml:space="preserve">subject to </w:t>
      </w:r>
      <w:r w:rsidR="002A11AE">
        <w:rPr>
          <w:rFonts w:ascii="Times New Roman" w:hAnsi="Times New Roman"/>
          <w:sz w:val="22"/>
          <w:szCs w:val="22"/>
        </w:rPr>
        <w:t xml:space="preserve">the </w:t>
      </w:r>
      <w:r w:rsidR="005A0983">
        <w:rPr>
          <w:rFonts w:ascii="Times New Roman" w:hAnsi="Times New Roman"/>
          <w:sz w:val="22"/>
          <w:szCs w:val="22"/>
        </w:rPr>
        <w:t xml:space="preserve">Area Source </w:t>
      </w:r>
      <w:r w:rsidR="00F67DE3">
        <w:rPr>
          <w:rFonts w:ascii="Times New Roman" w:hAnsi="Times New Roman"/>
          <w:sz w:val="22"/>
          <w:szCs w:val="22"/>
        </w:rPr>
        <w:t xml:space="preserve">NESHAP </w:t>
      </w:r>
      <w:r w:rsidR="002A11AE">
        <w:rPr>
          <w:rFonts w:ascii="Times New Roman" w:hAnsi="Times New Roman"/>
          <w:sz w:val="22"/>
          <w:szCs w:val="22"/>
        </w:rPr>
        <w:t xml:space="preserve">and </w:t>
      </w:r>
      <w:r w:rsidR="0097713C" w:rsidRPr="0097713C">
        <w:rPr>
          <w:rFonts w:ascii="Times New Roman" w:hAnsi="Times New Roman"/>
          <w:sz w:val="22"/>
          <w:szCs w:val="22"/>
        </w:rPr>
        <w:t xml:space="preserve">have obtained construction approval from DEQ. </w:t>
      </w:r>
    </w:p>
    <w:p w:rsidR="009C2169" w:rsidRDefault="009C2169" w:rsidP="00154B46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1E0002" w:rsidRDefault="00D02CD2" w:rsidP="001E0002">
      <w:pPr>
        <w:rPr>
          <w:rFonts w:ascii="Times New Roman" w:hAnsi="Times New Roman"/>
          <w:sz w:val="22"/>
          <w:szCs w:val="22"/>
        </w:rPr>
      </w:pPr>
      <w:r w:rsidRPr="00D02CD2">
        <w:rPr>
          <w:rFonts w:ascii="Times New Roman" w:hAnsi="Times New Roman"/>
          <w:b/>
          <w:sz w:val="22"/>
          <w:szCs w:val="22"/>
        </w:rPr>
        <w:t>Registration</w:t>
      </w:r>
      <w:r>
        <w:rPr>
          <w:rFonts w:ascii="Times New Roman" w:hAnsi="Times New Roman"/>
          <w:b/>
          <w:sz w:val="22"/>
          <w:szCs w:val="22"/>
        </w:rPr>
        <w:t xml:space="preserve"> and Source Testing Requirements</w:t>
      </w:r>
      <w:r w:rsidRPr="00D02CD2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="00046EF7">
        <w:rPr>
          <w:sz w:val="22"/>
          <w:szCs w:val="22"/>
        </w:rPr>
        <w:t>T</w:t>
      </w:r>
      <w:r w:rsidR="00527290" w:rsidRPr="00FF0235">
        <w:rPr>
          <w:sz w:val="22"/>
          <w:szCs w:val="22"/>
        </w:rPr>
        <w:t xml:space="preserve">he amendments </w:t>
      </w:r>
      <w:r w:rsidR="00046EF7">
        <w:rPr>
          <w:sz w:val="22"/>
          <w:szCs w:val="22"/>
        </w:rPr>
        <w:t xml:space="preserve">also </w:t>
      </w:r>
      <w:r w:rsidR="00527290" w:rsidRPr="00FF0235">
        <w:rPr>
          <w:sz w:val="22"/>
          <w:szCs w:val="22"/>
        </w:rPr>
        <w:t>allow DEQ to require small-scale solid fuel</w:t>
      </w:r>
      <w:r w:rsidR="002A11AE">
        <w:rPr>
          <w:sz w:val="22"/>
          <w:szCs w:val="22"/>
        </w:rPr>
        <w:t>-fired</w:t>
      </w:r>
      <w:r w:rsidR="00527290" w:rsidRPr="00FF0235">
        <w:rPr>
          <w:sz w:val="22"/>
          <w:szCs w:val="22"/>
        </w:rPr>
        <w:t xml:space="preserve"> boilers </w:t>
      </w:r>
      <w:r w:rsidR="009C2169">
        <w:rPr>
          <w:sz w:val="22"/>
          <w:szCs w:val="22"/>
        </w:rPr>
        <w:t xml:space="preserve">that are </w:t>
      </w:r>
      <w:r w:rsidR="00527290" w:rsidRPr="00FF0235">
        <w:rPr>
          <w:sz w:val="22"/>
          <w:szCs w:val="22"/>
        </w:rPr>
        <w:t xml:space="preserve">subject to </w:t>
      </w:r>
      <w:r w:rsidR="007833EE">
        <w:rPr>
          <w:sz w:val="22"/>
          <w:szCs w:val="22"/>
        </w:rPr>
        <w:t xml:space="preserve">a </w:t>
      </w:r>
      <w:r w:rsidR="00527290" w:rsidRPr="00FF0235">
        <w:rPr>
          <w:sz w:val="22"/>
          <w:szCs w:val="22"/>
        </w:rPr>
        <w:t>NESHAP</w:t>
      </w:r>
      <w:r w:rsidR="00527290" w:rsidRPr="00FF0235">
        <w:rPr>
          <w:rStyle w:val="FootnoteReference"/>
          <w:sz w:val="22"/>
          <w:szCs w:val="22"/>
        </w:rPr>
        <w:footnoteReference w:id="3"/>
      </w:r>
      <w:r w:rsidR="00527290" w:rsidRPr="00FF0235">
        <w:rPr>
          <w:sz w:val="22"/>
          <w:szCs w:val="22"/>
        </w:rPr>
        <w:t xml:space="preserve"> to register with </w:t>
      </w:r>
      <w:r w:rsidR="002A11AE">
        <w:rPr>
          <w:sz w:val="22"/>
          <w:szCs w:val="22"/>
        </w:rPr>
        <w:t>DEQ</w:t>
      </w:r>
      <w:r w:rsidR="00527290" w:rsidRPr="00FF0235">
        <w:rPr>
          <w:sz w:val="22"/>
          <w:szCs w:val="22"/>
        </w:rPr>
        <w:t xml:space="preserve"> upon written request and to maintain such registration</w:t>
      </w:r>
      <w:r w:rsidR="00F67DE3" w:rsidRPr="00FF0235">
        <w:rPr>
          <w:sz w:val="22"/>
          <w:szCs w:val="22"/>
        </w:rPr>
        <w:t xml:space="preserve"> over time</w:t>
      </w:r>
      <w:r w:rsidR="00527290" w:rsidRPr="00FF0235">
        <w:rPr>
          <w:sz w:val="22"/>
          <w:szCs w:val="22"/>
        </w:rPr>
        <w:t xml:space="preserve">. </w:t>
      </w:r>
      <w:r w:rsidR="009C2169" w:rsidRPr="0097713C">
        <w:rPr>
          <w:rFonts w:ascii="Times New Roman" w:hAnsi="Times New Roman"/>
          <w:sz w:val="22"/>
          <w:szCs w:val="22"/>
        </w:rPr>
        <w:t>The rule</w:t>
      </w:r>
      <w:r w:rsidR="009C2169">
        <w:rPr>
          <w:rFonts w:ascii="Times New Roman" w:hAnsi="Times New Roman"/>
          <w:sz w:val="22"/>
          <w:szCs w:val="22"/>
        </w:rPr>
        <w:t xml:space="preserve"> amendment</w:t>
      </w:r>
      <w:r w:rsidR="009C2169" w:rsidRPr="0097713C">
        <w:rPr>
          <w:rFonts w:ascii="Times New Roman" w:hAnsi="Times New Roman"/>
          <w:sz w:val="22"/>
          <w:szCs w:val="22"/>
        </w:rPr>
        <w:t xml:space="preserve">s also clarify that DEQ may require source testing </w:t>
      </w:r>
      <w:r w:rsidR="009C2169">
        <w:rPr>
          <w:rFonts w:ascii="Times New Roman" w:hAnsi="Times New Roman"/>
          <w:sz w:val="22"/>
          <w:szCs w:val="22"/>
        </w:rPr>
        <w:t>and/</w:t>
      </w:r>
      <w:r w:rsidR="009C2169" w:rsidRPr="0097713C">
        <w:rPr>
          <w:rFonts w:ascii="Times New Roman" w:hAnsi="Times New Roman"/>
          <w:sz w:val="22"/>
          <w:szCs w:val="22"/>
        </w:rPr>
        <w:t xml:space="preserve">or registration as a condition of construction </w:t>
      </w:r>
      <w:r w:rsidR="009C2169">
        <w:rPr>
          <w:rFonts w:ascii="Times New Roman" w:hAnsi="Times New Roman"/>
          <w:sz w:val="22"/>
          <w:szCs w:val="22"/>
        </w:rPr>
        <w:t xml:space="preserve">approval. </w:t>
      </w:r>
      <w:r w:rsidR="001E0002" w:rsidRPr="001E0002">
        <w:rPr>
          <w:rFonts w:ascii="Times New Roman" w:hAnsi="Times New Roman"/>
          <w:sz w:val="22"/>
          <w:szCs w:val="22"/>
        </w:rPr>
        <w:t xml:space="preserve">Registration of a boiler does not authorize its operation like an air quality </w:t>
      </w:r>
      <w:r w:rsidR="001E0002" w:rsidRPr="001E0002">
        <w:rPr>
          <w:rFonts w:ascii="Times New Roman" w:hAnsi="Times New Roman"/>
          <w:sz w:val="22"/>
          <w:szCs w:val="22"/>
        </w:rPr>
        <w:lastRenderedPageBreak/>
        <w:t xml:space="preserve">permit; however, it does provide DEQ with information about the location and compliance status of boilers that are not required to obtain permits. </w:t>
      </w:r>
    </w:p>
    <w:p w:rsidR="005A0983" w:rsidRDefault="002622E5" w:rsidP="005A0983">
      <w:pPr>
        <w:autoSpaceDE w:val="0"/>
        <w:autoSpaceDN w:val="0"/>
        <w:adjustRightInd w:val="0"/>
        <w:spacing w:before="1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Outreach to Businesses Potentially Affected by the Rulemaking </w:t>
      </w:r>
      <w:bookmarkStart w:id="1" w:name="OLE_LINK3"/>
      <w:bookmarkStart w:id="2" w:name="OLE_LINK4"/>
    </w:p>
    <w:p w:rsidR="00154B46" w:rsidRDefault="00AE1520" w:rsidP="005A0983">
      <w:pPr>
        <w:autoSpaceDE w:val="0"/>
        <w:autoSpaceDN w:val="0"/>
        <w:adjustRightInd w:val="0"/>
        <w:spacing w:before="1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Stakeholder Meeting: </w:t>
      </w:r>
      <w:r w:rsidRPr="00DD7299">
        <w:rPr>
          <w:rFonts w:ascii="Times New Roman" w:hAnsi="Times New Roman"/>
          <w:sz w:val="22"/>
          <w:szCs w:val="22"/>
        </w:rPr>
        <w:t xml:space="preserve">DEQ held a stakeholder meeting </w:t>
      </w:r>
      <w:r w:rsidR="00CC2D76">
        <w:rPr>
          <w:rFonts w:ascii="Times New Roman" w:hAnsi="Times New Roman"/>
          <w:sz w:val="22"/>
          <w:szCs w:val="22"/>
        </w:rPr>
        <w:t xml:space="preserve">at DEQ headquarters in June 2011 </w:t>
      </w:r>
      <w:r w:rsidRPr="00DD7299">
        <w:rPr>
          <w:rFonts w:ascii="Times New Roman" w:hAnsi="Times New Roman"/>
          <w:sz w:val="22"/>
          <w:szCs w:val="22"/>
        </w:rPr>
        <w:t>to discuss the proposed temporary rule amendments</w:t>
      </w:r>
      <w:r w:rsidR="005A0983">
        <w:rPr>
          <w:rFonts w:ascii="Times New Roman" w:hAnsi="Times New Roman"/>
          <w:sz w:val="22"/>
          <w:szCs w:val="22"/>
        </w:rPr>
        <w:t xml:space="preserve"> prior to their</w:t>
      </w:r>
      <w:r w:rsidR="00CC2D76">
        <w:rPr>
          <w:rFonts w:ascii="Times New Roman" w:hAnsi="Times New Roman"/>
          <w:sz w:val="22"/>
          <w:szCs w:val="22"/>
        </w:rPr>
        <w:t xml:space="preserve"> </w:t>
      </w:r>
      <w:r w:rsidR="005A0983">
        <w:rPr>
          <w:rFonts w:ascii="Times New Roman" w:hAnsi="Times New Roman"/>
          <w:sz w:val="22"/>
          <w:szCs w:val="22"/>
        </w:rPr>
        <w:t>adoption</w:t>
      </w:r>
      <w:r w:rsidRPr="00DD7299">
        <w:rPr>
          <w:rFonts w:ascii="Times New Roman" w:hAnsi="Times New Roman"/>
          <w:sz w:val="22"/>
          <w:szCs w:val="22"/>
        </w:rPr>
        <w:t>.</w:t>
      </w:r>
      <w:r w:rsidR="00DD7299" w:rsidRPr="00DD7299">
        <w:rPr>
          <w:rFonts w:ascii="Times New Roman" w:hAnsi="Times New Roman"/>
          <w:sz w:val="22"/>
          <w:szCs w:val="22"/>
        </w:rPr>
        <w:t xml:space="preserve"> </w:t>
      </w:r>
      <w:r w:rsidR="00E958F6">
        <w:rPr>
          <w:rFonts w:ascii="Times New Roman" w:hAnsi="Times New Roman"/>
          <w:sz w:val="22"/>
          <w:szCs w:val="22"/>
        </w:rPr>
        <w:t xml:space="preserve">The </w:t>
      </w:r>
      <w:r w:rsidR="001E0002" w:rsidRPr="005A0983">
        <w:rPr>
          <w:rFonts w:ascii="Times New Roman" w:hAnsi="Times New Roman"/>
          <w:sz w:val="22"/>
          <w:szCs w:val="22"/>
        </w:rPr>
        <w:t xml:space="preserve">temporary rule amendments were broader in scope than the permanent amendments adopted in February </w:t>
      </w:r>
      <w:proofErr w:type="gramStart"/>
      <w:r w:rsidR="001E0002" w:rsidRPr="005A0983">
        <w:rPr>
          <w:rFonts w:ascii="Times New Roman" w:hAnsi="Times New Roman"/>
          <w:sz w:val="22"/>
          <w:szCs w:val="22"/>
        </w:rPr>
        <w:t>2012</w:t>
      </w:r>
      <w:r w:rsidR="00E958F6">
        <w:rPr>
          <w:rFonts w:ascii="Times New Roman" w:hAnsi="Times New Roman"/>
          <w:sz w:val="22"/>
          <w:szCs w:val="22"/>
        </w:rPr>
        <w:t>,</w:t>
      </w:r>
      <w:proofErr w:type="gramEnd"/>
      <w:r w:rsidR="00E958F6">
        <w:rPr>
          <w:rFonts w:ascii="Times New Roman" w:hAnsi="Times New Roman"/>
          <w:sz w:val="22"/>
          <w:szCs w:val="22"/>
        </w:rPr>
        <w:t xml:space="preserve"> therefore </w:t>
      </w:r>
      <w:r w:rsidR="00E958F6">
        <w:rPr>
          <w:rFonts w:ascii="Times New Roman" w:hAnsi="Times New Roman"/>
          <w:sz w:val="22"/>
          <w:szCs w:val="22"/>
        </w:rPr>
        <w:t>DE</w:t>
      </w:r>
      <w:r w:rsidR="00E958F6">
        <w:rPr>
          <w:rFonts w:ascii="Times New Roman" w:hAnsi="Times New Roman"/>
          <w:sz w:val="22"/>
          <w:szCs w:val="22"/>
        </w:rPr>
        <w:t>Q</w:t>
      </w:r>
      <w:r w:rsidR="00E958F6">
        <w:rPr>
          <w:rFonts w:ascii="Times New Roman" w:hAnsi="Times New Roman"/>
          <w:sz w:val="22"/>
          <w:szCs w:val="22"/>
        </w:rPr>
        <w:t xml:space="preserve"> </w:t>
      </w:r>
      <w:r w:rsidR="00E958F6">
        <w:rPr>
          <w:rFonts w:ascii="Times New Roman" w:hAnsi="Times New Roman"/>
          <w:sz w:val="22"/>
          <w:szCs w:val="22"/>
        </w:rPr>
        <w:t>did not hold a stakeholder meeting during the permanent rulemaking process</w:t>
      </w:r>
      <w:r w:rsidR="00DD7299" w:rsidRPr="005A0983">
        <w:rPr>
          <w:rFonts w:ascii="Times New Roman" w:hAnsi="Times New Roman"/>
          <w:sz w:val="22"/>
          <w:szCs w:val="22"/>
        </w:rPr>
        <w:t>.</w:t>
      </w:r>
    </w:p>
    <w:p w:rsidR="00154B46" w:rsidRDefault="002622E5" w:rsidP="00154B46">
      <w:pPr>
        <w:spacing w:before="160"/>
        <w:jc w:val="both"/>
        <w:rPr>
          <w:rFonts w:ascii="Times New Roman" w:hAnsi="Times New Roman"/>
          <w:sz w:val="22"/>
          <w:szCs w:val="22"/>
        </w:rPr>
      </w:pPr>
      <w:r w:rsidRPr="00DD7299">
        <w:rPr>
          <w:rFonts w:ascii="Times New Roman" w:hAnsi="Times New Roman"/>
          <w:b/>
          <w:sz w:val="22"/>
          <w:szCs w:val="22"/>
        </w:rPr>
        <w:t>Public Notice</w:t>
      </w:r>
      <w:r w:rsidRPr="00DD7299">
        <w:rPr>
          <w:rFonts w:ascii="Times New Roman" w:hAnsi="Times New Roman"/>
          <w:sz w:val="22"/>
          <w:szCs w:val="22"/>
        </w:rPr>
        <w:t xml:space="preserve">: </w:t>
      </w:r>
      <w:r w:rsidR="00AE1520" w:rsidRPr="00F56DA3">
        <w:rPr>
          <w:rFonts w:ascii="Times New Roman" w:hAnsi="Times New Roman"/>
          <w:sz w:val="22"/>
          <w:szCs w:val="22"/>
        </w:rPr>
        <w:t xml:space="preserve">In </w:t>
      </w:r>
      <w:r w:rsidR="00DD7299" w:rsidRPr="00F56DA3">
        <w:rPr>
          <w:rFonts w:ascii="Times New Roman" w:hAnsi="Times New Roman"/>
          <w:sz w:val="22"/>
          <w:szCs w:val="22"/>
        </w:rPr>
        <w:t>July</w:t>
      </w:r>
      <w:r w:rsidR="00AE1520" w:rsidRPr="00F56DA3">
        <w:rPr>
          <w:rFonts w:ascii="Times New Roman" w:hAnsi="Times New Roman"/>
          <w:sz w:val="22"/>
          <w:szCs w:val="22"/>
        </w:rPr>
        <w:t xml:space="preserve"> 2011, </w:t>
      </w:r>
      <w:bookmarkEnd w:id="1"/>
      <w:r w:rsidRPr="00F56DA3">
        <w:rPr>
          <w:rFonts w:ascii="Times New Roman" w:hAnsi="Times New Roman"/>
          <w:sz w:val="22"/>
          <w:szCs w:val="22"/>
        </w:rPr>
        <w:t xml:space="preserve">DEQ posted the Notice of Proposed Rulemaking on DEQ’s website. </w:t>
      </w:r>
      <w:r w:rsidR="00387DB4">
        <w:rPr>
          <w:rFonts w:ascii="Times New Roman" w:hAnsi="Times New Roman"/>
          <w:sz w:val="22"/>
          <w:szCs w:val="22"/>
        </w:rPr>
        <w:t xml:space="preserve">The notice </w:t>
      </w:r>
      <w:r w:rsidR="00FF0235">
        <w:rPr>
          <w:rFonts w:ascii="Times New Roman" w:hAnsi="Times New Roman"/>
          <w:sz w:val="22"/>
          <w:szCs w:val="22"/>
        </w:rPr>
        <w:t xml:space="preserve">summarized the proposed rule amendments and </w:t>
      </w:r>
      <w:r w:rsidR="00387DB4">
        <w:rPr>
          <w:rFonts w:ascii="Times New Roman" w:hAnsi="Times New Roman"/>
          <w:sz w:val="22"/>
          <w:szCs w:val="22"/>
        </w:rPr>
        <w:t xml:space="preserve">described how to obtain more information and submit public comment. The notice also provided details of the public hearing </w:t>
      </w:r>
      <w:r w:rsidRPr="00F56DA3">
        <w:rPr>
          <w:rFonts w:ascii="Times New Roman" w:hAnsi="Times New Roman"/>
          <w:sz w:val="22"/>
          <w:szCs w:val="22"/>
        </w:rPr>
        <w:t>held</w:t>
      </w:r>
      <w:r w:rsidR="00FF0235">
        <w:rPr>
          <w:rFonts w:ascii="Times New Roman" w:hAnsi="Times New Roman"/>
          <w:sz w:val="22"/>
          <w:szCs w:val="22"/>
        </w:rPr>
        <w:t xml:space="preserve"> during the rulemaking process</w:t>
      </w:r>
      <w:r w:rsidRPr="00F56DA3">
        <w:rPr>
          <w:rFonts w:ascii="Times New Roman" w:hAnsi="Times New Roman"/>
          <w:sz w:val="22"/>
          <w:szCs w:val="22"/>
        </w:rPr>
        <w:t>.</w:t>
      </w:r>
      <w:r w:rsidR="00F56DA3" w:rsidRPr="00F56DA3">
        <w:rPr>
          <w:rFonts w:ascii="Times New Roman" w:hAnsi="Times New Roman"/>
          <w:sz w:val="22"/>
          <w:szCs w:val="22"/>
        </w:rPr>
        <w:t xml:space="preserve"> </w:t>
      </w:r>
      <w:r w:rsidRPr="00F56DA3">
        <w:rPr>
          <w:rFonts w:ascii="Times New Roman" w:hAnsi="Times New Roman"/>
          <w:sz w:val="22"/>
          <w:szCs w:val="22"/>
        </w:rPr>
        <w:t xml:space="preserve">The </w:t>
      </w:r>
      <w:r w:rsidR="00E80184">
        <w:rPr>
          <w:rFonts w:ascii="Times New Roman" w:hAnsi="Times New Roman"/>
          <w:sz w:val="22"/>
          <w:szCs w:val="22"/>
        </w:rPr>
        <w:t>notice</w:t>
      </w:r>
      <w:r w:rsidRPr="00F56DA3">
        <w:rPr>
          <w:rFonts w:ascii="Times New Roman" w:hAnsi="Times New Roman"/>
          <w:sz w:val="22"/>
          <w:szCs w:val="22"/>
        </w:rPr>
        <w:t xml:space="preserve"> describe the </w:t>
      </w:r>
      <w:r w:rsidR="00FF0235">
        <w:rPr>
          <w:rFonts w:ascii="Times New Roman" w:hAnsi="Times New Roman"/>
          <w:sz w:val="22"/>
          <w:szCs w:val="22"/>
        </w:rPr>
        <w:t>purpose of and need for an alternative compliance pathway for small-scale solid fuel</w:t>
      </w:r>
      <w:r w:rsidR="00CC2D76">
        <w:rPr>
          <w:rFonts w:ascii="Times New Roman" w:hAnsi="Times New Roman"/>
          <w:sz w:val="22"/>
          <w:szCs w:val="22"/>
        </w:rPr>
        <w:t>-fired</w:t>
      </w:r>
      <w:r w:rsidR="00FF0235">
        <w:rPr>
          <w:rFonts w:ascii="Times New Roman" w:hAnsi="Times New Roman"/>
          <w:sz w:val="22"/>
          <w:szCs w:val="22"/>
        </w:rPr>
        <w:t xml:space="preserve"> boilers, as well as the conditions under which such boilers are exempt from the Heat Smart requirements. The </w:t>
      </w:r>
      <w:r w:rsidR="00E80184">
        <w:rPr>
          <w:rFonts w:ascii="Times New Roman" w:hAnsi="Times New Roman"/>
          <w:sz w:val="22"/>
          <w:szCs w:val="22"/>
        </w:rPr>
        <w:t xml:space="preserve">notice </w:t>
      </w:r>
      <w:r w:rsidR="00FF0235">
        <w:rPr>
          <w:rFonts w:ascii="Times New Roman" w:hAnsi="Times New Roman"/>
          <w:sz w:val="22"/>
          <w:szCs w:val="22"/>
        </w:rPr>
        <w:t xml:space="preserve">also described how the rule amendments clarified DEQ’s existing authority to require unpermitted sources to register with </w:t>
      </w:r>
      <w:r w:rsidR="00CC2D76">
        <w:rPr>
          <w:rFonts w:ascii="Times New Roman" w:hAnsi="Times New Roman"/>
          <w:sz w:val="22"/>
          <w:szCs w:val="22"/>
        </w:rPr>
        <w:t>DEQ</w:t>
      </w:r>
      <w:r w:rsidR="00FF0235">
        <w:rPr>
          <w:rFonts w:ascii="Times New Roman" w:hAnsi="Times New Roman"/>
          <w:sz w:val="22"/>
          <w:szCs w:val="22"/>
        </w:rPr>
        <w:t>.</w:t>
      </w:r>
      <w:r w:rsidR="00E80184">
        <w:rPr>
          <w:rFonts w:ascii="Times New Roman" w:hAnsi="Times New Roman"/>
          <w:sz w:val="22"/>
          <w:szCs w:val="22"/>
        </w:rPr>
        <w:t xml:space="preserve"> </w:t>
      </w:r>
      <w:r w:rsidR="00387DB4">
        <w:rPr>
          <w:rFonts w:ascii="Times New Roman" w:hAnsi="Times New Roman"/>
          <w:sz w:val="22"/>
          <w:szCs w:val="22"/>
        </w:rPr>
        <w:t xml:space="preserve">The </w:t>
      </w:r>
      <w:r w:rsidR="00E80184">
        <w:rPr>
          <w:rFonts w:ascii="Times New Roman" w:hAnsi="Times New Roman"/>
          <w:sz w:val="22"/>
          <w:szCs w:val="22"/>
        </w:rPr>
        <w:t xml:space="preserve">notice </w:t>
      </w:r>
      <w:r w:rsidR="00387DB4">
        <w:rPr>
          <w:rFonts w:ascii="Times New Roman" w:hAnsi="Times New Roman"/>
          <w:sz w:val="22"/>
          <w:szCs w:val="22"/>
        </w:rPr>
        <w:t>describe</w:t>
      </w:r>
      <w:r w:rsidR="00E80184">
        <w:rPr>
          <w:rFonts w:ascii="Times New Roman" w:hAnsi="Times New Roman"/>
          <w:sz w:val="22"/>
          <w:szCs w:val="22"/>
        </w:rPr>
        <w:t>d</w:t>
      </w:r>
      <w:r w:rsidR="00387DB4">
        <w:rPr>
          <w:rFonts w:ascii="Times New Roman" w:hAnsi="Times New Roman"/>
          <w:sz w:val="22"/>
          <w:szCs w:val="22"/>
        </w:rPr>
        <w:t xml:space="preserve"> the fiscal impact of the proposed rule</w:t>
      </w:r>
      <w:r w:rsidR="00E80184">
        <w:rPr>
          <w:rFonts w:ascii="Times New Roman" w:hAnsi="Times New Roman"/>
          <w:sz w:val="22"/>
          <w:szCs w:val="22"/>
        </w:rPr>
        <w:t xml:space="preserve"> amendments</w:t>
      </w:r>
      <w:r w:rsidR="00FF0235">
        <w:rPr>
          <w:rFonts w:ascii="Times New Roman" w:hAnsi="Times New Roman"/>
          <w:sz w:val="22"/>
          <w:szCs w:val="22"/>
        </w:rPr>
        <w:t xml:space="preserve">. To minimize the fiscal impact on affected sources, many of which are small businesses or institutional facilities, the rules do not impose any fees associated with registration or </w:t>
      </w:r>
      <w:r w:rsidR="00E80184">
        <w:rPr>
          <w:rFonts w:ascii="Times New Roman" w:hAnsi="Times New Roman"/>
          <w:sz w:val="22"/>
          <w:szCs w:val="22"/>
        </w:rPr>
        <w:t xml:space="preserve">the </w:t>
      </w:r>
      <w:r w:rsidR="00FF0235">
        <w:rPr>
          <w:rFonts w:ascii="Times New Roman" w:hAnsi="Times New Roman"/>
          <w:sz w:val="22"/>
          <w:szCs w:val="22"/>
        </w:rPr>
        <w:t>Heat Smart</w:t>
      </w:r>
      <w:r w:rsidR="00E80184">
        <w:rPr>
          <w:rFonts w:ascii="Times New Roman" w:hAnsi="Times New Roman"/>
          <w:sz w:val="22"/>
          <w:szCs w:val="22"/>
        </w:rPr>
        <w:t xml:space="preserve"> exemption</w:t>
      </w:r>
      <w:r w:rsidR="00FF0235">
        <w:rPr>
          <w:rFonts w:ascii="Times New Roman" w:hAnsi="Times New Roman"/>
          <w:sz w:val="22"/>
          <w:szCs w:val="22"/>
        </w:rPr>
        <w:t>.</w:t>
      </w:r>
    </w:p>
    <w:bookmarkEnd w:id="2"/>
    <w:p w:rsidR="00154B46" w:rsidRDefault="002622E5" w:rsidP="00154B46">
      <w:pPr>
        <w:spacing w:before="1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</w:t>
      </w:r>
      <w:r w:rsidRPr="005D1B1F">
        <w:rPr>
          <w:rFonts w:ascii="Times New Roman" w:hAnsi="Times New Roman"/>
          <w:b/>
          <w:sz w:val="22"/>
          <w:szCs w:val="22"/>
        </w:rPr>
        <w:t xml:space="preserve">ublic </w:t>
      </w:r>
      <w:r>
        <w:rPr>
          <w:rFonts w:ascii="Times New Roman" w:hAnsi="Times New Roman"/>
          <w:b/>
          <w:sz w:val="22"/>
          <w:szCs w:val="22"/>
        </w:rPr>
        <w:t>H</w:t>
      </w:r>
      <w:r w:rsidRPr="005D1B1F">
        <w:rPr>
          <w:rFonts w:ascii="Times New Roman" w:hAnsi="Times New Roman"/>
          <w:b/>
          <w:sz w:val="22"/>
          <w:szCs w:val="22"/>
        </w:rPr>
        <w:t>earings:</w:t>
      </w:r>
      <w:r w:rsidRPr="005D1B1F">
        <w:rPr>
          <w:rFonts w:ascii="Times New Roman" w:hAnsi="Times New Roman"/>
          <w:sz w:val="22"/>
          <w:szCs w:val="22"/>
        </w:rPr>
        <w:t xml:space="preserve"> </w:t>
      </w:r>
      <w:r w:rsidR="00930449" w:rsidRPr="00DD7299">
        <w:rPr>
          <w:rFonts w:ascii="Times New Roman" w:hAnsi="Times New Roman"/>
          <w:sz w:val="22"/>
          <w:szCs w:val="22"/>
        </w:rPr>
        <w:t xml:space="preserve">DEQ held a public hearing </w:t>
      </w:r>
      <w:r w:rsidR="00930449">
        <w:rPr>
          <w:rFonts w:ascii="Times New Roman" w:hAnsi="Times New Roman"/>
          <w:sz w:val="22"/>
          <w:szCs w:val="22"/>
        </w:rPr>
        <w:t xml:space="preserve">at DEQ headquarters on </w:t>
      </w:r>
      <w:r w:rsidR="00930449" w:rsidRPr="00DD7299">
        <w:rPr>
          <w:rFonts w:ascii="Times New Roman" w:hAnsi="Times New Roman"/>
          <w:sz w:val="22"/>
          <w:szCs w:val="22"/>
        </w:rPr>
        <w:t>Aug</w:t>
      </w:r>
      <w:r w:rsidR="00930449">
        <w:rPr>
          <w:rFonts w:ascii="Times New Roman" w:hAnsi="Times New Roman"/>
          <w:sz w:val="22"/>
          <w:szCs w:val="22"/>
        </w:rPr>
        <w:t>ust</w:t>
      </w:r>
      <w:r w:rsidR="00930449" w:rsidRPr="00DD7299">
        <w:rPr>
          <w:rFonts w:ascii="Times New Roman" w:hAnsi="Times New Roman"/>
          <w:sz w:val="22"/>
          <w:szCs w:val="22"/>
        </w:rPr>
        <w:t xml:space="preserve"> 18, 2011. No one from the public attended the hearing. </w:t>
      </w:r>
    </w:p>
    <w:p w:rsidR="00154B46" w:rsidRDefault="00930449" w:rsidP="00154B46">
      <w:pPr>
        <w:spacing w:before="160"/>
        <w:jc w:val="both"/>
        <w:rPr>
          <w:rFonts w:ascii="Times New Roman" w:hAnsi="Times New Roman"/>
          <w:sz w:val="22"/>
          <w:szCs w:val="22"/>
        </w:rPr>
      </w:pPr>
      <w:r w:rsidRPr="00930449">
        <w:rPr>
          <w:rFonts w:ascii="Times New Roman" w:hAnsi="Times New Roman"/>
          <w:b/>
          <w:sz w:val="22"/>
          <w:szCs w:val="22"/>
        </w:rPr>
        <w:t>Public Comment: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D7299">
        <w:rPr>
          <w:rFonts w:ascii="Times New Roman" w:hAnsi="Times New Roman"/>
          <w:sz w:val="22"/>
          <w:szCs w:val="22"/>
        </w:rPr>
        <w:t>DEQ’s public comment period for the proposed permanent rule amendments was open July 15 to Aug</w:t>
      </w:r>
      <w:r w:rsidR="009F6CD6">
        <w:rPr>
          <w:rFonts w:ascii="Times New Roman" w:hAnsi="Times New Roman"/>
          <w:sz w:val="22"/>
          <w:szCs w:val="22"/>
        </w:rPr>
        <w:t>ust</w:t>
      </w:r>
      <w:r w:rsidRPr="00DD7299">
        <w:rPr>
          <w:rFonts w:ascii="Times New Roman" w:hAnsi="Times New Roman"/>
          <w:sz w:val="22"/>
          <w:szCs w:val="22"/>
        </w:rPr>
        <w:t xml:space="preserve"> 25</w:t>
      </w:r>
      <w:r>
        <w:rPr>
          <w:rFonts w:ascii="Times New Roman" w:hAnsi="Times New Roman"/>
          <w:sz w:val="22"/>
          <w:szCs w:val="22"/>
        </w:rPr>
        <w:t>, 2011.</w:t>
      </w:r>
      <w:r w:rsidR="00F033AE">
        <w:rPr>
          <w:rFonts w:ascii="Times New Roman" w:hAnsi="Times New Roman"/>
          <w:sz w:val="22"/>
          <w:szCs w:val="22"/>
        </w:rPr>
        <w:t xml:space="preserve"> </w:t>
      </w:r>
      <w:r w:rsidR="00F033AE" w:rsidRPr="00DD7299">
        <w:rPr>
          <w:rFonts w:ascii="Times New Roman" w:hAnsi="Times New Roman"/>
          <w:sz w:val="22"/>
          <w:szCs w:val="22"/>
        </w:rPr>
        <w:t>DEQ received written comments from one commenter during the comment period.</w:t>
      </w:r>
    </w:p>
    <w:p w:rsidR="00154B46" w:rsidRDefault="00154B46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  <w:u w:val="single"/>
        </w:rPr>
      </w:pPr>
    </w:p>
    <w:p w:rsidR="00154B46" w:rsidRDefault="002622E5" w:rsidP="00154B46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  <w:sz w:val="22"/>
          <w:szCs w:val="22"/>
          <w:u w:val="single"/>
        </w:rPr>
      </w:pPr>
      <w:r w:rsidRPr="00012A09">
        <w:rPr>
          <w:rFonts w:ascii="Times New Roman" w:hAnsi="Times New Roman"/>
          <w:sz w:val="22"/>
          <w:szCs w:val="22"/>
          <w:u w:val="single"/>
        </w:rPr>
        <w:t xml:space="preserve">Rulemaking </w:t>
      </w:r>
      <w:r w:rsidR="009E5BD9">
        <w:rPr>
          <w:rFonts w:ascii="Times New Roman" w:hAnsi="Times New Roman"/>
          <w:sz w:val="22"/>
          <w:szCs w:val="22"/>
          <w:u w:val="single"/>
        </w:rPr>
        <w:t>Implementation</w:t>
      </w:r>
    </w:p>
    <w:p w:rsidR="00154B46" w:rsidRDefault="006925A9" w:rsidP="00154B46">
      <w:pPr>
        <w:jc w:val="both"/>
        <w:rPr>
          <w:sz w:val="22"/>
          <w:szCs w:val="22"/>
        </w:rPr>
      </w:pPr>
      <w:r w:rsidRPr="00432F7B">
        <w:rPr>
          <w:sz w:val="22"/>
          <w:szCs w:val="22"/>
        </w:rPr>
        <w:t>The rule amendme</w:t>
      </w:r>
      <w:r>
        <w:rPr>
          <w:sz w:val="22"/>
          <w:szCs w:val="22"/>
        </w:rPr>
        <w:t xml:space="preserve">nts </w:t>
      </w:r>
      <w:r w:rsidRPr="00406FED">
        <w:rPr>
          <w:sz w:val="22"/>
          <w:szCs w:val="22"/>
        </w:rPr>
        <w:t xml:space="preserve">will be implemented primarily through DEQ’s Small Business Assistance program. </w:t>
      </w:r>
      <w:r w:rsidR="00406FED" w:rsidRPr="00406FED">
        <w:rPr>
          <w:sz w:val="22"/>
          <w:szCs w:val="22"/>
        </w:rPr>
        <w:t xml:space="preserve">DEQ will implement </w:t>
      </w:r>
      <w:r w:rsidR="00432F7B">
        <w:rPr>
          <w:sz w:val="22"/>
          <w:szCs w:val="22"/>
        </w:rPr>
        <w:t xml:space="preserve">communication and </w:t>
      </w:r>
      <w:r w:rsidR="00406FED" w:rsidRPr="00406FED">
        <w:rPr>
          <w:sz w:val="22"/>
          <w:szCs w:val="22"/>
        </w:rPr>
        <w:t>outreach activities and technical assistance efforts to aid owners and operators of affected solid fuel</w:t>
      </w:r>
      <w:r w:rsidR="00E80184">
        <w:rPr>
          <w:sz w:val="22"/>
          <w:szCs w:val="22"/>
        </w:rPr>
        <w:t>-fired</w:t>
      </w:r>
      <w:r w:rsidR="00406FED" w:rsidRPr="00406FED">
        <w:rPr>
          <w:sz w:val="22"/>
          <w:szCs w:val="22"/>
        </w:rPr>
        <w:t xml:space="preserve"> boilers in </w:t>
      </w:r>
      <w:r w:rsidR="00F56DA3">
        <w:rPr>
          <w:sz w:val="22"/>
          <w:szCs w:val="22"/>
        </w:rPr>
        <w:t xml:space="preserve">obtaining construction approval, </w:t>
      </w:r>
      <w:r w:rsidR="00406FED" w:rsidRPr="00406FED">
        <w:rPr>
          <w:sz w:val="22"/>
          <w:szCs w:val="22"/>
        </w:rPr>
        <w:t xml:space="preserve">meeting </w:t>
      </w:r>
      <w:r w:rsidR="0089473E">
        <w:rPr>
          <w:sz w:val="22"/>
          <w:szCs w:val="22"/>
        </w:rPr>
        <w:t xml:space="preserve">the </w:t>
      </w:r>
      <w:r w:rsidR="00406FED" w:rsidRPr="00406FED">
        <w:rPr>
          <w:sz w:val="22"/>
          <w:szCs w:val="22"/>
        </w:rPr>
        <w:t xml:space="preserve">applicable </w:t>
      </w:r>
      <w:r w:rsidR="0089473E">
        <w:rPr>
          <w:sz w:val="22"/>
          <w:szCs w:val="22"/>
        </w:rPr>
        <w:t>requirements</w:t>
      </w:r>
      <w:r w:rsidR="00F56DA3">
        <w:rPr>
          <w:sz w:val="22"/>
          <w:szCs w:val="22"/>
        </w:rPr>
        <w:t>,</w:t>
      </w:r>
      <w:r w:rsidR="00406FED" w:rsidRPr="00406FED">
        <w:rPr>
          <w:sz w:val="22"/>
          <w:szCs w:val="22"/>
        </w:rPr>
        <w:t xml:space="preserve"> and regist</w:t>
      </w:r>
      <w:r>
        <w:rPr>
          <w:sz w:val="22"/>
          <w:szCs w:val="22"/>
        </w:rPr>
        <w:t>ration of boilers (if required)</w:t>
      </w:r>
      <w:r w:rsidR="00406FED" w:rsidRPr="00406FED">
        <w:rPr>
          <w:sz w:val="22"/>
          <w:szCs w:val="22"/>
        </w:rPr>
        <w:t xml:space="preserve">. Anticipated efforts are categorized by the </w:t>
      </w:r>
      <w:r w:rsidR="0089473E">
        <w:rPr>
          <w:sz w:val="22"/>
          <w:szCs w:val="22"/>
        </w:rPr>
        <w:t xml:space="preserve">following </w:t>
      </w:r>
      <w:r w:rsidR="00406FED" w:rsidRPr="00406FED">
        <w:rPr>
          <w:sz w:val="22"/>
          <w:szCs w:val="22"/>
        </w:rPr>
        <w:t>headings:</w:t>
      </w:r>
    </w:p>
    <w:p w:rsidR="00154B46" w:rsidRDefault="00154B46" w:rsidP="00154B46">
      <w:pPr>
        <w:rPr>
          <w:sz w:val="22"/>
          <w:szCs w:val="22"/>
        </w:rPr>
      </w:pPr>
    </w:p>
    <w:p w:rsidR="006925A9" w:rsidRDefault="006925A9" w:rsidP="006925A9">
      <w:pPr>
        <w:jc w:val="both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Affected Facility Identification: </w:t>
      </w:r>
      <w:r w:rsidRPr="00406FED">
        <w:rPr>
          <w:sz w:val="22"/>
          <w:szCs w:val="22"/>
        </w:rPr>
        <w:t xml:space="preserve">DEQ has partnered with EPA to provide informational materials to </w:t>
      </w:r>
      <w:r>
        <w:rPr>
          <w:sz w:val="22"/>
          <w:szCs w:val="22"/>
        </w:rPr>
        <w:t xml:space="preserve">potentially </w:t>
      </w:r>
      <w:r w:rsidRPr="00406FED">
        <w:rPr>
          <w:sz w:val="22"/>
          <w:szCs w:val="22"/>
        </w:rPr>
        <w:t xml:space="preserve">affected </w:t>
      </w:r>
      <w:r>
        <w:rPr>
          <w:sz w:val="22"/>
          <w:szCs w:val="22"/>
        </w:rPr>
        <w:t>sources</w:t>
      </w:r>
      <w:r w:rsidRPr="00406FED">
        <w:rPr>
          <w:sz w:val="22"/>
          <w:szCs w:val="22"/>
        </w:rPr>
        <w:t xml:space="preserve">. EPA Region 10 sent letters to owners and operators of boilers that are affected by the </w:t>
      </w:r>
      <w:r>
        <w:rPr>
          <w:sz w:val="22"/>
          <w:szCs w:val="22"/>
        </w:rPr>
        <w:t>a</w:t>
      </w:r>
      <w:r w:rsidRPr="00406FED">
        <w:rPr>
          <w:sz w:val="22"/>
          <w:szCs w:val="22"/>
        </w:rPr>
        <w:t xml:space="preserve">rea </w:t>
      </w:r>
      <w:r>
        <w:rPr>
          <w:sz w:val="22"/>
          <w:szCs w:val="22"/>
        </w:rPr>
        <w:t>s</w:t>
      </w:r>
      <w:r w:rsidRPr="00406FED">
        <w:rPr>
          <w:sz w:val="22"/>
          <w:szCs w:val="22"/>
        </w:rPr>
        <w:t>ource NESHAP rules in August of 2011. Included with th</w:t>
      </w:r>
      <w:r>
        <w:rPr>
          <w:sz w:val="22"/>
          <w:szCs w:val="22"/>
        </w:rPr>
        <w:t>i</w:t>
      </w:r>
      <w:r w:rsidRPr="00406FED">
        <w:rPr>
          <w:sz w:val="22"/>
          <w:szCs w:val="22"/>
        </w:rPr>
        <w:t>s mailing was a post-card size insert from DEQ notifying recipients of the proposed Oregon permanent rulemaking affecting small-scale and mid-size commercial, industrial and institutional solid fuel</w:t>
      </w:r>
      <w:r>
        <w:rPr>
          <w:sz w:val="22"/>
          <w:szCs w:val="22"/>
        </w:rPr>
        <w:t>-fired</w:t>
      </w:r>
      <w:r w:rsidRPr="00406FED">
        <w:rPr>
          <w:sz w:val="22"/>
          <w:szCs w:val="22"/>
        </w:rPr>
        <w:t xml:space="preserve"> </w:t>
      </w:r>
      <w:r>
        <w:rPr>
          <w:sz w:val="22"/>
          <w:szCs w:val="22"/>
        </w:rPr>
        <w:t>boilers</w:t>
      </w:r>
      <w:r w:rsidRPr="00406FED">
        <w:rPr>
          <w:sz w:val="22"/>
          <w:szCs w:val="22"/>
        </w:rPr>
        <w:t>. DEQ intends to</w:t>
      </w:r>
      <w:r>
        <w:rPr>
          <w:sz w:val="22"/>
          <w:szCs w:val="22"/>
        </w:rPr>
        <w:t xml:space="preserve"> continue</w:t>
      </w:r>
      <w:r w:rsidRPr="00406FED">
        <w:rPr>
          <w:sz w:val="22"/>
          <w:szCs w:val="22"/>
        </w:rPr>
        <w:t xml:space="preserve"> work</w:t>
      </w:r>
      <w:r>
        <w:rPr>
          <w:sz w:val="22"/>
          <w:szCs w:val="22"/>
        </w:rPr>
        <w:t>ing</w:t>
      </w:r>
      <w:r w:rsidRPr="00406FED">
        <w:rPr>
          <w:sz w:val="22"/>
          <w:szCs w:val="22"/>
        </w:rPr>
        <w:t xml:space="preserve"> with EPA to identify </w:t>
      </w:r>
      <w:r>
        <w:rPr>
          <w:sz w:val="22"/>
          <w:szCs w:val="22"/>
        </w:rPr>
        <w:t xml:space="preserve">NESHAP affected </w:t>
      </w:r>
      <w:r w:rsidRPr="00406FED">
        <w:rPr>
          <w:sz w:val="22"/>
          <w:szCs w:val="22"/>
        </w:rPr>
        <w:t xml:space="preserve">boilers in Oregon and provide owners and </w:t>
      </w:r>
      <w:proofErr w:type="gramStart"/>
      <w:r w:rsidRPr="00406FED">
        <w:rPr>
          <w:sz w:val="22"/>
          <w:szCs w:val="22"/>
        </w:rPr>
        <w:t>operators</w:t>
      </w:r>
      <w:proofErr w:type="gramEnd"/>
      <w:r w:rsidRPr="00406FED">
        <w:rPr>
          <w:sz w:val="22"/>
          <w:szCs w:val="22"/>
        </w:rPr>
        <w:t xml:space="preserve"> guidance in meeting the </w:t>
      </w:r>
      <w:r>
        <w:rPr>
          <w:sz w:val="22"/>
          <w:szCs w:val="22"/>
        </w:rPr>
        <w:t xml:space="preserve">NESHAP and the adopted </w:t>
      </w:r>
      <w:r w:rsidRPr="00406FED">
        <w:rPr>
          <w:sz w:val="22"/>
          <w:szCs w:val="22"/>
        </w:rPr>
        <w:t xml:space="preserve">rule </w:t>
      </w:r>
      <w:r>
        <w:rPr>
          <w:sz w:val="22"/>
          <w:szCs w:val="22"/>
        </w:rPr>
        <w:t>amendments</w:t>
      </w:r>
      <w:r w:rsidRPr="00406FED">
        <w:rPr>
          <w:sz w:val="22"/>
          <w:szCs w:val="22"/>
        </w:rPr>
        <w:t>.</w:t>
      </w:r>
    </w:p>
    <w:p w:rsidR="006925A9" w:rsidRDefault="006925A9" w:rsidP="00154B46">
      <w:pPr>
        <w:jc w:val="both"/>
        <w:rPr>
          <w:b/>
          <w:sz w:val="22"/>
          <w:szCs w:val="22"/>
        </w:rPr>
      </w:pPr>
    </w:p>
    <w:p w:rsidR="000D6B0F" w:rsidRPr="00432F7B" w:rsidRDefault="000D6B0F" w:rsidP="000D6B0F">
      <w:pPr>
        <w:spacing w:before="160"/>
        <w:jc w:val="both"/>
        <w:rPr>
          <w:sz w:val="22"/>
          <w:szCs w:val="22"/>
        </w:rPr>
      </w:pPr>
      <w:r w:rsidRPr="00432F7B">
        <w:rPr>
          <w:b/>
          <w:sz w:val="22"/>
          <w:szCs w:val="22"/>
        </w:rPr>
        <w:t xml:space="preserve">Outreach: </w:t>
      </w:r>
      <w:r>
        <w:rPr>
          <w:sz w:val="22"/>
          <w:szCs w:val="22"/>
        </w:rPr>
        <w:t>DEQ</w:t>
      </w:r>
      <w:r w:rsidRPr="00406FED">
        <w:rPr>
          <w:sz w:val="22"/>
          <w:szCs w:val="22"/>
        </w:rPr>
        <w:t xml:space="preserve"> will work with the Oregon Department of Energy, the state Boiler Codes Division, </w:t>
      </w:r>
      <w:r w:rsidR="00C57A4D">
        <w:rPr>
          <w:sz w:val="22"/>
          <w:szCs w:val="22"/>
        </w:rPr>
        <w:t xml:space="preserve">the Lane Regional Air Protection Agency, </w:t>
      </w:r>
      <w:r w:rsidRPr="00406FED">
        <w:rPr>
          <w:sz w:val="22"/>
          <w:szCs w:val="22"/>
        </w:rPr>
        <w:t>our Regional Solutions Team members</w:t>
      </w:r>
      <w:r>
        <w:rPr>
          <w:sz w:val="22"/>
          <w:szCs w:val="22"/>
        </w:rPr>
        <w:t xml:space="preserve">, </w:t>
      </w:r>
      <w:r w:rsidR="00D872A7">
        <w:rPr>
          <w:sz w:val="22"/>
          <w:szCs w:val="22"/>
        </w:rPr>
        <w:t xml:space="preserve">the </w:t>
      </w:r>
      <w:r w:rsidRPr="00432F7B">
        <w:rPr>
          <w:rFonts w:ascii="Times New Roman" w:hAnsi="Times New Roman"/>
          <w:sz w:val="22"/>
          <w:szCs w:val="22"/>
        </w:rPr>
        <w:t>Oregon Boiler and Pressure Vessel Association,</w:t>
      </w:r>
      <w:r w:rsidRPr="00406FED">
        <w:rPr>
          <w:sz w:val="22"/>
          <w:szCs w:val="22"/>
        </w:rPr>
        <w:t xml:space="preserve"> </w:t>
      </w:r>
      <w:r w:rsidR="00D872A7">
        <w:rPr>
          <w:sz w:val="22"/>
          <w:szCs w:val="22"/>
        </w:rPr>
        <w:t>and</w:t>
      </w:r>
      <w:r w:rsidRPr="00406FED">
        <w:rPr>
          <w:sz w:val="22"/>
          <w:szCs w:val="22"/>
        </w:rPr>
        <w:t xml:space="preserve"> other stakeholder</w:t>
      </w:r>
      <w:r w:rsidR="00E32473">
        <w:rPr>
          <w:sz w:val="22"/>
          <w:szCs w:val="22"/>
        </w:rPr>
        <w:t>s</w:t>
      </w:r>
      <w:r w:rsidRPr="00406FED">
        <w:rPr>
          <w:sz w:val="22"/>
          <w:szCs w:val="22"/>
        </w:rPr>
        <w:t xml:space="preserve"> and </w:t>
      </w:r>
      <w:r w:rsidR="00E32473">
        <w:rPr>
          <w:sz w:val="22"/>
          <w:szCs w:val="22"/>
        </w:rPr>
        <w:t xml:space="preserve">interested entities </w:t>
      </w:r>
      <w:r w:rsidRPr="00406FED">
        <w:rPr>
          <w:sz w:val="22"/>
          <w:szCs w:val="22"/>
        </w:rPr>
        <w:t>to provide outreach and education to affected boiler owners and operators.</w:t>
      </w:r>
      <w:r>
        <w:rPr>
          <w:sz w:val="22"/>
          <w:szCs w:val="22"/>
        </w:rPr>
        <w:t xml:space="preserve"> </w:t>
      </w:r>
    </w:p>
    <w:p w:rsidR="000D6B0F" w:rsidRDefault="000D6B0F" w:rsidP="00154B46">
      <w:pPr>
        <w:jc w:val="both"/>
        <w:rPr>
          <w:b/>
          <w:sz w:val="22"/>
          <w:szCs w:val="22"/>
        </w:rPr>
      </w:pPr>
    </w:p>
    <w:p w:rsidR="00154B46" w:rsidRDefault="00406FED" w:rsidP="00154B46">
      <w:pPr>
        <w:jc w:val="both"/>
        <w:rPr>
          <w:sz w:val="22"/>
          <w:szCs w:val="22"/>
        </w:rPr>
      </w:pPr>
      <w:r w:rsidRPr="00406FED">
        <w:rPr>
          <w:b/>
          <w:sz w:val="22"/>
          <w:szCs w:val="22"/>
        </w:rPr>
        <w:t>Communication</w:t>
      </w:r>
      <w:r w:rsidR="00F56DA3">
        <w:rPr>
          <w:b/>
          <w:sz w:val="22"/>
          <w:szCs w:val="22"/>
        </w:rPr>
        <w:t xml:space="preserve">: </w:t>
      </w:r>
      <w:r w:rsidR="009E5BD9">
        <w:rPr>
          <w:sz w:val="22"/>
          <w:szCs w:val="22"/>
        </w:rPr>
        <w:t xml:space="preserve">DEQ staff will </w:t>
      </w:r>
      <w:r w:rsidR="00432F7B">
        <w:rPr>
          <w:sz w:val="22"/>
          <w:szCs w:val="22"/>
        </w:rPr>
        <w:t>develop</w:t>
      </w:r>
      <w:r w:rsidR="0089473E">
        <w:rPr>
          <w:sz w:val="22"/>
          <w:szCs w:val="22"/>
        </w:rPr>
        <w:t xml:space="preserve"> i</w:t>
      </w:r>
      <w:r w:rsidRPr="00406FED">
        <w:rPr>
          <w:sz w:val="22"/>
          <w:szCs w:val="22"/>
        </w:rPr>
        <w:t xml:space="preserve">nformational materials </w:t>
      </w:r>
      <w:r w:rsidR="00432F7B">
        <w:rPr>
          <w:sz w:val="22"/>
          <w:szCs w:val="22"/>
        </w:rPr>
        <w:t>to disseminate to stakeholders and other interested parties that will address the following</w:t>
      </w:r>
      <w:r w:rsidRPr="00406FED">
        <w:rPr>
          <w:sz w:val="22"/>
          <w:szCs w:val="22"/>
        </w:rPr>
        <w:t>:</w:t>
      </w:r>
    </w:p>
    <w:p w:rsidR="00A5148D" w:rsidRDefault="00A5148D" w:rsidP="00154B46">
      <w:pPr>
        <w:jc w:val="both"/>
        <w:rPr>
          <w:b/>
          <w:sz w:val="22"/>
          <w:szCs w:val="22"/>
        </w:rPr>
      </w:pPr>
    </w:p>
    <w:p w:rsidR="00154B46" w:rsidRDefault="00A5148D" w:rsidP="00432F7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Heat Smart Exemption</w:t>
      </w:r>
    </w:p>
    <w:p w:rsidR="00A5148D" w:rsidRDefault="00A5148D" w:rsidP="00432F7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Notice to Construct requirements</w:t>
      </w:r>
    </w:p>
    <w:p w:rsidR="00A5148D" w:rsidRDefault="00A5148D" w:rsidP="00432F7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NESHAP requirements</w:t>
      </w:r>
    </w:p>
    <w:p w:rsidR="00A5148D" w:rsidRPr="00432F7B" w:rsidRDefault="00A5148D" w:rsidP="00432F7B">
      <w:pPr>
        <w:pStyle w:val="ListParagraph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Registration requirements</w:t>
      </w:r>
    </w:p>
    <w:p w:rsidR="00154B46" w:rsidRDefault="00154B46">
      <w:pPr>
        <w:rPr>
          <w:sz w:val="22"/>
          <w:szCs w:val="22"/>
        </w:rPr>
      </w:pPr>
    </w:p>
    <w:p w:rsidR="00154B46" w:rsidRDefault="004443DA" w:rsidP="00154B4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Online Tool</w:t>
      </w:r>
      <w:r w:rsidR="00406FED" w:rsidRPr="00406FED">
        <w:rPr>
          <w:b/>
          <w:sz w:val="22"/>
          <w:szCs w:val="22"/>
        </w:rPr>
        <w:t>/Database Development</w:t>
      </w:r>
      <w:r w:rsidR="00F56DA3">
        <w:rPr>
          <w:b/>
          <w:sz w:val="22"/>
          <w:szCs w:val="22"/>
        </w:rPr>
        <w:t xml:space="preserve">: </w:t>
      </w:r>
      <w:r w:rsidR="00406FED" w:rsidRPr="00406FED">
        <w:rPr>
          <w:sz w:val="22"/>
          <w:szCs w:val="22"/>
        </w:rPr>
        <w:t xml:space="preserve">DEQ Headquarters - Air Quality staff </w:t>
      </w:r>
      <w:r w:rsidR="00F56DA3">
        <w:rPr>
          <w:sz w:val="22"/>
          <w:szCs w:val="22"/>
        </w:rPr>
        <w:t>will work</w:t>
      </w:r>
      <w:r w:rsidR="00406FED" w:rsidRPr="00406FED">
        <w:rPr>
          <w:sz w:val="22"/>
          <w:szCs w:val="22"/>
        </w:rPr>
        <w:t xml:space="preserve"> with </w:t>
      </w:r>
      <w:r w:rsidR="00F71D67">
        <w:rPr>
          <w:sz w:val="22"/>
          <w:szCs w:val="22"/>
        </w:rPr>
        <w:t>DEQ</w:t>
      </w:r>
      <w:r w:rsidR="00406FED" w:rsidRPr="00406FED">
        <w:rPr>
          <w:sz w:val="22"/>
          <w:szCs w:val="22"/>
        </w:rPr>
        <w:t xml:space="preserve">’s Business Services Division to develop a web-based </w:t>
      </w:r>
      <w:r w:rsidR="008A3C50">
        <w:rPr>
          <w:sz w:val="22"/>
          <w:szCs w:val="22"/>
        </w:rPr>
        <w:t xml:space="preserve">construction approval and </w:t>
      </w:r>
      <w:r w:rsidR="000946C7">
        <w:rPr>
          <w:sz w:val="22"/>
          <w:szCs w:val="22"/>
        </w:rPr>
        <w:t xml:space="preserve">registration </w:t>
      </w:r>
      <w:r w:rsidR="00F56DA3">
        <w:rPr>
          <w:sz w:val="22"/>
          <w:szCs w:val="22"/>
        </w:rPr>
        <w:t>tool</w:t>
      </w:r>
      <w:r w:rsidR="00406FED" w:rsidRPr="00406FED">
        <w:rPr>
          <w:sz w:val="22"/>
          <w:szCs w:val="22"/>
        </w:rPr>
        <w:t xml:space="preserve"> for </w:t>
      </w:r>
      <w:r w:rsidR="00F71D67">
        <w:rPr>
          <w:sz w:val="22"/>
          <w:szCs w:val="22"/>
        </w:rPr>
        <w:t xml:space="preserve">use </w:t>
      </w:r>
      <w:r w:rsidR="00406FED" w:rsidRPr="00406FED">
        <w:rPr>
          <w:sz w:val="22"/>
          <w:szCs w:val="22"/>
        </w:rPr>
        <w:t xml:space="preserve">by owners and operators of </w:t>
      </w:r>
      <w:r w:rsidR="000946C7">
        <w:rPr>
          <w:sz w:val="22"/>
          <w:szCs w:val="22"/>
        </w:rPr>
        <w:t xml:space="preserve">small </w:t>
      </w:r>
      <w:r w:rsidR="00406FED" w:rsidRPr="00406FED">
        <w:rPr>
          <w:sz w:val="22"/>
          <w:szCs w:val="22"/>
        </w:rPr>
        <w:t>commercial, industrial and institutional solid fuel</w:t>
      </w:r>
      <w:r w:rsidR="00F71D67">
        <w:rPr>
          <w:sz w:val="22"/>
          <w:szCs w:val="22"/>
        </w:rPr>
        <w:t>-fired</w:t>
      </w:r>
      <w:r w:rsidR="00406FED" w:rsidRPr="00406FED">
        <w:rPr>
          <w:sz w:val="22"/>
          <w:szCs w:val="22"/>
        </w:rPr>
        <w:t xml:space="preserve"> </w:t>
      </w:r>
      <w:r w:rsidR="007F5A2E">
        <w:rPr>
          <w:sz w:val="22"/>
          <w:szCs w:val="22"/>
        </w:rPr>
        <w:t>boilers</w:t>
      </w:r>
      <w:r w:rsidR="00F56DA3">
        <w:rPr>
          <w:sz w:val="22"/>
          <w:szCs w:val="22"/>
        </w:rPr>
        <w:t xml:space="preserve">. </w:t>
      </w:r>
    </w:p>
    <w:p w:rsidR="00154B46" w:rsidRPr="00A5148D" w:rsidRDefault="00154B46">
      <w:pPr>
        <w:tabs>
          <w:tab w:val="left" w:pos="-1440"/>
          <w:tab w:val="left" w:pos="-720"/>
          <w:tab w:val="left" w:pos="405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:rsidR="00D22FC5" w:rsidRDefault="005A5374" w:rsidP="00154B46">
      <w:pPr>
        <w:spacing w:before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Technical Assistance: </w:t>
      </w:r>
      <w:r w:rsidR="001E0002" w:rsidRPr="001E0002">
        <w:rPr>
          <w:rFonts w:ascii="Times New Roman" w:hAnsi="Times New Roman"/>
          <w:sz w:val="22"/>
          <w:szCs w:val="22"/>
        </w:rPr>
        <w:t>DEQ will provide technical assistance to affected sources</w:t>
      </w:r>
      <w:r w:rsidR="00A5148D">
        <w:rPr>
          <w:rFonts w:ascii="Times New Roman" w:hAnsi="Times New Roman"/>
          <w:sz w:val="22"/>
          <w:szCs w:val="22"/>
        </w:rPr>
        <w:t xml:space="preserve"> in the construction approval and registration </w:t>
      </w:r>
      <w:commentRangeStart w:id="3"/>
      <w:r w:rsidR="00D22FC5">
        <w:rPr>
          <w:rFonts w:ascii="Times New Roman" w:hAnsi="Times New Roman"/>
          <w:sz w:val="22"/>
          <w:szCs w:val="22"/>
        </w:rPr>
        <w:t xml:space="preserve">processes.  General outreach and education efforts, as well as </w:t>
      </w:r>
      <w:r w:rsidR="0037633F">
        <w:rPr>
          <w:rFonts w:ascii="Times New Roman" w:hAnsi="Times New Roman"/>
          <w:sz w:val="22"/>
          <w:szCs w:val="22"/>
        </w:rPr>
        <w:t>assistance</w:t>
      </w:r>
      <w:r w:rsidR="0037633F">
        <w:rPr>
          <w:rFonts w:ascii="Times New Roman" w:hAnsi="Times New Roman"/>
          <w:sz w:val="22"/>
          <w:szCs w:val="22"/>
        </w:rPr>
        <w:t xml:space="preserve"> with </w:t>
      </w:r>
      <w:r w:rsidR="00A5148D">
        <w:rPr>
          <w:rFonts w:ascii="Times New Roman" w:hAnsi="Times New Roman"/>
          <w:sz w:val="22"/>
          <w:szCs w:val="22"/>
        </w:rPr>
        <w:t>registration will be provided by headquarters planning staff.</w:t>
      </w:r>
      <w:commentRangeEnd w:id="3"/>
      <w:r w:rsidR="00D872A7">
        <w:rPr>
          <w:rStyle w:val="CommentReference"/>
        </w:rPr>
        <w:commentReference w:id="3"/>
      </w:r>
      <w:r w:rsidR="00933A98">
        <w:rPr>
          <w:rFonts w:ascii="Times New Roman" w:hAnsi="Times New Roman"/>
          <w:sz w:val="22"/>
          <w:szCs w:val="22"/>
        </w:rPr>
        <w:t xml:space="preserve"> </w:t>
      </w:r>
      <w:r w:rsidR="00D22FC5">
        <w:rPr>
          <w:rFonts w:ascii="Times New Roman" w:hAnsi="Times New Roman"/>
          <w:sz w:val="22"/>
          <w:szCs w:val="22"/>
        </w:rPr>
        <w:t>. Construction approval assistance will be provided by regional permitting staff.</w:t>
      </w:r>
    </w:p>
    <w:p w:rsidR="00154B46" w:rsidRDefault="00D423D4" w:rsidP="00154B46">
      <w:pPr>
        <w:spacing w:before="180"/>
        <w:jc w:val="both"/>
        <w:rPr>
          <w:sz w:val="22"/>
          <w:szCs w:val="22"/>
        </w:rPr>
      </w:pPr>
      <w:r w:rsidRPr="008648B0">
        <w:rPr>
          <w:rFonts w:ascii="Times New Roman" w:hAnsi="Times New Roman"/>
          <w:sz w:val="22"/>
          <w:szCs w:val="22"/>
          <w:u w:val="single"/>
        </w:rPr>
        <w:t>Outreach</w:t>
      </w:r>
      <w:r w:rsidR="00A5148D">
        <w:rPr>
          <w:rFonts w:ascii="Times New Roman" w:hAnsi="Times New Roman"/>
          <w:sz w:val="22"/>
          <w:szCs w:val="22"/>
          <w:u w:val="single"/>
        </w:rPr>
        <w:t>/Technical Assistance</w:t>
      </w:r>
      <w:r w:rsidRPr="008648B0">
        <w:rPr>
          <w:rFonts w:ascii="Times New Roman" w:hAnsi="Times New Roman"/>
          <w:sz w:val="22"/>
          <w:szCs w:val="22"/>
          <w:u w:val="single"/>
        </w:rPr>
        <w:t xml:space="preserve"> Team</w:t>
      </w:r>
      <w:r w:rsidRPr="008648B0">
        <w:rPr>
          <w:rFonts w:ascii="Times New Roman" w:hAnsi="Times New Roman"/>
          <w:sz w:val="22"/>
          <w:szCs w:val="22"/>
        </w:rPr>
        <w:t>:</w:t>
      </w:r>
      <w:r w:rsidRPr="005D1B1F">
        <w:rPr>
          <w:rFonts w:ascii="Times New Roman" w:hAnsi="Times New Roman"/>
          <w:sz w:val="22"/>
          <w:szCs w:val="22"/>
        </w:rPr>
        <w:t xml:space="preserve"> </w:t>
      </w:r>
      <w:r w:rsidR="0097713C">
        <w:rPr>
          <w:sz w:val="22"/>
          <w:szCs w:val="22"/>
        </w:rPr>
        <w:t>Carrie Ann Capp (project lead), Rebecca Hillwig (small business assistanc</w:t>
      </w:r>
      <w:r w:rsidR="00012A09">
        <w:rPr>
          <w:sz w:val="22"/>
          <w:szCs w:val="22"/>
        </w:rPr>
        <w:t>e coordinator)</w:t>
      </w:r>
      <w:r w:rsidR="008A3C50">
        <w:rPr>
          <w:sz w:val="22"/>
          <w:szCs w:val="22"/>
        </w:rPr>
        <w:t>,</w:t>
      </w:r>
      <w:r w:rsidR="00012A09">
        <w:rPr>
          <w:sz w:val="22"/>
          <w:szCs w:val="22"/>
        </w:rPr>
        <w:t xml:space="preserve"> Jerry Ebersole (air toxics </w:t>
      </w:r>
      <w:commentRangeStart w:id="4"/>
      <w:r w:rsidR="00012A09">
        <w:rPr>
          <w:sz w:val="22"/>
          <w:szCs w:val="22"/>
        </w:rPr>
        <w:t>specialist</w:t>
      </w:r>
      <w:commentRangeEnd w:id="4"/>
      <w:r w:rsidR="00273504">
        <w:rPr>
          <w:rStyle w:val="CommentReference"/>
        </w:rPr>
        <w:commentReference w:id="4"/>
      </w:r>
      <w:r w:rsidR="0097713C">
        <w:rPr>
          <w:sz w:val="22"/>
          <w:szCs w:val="22"/>
        </w:rPr>
        <w:t xml:space="preserve">) </w:t>
      </w:r>
    </w:p>
    <w:p w:rsidR="009E5BD9" w:rsidRDefault="009E5BD9" w:rsidP="00154B46">
      <w:pPr>
        <w:spacing w:before="180"/>
        <w:jc w:val="both"/>
        <w:rPr>
          <w:rFonts w:ascii="Times New Roman" w:hAnsi="Times New Roman"/>
          <w:sz w:val="22"/>
          <w:szCs w:val="22"/>
        </w:rPr>
      </w:pPr>
    </w:p>
    <w:p w:rsidR="00154B46" w:rsidRDefault="009A2DA9" w:rsidP="00D872A7">
      <w:pPr>
        <w:jc w:val="both"/>
        <w:rPr>
          <w:rFonts w:ascii="Times New Roman" w:hAnsi="Times New Roman"/>
          <w:sz w:val="22"/>
          <w:szCs w:val="22"/>
        </w:rPr>
      </w:pPr>
      <w:r w:rsidRPr="00012A09">
        <w:rPr>
          <w:rFonts w:ascii="Times New Roman" w:hAnsi="Times New Roman"/>
          <w:sz w:val="22"/>
          <w:szCs w:val="22"/>
          <w:u w:val="single"/>
        </w:rPr>
        <w:t>Outreach</w:t>
      </w:r>
      <w:r w:rsidR="008648B0" w:rsidRPr="00012A0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536B0" w:rsidRPr="00012A09">
        <w:rPr>
          <w:rFonts w:ascii="Times New Roman" w:hAnsi="Times New Roman"/>
          <w:sz w:val="22"/>
          <w:szCs w:val="22"/>
          <w:u w:val="single"/>
        </w:rPr>
        <w:t>Tasks</w:t>
      </w:r>
      <w:r w:rsidR="00F536B0" w:rsidRPr="00012A09">
        <w:rPr>
          <w:rFonts w:ascii="Times New Roman" w:hAnsi="Times New Roman"/>
          <w:sz w:val="22"/>
          <w:szCs w:val="22"/>
        </w:rPr>
        <w:t>:</w:t>
      </w:r>
      <w:r w:rsidR="00F536B0" w:rsidRPr="00012A09">
        <w:rPr>
          <w:rFonts w:ascii="Times New Roman" w:hAnsi="Times New Roman"/>
          <w:b/>
          <w:sz w:val="22"/>
          <w:szCs w:val="22"/>
        </w:rPr>
        <w:t xml:space="preserve"> </w:t>
      </w:r>
      <w:r w:rsidR="0097713C" w:rsidRPr="00012A09">
        <w:rPr>
          <w:rFonts w:ascii="Times New Roman" w:hAnsi="Times New Roman"/>
          <w:sz w:val="22"/>
          <w:szCs w:val="22"/>
        </w:rPr>
        <w:t xml:space="preserve">DEQ’s Air Quality Division will provide </w:t>
      </w:r>
      <w:r w:rsidR="00486A51">
        <w:rPr>
          <w:rFonts w:ascii="Times New Roman" w:hAnsi="Times New Roman"/>
          <w:sz w:val="22"/>
          <w:szCs w:val="22"/>
        </w:rPr>
        <w:t>outreach</w:t>
      </w:r>
      <w:r w:rsidR="0097713C" w:rsidRPr="00012A09">
        <w:rPr>
          <w:rFonts w:ascii="Times New Roman" w:hAnsi="Times New Roman"/>
          <w:sz w:val="22"/>
          <w:szCs w:val="22"/>
        </w:rPr>
        <w:t xml:space="preserve"> to owners and operators of </w:t>
      </w:r>
      <w:r w:rsidR="00486A51">
        <w:rPr>
          <w:rFonts w:ascii="Times New Roman" w:hAnsi="Times New Roman"/>
          <w:sz w:val="22"/>
          <w:szCs w:val="22"/>
        </w:rPr>
        <w:t xml:space="preserve">small-scale </w:t>
      </w:r>
      <w:r w:rsidR="0097713C" w:rsidRPr="00012A09">
        <w:rPr>
          <w:rFonts w:ascii="Times New Roman" w:hAnsi="Times New Roman"/>
          <w:sz w:val="22"/>
          <w:szCs w:val="22"/>
        </w:rPr>
        <w:t xml:space="preserve">biomass boilers. </w:t>
      </w:r>
      <w:r w:rsidR="00D872A7">
        <w:rPr>
          <w:rFonts w:ascii="Times New Roman" w:hAnsi="Times New Roman"/>
          <w:sz w:val="22"/>
          <w:szCs w:val="22"/>
        </w:rPr>
        <w:t xml:space="preserve"> </w:t>
      </w:r>
      <w:r w:rsidR="00F536B0" w:rsidRPr="005D1B1F">
        <w:rPr>
          <w:rFonts w:ascii="Times New Roman" w:hAnsi="Times New Roman"/>
          <w:sz w:val="22"/>
          <w:szCs w:val="22"/>
        </w:rPr>
        <w:t xml:space="preserve">The communication and outreach tasks are listed below. DEQ will create a communication and outreach plan that describes staff responsibilities and specific due dates for </w:t>
      </w:r>
      <w:r w:rsidR="00551E4B">
        <w:rPr>
          <w:rFonts w:ascii="Times New Roman" w:hAnsi="Times New Roman"/>
          <w:sz w:val="22"/>
          <w:szCs w:val="22"/>
        </w:rPr>
        <w:t>each</w:t>
      </w:r>
      <w:r w:rsidR="00551E4B" w:rsidRPr="005D1B1F">
        <w:rPr>
          <w:rFonts w:ascii="Times New Roman" w:hAnsi="Times New Roman"/>
          <w:sz w:val="22"/>
          <w:szCs w:val="22"/>
        </w:rPr>
        <w:t xml:space="preserve"> task</w:t>
      </w:r>
      <w:r w:rsidR="00551E4B">
        <w:rPr>
          <w:rFonts w:ascii="Times New Roman" w:hAnsi="Times New Roman"/>
          <w:sz w:val="22"/>
          <w:szCs w:val="22"/>
        </w:rPr>
        <w:t xml:space="preserve"> listed</w:t>
      </w:r>
      <w:r w:rsidR="00F536B0" w:rsidRPr="005D1B1F">
        <w:rPr>
          <w:rFonts w:ascii="Times New Roman" w:hAnsi="Times New Roman"/>
          <w:sz w:val="22"/>
          <w:szCs w:val="22"/>
        </w:rPr>
        <w:t>.</w:t>
      </w:r>
    </w:p>
    <w:p w:rsidR="00F536B0" w:rsidRDefault="00F536B0" w:rsidP="000F1300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154B46" w:rsidRPr="00154B46" w:rsidRDefault="00154B46" w:rsidP="00154B46">
      <w:pPr>
        <w:pStyle w:val="ListParagraph"/>
        <w:numPr>
          <w:ilvl w:val="0"/>
          <w:numId w:val="26"/>
        </w:numPr>
        <w:ind w:left="0" w:firstLine="0"/>
        <w:rPr>
          <w:sz w:val="22"/>
          <w:szCs w:val="22"/>
        </w:rPr>
      </w:pPr>
      <w:r w:rsidRPr="00154B46">
        <w:rPr>
          <w:sz w:val="22"/>
          <w:szCs w:val="22"/>
        </w:rPr>
        <w:t xml:space="preserve">Identify businesses and institutions affected by </w:t>
      </w:r>
      <w:r w:rsidR="000946C7">
        <w:rPr>
          <w:sz w:val="22"/>
          <w:szCs w:val="22"/>
        </w:rPr>
        <w:t xml:space="preserve">the </w:t>
      </w:r>
      <w:r w:rsidRPr="00154B46">
        <w:rPr>
          <w:sz w:val="22"/>
          <w:szCs w:val="22"/>
        </w:rPr>
        <w:t>rule amendments</w:t>
      </w:r>
    </w:p>
    <w:p w:rsidR="00154B46" w:rsidRPr="00154B46" w:rsidRDefault="00154B46" w:rsidP="00154B46">
      <w:pPr>
        <w:pStyle w:val="ListParagraph"/>
        <w:numPr>
          <w:ilvl w:val="0"/>
          <w:numId w:val="26"/>
        </w:numPr>
        <w:ind w:left="0" w:firstLine="0"/>
        <w:rPr>
          <w:sz w:val="22"/>
          <w:szCs w:val="22"/>
        </w:rPr>
      </w:pPr>
      <w:r w:rsidRPr="00154B46">
        <w:rPr>
          <w:sz w:val="22"/>
          <w:szCs w:val="22"/>
        </w:rPr>
        <w:t xml:space="preserve">Develop fact sheets, notification forms and other outreach materials </w:t>
      </w:r>
    </w:p>
    <w:p w:rsidR="00D872A7" w:rsidRDefault="00D872A7" w:rsidP="00D872A7">
      <w:pPr>
        <w:pStyle w:val="ListParagraph"/>
        <w:numPr>
          <w:ilvl w:val="0"/>
          <w:numId w:val="26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Develop informational website</w:t>
      </w:r>
    </w:p>
    <w:p w:rsidR="00154B46" w:rsidRPr="00154B46" w:rsidRDefault="00154B46" w:rsidP="00154B46">
      <w:pPr>
        <w:pStyle w:val="ListParagraph"/>
        <w:numPr>
          <w:ilvl w:val="0"/>
          <w:numId w:val="26"/>
        </w:numPr>
        <w:ind w:left="0" w:firstLine="0"/>
        <w:rPr>
          <w:sz w:val="22"/>
          <w:szCs w:val="22"/>
        </w:rPr>
      </w:pPr>
      <w:r w:rsidRPr="00154B46">
        <w:rPr>
          <w:sz w:val="22"/>
          <w:szCs w:val="22"/>
        </w:rPr>
        <w:t>Mail information packages to potentially affected businesses</w:t>
      </w:r>
    </w:p>
    <w:p w:rsidR="00154B46" w:rsidRPr="00154B46" w:rsidRDefault="00D872A7" w:rsidP="00154B46">
      <w:pPr>
        <w:pStyle w:val="ListParagraph"/>
        <w:numPr>
          <w:ilvl w:val="0"/>
          <w:numId w:val="26"/>
        </w:numPr>
        <w:ind w:hanging="720"/>
        <w:rPr>
          <w:sz w:val="22"/>
          <w:szCs w:val="22"/>
        </w:rPr>
      </w:pPr>
      <w:r>
        <w:rPr>
          <w:sz w:val="22"/>
          <w:szCs w:val="22"/>
        </w:rPr>
        <w:t>Develop</w:t>
      </w:r>
      <w:r w:rsidR="00933A98">
        <w:rPr>
          <w:sz w:val="22"/>
          <w:szCs w:val="22"/>
        </w:rPr>
        <w:t xml:space="preserve"> </w:t>
      </w:r>
      <w:commentRangeStart w:id="5"/>
      <w:r w:rsidR="00933A98">
        <w:rPr>
          <w:sz w:val="22"/>
          <w:szCs w:val="22"/>
        </w:rPr>
        <w:t>form</w:t>
      </w:r>
      <w:r>
        <w:rPr>
          <w:sz w:val="22"/>
          <w:szCs w:val="22"/>
        </w:rPr>
        <w:t xml:space="preserve"> letter </w:t>
      </w:r>
      <w:commentRangeEnd w:id="5"/>
      <w:r w:rsidR="00933A98">
        <w:rPr>
          <w:rStyle w:val="CommentReference"/>
        </w:rPr>
        <w:commentReference w:id="5"/>
      </w:r>
      <w:r>
        <w:rPr>
          <w:sz w:val="22"/>
          <w:szCs w:val="22"/>
        </w:rPr>
        <w:t xml:space="preserve">to send to </w:t>
      </w:r>
      <w:r w:rsidR="00154B46" w:rsidRPr="00154B46">
        <w:rPr>
          <w:sz w:val="22"/>
          <w:szCs w:val="22"/>
        </w:rPr>
        <w:t>owners/operators of exi</w:t>
      </w:r>
      <w:r w:rsidR="000946C7">
        <w:rPr>
          <w:sz w:val="22"/>
          <w:szCs w:val="22"/>
        </w:rPr>
        <w:t>s</w:t>
      </w:r>
      <w:r w:rsidR="00154B46" w:rsidRPr="00154B46">
        <w:rPr>
          <w:sz w:val="22"/>
          <w:szCs w:val="22"/>
        </w:rPr>
        <w:t>ting small-scale solid fuel</w:t>
      </w:r>
      <w:r w:rsidR="000946C7">
        <w:rPr>
          <w:sz w:val="22"/>
          <w:szCs w:val="22"/>
        </w:rPr>
        <w:t>-fired</w:t>
      </w:r>
      <w:r w:rsidR="00154B46" w:rsidRPr="00154B46">
        <w:rPr>
          <w:sz w:val="22"/>
          <w:szCs w:val="22"/>
        </w:rPr>
        <w:t xml:space="preserve"> boilers </w:t>
      </w:r>
      <w:r>
        <w:rPr>
          <w:sz w:val="22"/>
          <w:szCs w:val="22"/>
        </w:rPr>
        <w:t>to</w:t>
      </w:r>
      <w:r w:rsidRPr="00154B46">
        <w:rPr>
          <w:sz w:val="22"/>
          <w:szCs w:val="22"/>
        </w:rPr>
        <w:t xml:space="preserve"> </w:t>
      </w:r>
      <w:r w:rsidR="00154B46" w:rsidRPr="00154B46">
        <w:rPr>
          <w:sz w:val="22"/>
          <w:szCs w:val="22"/>
        </w:rPr>
        <w:t>inform them of registration requirements (if required/</w:t>
      </w:r>
      <w:r>
        <w:rPr>
          <w:sz w:val="22"/>
          <w:szCs w:val="22"/>
        </w:rPr>
        <w:t xml:space="preserve">when </w:t>
      </w:r>
      <w:r w:rsidR="00154B46" w:rsidRPr="00154B46">
        <w:rPr>
          <w:sz w:val="22"/>
          <w:szCs w:val="22"/>
        </w:rPr>
        <w:t>requested in writing)</w:t>
      </w:r>
    </w:p>
    <w:p w:rsidR="00E706B5" w:rsidRDefault="00E706B5" w:rsidP="000F1300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A5148D" w:rsidRDefault="00A5148D" w:rsidP="00154B46">
      <w:pPr>
        <w:jc w:val="both"/>
        <w:rPr>
          <w:rFonts w:ascii="Times New Roman" w:hAnsi="Times New Roman"/>
          <w:sz w:val="22"/>
          <w:szCs w:val="22"/>
        </w:rPr>
      </w:pPr>
    </w:p>
    <w:p w:rsidR="00A5148D" w:rsidRDefault="00A5148D" w:rsidP="00154B46">
      <w:pPr>
        <w:jc w:val="both"/>
        <w:rPr>
          <w:rFonts w:ascii="Times New Roman" w:hAnsi="Times New Roman"/>
          <w:sz w:val="22"/>
          <w:szCs w:val="22"/>
        </w:rPr>
      </w:pPr>
      <w:r w:rsidRPr="00012A09">
        <w:rPr>
          <w:rFonts w:ascii="Times New Roman" w:hAnsi="Times New Roman"/>
          <w:sz w:val="22"/>
          <w:szCs w:val="22"/>
          <w:u w:val="single"/>
        </w:rPr>
        <w:t>Technical Assistance Tasks</w:t>
      </w:r>
    </w:p>
    <w:p w:rsidR="001603C4" w:rsidRDefault="001603C4" w:rsidP="00154B46">
      <w:pPr>
        <w:jc w:val="both"/>
        <w:rPr>
          <w:rFonts w:ascii="Times New Roman" w:hAnsi="Times New Roman"/>
          <w:sz w:val="22"/>
          <w:szCs w:val="22"/>
        </w:rPr>
      </w:pPr>
    </w:p>
    <w:p w:rsidR="001603C4" w:rsidRDefault="001603C4" w:rsidP="001603C4">
      <w:pPr>
        <w:pStyle w:val="ListParagraph"/>
        <w:numPr>
          <w:ilvl w:val="0"/>
          <w:numId w:val="26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Develop online tool/database for NC approval and registration and instructions for use</w:t>
      </w:r>
    </w:p>
    <w:p w:rsidR="001603C4" w:rsidRDefault="001603C4" w:rsidP="001603C4">
      <w:pPr>
        <w:pStyle w:val="ListParagraph"/>
        <w:numPr>
          <w:ilvl w:val="0"/>
          <w:numId w:val="26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Develop guidance for permit staff for NC approval considerations</w:t>
      </w:r>
    </w:p>
    <w:p w:rsidR="001603C4" w:rsidRPr="00154B46" w:rsidRDefault="001603C4" w:rsidP="001603C4">
      <w:pPr>
        <w:pStyle w:val="ListParagraph"/>
        <w:numPr>
          <w:ilvl w:val="0"/>
          <w:numId w:val="26"/>
        </w:numPr>
        <w:ind w:left="0" w:firstLine="0"/>
        <w:rPr>
          <w:sz w:val="22"/>
          <w:szCs w:val="22"/>
        </w:rPr>
      </w:pPr>
      <w:r w:rsidRPr="00154B46">
        <w:rPr>
          <w:sz w:val="22"/>
          <w:szCs w:val="22"/>
        </w:rPr>
        <w:t>Track and log Heat Smart exemptions for eligible businesses and institutions</w:t>
      </w:r>
    </w:p>
    <w:p w:rsidR="001603C4" w:rsidRDefault="001603C4" w:rsidP="00154B46">
      <w:pPr>
        <w:jc w:val="both"/>
        <w:rPr>
          <w:rFonts w:ascii="Times New Roman" w:hAnsi="Times New Roman"/>
          <w:sz w:val="22"/>
          <w:szCs w:val="22"/>
        </w:rPr>
      </w:pPr>
    </w:p>
    <w:p w:rsidR="001603C4" w:rsidRDefault="001603C4" w:rsidP="00154B46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4443DA" w:rsidRDefault="004443DA" w:rsidP="001603C4">
      <w:pPr>
        <w:jc w:val="both"/>
        <w:rPr>
          <w:rFonts w:ascii="Times New Roman" w:hAnsi="Times New Roman"/>
          <w:sz w:val="22"/>
          <w:szCs w:val="22"/>
        </w:rPr>
      </w:pPr>
    </w:p>
    <w:p w:rsidR="001603C4" w:rsidRDefault="001603C4" w:rsidP="001603C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Identified </w:t>
      </w:r>
      <w:r w:rsidR="002026C7">
        <w:rPr>
          <w:rFonts w:ascii="Times New Roman" w:hAnsi="Times New Roman"/>
          <w:sz w:val="22"/>
          <w:szCs w:val="22"/>
        </w:rPr>
        <w:t xml:space="preserve">outreach and </w:t>
      </w:r>
      <w:r>
        <w:rPr>
          <w:rFonts w:ascii="Times New Roman" w:hAnsi="Times New Roman"/>
          <w:sz w:val="22"/>
          <w:szCs w:val="22"/>
        </w:rPr>
        <w:t>i</w:t>
      </w:r>
      <w:r w:rsidRPr="005D1B1F">
        <w:rPr>
          <w:rFonts w:ascii="Times New Roman" w:hAnsi="Times New Roman"/>
          <w:sz w:val="22"/>
          <w:szCs w:val="22"/>
        </w:rPr>
        <w:t xml:space="preserve">mplementation </w:t>
      </w:r>
      <w:r>
        <w:rPr>
          <w:rFonts w:ascii="Times New Roman" w:hAnsi="Times New Roman"/>
          <w:sz w:val="22"/>
          <w:szCs w:val="22"/>
        </w:rPr>
        <w:t>tasks and who will perform the</w:t>
      </w:r>
      <w:r w:rsidR="00724F6E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are summarized below</w:t>
      </w:r>
      <w:r w:rsidRPr="005D1B1F">
        <w:rPr>
          <w:rFonts w:ascii="Times New Roman" w:hAnsi="Times New Roman"/>
          <w:sz w:val="22"/>
          <w:szCs w:val="22"/>
        </w:rPr>
        <w:t>:</w:t>
      </w:r>
    </w:p>
    <w:p w:rsidR="00110470" w:rsidRDefault="00110470" w:rsidP="000F1300">
      <w:pPr>
        <w:ind w:left="360"/>
        <w:jc w:val="both"/>
        <w:rPr>
          <w:rFonts w:ascii="Times New Roman" w:hAnsi="Times New Roman"/>
          <w:sz w:val="22"/>
          <w:szCs w:val="22"/>
        </w:rPr>
      </w:pPr>
    </w:p>
    <w:tbl>
      <w:tblPr>
        <w:tblW w:w="9726" w:type="dxa"/>
        <w:tblInd w:w="108" w:type="dxa"/>
        <w:tblLook w:val="04A0"/>
      </w:tblPr>
      <w:tblGrid>
        <w:gridCol w:w="3943"/>
        <w:gridCol w:w="2078"/>
        <w:gridCol w:w="1868"/>
        <w:gridCol w:w="1837"/>
      </w:tblGrid>
      <w:tr w:rsidR="00110470" w:rsidRPr="000A35BF" w:rsidTr="001603C4">
        <w:trPr>
          <w:trHeight w:val="304"/>
        </w:trPr>
        <w:tc>
          <w:tcPr>
            <w:tcW w:w="3943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110470" w:rsidRPr="000A35BF" w:rsidRDefault="004443DA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Respective roles and associated deadlines</w:t>
            </w:r>
          </w:p>
        </w:tc>
      </w:tr>
      <w:tr w:rsidR="00110470" w:rsidRPr="000A35BF" w:rsidTr="001603C4">
        <w:trPr>
          <w:trHeight w:val="292"/>
        </w:trPr>
        <w:tc>
          <w:tcPr>
            <w:tcW w:w="39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470" w:rsidRPr="000A35BF" w:rsidTr="001603C4">
        <w:trPr>
          <w:trHeight w:val="164"/>
        </w:trPr>
        <w:tc>
          <w:tcPr>
            <w:tcW w:w="39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470" w:rsidRPr="000A35BF" w:rsidRDefault="004443DA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Outreach and Implementation Tasks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0470" w:rsidRPr="000A35BF" w:rsidRDefault="004443DA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Primary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4443DA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With assistance from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4443DA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Due by</w:t>
            </w:r>
          </w:p>
        </w:tc>
      </w:tr>
      <w:tr w:rsidR="00110470" w:rsidRPr="000A35BF" w:rsidTr="001603C4">
        <w:trPr>
          <w:trHeight w:val="283"/>
        </w:trPr>
        <w:tc>
          <w:tcPr>
            <w:tcW w:w="39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470" w:rsidRPr="000A35BF" w:rsidTr="001603C4">
        <w:trPr>
          <w:trHeight w:val="292"/>
        </w:trPr>
        <w:tc>
          <w:tcPr>
            <w:tcW w:w="3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470" w:rsidRPr="000A35BF" w:rsidTr="004443DA">
        <w:trPr>
          <w:trHeight w:val="431"/>
        </w:trPr>
        <w:tc>
          <w:tcPr>
            <w:tcW w:w="3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4443DA" w:rsidRDefault="004443DA" w:rsidP="00406FED">
            <w:pPr>
              <w:rPr>
                <w:rFonts w:ascii="Times New Roman" w:hAnsi="Times New Roman"/>
                <w:sz w:val="18"/>
                <w:szCs w:val="18"/>
              </w:rPr>
            </w:pPr>
            <w:r w:rsidRPr="004443DA">
              <w:rPr>
                <w:rFonts w:ascii="Times New Roman" w:hAnsi="Times New Roman"/>
                <w:sz w:val="18"/>
                <w:szCs w:val="18"/>
              </w:rPr>
              <w:t>Affected Facility Identification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470" w:rsidRPr="000A35BF" w:rsidTr="004443DA">
        <w:trPr>
          <w:trHeight w:val="440"/>
        </w:trPr>
        <w:tc>
          <w:tcPr>
            <w:tcW w:w="3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4443DA" w:rsidRDefault="004443DA" w:rsidP="00406FED">
            <w:pPr>
              <w:rPr>
                <w:rFonts w:ascii="Times New Roman" w:hAnsi="Times New Roman"/>
                <w:sz w:val="18"/>
                <w:szCs w:val="18"/>
              </w:rPr>
            </w:pPr>
            <w:r w:rsidRPr="004443DA">
              <w:rPr>
                <w:sz w:val="18"/>
                <w:szCs w:val="18"/>
              </w:rPr>
              <w:t>Outreach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470" w:rsidRPr="000A35BF" w:rsidTr="001603C4">
        <w:trPr>
          <w:trHeight w:val="317"/>
        </w:trPr>
        <w:tc>
          <w:tcPr>
            <w:tcW w:w="3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4443DA" w:rsidRDefault="004443DA" w:rsidP="00406FED">
            <w:pPr>
              <w:rPr>
                <w:rFonts w:ascii="Times New Roman" w:hAnsi="Times New Roman"/>
                <w:sz w:val="18"/>
                <w:szCs w:val="18"/>
              </w:rPr>
            </w:pPr>
            <w:r w:rsidRPr="004443DA">
              <w:rPr>
                <w:sz w:val="18"/>
                <w:szCs w:val="18"/>
              </w:rPr>
              <w:t>Communication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470" w:rsidRPr="000A35BF" w:rsidTr="001603C4">
        <w:trPr>
          <w:trHeight w:val="317"/>
        </w:trPr>
        <w:tc>
          <w:tcPr>
            <w:tcW w:w="3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4443DA" w:rsidRDefault="004443DA" w:rsidP="00406FED">
            <w:pPr>
              <w:rPr>
                <w:rFonts w:ascii="Times New Roman" w:hAnsi="Times New Roman"/>
                <w:sz w:val="18"/>
                <w:szCs w:val="18"/>
              </w:rPr>
            </w:pPr>
            <w:r w:rsidRPr="004443DA">
              <w:rPr>
                <w:sz w:val="18"/>
                <w:szCs w:val="18"/>
              </w:rPr>
              <w:t>Online Tool</w:t>
            </w:r>
            <w:r w:rsidRPr="004443DA">
              <w:rPr>
                <w:sz w:val="18"/>
                <w:szCs w:val="18"/>
              </w:rPr>
              <w:t>/Database Development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470" w:rsidRPr="000A35BF" w:rsidTr="001603C4">
        <w:trPr>
          <w:trHeight w:val="317"/>
        </w:trPr>
        <w:tc>
          <w:tcPr>
            <w:tcW w:w="3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4443DA" w:rsidRDefault="004443DA" w:rsidP="00406FED">
            <w:pPr>
              <w:rPr>
                <w:rFonts w:ascii="Times New Roman" w:hAnsi="Times New Roman"/>
                <w:sz w:val="18"/>
                <w:szCs w:val="18"/>
              </w:rPr>
            </w:pPr>
            <w:r w:rsidRPr="004443DA">
              <w:rPr>
                <w:rFonts w:ascii="Times New Roman" w:hAnsi="Times New Roman"/>
                <w:sz w:val="18"/>
                <w:szCs w:val="18"/>
              </w:rPr>
              <w:t>Technical Assistance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10470" w:rsidRPr="000A35BF" w:rsidRDefault="00110470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8A4" w:rsidRPr="000A35BF" w:rsidTr="001603C4">
        <w:trPr>
          <w:trHeight w:val="317"/>
        </w:trPr>
        <w:tc>
          <w:tcPr>
            <w:tcW w:w="39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A4" w:rsidRPr="00AA38A4" w:rsidRDefault="00AA38A4" w:rsidP="00AA38A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18"/>
                <w:szCs w:val="18"/>
              </w:rPr>
            </w:pPr>
            <w:r w:rsidRPr="00AA38A4">
              <w:rPr>
                <w:rFonts w:ascii="Times New Roman" w:hAnsi="Times New Roman"/>
                <w:sz w:val="18"/>
                <w:szCs w:val="18"/>
              </w:rPr>
              <w:t>NC approval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8A4" w:rsidRPr="000A35BF" w:rsidRDefault="00AA38A4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A4" w:rsidRPr="000A35BF" w:rsidRDefault="00AA38A4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A38A4" w:rsidRPr="000A35BF" w:rsidRDefault="00AA38A4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A38A4" w:rsidRPr="000A35BF" w:rsidTr="001603C4">
        <w:trPr>
          <w:trHeight w:val="329"/>
        </w:trPr>
        <w:tc>
          <w:tcPr>
            <w:tcW w:w="39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A4" w:rsidRPr="00AA38A4" w:rsidRDefault="00AA38A4" w:rsidP="00AA38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Registration</w:t>
            </w:r>
            <w:r w:rsidRPr="00AA38A4" w:rsidDel="00AA38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A38A4" w:rsidRPr="000A35BF" w:rsidRDefault="00AA38A4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8A4" w:rsidRPr="000A35BF" w:rsidRDefault="00AA38A4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A38A4" w:rsidRPr="000A35BF" w:rsidRDefault="00AA38A4" w:rsidP="00406F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0470" w:rsidRDefault="00110470" w:rsidP="000F1300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D423D4" w:rsidRDefault="00D423D4" w:rsidP="000F1300">
      <w:pPr>
        <w:ind w:left="360"/>
        <w:jc w:val="both"/>
        <w:rPr>
          <w:rFonts w:ascii="Times New Roman" w:hAnsi="Times New Roman"/>
          <w:sz w:val="22"/>
          <w:szCs w:val="22"/>
        </w:rPr>
      </w:pPr>
    </w:p>
    <w:p w:rsidR="00CE61A4" w:rsidRPr="005D1B1F" w:rsidRDefault="00CE61A4" w:rsidP="00294D57">
      <w:pPr>
        <w:ind w:left="360"/>
        <w:rPr>
          <w:rFonts w:ascii="Times New Roman" w:hAnsi="Times New Roman"/>
          <w:sz w:val="22"/>
          <w:szCs w:val="22"/>
        </w:rPr>
      </w:pPr>
    </w:p>
    <w:p w:rsidR="00110470" w:rsidRPr="005D1B1F" w:rsidRDefault="00110470">
      <w:pPr>
        <w:spacing w:before="160"/>
        <w:ind w:left="360"/>
        <w:jc w:val="both"/>
        <w:rPr>
          <w:rFonts w:ascii="Times New Roman" w:hAnsi="Times New Roman"/>
          <w:sz w:val="22"/>
          <w:szCs w:val="22"/>
        </w:rPr>
      </w:pPr>
    </w:p>
    <w:sectPr w:rsidR="00110470" w:rsidRPr="005D1B1F" w:rsidSect="004A316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990" w:right="1080" w:bottom="1080" w:left="1080" w:header="1440" w:footer="1440" w:gutter="0"/>
      <w:pgNumType w:start="1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ccapp" w:date="2012-03-12T17:54:00Z" w:initials="cc">
    <w:p w:rsidR="00D872A7" w:rsidRDefault="00D872A7">
      <w:pPr>
        <w:pStyle w:val="CommentText"/>
      </w:pPr>
      <w:r>
        <w:rPr>
          <w:rStyle w:val="CommentReference"/>
        </w:rPr>
        <w:annotationRef/>
      </w:r>
      <w:proofErr w:type="gramStart"/>
      <w:r w:rsidR="00EA4F2A">
        <w:t>move</w:t>
      </w:r>
      <w:proofErr w:type="gramEnd"/>
      <w:r w:rsidR="00EA4F2A">
        <w:t xml:space="preserve"> to table?</w:t>
      </w:r>
    </w:p>
  </w:comment>
  <w:comment w:id="4" w:author="ccapp" w:date="2012-03-12T17:54:00Z" w:initials="cc">
    <w:p w:rsidR="00273504" w:rsidRDefault="00273504">
      <w:pPr>
        <w:pStyle w:val="CommentText"/>
      </w:pPr>
      <w:r>
        <w:rPr>
          <w:rStyle w:val="CommentReference"/>
        </w:rPr>
        <w:annotationRef/>
      </w:r>
      <w:r>
        <w:t>And regi</w:t>
      </w:r>
      <w:r w:rsidR="00A71540">
        <w:t>o</w:t>
      </w:r>
      <w:r>
        <w:t>nal staff?</w:t>
      </w:r>
    </w:p>
  </w:comment>
  <w:comment w:id="5" w:author="ccapp" w:date="2012-03-15T09:39:00Z" w:initials="cc">
    <w:p w:rsidR="00933A98" w:rsidRDefault="00933A98">
      <w:pPr>
        <w:pStyle w:val="CommentText"/>
      </w:pPr>
      <w:r>
        <w:rPr>
          <w:rStyle w:val="CommentReference"/>
        </w:rPr>
        <w:annotationRef/>
      </w:r>
      <w:r>
        <w:t xml:space="preserve">When to </w:t>
      </w:r>
      <w:proofErr w:type="gramStart"/>
      <w:r>
        <w:t>send ?</w:t>
      </w:r>
      <w:proofErr w:type="gramEnd"/>
      <w:r>
        <w:t xml:space="preserve"> AG?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A1" w:rsidRDefault="009074A1">
      <w:pPr>
        <w:spacing w:line="20" w:lineRule="exact"/>
      </w:pPr>
    </w:p>
  </w:endnote>
  <w:endnote w:type="continuationSeparator" w:id="0">
    <w:p w:rsidR="009074A1" w:rsidRDefault="009074A1">
      <w:r>
        <w:t xml:space="preserve"> </w:t>
      </w:r>
    </w:p>
  </w:endnote>
  <w:endnote w:type="continuationNotice" w:id="1">
    <w:p w:rsidR="009074A1" w:rsidRDefault="009074A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250"/>
      <w:docPartObj>
        <w:docPartGallery w:val="Page Numbers (Bottom of Page)"/>
        <w:docPartUnique/>
      </w:docPartObj>
    </w:sdtPr>
    <w:sdtContent>
      <w:p w:rsidR="006A6080" w:rsidRDefault="006A6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8A4">
          <w:rPr>
            <w:noProof/>
          </w:rPr>
          <w:t>3</w:t>
        </w:r>
        <w:r>
          <w:fldChar w:fldCharType="end"/>
        </w:r>
      </w:p>
    </w:sdtContent>
  </w:sdt>
  <w:p w:rsidR="006A6080" w:rsidRDefault="006A60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D" w:rsidRPr="00CC5371" w:rsidRDefault="00406FED" w:rsidP="008E4ABE">
    <w:pPr>
      <w:rPr>
        <w:sz w:val="20"/>
      </w:rPr>
    </w:pPr>
  </w:p>
  <w:p w:rsidR="00406FED" w:rsidRDefault="00406F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A1" w:rsidRDefault="009074A1">
      <w:r>
        <w:separator/>
      </w:r>
    </w:p>
  </w:footnote>
  <w:footnote w:type="continuationSeparator" w:id="0">
    <w:p w:rsidR="009074A1" w:rsidRDefault="009074A1">
      <w:r>
        <w:continuationSeparator/>
      </w:r>
    </w:p>
  </w:footnote>
  <w:footnote w:id="1">
    <w:p w:rsidR="002A11AE" w:rsidRPr="002A11AE" w:rsidRDefault="00154B46">
      <w:pPr>
        <w:pStyle w:val="FootnoteText"/>
        <w:rPr>
          <w:sz w:val="22"/>
          <w:szCs w:val="22"/>
        </w:rPr>
      </w:pPr>
      <w:r w:rsidRPr="00154B46">
        <w:rPr>
          <w:rStyle w:val="FootnoteReference"/>
          <w:sz w:val="22"/>
          <w:szCs w:val="22"/>
        </w:rPr>
        <w:footnoteRef/>
      </w:r>
      <w:r w:rsidRPr="00154B46">
        <w:rPr>
          <w:sz w:val="22"/>
          <w:szCs w:val="22"/>
        </w:rPr>
        <w:t xml:space="preserve"> OAR chapter 340 division 262</w:t>
      </w:r>
    </w:p>
  </w:footnote>
  <w:footnote w:id="2">
    <w:p w:rsidR="00406FED" w:rsidRPr="002A11AE" w:rsidRDefault="00154B46" w:rsidP="0097713C">
      <w:pPr>
        <w:pStyle w:val="FootnoteText"/>
        <w:rPr>
          <w:sz w:val="22"/>
          <w:szCs w:val="22"/>
        </w:rPr>
      </w:pPr>
      <w:r w:rsidRPr="00154B46">
        <w:rPr>
          <w:rStyle w:val="FootnoteReference"/>
          <w:sz w:val="22"/>
          <w:szCs w:val="22"/>
        </w:rPr>
        <w:footnoteRef/>
      </w:r>
      <w:r w:rsidRPr="00154B46">
        <w:rPr>
          <w:sz w:val="22"/>
          <w:szCs w:val="22"/>
        </w:rPr>
        <w:t xml:space="preserve"> 40 CFR Part 60, Subpart AAA</w:t>
      </w:r>
    </w:p>
  </w:footnote>
  <w:footnote w:id="3">
    <w:p w:rsidR="00154B46" w:rsidRPr="00154B46" w:rsidRDefault="00154B46" w:rsidP="00154B46">
      <w:pPr>
        <w:pStyle w:val="FootnoteText"/>
        <w:rPr>
          <w:sz w:val="22"/>
          <w:szCs w:val="22"/>
        </w:rPr>
      </w:pPr>
      <w:r w:rsidRPr="00154B46">
        <w:rPr>
          <w:rStyle w:val="FootnoteReference"/>
          <w:sz w:val="22"/>
          <w:szCs w:val="22"/>
        </w:rPr>
        <w:footnoteRef/>
      </w:r>
      <w:r w:rsidRPr="00154B46">
        <w:rPr>
          <w:sz w:val="22"/>
          <w:szCs w:val="22"/>
        </w:rPr>
        <w:t xml:space="preserve"> </w:t>
      </w:r>
      <w:r w:rsidRPr="00154B46">
        <w:rPr>
          <w:b/>
          <w:bCs/>
          <w:sz w:val="22"/>
          <w:szCs w:val="22"/>
        </w:rPr>
        <w:t>“</w:t>
      </w:r>
      <w:r w:rsidR="007833EE">
        <w:rPr>
          <w:b/>
          <w:bCs/>
          <w:sz w:val="22"/>
          <w:szCs w:val="22"/>
        </w:rPr>
        <w:t>Major source b</w:t>
      </w:r>
      <w:r w:rsidRPr="00154B46">
        <w:rPr>
          <w:b/>
          <w:bCs/>
          <w:sz w:val="22"/>
          <w:szCs w:val="22"/>
        </w:rPr>
        <w:t xml:space="preserve">oiler </w:t>
      </w:r>
      <w:r w:rsidR="007833EE">
        <w:rPr>
          <w:b/>
          <w:bCs/>
          <w:sz w:val="22"/>
          <w:szCs w:val="22"/>
        </w:rPr>
        <w:t>NESHAP</w:t>
      </w:r>
      <w:r w:rsidRPr="00154B46">
        <w:rPr>
          <w:b/>
          <w:bCs/>
          <w:sz w:val="22"/>
          <w:szCs w:val="22"/>
        </w:rPr>
        <w:t xml:space="preserve">” </w:t>
      </w:r>
      <w:r w:rsidRPr="00154B46">
        <w:rPr>
          <w:sz w:val="22"/>
          <w:szCs w:val="22"/>
        </w:rPr>
        <w:t xml:space="preserve">– </w:t>
      </w:r>
      <w:r w:rsidRPr="00154B46">
        <w:rPr>
          <w:sz w:val="22"/>
          <w:szCs w:val="22"/>
          <w:u w:val="single"/>
        </w:rPr>
        <w:t xml:space="preserve">Section 112 </w:t>
      </w:r>
      <w:r w:rsidRPr="00154B46">
        <w:rPr>
          <w:sz w:val="22"/>
          <w:szCs w:val="22"/>
        </w:rPr>
        <w:t>NESHAP for Industrial, Commercial, and Institutional Boilers and Process Heaters  (Subpart DDDDD of part 63)  [Boilers at large (“major”) sources of HAP]</w:t>
      </w:r>
    </w:p>
    <w:p w:rsidR="00154B46" w:rsidRPr="00154B46" w:rsidRDefault="00154B46" w:rsidP="00154B46">
      <w:pPr>
        <w:pStyle w:val="FootnoteText"/>
        <w:rPr>
          <w:szCs w:val="24"/>
        </w:rPr>
      </w:pPr>
      <w:r w:rsidRPr="00154B46">
        <w:rPr>
          <w:b/>
          <w:bCs/>
          <w:sz w:val="22"/>
          <w:szCs w:val="22"/>
        </w:rPr>
        <w:t>“</w:t>
      </w:r>
      <w:r w:rsidR="007833EE">
        <w:rPr>
          <w:b/>
          <w:bCs/>
          <w:sz w:val="22"/>
          <w:szCs w:val="22"/>
        </w:rPr>
        <w:t>Area source b</w:t>
      </w:r>
      <w:r w:rsidRPr="00154B46">
        <w:rPr>
          <w:b/>
          <w:bCs/>
          <w:sz w:val="22"/>
          <w:szCs w:val="22"/>
        </w:rPr>
        <w:t xml:space="preserve">oiler MACT” </w:t>
      </w:r>
      <w:r w:rsidRPr="00154B46">
        <w:rPr>
          <w:sz w:val="22"/>
          <w:szCs w:val="22"/>
        </w:rPr>
        <w:t xml:space="preserve">– </w:t>
      </w:r>
      <w:r w:rsidRPr="00154B46">
        <w:rPr>
          <w:sz w:val="22"/>
          <w:szCs w:val="22"/>
          <w:u w:val="single"/>
        </w:rPr>
        <w:t xml:space="preserve">Section 112 </w:t>
      </w:r>
      <w:r w:rsidRPr="00154B46">
        <w:rPr>
          <w:sz w:val="22"/>
          <w:szCs w:val="22"/>
        </w:rPr>
        <w:t xml:space="preserve">NESHAP for Industrial, Commercial, and Institutional Boilers and Process Heaters (Subpart </w:t>
      </w:r>
      <w:r w:rsidR="007833EE">
        <w:rPr>
          <w:sz w:val="22"/>
          <w:szCs w:val="22"/>
        </w:rPr>
        <w:t>JJJJJJ</w:t>
      </w:r>
      <w:r w:rsidRPr="00154B46">
        <w:rPr>
          <w:sz w:val="22"/>
          <w:szCs w:val="22"/>
        </w:rPr>
        <w:t xml:space="preserve"> of part 63)  [Boilers at </w:t>
      </w:r>
      <w:r w:rsidR="007833EE">
        <w:rPr>
          <w:sz w:val="22"/>
          <w:szCs w:val="22"/>
        </w:rPr>
        <w:t>small</w:t>
      </w:r>
      <w:r w:rsidRPr="00154B46">
        <w:rPr>
          <w:sz w:val="22"/>
          <w:szCs w:val="22"/>
        </w:rPr>
        <w:t xml:space="preserve"> (“</w:t>
      </w:r>
      <w:r w:rsidR="007833EE">
        <w:rPr>
          <w:sz w:val="22"/>
          <w:szCs w:val="22"/>
        </w:rPr>
        <w:t>area</w:t>
      </w:r>
      <w:r w:rsidRPr="00154B46">
        <w:rPr>
          <w:sz w:val="22"/>
          <w:szCs w:val="22"/>
        </w:rPr>
        <w:t>”) sources of HAP ]</w:t>
      </w:r>
    </w:p>
    <w:p w:rsidR="00406FED" w:rsidRPr="002E5B18" w:rsidRDefault="00406FED" w:rsidP="00527290">
      <w:pPr>
        <w:pStyle w:val="FootnoteText"/>
        <w:ind w:left="1080"/>
      </w:pPr>
    </w:p>
    <w:p w:rsidR="00406FED" w:rsidRDefault="00406FED" w:rsidP="00527290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D" w:rsidRDefault="00A15B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63094" o:spid="_x0000_s8194" type="#_x0000_t136" style="position:absolute;margin-left:0;margin-top:0;width:498.15pt;height:199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D" w:rsidRDefault="00A15BB3" w:rsidP="006A6080">
    <w:pPr>
      <w:pStyle w:val="Header"/>
      <w:ind w:left="1440" w:firstLine="4320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63095" o:spid="_x0000_s8195" type="#_x0000_t136" style="position:absolute;left:0;text-align:left;margin-left:0;margin-top:0;width:498.15pt;height:199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  <w10:wrap anchorx="margin" anchory="margin"/>
        </v:shape>
      </w:pict>
    </w:r>
    <w:r w:rsidR="006A6080">
      <w:tab/>
    </w:r>
    <w:r w:rsidR="006A6080" w:rsidRPr="006A6080">
      <w:rPr>
        <w:highlight w:val="yellow"/>
      </w:rPr>
      <w:t>Last edited __/__/__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D" w:rsidRDefault="00A15B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63093" o:spid="_x0000_s8193" type="#_x0000_t136" style="position:absolute;margin-left:0;margin-top:0;width:498.15pt;height:199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7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65F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829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C56ED4"/>
    <w:multiLevelType w:val="hybridMultilevel"/>
    <w:tmpl w:val="F70E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144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5A4F02"/>
    <w:multiLevelType w:val="hybridMultilevel"/>
    <w:tmpl w:val="78C0E35C"/>
    <w:lvl w:ilvl="0" w:tplc="5E0C4A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E2397"/>
    <w:multiLevelType w:val="hybridMultilevel"/>
    <w:tmpl w:val="1B307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92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815D7C"/>
    <w:multiLevelType w:val="hybridMultilevel"/>
    <w:tmpl w:val="5B5079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9955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A44BC5"/>
    <w:multiLevelType w:val="hybridMultilevel"/>
    <w:tmpl w:val="1E3C5484"/>
    <w:lvl w:ilvl="0" w:tplc="8A02CF46">
      <w:start w:val="1"/>
      <w:numFmt w:val="bullet"/>
      <w:lvlText w:val="•"/>
      <w:lvlJc w:val="left"/>
      <w:pPr>
        <w:ind w:left="108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C82F5D"/>
    <w:multiLevelType w:val="hybridMultilevel"/>
    <w:tmpl w:val="7366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24777"/>
    <w:multiLevelType w:val="hybridMultilevel"/>
    <w:tmpl w:val="A7AE2FAA"/>
    <w:lvl w:ilvl="0" w:tplc="126654F0">
      <w:numFmt w:val="bullet"/>
      <w:lvlText w:val=""/>
      <w:lvlJc w:val="left"/>
      <w:pPr>
        <w:tabs>
          <w:tab w:val="num" w:pos="3024"/>
        </w:tabs>
        <w:ind w:left="3384" w:hanging="144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EE4ABF"/>
    <w:multiLevelType w:val="hybridMultilevel"/>
    <w:tmpl w:val="E620E748"/>
    <w:lvl w:ilvl="0" w:tplc="083AFA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F79D5"/>
    <w:multiLevelType w:val="hybridMultilevel"/>
    <w:tmpl w:val="5364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50F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9A40082"/>
    <w:multiLevelType w:val="hybridMultilevel"/>
    <w:tmpl w:val="7562A550"/>
    <w:lvl w:ilvl="0" w:tplc="8A02CF4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E2E7E"/>
    <w:multiLevelType w:val="hybridMultilevel"/>
    <w:tmpl w:val="81DEC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6810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B0E2080"/>
    <w:multiLevelType w:val="hybridMultilevel"/>
    <w:tmpl w:val="25C2E5C4"/>
    <w:lvl w:ilvl="0" w:tplc="8A02C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B8B4F33"/>
    <w:multiLevelType w:val="hybridMultilevel"/>
    <w:tmpl w:val="1A6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328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E170C82"/>
    <w:multiLevelType w:val="hybridMultilevel"/>
    <w:tmpl w:val="184A1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0B58C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1FC6879"/>
    <w:multiLevelType w:val="hybridMultilevel"/>
    <w:tmpl w:val="7166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600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70766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71059F0"/>
    <w:multiLevelType w:val="hybridMultilevel"/>
    <w:tmpl w:val="4190C600"/>
    <w:lvl w:ilvl="0" w:tplc="D908AE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1705B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B9C204A"/>
    <w:multiLevelType w:val="hybridMultilevel"/>
    <w:tmpl w:val="021E94C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EB14DC7"/>
    <w:multiLevelType w:val="hybridMultilevel"/>
    <w:tmpl w:val="3ED0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039ED"/>
    <w:multiLevelType w:val="hybridMultilevel"/>
    <w:tmpl w:val="E9AE4D44"/>
    <w:lvl w:ilvl="0" w:tplc="8A02C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3"/>
  </w:num>
  <w:num w:numId="5">
    <w:abstractNumId w:val="15"/>
  </w:num>
  <w:num w:numId="6">
    <w:abstractNumId w:val="9"/>
  </w:num>
  <w:num w:numId="7">
    <w:abstractNumId w:val="2"/>
  </w:num>
  <w:num w:numId="8">
    <w:abstractNumId w:val="7"/>
  </w:num>
  <w:num w:numId="9">
    <w:abstractNumId w:val="26"/>
  </w:num>
  <w:num w:numId="10">
    <w:abstractNumId w:val="18"/>
  </w:num>
  <w:num w:numId="11">
    <w:abstractNumId w:val="21"/>
  </w:num>
  <w:num w:numId="12">
    <w:abstractNumId w:val="4"/>
  </w:num>
  <w:num w:numId="13">
    <w:abstractNumId w:val="1"/>
  </w:num>
  <w:num w:numId="14">
    <w:abstractNumId w:val="8"/>
  </w:num>
  <w:num w:numId="15">
    <w:abstractNumId w:val="5"/>
  </w:num>
  <w:num w:numId="16">
    <w:abstractNumId w:val="6"/>
  </w:num>
  <w:num w:numId="17">
    <w:abstractNumId w:val="19"/>
  </w:num>
  <w:num w:numId="18">
    <w:abstractNumId w:val="12"/>
  </w:num>
  <w:num w:numId="19">
    <w:abstractNumId w:val="17"/>
  </w:num>
  <w:num w:numId="20">
    <w:abstractNumId w:val="22"/>
  </w:num>
  <w:num w:numId="21">
    <w:abstractNumId w:val="29"/>
  </w:num>
  <w:num w:numId="22">
    <w:abstractNumId w:val="27"/>
  </w:num>
  <w:num w:numId="23">
    <w:abstractNumId w:val="24"/>
  </w:num>
  <w:num w:numId="24">
    <w:abstractNumId w:val="14"/>
  </w:num>
  <w:num w:numId="25">
    <w:abstractNumId w:val="31"/>
  </w:num>
  <w:num w:numId="26">
    <w:abstractNumId w:val="30"/>
  </w:num>
  <w:num w:numId="27">
    <w:abstractNumId w:val="10"/>
  </w:num>
  <w:num w:numId="28">
    <w:abstractNumId w:val="16"/>
  </w:num>
  <w:num w:numId="29">
    <w:abstractNumId w:val="13"/>
  </w:num>
  <w:num w:numId="30">
    <w:abstractNumId w:val="11"/>
  </w:num>
  <w:num w:numId="31">
    <w:abstractNumId w:val="2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trackRevisions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22"/>
    <o:shapelayout v:ext="edit">
      <o:idmap v:ext="edit" data="8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147B37"/>
    <w:rsid w:val="00012A09"/>
    <w:rsid w:val="000131C3"/>
    <w:rsid w:val="00015C5E"/>
    <w:rsid w:val="00022F4E"/>
    <w:rsid w:val="00046EF7"/>
    <w:rsid w:val="000946C7"/>
    <w:rsid w:val="000A35BF"/>
    <w:rsid w:val="000D6B0F"/>
    <w:rsid w:val="000E5746"/>
    <w:rsid w:val="000E75AF"/>
    <w:rsid w:val="000F1300"/>
    <w:rsid w:val="00110470"/>
    <w:rsid w:val="001165D9"/>
    <w:rsid w:val="00121472"/>
    <w:rsid w:val="00147B37"/>
    <w:rsid w:val="001527A1"/>
    <w:rsid w:val="00154B46"/>
    <w:rsid w:val="001603C4"/>
    <w:rsid w:val="001632BB"/>
    <w:rsid w:val="001639E6"/>
    <w:rsid w:val="00167E0F"/>
    <w:rsid w:val="001E0002"/>
    <w:rsid w:val="001F274D"/>
    <w:rsid w:val="002000E7"/>
    <w:rsid w:val="002026C7"/>
    <w:rsid w:val="00211C02"/>
    <w:rsid w:val="00230D8C"/>
    <w:rsid w:val="002622E5"/>
    <w:rsid w:val="002648F9"/>
    <w:rsid w:val="00264B81"/>
    <w:rsid w:val="00273504"/>
    <w:rsid w:val="002806C1"/>
    <w:rsid w:val="00294D57"/>
    <w:rsid w:val="00296FF0"/>
    <w:rsid w:val="0029765C"/>
    <w:rsid w:val="002A088D"/>
    <w:rsid w:val="002A11AE"/>
    <w:rsid w:val="002B1D80"/>
    <w:rsid w:val="002B3491"/>
    <w:rsid w:val="002C3D34"/>
    <w:rsid w:val="002E663B"/>
    <w:rsid w:val="002F01BF"/>
    <w:rsid w:val="002F7F7F"/>
    <w:rsid w:val="003238D3"/>
    <w:rsid w:val="00336578"/>
    <w:rsid w:val="0037633F"/>
    <w:rsid w:val="00387DB4"/>
    <w:rsid w:val="003B4A84"/>
    <w:rsid w:val="003B5207"/>
    <w:rsid w:val="00403697"/>
    <w:rsid w:val="00406FED"/>
    <w:rsid w:val="00414AC8"/>
    <w:rsid w:val="00432F7B"/>
    <w:rsid w:val="004379F0"/>
    <w:rsid w:val="00440FDA"/>
    <w:rsid w:val="004426EE"/>
    <w:rsid w:val="004443DA"/>
    <w:rsid w:val="00486A51"/>
    <w:rsid w:val="004920EC"/>
    <w:rsid w:val="004A2B0A"/>
    <w:rsid w:val="004A3161"/>
    <w:rsid w:val="004F05D5"/>
    <w:rsid w:val="004F3E2D"/>
    <w:rsid w:val="00517ED4"/>
    <w:rsid w:val="00517FB8"/>
    <w:rsid w:val="00520E47"/>
    <w:rsid w:val="00527290"/>
    <w:rsid w:val="00551E4B"/>
    <w:rsid w:val="005652E3"/>
    <w:rsid w:val="0057517D"/>
    <w:rsid w:val="00594E41"/>
    <w:rsid w:val="00595F3F"/>
    <w:rsid w:val="005A0983"/>
    <w:rsid w:val="005A5374"/>
    <w:rsid w:val="005A56D5"/>
    <w:rsid w:val="005B7238"/>
    <w:rsid w:val="005D1B1F"/>
    <w:rsid w:val="005E07B9"/>
    <w:rsid w:val="005E5FB0"/>
    <w:rsid w:val="005E7BF9"/>
    <w:rsid w:val="00610DB4"/>
    <w:rsid w:val="0063646F"/>
    <w:rsid w:val="00651E66"/>
    <w:rsid w:val="0065708D"/>
    <w:rsid w:val="006614A7"/>
    <w:rsid w:val="006925A9"/>
    <w:rsid w:val="006A6080"/>
    <w:rsid w:val="006E78E0"/>
    <w:rsid w:val="0071014B"/>
    <w:rsid w:val="0072168C"/>
    <w:rsid w:val="00724F6E"/>
    <w:rsid w:val="00725C8C"/>
    <w:rsid w:val="0074678C"/>
    <w:rsid w:val="00767728"/>
    <w:rsid w:val="007833EE"/>
    <w:rsid w:val="00795212"/>
    <w:rsid w:val="007B1903"/>
    <w:rsid w:val="007B3A70"/>
    <w:rsid w:val="007E3511"/>
    <w:rsid w:val="007F5A2E"/>
    <w:rsid w:val="00825644"/>
    <w:rsid w:val="0083363F"/>
    <w:rsid w:val="008624A9"/>
    <w:rsid w:val="008648B0"/>
    <w:rsid w:val="008738B6"/>
    <w:rsid w:val="00892699"/>
    <w:rsid w:val="0089473E"/>
    <w:rsid w:val="008A3C50"/>
    <w:rsid w:val="008C1114"/>
    <w:rsid w:val="008D3447"/>
    <w:rsid w:val="008E4591"/>
    <w:rsid w:val="008E4ABE"/>
    <w:rsid w:val="008F3F75"/>
    <w:rsid w:val="008F5672"/>
    <w:rsid w:val="009074A1"/>
    <w:rsid w:val="00912D2D"/>
    <w:rsid w:val="00914E6A"/>
    <w:rsid w:val="00930449"/>
    <w:rsid w:val="00933A98"/>
    <w:rsid w:val="00934266"/>
    <w:rsid w:val="00957C7E"/>
    <w:rsid w:val="00961932"/>
    <w:rsid w:val="009719BF"/>
    <w:rsid w:val="00975D86"/>
    <w:rsid w:val="0097713C"/>
    <w:rsid w:val="009A2DA9"/>
    <w:rsid w:val="009C2169"/>
    <w:rsid w:val="009D75A4"/>
    <w:rsid w:val="009E5BD9"/>
    <w:rsid w:val="009F6CD6"/>
    <w:rsid w:val="00A10A62"/>
    <w:rsid w:val="00A12FF2"/>
    <w:rsid w:val="00A15BB3"/>
    <w:rsid w:val="00A17DFF"/>
    <w:rsid w:val="00A35574"/>
    <w:rsid w:val="00A5148D"/>
    <w:rsid w:val="00A71540"/>
    <w:rsid w:val="00A905C5"/>
    <w:rsid w:val="00AA38A4"/>
    <w:rsid w:val="00AE1520"/>
    <w:rsid w:val="00AE3E22"/>
    <w:rsid w:val="00AE7920"/>
    <w:rsid w:val="00B11876"/>
    <w:rsid w:val="00B35B4F"/>
    <w:rsid w:val="00B439EB"/>
    <w:rsid w:val="00B67E71"/>
    <w:rsid w:val="00B82E47"/>
    <w:rsid w:val="00BC3248"/>
    <w:rsid w:val="00BD57FE"/>
    <w:rsid w:val="00BE2977"/>
    <w:rsid w:val="00C01705"/>
    <w:rsid w:val="00C32030"/>
    <w:rsid w:val="00C43C45"/>
    <w:rsid w:val="00C57A4D"/>
    <w:rsid w:val="00C8403B"/>
    <w:rsid w:val="00C930B8"/>
    <w:rsid w:val="00CC2D76"/>
    <w:rsid w:val="00CD3E18"/>
    <w:rsid w:val="00CE61A4"/>
    <w:rsid w:val="00D02CD2"/>
    <w:rsid w:val="00D22FC5"/>
    <w:rsid w:val="00D423D4"/>
    <w:rsid w:val="00D4308F"/>
    <w:rsid w:val="00D43357"/>
    <w:rsid w:val="00D54196"/>
    <w:rsid w:val="00D85AC7"/>
    <w:rsid w:val="00D872A7"/>
    <w:rsid w:val="00D91615"/>
    <w:rsid w:val="00D956DD"/>
    <w:rsid w:val="00D95D15"/>
    <w:rsid w:val="00DB3B4B"/>
    <w:rsid w:val="00DD7299"/>
    <w:rsid w:val="00DE1405"/>
    <w:rsid w:val="00E11F59"/>
    <w:rsid w:val="00E24A1E"/>
    <w:rsid w:val="00E32473"/>
    <w:rsid w:val="00E4023C"/>
    <w:rsid w:val="00E449EE"/>
    <w:rsid w:val="00E706B5"/>
    <w:rsid w:val="00E71CE9"/>
    <w:rsid w:val="00E80184"/>
    <w:rsid w:val="00E82A0D"/>
    <w:rsid w:val="00E84D08"/>
    <w:rsid w:val="00E958F6"/>
    <w:rsid w:val="00EA4F2A"/>
    <w:rsid w:val="00EE4496"/>
    <w:rsid w:val="00F033AE"/>
    <w:rsid w:val="00F1063F"/>
    <w:rsid w:val="00F10E13"/>
    <w:rsid w:val="00F1532B"/>
    <w:rsid w:val="00F2761F"/>
    <w:rsid w:val="00F3347F"/>
    <w:rsid w:val="00F44C00"/>
    <w:rsid w:val="00F536B0"/>
    <w:rsid w:val="00F56DA3"/>
    <w:rsid w:val="00F60B7C"/>
    <w:rsid w:val="00F67DE3"/>
    <w:rsid w:val="00F71D67"/>
    <w:rsid w:val="00F91906"/>
    <w:rsid w:val="00FD44F5"/>
    <w:rsid w:val="00FE6AFD"/>
    <w:rsid w:val="00FF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71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B67E71"/>
    <w:pPr>
      <w:keepNext/>
      <w:tabs>
        <w:tab w:val="left" w:pos="-1440"/>
        <w:tab w:val="left" w:pos="-720"/>
        <w:tab w:val="left" w:pos="4050"/>
      </w:tabs>
      <w:suppressAutoHyphens/>
      <w:outlineLvl w:val="0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rsid w:val="00B67E71"/>
    <w:pPr>
      <w:keepNext/>
      <w:outlineLvl w:val="2"/>
    </w:pPr>
    <w:rPr>
      <w:rFonts w:ascii="Times New Roman" w:hAnsi="Times New Roman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67E71"/>
  </w:style>
  <w:style w:type="character" w:styleId="EndnoteReference">
    <w:name w:val="endnote reference"/>
    <w:basedOn w:val="DefaultParagraphFont"/>
    <w:semiHidden/>
    <w:rsid w:val="00B6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67E71"/>
  </w:style>
  <w:style w:type="character" w:styleId="FootnoteReference">
    <w:name w:val="footnote reference"/>
    <w:basedOn w:val="DefaultParagraphFont"/>
    <w:uiPriority w:val="99"/>
    <w:semiHidden/>
    <w:rsid w:val="00B67E71"/>
    <w:rPr>
      <w:vertAlign w:val="superscript"/>
    </w:rPr>
  </w:style>
  <w:style w:type="paragraph" w:styleId="TOC1">
    <w:name w:val="toc 1"/>
    <w:basedOn w:val="Normal"/>
    <w:next w:val="Normal"/>
    <w:semiHidden/>
    <w:rsid w:val="00B67E7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67E7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67E7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67E7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67E7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67E7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67E7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67E7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67E7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67E7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67E7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67E7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67E71"/>
  </w:style>
  <w:style w:type="character" w:customStyle="1" w:styleId="EquationCaption">
    <w:name w:val="_Equation Caption"/>
    <w:rsid w:val="00B67E71"/>
  </w:style>
  <w:style w:type="character" w:styleId="CommentReference">
    <w:name w:val="annotation reference"/>
    <w:basedOn w:val="DefaultParagraphFont"/>
    <w:semiHidden/>
    <w:rsid w:val="00B67E71"/>
    <w:rPr>
      <w:sz w:val="16"/>
    </w:rPr>
  </w:style>
  <w:style w:type="paragraph" w:styleId="CommentText">
    <w:name w:val="annotation text"/>
    <w:basedOn w:val="Normal"/>
    <w:link w:val="CommentTextChar"/>
    <w:semiHidden/>
    <w:rsid w:val="00B67E71"/>
    <w:rPr>
      <w:sz w:val="20"/>
    </w:rPr>
  </w:style>
  <w:style w:type="paragraph" w:styleId="BodyText">
    <w:name w:val="Body Text"/>
    <w:basedOn w:val="Normal"/>
    <w:rsid w:val="00B67E71"/>
    <w:rPr>
      <w:rFonts w:ascii="Times New Roman" w:hAnsi="Times New Roman"/>
      <w:sz w:val="22"/>
    </w:rPr>
  </w:style>
  <w:style w:type="paragraph" w:styleId="BodyText2">
    <w:name w:val="Body Text 2"/>
    <w:basedOn w:val="Normal"/>
    <w:rsid w:val="00B67E71"/>
    <w:pPr>
      <w:jc w:val="both"/>
    </w:pPr>
    <w:rPr>
      <w:rFonts w:ascii="Times New Roman" w:hAnsi="Times New Roman"/>
      <w:sz w:val="22"/>
    </w:rPr>
  </w:style>
  <w:style w:type="paragraph" w:styleId="Subtitle">
    <w:name w:val="Subtitle"/>
    <w:basedOn w:val="Normal"/>
    <w:qFormat/>
    <w:rsid w:val="00B67E71"/>
    <w:rPr>
      <w:rFonts w:ascii="Times New Roman" w:hAnsi="Times New Roman"/>
      <w:b/>
      <w:sz w:val="20"/>
      <w:u w:val="single"/>
    </w:rPr>
  </w:style>
  <w:style w:type="paragraph" w:styleId="BodyTextIndent">
    <w:name w:val="Body Text Indent"/>
    <w:basedOn w:val="Normal"/>
    <w:rsid w:val="00B67E71"/>
    <w:pPr>
      <w:tabs>
        <w:tab w:val="left" w:pos="-720"/>
      </w:tabs>
      <w:suppressAutoHyphens/>
      <w:ind w:left="360"/>
      <w:jc w:val="both"/>
    </w:pPr>
    <w:rPr>
      <w:rFonts w:ascii="Times New Roman" w:hAnsi="Times New Roman"/>
      <w:spacing w:val="-3"/>
    </w:rPr>
  </w:style>
  <w:style w:type="paragraph" w:styleId="BlockText">
    <w:name w:val="Block Text"/>
    <w:basedOn w:val="Normal"/>
    <w:rsid w:val="00B67E71"/>
    <w:pPr>
      <w:ind w:left="720" w:right="720"/>
      <w:jc w:val="both"/>
    </w:pPr>
    <w:rPr>
      <w:noProof/>
      <w:sz w:val="20"/>
    </w:rPr>
  </w:style>
  <w:style w:type="paragraph" w:styleId="BodyTextIndent2">
    <w:name w:val="Body Text Indent 2"/>
    <w:basedOn w:val="Normal"/>
    <w:rsid w:val="00B67E71"/>
    <w:pPr>
      <w:tabs>
        <w:tab w:val="left" w:pos="-1440"/>
        <w:tab w:val="left" w:pos="-720"/>
        <w:tab w:val="left" w:pos="4050"/>
      </w:tabs>
      <w:suppressAutoHyphens/>
      <w:ind w:left="360"/>
    </w:pPr>
  </w:style>
  <w:style w:type="paragraph" w:styleId="BodyTextIndent3">
    <w:name w:val="Body Text Indent 3"/>
    <w:basedOn w:val="Normal"/>
    <w:rsid w:val="00B67E71"/>
    <w:pPr>
      <w:tabs>
        <w:tab w:val="left" w:pos="-720"/>
      </w:tabs>
      <w:suppressAutoHyphens/>
      <w:ind w:left="720"/>
      <w:jc w:val="both"/>
    </w:pPr>
    <w:rPr>
      <w:rFonts w:ascii="Times New Roman" w:hAnsi="Times New Roman"/>
      <w:spacing w:val="-3"/>
    </w:rPr>
  </w:style>
  <w:style w:type="table" w:styleId="TableGrid">
    <w:name w:val="Table Grid"/>
    <w:basedOn w:val="TableNormal"/>
    <w:rsid w:val="00D4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423D4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rsid w:val="00D423D4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B35B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4C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0470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13C"/>
    <w:rPr>
      <w:rFonts w:ascii="CG Times" w:hAnsi="CG Times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50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73504"/>
    <w:rPr>
      <w:rFonts w:ascii="CG Times" w:hAnsi="CG Times"/>
    </w:rPr>
  </w:style>
  <w:style w:type="character" w:customStyle="1" w:styleId="CommentSubjectChar">
    <w:name w:val="Comment Subject Char"/>
    <w:basedOn w:val="CommentTextChar"/>
    <w:link w:val="CommentSubject"/>
    <w:rsid w:val="00273504"/>
  </w:style>
  <w:style w:type="paragraph" w:styleId="Revision">
    <w:name w:val="Revision"/>
    <w:hidden/>
    <w:uiPriority w:val="99"/>
    <w:semiHidden/>
    <w:rsid w:val="00D872A7"/>
    <w:rPr>
      <w:rFonts w:ascii="CG Times" w:hAnsi="CG 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A60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4EDA-1EAF-4881-A690-E89535D6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 Of Oregon</dc:creator>
  <cp:lastModifiedBy>ccapp</cp:lastModifiedBy>
  <cp:revision>2</cp:revision>
  <cp:lastPrinted>2012-03-01T21:05:00Z</cp:lastPrinted>
  <dcterms:created xsi:type="dcterms:W3CDTF">2012-03-15T20:24:00Z</dcterms:created>
  <dcterms:modified xsi:type="dcterms:W3CDTF">2012-03-15T20:24:00Z</dcterms:modified>
</cp:coreProperties>
</file>