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ED" w:rsidRDefault="00A97644" w:rsidP="008C66AB">
      <w:pPr>
        <w:pStyle w:val="Heading1"/>
        <w:spacing w:before="120"/>
        <w:jc w:val="center"/>
      </w:pPr>
      <w:r>
        <w:t>4</w:t>
      </w:r>
      <w:r w:rsidR="003E03E6">
        <w:t>/</w:t>
      </w:r>
      <w:r>
        <w:t>1</w:t>
      </w:r>
      <w:r w:rsidR="00937B0A">
        <w:t>5</w:t>
      </w:r>
      <w:r w:rsidR="003E03E6">
        <w:t xml:space="preserve">/09 </w:t>
      </w:r>
      <w:r w:rsidR="00466D15">
        <w:t>D</w:t>
      </w:r>
      <w:r w:rsidR="003830A5">
        <w:t>ISCUSSION</w:t>
      </w:r>
      <w:r w:rsidR="00466D15">
        <w:t xml:space="preserve"> </w:t>
      </w:r>
      <w:r w:rsidR="006E7DED">
        <w:t>DRAFT</w:t>
      </w:r>
    </w:p>
    <w:p w:rsidR="00A97644" w:rsidRDefault="002B5B74" w:rsidP="00986582">
      <w:pPr>
        <w:pStyle w:val="Heading1"/>
        <w:spacing w:before="0" w:line="240" w:lineRule="auto"/>
        <w:jc w:val="center"/>
      </w:pPr>
      <w:r w:rsidRPr="002B5B74">
        <w:t xml:space="preserve">Organization of </w:t>
      </w:r>
      <w:r w:rsidR="00373485">
        <w:t xml:space="preserve">Toxics </w:t>
      </w:r>
      <w:r w:rsidRPr="002B5B74">
        <w:t>Stakeholder Group</w:t>
      </w:r>
    </w:p>
    <w:p w:rsidR="00986582" w:rsidRDefault="00986582" w:rsidP="00986582">
      <w:pPr>
        <w:spacing w:after="0" w:line="240" w:lineRule="auto"/>
        <w:jc w:val="center"/>
      </w:pPr>
    </w:p>
    <w:p w:rsidR="008F5E5F" w:rsidRDefault="008F5E5F" w:rsidP="00986582">
      <w:pPr>
        <w:spacing w:line="240" w:lineRule="auto"/>
      </w:pPr>
    </w:p>
    <w:p w:rsidR="00A97644" w:rsidRPr="00986582" w:rsidRDefault="00A97644" w:rsidP="00986582">
      <w:pPr>
        <w:spacing w:line="240" w:lineRule="auto"/>
      </w:pPr>
      <w:r w:rsidRPr="00986582">
        <w:t xml:space="preserve">Description: A diverse group of stakeholders who will be most affected by policies and regulations related to reducing toxics in Oregon’s environment </w:t>
      </w:r>
      <w:r w:rsidRPr="00986582">
        <w:rPr>
          <w:u w:val="single"/>
        </w:rPr>
        <w:t>and</w:t>
      </w:r>
      <w:r w:rsidRPr="00986582">
        <w:t xml:space="preserve"> most able to assist with those reductions. </w:t>
      </w:r>
    </w:p>
    <w:p w:rsidR="00A97644" w:rsidRPr="00986582" w:rsidRDefault="00986582" w:rsidP="00986582">
      <w:pPr>
        <w:spacing w:after="0" w:line="240" w:lineRule="auto"/>
      </w:pPr>
      <w:r>
        <w:t xml:space="preserve"> Charge:  </w:t>
      </w:r>
      <w:r w:rsidR="00A97644" w:rsidRPr="00986582">
        <w:t>1. Review data, information, and draft products compiled and produced by DEQ.</w:t>
      </w:r>
    </w:p>
    <w:p w:rsidR="00A97644" w:rsidRPr="00986582" w:rsidRDefault="00A97644" w:rsidP="00986582">
      <w:pPr>
        <w:spacing w:after="0" w:line="240" w:lineRule="auto"/>
      </w:pPr>
      <w:r w:rsidRPr="00986582">
        <w:tab/>
        <w:t xml:space="preserve">    2. Serve as a sounding board, provide input to pollutant priorities, sources &amp; inventory analysis</w:t>
      </w:r>
    </w:p>
    <w:p w:rsidR="00A97644" w:rsidRPr="00986582" w:rsidRDefault="00A97644" w:rsidP="00986582">
      <w:pPr>
        <w:pStyle w:val="ListParagraph"/>
        <w:spacing w:line="240" w:lineRule="auto"/>
        <w:rPr>
          <w:rFonts w:asciiTheme="majorHAnsi" w:eastAsiaTheme="majorEastAsia" w:hAnsiTheme="majorHAnsi" w:cstheme="majorBidi"/>
          <w:bCs/>
        </w:rPr>
      </w:pPr>
      <w:r w:rsidRPr="00986582">
        <w:t xml:space="preserve">    3. Consider and recommend programs &amp; actions to close gaps identified in DEQ’s Gap Analysis.</w:t>
      </w:r>
    </w:p>
    <w:p w:rsidR="00A97644" w:rsidRPr="00986582" w:rsidRDefault="00A97644" w:rsidP="00986582">
      <w:pPr>
        <w:spacing w:after="0" w:line="240" w:lineRule="auto"/>
        <w:rPr>
          <w:rFonts w:asciiTheme="majorHAnsi" w:eastAsiaTheme="majorEastAsia" w:hAnsiTheme="majorHAnsi" w:cstheme="majorBidi"/>
          <w:bCs/>
        </w:rPr>
      </w:pPr>
      <w:r w:rsidRPr="00986582">
        <w:rPr>
          <w:rFonts w:asciiTheme="majorHAnsi" w:eastAsiaTheme="majorEastAsia" w:hAnsiTheme="majorHAnsi" w:cstheme="majorBidi"/>
          <w:bCs/>
        </w:rPr>
        <w:t xml:space="preserve">Core Membership: Tribes, ACWA, AOC, LOC, Special Districts, Environmental Groups, Industry Groups, Forestry and Agricultural groups, </w:t>
      </w:r>
      <w:proofErr w:type="gramStart"/>
      <w:r w:rsidR="000B450C">
        <w:rPr>
          <w:rFonts w:asciiTheme="majorHAnsi" w:eastAsiaTheme="majorEastAsia" w:hAnsiTheme="majorHAnsi" w:cstheme="majorBidi"/>
          <w:bCs/>
        </w:rPr>
        <w:t>F</w:t>
      </w:r>
      <w:r w:rsidRPr="00986582">
        <w:rPr>
          <w:rFonts w:asciiTheme="majorHAnsi" w:eastAsiaTheme="majorEastAsia" w:hAnsiTheme="majorHAnsi" w:cstheme="majorBidi"/>
          <w:bCs/>
        </w:rPr>
        <w:t>ishing</w:t>
      </w:r>
      <w:proofErr w:type="gramEnd"/>
      <w:r w:rsidRPr="00986582">
        <w:rPr>
          <w:rFonts w:asciiTheme="majorHAnsi" w:eastAsiaTheme="majorEastAsia" w:hAnsiTheme="majorHAnsi" w:cstheme="majorBidi"/>
          <w:bCs/>
        </w:rPr>
        <w:t xml:space="preserve"> groups</w:t>
      </w:r>
    </w:p>
    <w:p w:rsidR="00986582" w:rsidRPr="00986582" w:rsidRDefault="00986582" w:rsidP="00986582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Theme="majorHAnsi" w:eastAsiaTheme="majorEastAsia" w:hAnsiTheme="majorHAnsi" w:cstheme="majorBidi"/>
          <w:bCs/>
        </w:rPr>
      </w:pPr>
      <w:r w:rsidRPr="00986582">
        <w:rPr>
          <w:rFonts w:asciiTheme="majorHAnsi" w:eastAsiaTheme="majorEastAsia" w:hAnsiTheme="majorHAnsi" w:cstheme="majorBidi"/>
          <w:bCs/>
        </w:rPr>
        <w:t>1 person/organization for Core Group as active participants</w:t>
      </w:r>
    </w:p>
    <w:p w:rsidR="00986582" w:rsidRPr="00986582" w:rsidRDefault="00986582" w:rsidP="00986582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rFonts w:asciiTheme="majorHAnsi" w:eastAsiaTheme="majorEastAsia" w:hAnsiTheme="majorHAnsi" w:cstheme="majorBidi"/>
          <w:bCs/>
        </w:rPr>
      </w:pPr>
      <w:r w:rsidRPr="00986582">
        <w:rPr>
          <w:rFonts w:asciiTheme="majorHAnsi" w:eastAsiaTheme="majorEastAsia" w:hAnsiTheme="majorHAnsi" w:cstheme="majorBidi"/>
          <w:bCs/>
        </w:rPr>
        <w:t>Open meeting/audience format for other</w:t>
      </w:r>
      <w:r>
        <w:rPr>
          <w:rFonts w:asciiTheme="majorHAnsi" w:eastAsiaTheme="majorEastAsia" w:hAnsiTheme="majorHAnsi" w:cstheme="majorBidi"/>
          <w:bCs/>
        </w:rPr>
        <w:t xml:space="preserve"> than core group member</w:t>
      </w:r>
      <w:r w:rsidRPr="00986582">
        <w:rPr>
          <w:rFonts w:asciiTheme="majorHAnsi" w:eastAsiaTheme="majorEastAsia" w:hAnsiTheme="majorHAnsi" w:cstheme="majorBidi"/>
          <w:bCs/>
        </w:rPr>
        <w:t>s</w:t>
      </w:r>
    </w:p>
    <w:p w:rsidR="00A97644" w:rsidRPr="00986582" w:rsidRDefault="00A97644" w:rsidP="00986582">
      <w:pPr>
        <w:spacing w:after="0" w:line="240" w:lineRule="auto"/>
        <w:rPr>
          <w:rFonts w:asciiTheme="majorHAnsi" w:eastAsiaTheme="majorEastAsia" w:hAnsiTheme="majorHAnsi" w:cstheme="majorBidi"/>
          <w:bCs/>
        </w:rPr>
      </w:pPr>
      <w:r w:rsidRPr="00986582">
        <w:rPr>
          <w:rFonts w:asciiTheme="majorHAnsi" w:eastAsiaTheme="majorEastAsia" w:hAnsiTheme="majorHAnsi" w:cstheme="majorBidi"/>
          <w:bCs/>
        </w:rPr>
        <w:t xml:space="preserve">Resource Advisors: DEQ (water, air and land programs), DHS, ODF, ODA, </w:t>
      </w:r>
      <w:r w:rsidR="00986582">
        <w:rPr>
          <w:rFonts w:asciiTheme="majorHAnsi" w:eastAsiaTheme="majorEastAsia" w:hAnsiTheme="majorHAnsi" w:cstheme="majorBidi"/>
          <w:bCs/>
        </w:rPr>
        <w:t>and other agencies as needed.</w:t>
      </w:r>
    </w:p>
    <w:p w:rsidR="00A97644" w:rsidRDefault="00A97644" w:rsidP="00A97644">
      <w:pPr>
        <w:pStyle w:val="Heading1"/>
        <w:spacing w:before="0"/>
      </w:pPr>
    </w:p>
    <w:p w:rsidR="006E7A5E" w:rsidRPr="00986582" w:rsidRDefault="003E09EE" w:rsidP="00986582">
      <w:pPr>
        <w:pStyle w:val="Heading1"/>
        <w:spacing w:before="0"/>
        <w:jc w:val="center"/>
        <w:rPr>
          <w:b w:val="0"/>
        </w:rPr>
      </w:pPr>
      <w:r w:rsidRPr="006F1814">
        <w:rPr>
          <w:b w:val="0"/>
          <w:noProof/>
        </w:rPr>
        <w:drawing>
          <wp:inline distT="0" distB="0" distL="0" distR="0">
            <wp:extent cx="6953250" cy="2352675"/>
            <wp:effectExtent l="0" t="0" r="0" b="0"/>
            <wp:docPr id="4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D4754" w:rsidRDefault="00FC433A" w:rsidP="002D4754">
      <w:pPr>
        <w:pStyle w:val="Heading1"/>
        <w:jc w:val="center"/>
      </w:pPr>
      <w:r w:rsidRPr="00FC433A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274.5pt;margin-top:22.95pt;width:254.25pt;height:234.3pt;z-index:251796480" strokecolor="#7598d9 [3205]" strokeweight=".5pt">
            <v:textbox>
              <w:txbxContent>
                <w:p w:rsidR="000B450C" w:rsidRPr="001D1C5C" w:rsidRDefault="000B450C" w:rsidP="001D1C5C">
                  <w:pPr>
                    <w:tabs>
                      <w:tab w:val="num" w:pos="360"/>
                    </w:tabs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>Pollutant Category Subgroup:</w:t>
                  </w:r>
                  <w:r w:rsidRPr="001D1C5C">
                    <w:rPr>
                      <w:sz w:val="20"/>
                      <w:szCs w:val="20"/>
                    </w:rPr>
                    <w:t xml:space="preserve">  </w:t>
                  </w:r>
                </w:p>
                <w:p w:rsidR="000B450C" w:rsidRPr="001D1C5C" w:rsidRDefault="000B450C" w:rsidP="00C65C2E">
                  <w:pPr>
                    <w:tabs>
                      <w:tab w:val="num" w:pos="360"/>
                    </w:tabs>
                    <w:spacing w:line="240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 xml:space="preserve">Includes </w:t>
                  </w:r>
                  <w:r w:rsidRPr="001D1C5C">
                    <w:rPr>
                      <w:sz w:val="20"/>
                      <w:szCs w:val="20"/>
                    </w:rPr>
                    <w:t xml:space="preserve">diverse, cross-media representation from </w:t>
                  </w:r>
                  <w:r>
                    <w:rPr>
                      <w:sz w:val="20"/>
                      <w:szCs w:val="20"/>
                    </w:rPr>
                    <w:t>Toxics Stakeholder Group</w:t>
                  </w:r>
                  <w:r w:rsidRPr="001D1C5C">
                    <w:rPr>
                      <w:sz w:val="20"/>
                      <w:szCs w:val="20"/>
                    </w:rPr>
                    <w:t>, as appropriate.</w:t>
                  </w:r>
                  <w:proofErr w:type="gramEnd"/>
                  <w:r w:rsidRPr="001D1C5C">
                    <w:rPr>
                      <w:sz w:val="20"/>
                      <w:szCs w:val="20"/>
                    </w:rPr>
                    <w:t xml:space="preserve"> Core members or DEQ may identify others within their agency/ organization </w:t>
                  </w:r>
                  <w:r>
                    <w:rPr>
                      <w:sz w:val="20"/>
                      <w:szCs w:val="20"/>
                    </w:rPr>
                    <w:t>that</w:t>
                  </w:r>
                  <w:r w:rsidRPr="001D1C5C">
                    <w:rPr>
                      <w:sz w:val="20"/>
                      <w:szCs w:val="20"/>
                    </w:rPr>
                    <w:t xml:space="preserve"> would </w:t>
                  </w:r>
                  <w:r>
                    <w:rPr>
                      <w:sz w:val="20"/>
                      <w:szCs w:val="20"/>
                    </w:rPr>
                    <w:t>be best to</w:t>
                  </w:r>
                  <w:r w:rsidRPr="001D1C5C">
                    <w:rPr>
                      <w:sz w:val="20"/>
                      <w:szCs w:val="20"/>
                    </w:rPr>
                    <w:t xml:space="preserve"> participate and provide research</w:t>
                  </w:r>
                  <w:r>
                    <w:rPr>
                      <w:sz w:val="20"/>
                      <w:szCs w:val="20"/>
                    </w:rPr>
                    <w:t xml:space="preserve"> &amp; </w:t>
                  </w:r>
                  <w:r w:rsidRPr="001D1C5C">
                    <w:rPr>
                      <w:sz w:val="20"/>
                      <w:szCs w:val="20"/>
                    </w:rPr>
                    <w:t>technical input.</w:t>
                  </w:r>
                </w:p>
                <w:p w:rsidR="000B450C" w:rsidRDefault="000B450C" w:rsidP="00C65C2E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>Charge:</w:t>
                  </w:r>
                  <w:r w:rsidRPr="001D1C5C"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</w:rPr>
                    <w:t>Provide input for</w:t>
                  </w:r>
                  <w:r w:rsidRPr="001D1C5C">
                    <w:rPr>
                      <w:sz w:val="20"/>
                      <w:szCs w:val="20"/>
                    </w:rPr>
                    <w:t xml:space="preserve"> each step of the development of the Toxic Reduction Strategy </w:t>
                  </w:r>
                  <w:r>
                    <w:rPr>
                      <w:sz w:val="20"/>
                      <w:szCs w:val="20"/>
                    </w:rPr>
                    <w:t>based on</w:t>
                  </w:r>
                  <w:r w:rsidRPr="001D1C5C">
                    <w:rPr>
                      <w:sz w:val="20"/>
                      <w:szCs w:val="20"/>
                    </w:rPr>
                    <w:t xml:space="preserve"> pollutant category and report findings to the </w:t>
                  </w:r>
                  <w:r>
                    <w:rPr>
                      <w:sz w:val="20"/>
                      <w:szCs w:val="20"/>
                    </w:rPr>
                    <w:t xml:space="preserve">Toxics </w:t>
                  </w:r>
                  <w:r w:rsidRPr="001D1C5C">
                    <w:rPr>
                      <w:sz w:val="20"/>
                      <w:szCs w:val="20"/>
                    </w:rPr>
                    <w:t>Stakeholder Group at the conclusion of each step.</w:t>
                  </w:r>
                </w:p>
                <w:p w:rsidR="000B450C" w:rsidRDefault="000B450C" w:rsidP="00C65C2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0B450C" w:rsidRDefault="000B450C" w:rsidP="0098658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 xml:space="preserve">Will </w:t>
                  </w:r>
                  <w:r>
                    <w:rPr>
                      <w:b/>
                      <w:sz w:val="20"/>
                      <w:szCs w:val="20"/>
                    </w:rPr>
                    <w:t>focus</w:t>
                  </w:r>
                  <w:r w:rsidRPr="001D1C5C">
                    <w:rPr>
                      <w:b/>
                      <w:sz w:val="20"/>
                      <w:szCs w:val="20"/>
                    </w:rPr>
                    <w:t xml:space="preserve"> on:</w:t>
                  </w:r>
                </w:p>
                <w:p w:rsidR="000B450C" w:rsidRPr="001D1C5C" w:rsidRDefault="000B450C" w:rsidP="0098658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EQC Directives 3 &amp; 4 </w:t>
                  </w:r>
                  <w:r w:rsidRPr="001D1C5C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0B450C" w:rsidRPr="001D1C5C" w:rsidRDefault="000B450C" w:rsidP="00C65C2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0.5pt;margin-top:22.95pt;width:251.25pt;height:234.3pt;z-index:251797504" filled="f" strokecolor="#fe8637 [3204]">
            <v:textbox>
              <w:txbxContent>
                <w:p w:rsidR="000B450C" w:rsidRPr="001D1C5C" w:rsidRDefault="000B450C" w:rsidP="001D1C5C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 xml:space="preserve">WQS/NPDES Rulemaking </w:t>
                  </w:r>
                  <w:r>
                    <w:rPr>
                      <w:b/>
                      <w:sz w:val="20"/>
                      <w:szCs w:val="20"/>
                    </w:rPr>
                    <w:t>Workgroup</w:t>
                  </w:r>
                  <w:r w:rsidRPr="001D1C5C">
                    <w:rPr>
                      <w:sz w:val="20"/>
                      <w:szCs w:val="20"/>
                    </w:rPr>
                    <w:t>:</w:t>
                  </w:r>
                </w:p>
                <w:p w:rsidR="000B450C" w:rsidRPr="001D1C5C" w:rsidRDefault="000B450C" w:rsidP="00C65C2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 w:rsidRPr="001D1C5C">
                    <w:rPr>
                      <w:sz w:val="20"/>
                      <w:szCs w:val="20"/>
                    </w:rPr>
                    <w:t>Includes members of the Toxics Stakeholder Group interested in the numeric human health criteria and the application of the criteria to point source discharges through NPDES permitting.</w:t>
                  </w:r>
                  <w:proofErr w:type="gramEnd"/>
                  <w:r w:rsidRPr="001D1C5C">
                    <w:rPr>
                      <w:sz w:val="20"/>
                      <w:szCs w:val="20"/>
                    </w:rPr>
                    <w:t xml:space="preserve">  </w:t>
                  </w:r>
                </w:p>
                <w:p w:rsidR="000B450C" w:rsidRPr="001D1C5C" w:rsidRDefault="000B450C" w:rsidP="00C65C2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0B450C" w:rsidRPr="001D1C5C" w:rsidRDefault="000B450C" w:rsidP="00C65C2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 xml:space="preserve">Charge: </w:t>
                  </w:r>
                  <w:r w:rsidRPr="001D1C5C">
                    <w:rPr>
                      <w:sz w:val="20"/>
                      <w:szCs w:val="20"/>
                    </w:rPr>
                    <w:t xml:space="preserve"> Provide input on revised human health criteria for existing pollutants in WQS, and explore options for environmentally meaningful and cost-effective application of the criteria to NPDES dischargers, including source reduction programs, regulatory framework for facilitating/allowing offsets or trading with nonpoint sources, and others.</w:t>
                  </w:r>
                </w:p>
                <w:p w:rsidR="000B450C" w:rsidRPr="001D1C5C" w:rsidRDefault="000B450C" w:rsidP="00C65C2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0B450C" w:rsidRDefault="000B450C" w:rsidP="00C65C2E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D1C5C">
                    <w:rPr>
                      <w:b/>
                      <w:sz w:val="20"/>
                      <w:szCs w:val="20"/>
                    </w:rPr>
                    <w:t xml:space="preserve">Will </w:t>
                  </w:r>
                  <w:r>
                    <w:rPr>
                      <w:b/>
                      <w:sz w:val="20"/>
                      <w:szCs w:val="20"/>
                    </w:rPr>
                    <w:t>focus</w:t>
                  </w:r>
                  <w:r w:rsidRPr="001D1C5C">
                    <w:rPr>
                      <w:b/>
                      <w:sz w:val="20"/>
                      <w:szCs w:val="20"/>
                    </w:rPr>
                    <w:t xml:space="preserve"> on:</w:t>
                  </w:r>
                </w:p>
                <w:p w:rsidR="000B450C" w:rsidRPr="001D1C5C" w:rsidRDefault="000B450C" w:rsidP="00C65C2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EQC Directives 1, 2 &amp; 4 (and some 3)</w:t>
                  </w:r>
                </w:p>
                <w:p w:rsidR="000B450C" w:rsidRPr="001D1C5C" w:rsidRDefault="000B450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D4754" w:rsidRDefault="002D4754" w:rsidP="002D4754">
      <w:pPr>
        <w:pStyle w:val="Heading1"/>
        <w:jc w:val="center"/>
      </w:pPr>
    </w:p>
    <w:p w:rsidR="002D4754" w:rsidRDefault="002D4754" w:rsidP="002D4754">
      <w:pPr>
        <w:pStyle w:val="Heading1"/>
        <w:jc w:val="center"/>
      </w:pPr>
    </w:p>
    <w:p w:rsidR="002D4754" w:rsidRDefault="002D4754" w:rsidP="002D4754">
      <w:pPr>
        <w:pStyle w:val="Heading1"/>
        <w:jc w:val="center"/>
      </w:pPr>
    </w:p>
    <w:p w:rsidR="002D4754" w:rsidRDefault="002D4754" w:rsidP="002D4754">
      <w:pPr>
        <w:pStyle w:val="Heading1"/>
        <w:jc w:val="center"/>
      </w:pPr>
    </w:p>
    <w:p w:rsidR="002D4754" w:rsidRDefault="002D4754" w:rsidP="002D4754">
      <w:pPr>
        <w:pStyle w:val="Heading1"/>
      </w:pPr>
    </w:p>
    <w:p w:rsidR="002D4754" w:rsidRDefault="002D4754" w:rsidP="002D4754"/>
    <w:p w:rsidR="002D4754" w:rsidRPr="002D4754" w:rsidRDefault="002D4754" w:rsidP="002D4754">
      <w:pPr>
        <w:sectPr w:rsidR="002D4754" w:rsidRPr="002D4754" w:rsidSect="00DE71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C66AB" w:rsidRDefault="008C66AB"/>
    <w:p w:rsidR="008C66AB" w:rsidRDefault="008C66AB"/>
    <w:p w:rsidR="00012DCE" w:rsidRDefault="00FC433A">
      <w:r>
        <w:rPr>
          <w:noProof/>
        </w:rPr>
        <w:pict>
          <v:rect id="_x0000_s1044" style="position:absolute;margin-left:295.4pt;margin-top:7.1pt;width:135.35pt;height:56.95pt;z-index:251835392" o:regroupid="1" fillcolor="#acc1e8 [1941]" strokecolor="#7598d9 [3205]" strokeweight="1pt">
            <v:fill color2="#7598d9 [3205]" focus="50%" type="gradient"/>
            <v:shadow on="t" type="perspective" color="#244482 [1605]" offset="1pt" offset2="-3pt"/>
            <v:textbox style="mso-next-textbox:#_x0000_s1044">
              <w:txbxContent>
                <w:p w:rsidR="000B450C" w:rsidRPr="0084622A" w:rsidRDefault="000B450C" w:rsidP="00942996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DEQ’s Toxics Reduction Strategy </w:t>
                  </w:r>
                  <w:r w:rsidRPr="0084622A">
                    <w:rPr>
                      <w:color w:val="FFFFFF" w:themeColor="background1"/>
                    </w:rPr>
                    <w:t>S</w:t>
                  </w:r>
                  <w:r>
                    <w:rPr>
                      <w:color w:val="FFFFFF" w:themeColor="background1"/>
                    </w:rPr>
                    <w:t>teps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8" type="#_x0000_t202" style="position:absolute;margin-left:0;margin-top:-43.45pt;width:515.6pt;height:44.8pt;z-index:251826176;mso-position-horizontal:center;mso-position-horizontal-relative:margin" stroked="f">
            <v:textbox style="mso-next-textbox:#_x0000_s1108">
              <w:txbxContent>
                <w:p w:rsidR="000B450C" w:rsidRDefault="008B1A44" w:rsidP="008C66AB">
                  <w:pPr>
                    <w:pStyle w:val="Heading1"/>
                    <w:spacing w:before="100" w:beforeAutospacing="1"/>
                    <w:jc w:val="center"/>
                  </w:pPr>
                  <w:r>
                    <w:t xml:space="preserve">Outline of </w:t>
                  </w:r>
                  <w:r w:rsidR="000B450C">
                    <w:t>DEQ’s Toxics Reduction Strategy Work with St</w:t>
                  </w:r>
                  <w:r w:rsidR="000B450C" w:rsidRPr="002B5B74">
                    <w:t>akeholder</w:t>
                  </w:r>
                  <w:r w:rsidR="000B450C">
                    <w:t>s</w:t>
                  </w:r>
                </w:p>
              </w:txbxContent>
            </v:textbox>
            <w10:wrap anchorx="margin"/>
          </v:shape>
        </w:pict>
      </w:r>
    </w:p>
    <w:p w:rsidR="00012DCE" w:rsidRDefault="00FC433A">
      <w:r>
        <w:rPr>
          <w:noProof/>
        </w:rPr>
        <w:pict>
          <v:rect id="_x0000_s1035" style="position:absolute;margin-left:19.5pt;margin-top:18.45pt;width:116.5pt;height:42.95pt;z-index:251831296" o:regroupid="1" fillcolor="#feb686 [1940]" strokecolor="#fe8637 [3204]" strokeweight="1pt">
            <v:fill color2="#fe8637 [3204]" focus="50%" type="gradient"/>
            <v:shadow on="t" type="perspective" color="#983d00 [1604]" offset="1pt" offset2="-3pt"/>
            <v:textbox style="mso-next-textbox:#_x0000_s1035">
              <w:txbxContent>
                <w:p w:rsidR="000B450C" w:rsidRPr="0084622A" w:rsidRDefault="000B450C" w:rsidP="00313DE7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Work of WQS/ NPDES Workgroup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565.7pt;margin-top:23.65pt;width:91.55pt;height:42.7pt;z-index:251828224" o:regroupid="1" fillcolor="#adb0b5 [1945]" strokecolor="#777c84 [3209]" strokeweight="1pt">
            <v:fill color2="#777c84 [3209]" focus="50%" type="gradient"/>
            <v:shadow on="t" type="perspective" color="#3b3d41 [1609]" offset="1pt" offset2="-3pt"/>
            <v:textbox style="mso-next-textbox:#_x0000_s1030">
              <w:txbxContent>
                <w:p w:rsidR="000B450C" w:rsidRPr="0084622A" w:rsidRDefault="000B450C" w:rsidP="00942996">
                  <w:pPr>
                    <w:jc w:val="center"/>
                    <w:rPr>
                      <w:color w:val="FFFFFF" w:themeColor="background1"/>
                    </w:rPr>
                  </w:pPr>
                  <w:r w:rsidRPr="0084622A">
                    <w:rPr>
                      <w:color w:val="FFFFFF" w:themeColor="background1"/>
                    </w:rPr>
                    <w:t>W</w:t>
                  </w:r>
                  <w:r>
                    <w:rPr>
                      <w:color w:val="FFFFFF" w:themeColor="background1"/>
                    </w:rPr>
                    <w:t>ork of Stakeholders</w:t>
                  </w:r>
                </w:p>
              </w:txbxContent>
            </v:textbox>
          </v:rect>
        </w:pict>
      </w:r>
    </w:p>
    <w:p w:rsidR="00942996" w:rsidRDefault="00942996"/>
    <w:p w:rsidR="00942996" w:rsidRDefault="00FC433A">
      <w:r>
        <w:rPr>
          <w:noProof/>
        </w:rPr>
        <w:pict>
          <v:roundrect id="_x0000_s1039" style="position:absolute;margin-left:198.05pt;margin-top:5.35pt;width:316.8pt;height:54pt;z-index:251833344" arcsize="10923f" o:regroupid="1" fillcolor="white [3201]" strokecolor="#7598d9 [3205]" strokeweight="2.5pt">
            <v:shadow color="#868686"/>
            <v:textbox style="mso-next-textbox:#_x0000_s1039">
              <w:txbxContent>
                <w:p w:rsidR="000B450C" w:rsidRPr="00C24E70" w:rsidRDefault="000B450C" w:rsidP="00012DC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942167">
                    <w:rPr>
                      <w:b/>
                      <w:sz w:val="20"/>
                      <w:szCs w:val="20"/>
                      <w:u w:val="single"/>
                    </w:rPr>
                    <w:t>Identify Pollutant List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C24E70">
                    <w:rPr>
                      <w:i/>
                      <w:sz w:val="16"/>
                      <w:szCs w:val="16"/>
                    </w:rPr>
                    <w:t>Target Date: May 30, 2009</w:t>
                  </w:r>
                </w:p>
                <w:p w:rsidR="000B450C" w:rsidRDefault="000B450C" w:rsidP="000434E9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16"/>
                      <w:szCs w:val="16"/>
                    </w:rPr>
                  </w:pPr>
                  <w:r w:rsidRPr="00AA5B88">
                    <w:rPr>
                      <w:sz w:val="16"/>
                      <w:szCs w:val="16"/>
                    </w:rPr>
                    <w:t>DEQ cross-media</w:t>
                  </w:r>
                  <w:r>
                    <w:rPr>
                      <w:sz w:val="16"/>
                      <w:szCs w:val="16"/>
                    </w:rPr>
                    <w:t xml:space="preserve"> effort to develop initial list of Agency priority pollutants</w:t>
                  </w:r>
                </w:p>
                <w:p w:rsidR="000B450C" w:rsidRPr="00C24E70" w:rsidRDefault="000B450C" w:rsidP="00C24E70">
                  <w:pPr>
                    <w:pStyle w:val="ListParagraph"/>
                    <w:numPr>
                      <w:ilvl w:val="0"/>
                      <w:numId w:val="12"/>
                    </w:numPr>
                    <w:spacing w:after="1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DEQ w</w:t>
                  </w:r>
                  <w:r w:rsidRPr="000434E9">
                    <w:rPr>
                      <w:sz w:val="16"/>
                      <w:szCs w:val="16"/>
                    </w:rPr>
                    <w:t>ill consider existing Agency “Priority” lists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29" style="position:absolute;margin-left:1025.95pt;margin-top:15.9pt;width:208.5pt;height:63.9pt;z-index:251749376" fillcolor="white [3201]" strokecolor="#777c84 [3209]" strokeweight="2.5pt">
            <v:shadow color="#868686"/>
            <v:textbox style="mso-next-textbox:#_x0000_s1029">
              <w:txbxContent>
                <w:p w:rsidR="000B450C" w:rsidRPr="00A5329C" w:rsidRDefault="000B450C" w:rsidP="00942996">
                  <w:pPr>
                    <w:pStyle w:val="NoSpacing"/>
                    <w:rPr>
                      <w:b/>
                      <w:color w:val="002060"/>
                      <w:sz w:val="16"/>
                      <w:szCs w:val="16"/>
                    </w:rPr>
                  </w:pPr>
                  <w:r w:rsidRPr="00A5329C">
                    <w:rPr>
                      <w:b/>
                      <w:color w:val="002060"/>
                      <w:sz w:val="16"/>
                      <w:szCs w:val="16"/>
                    </w:rPr>
                    <w:t>Pollutant Subgroups</w:t>
                  </w:r>
                </w:p>
                <w:p w:rsidR="000B450C" w:rsidRDefault="000B450C" w:rsidP="00942996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313DE7">
                    <w:rPr>
                      <w:sz w:val="16"/>
                      <w:szCs w:val="16"/>
                    </w:rPr>
                    <w:t xml:space="preserve">Identifying where pollutants originate </w:t>
                  </w:r>
                </w:p>
                <w:p w:rsidR="000B450C" w:rsidRPr="00313DE7" w:rsidRDefault="000B450C" w:rsidP="00942996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Identifying h</w:t>
                  </w:r>
                  <w:r w:rsidRPr="00313DE7">
                    <w:rPr>
                      <w:sz w:val="16"/>
                      <w:szCs w:val="16"/>
                    </w:rPr>
                    <w:t>ow pollutants travel to/from</w:t>
                  </w:r>
                  <w:r>
                    <w:rPr>
                      <w:sz w:val="16"/>
                      <w:szCs w:val="16"/>
                    </w:rPr>
                    <w:t xml:space="preserve"> locations in environment</w:t>
                  </w:r>
                </w:p>
                <w:p w:rsidR="000B450C" w:rsidRPr="0084622A" w:rsidRDefault="000B450C" w:rsidP="00942996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84622A">
                    <w:rPr>
                      <w:sz w:val="16"/>
                      <w:szCs w:val="16"/>
                    </w:rPr>
                    <w:t>People who have technical expertise</w:t>
                  </w:r>
                </w:p>
              </w:txbxContent>
            </v:textbox>
          </v:rect>
        </w:pict>
      </w:r>
    </w:p>
    <w:p w:rsidR="00012DCE" w:rsidRDefault="00FC433A">
      <w:r>
        <w:rPr>
          <w:noProof/>
        </w:rPr>
        <w:pict>
          <v:roundrect id="_x0000_s1038" style="position:absolute;margin-left:-2.25pt;margin-top:9.55pt;width:159.5pt;height:191.25pt;z-index:251832320" arcsize="10923f" o:regroupid="1" fillcolor="white [3201]" strokecolor="#fe8637 [3204]" strokeweight="2.5pt">
            <v:shadow color="#868686"/>
            <v:textbox style="mso-next-textbox:#_x0000_s1038">
              <w:txbxContent>
                <w:p w:rsidR="000B450C" w:rsidRPr="00360D19" w:rsidRDefault="000B450C" w:rsidP="00360D19">
                  <w:pPr>
                    <w:spacing w:after="0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360D19">
                    <w:rPr>
                      <w:b/>
                      <w:sz w:val="16"/>
                      <w:szCs w:val="16"/>
                      <w:u w:val="single"/>
                    </w:rPr>
                    <w:t xml:space="preserve">WQS/NPDES </w:t>
                  </w:r>
                  <w:r>
                    <w:rPr>
                      <w:b/>
                      <w:sz w:val="16"/>
                      <w:szCs w:val="16"/>
                      <w:u w:val="single"/>
                    </w:rPr>
                    <w:t xml:space="preserve">Proposed </w:t>
                  </w:r>
                  <w:r w:rsidRPr="00360D19">
                    <w:rPr>
                      <w:b/>
                      <w:sz w:val="16"/>
                      <w:szCs w:val="16"/>
                      <w:u w:val="single"/>
                    </w:rPr>
                    <w:t>Rule</w:t>
                  </w:r>
                </w:p>
                <w:p w:rsidR="000B450C" w:rsidRDefault="000B450C" w:rsidP="00360D19">
                  <w:pPr>
                    <w:pStyle w:val="ListParagraph"/>
                    <w:spacing w:after="120"/>
                    <w:ind w:left="0"/>
                    <w:jc w:val="righ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Target Draft: November 2009</w:t>
                  </w:r>
                </w:p>
                <w:p w:rsidR="000B450C" w:rsidRPr="00360D19" w:rsidRDefault="000B450C" w:rsidP="00360D19">
                  <w:pPr>
                    <w:pStyle w:val="ListParagraph"/>
                    <w:spacing w:after="120"/>
                    <w:ind w:left="0"/>
                    <w:jc w:val="right"/>
                    <w:rPr>
                      <w:i/>
                      <w:sz w:val="16"/>
                      <w:szCs w:val="16"/>
                    </w:rPr>
                  </w:pPr>
                </w:p>
                <w:p w:rsidR="000B450C" w:rsidRDefault="000B450C" w:rsidP="00623964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Provide input on rule to revise human health criteria;</w:t>
                  </w:r>
                </w:p>
                <w:p w:rsidR="000B450C" w:rsidRPr="00623964" w:rsidRDefault="000B450C" w:rsidP="00623964">
                  <w:pPr>
                    <w:pStyle w:val="ListParagraph"/>
                    <w:ind w:left="360"/>
                    <w:rPr>
                      <w:sz w:val="16"/>
                      <w:szCs w:val="16"/>
                    </w:rPr>
                  </w:pPr>
                </w:p>
                <w:p w:rsidR="000B450C" w:rsidRDefault="000B450C" w:rsidP="006765E5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sz w:val="16"/>
                      <w:szCs w:val="16"/>
                    </w:rPr>
                  </w:pPr>
                  <w:r w:rsidRPr="006765E5">
                    <w:rPr>
                      <w:sz w:val="16"/>
                      <w:szCs w:val="16"/>
                    </w:rPr>
                    <w:t xml:space="preserve">Identify opportunities for NPDES permittees to reduce toxics at source or offset by reducing nonpoint sources; </w:t>
                  </w:r>
                </w:p>
                <w:p w:rsidR="000B450C" w:rsidRDefault="000B450C" w:rsidP="006765E5">
                  <w:pPr>
                    <w:pStyle w:val="ListParagraph"/>
                    <w:ind w:left="360"/>
                    <w:rPr>
                      <w:sz w:val="16"/>
                      <w:szCs w:val="16"/>
                    </w:rPr>
                  </w:pPr>
                </w:p>
                <w:p w:rsidR="000B450C" w:rsidRDefault="000B450C" w:rsidP="006765E5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  <w:r w:rsidRPr="006765E5">
                    <w:rPr>
                      <w:sz w:val="16"/>
                      <w:szCs w:val="16"/>
                    </w:rPr>
                    <w:t>dentify rules needed to allow these implementation strategies as alternative to WW treatment</w:t>
                  </w:r>
                  <w:r>
                    <w:rPr>
                      <w:sz w:val="16"/>
                      <w:szCs w:val="16"/>
                    </w:rPr>
                    <w:t>;</w:t>
                  </w:r>
                </w:p>
              </w:txbxContent>
            </v:textbox>
          </v:roundrect>
        </w:pict>
      </w:r>
    </w:p>
    <w:p w:rsidR="00C7768A" w:rsidRDefault="00FC433A"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2" type="#_x0000_t34" style="position:absolute;margin-left:401pt;margin-top:22.8pt;width:47pt;height:33pt;rotation:90;flip:x;z-index:251853824" o:connectortype="elbow" adj="21393,410269,-108322">
            <v:stroke startarrow="block" endarrow="block"/>
          </v:shape>
        </w:pict>
      </w:r>
      <w:r>
        <w:rPr>
          <w:noProof/>
        </w:rPr>
        <w:pict>
          <v:rect id="_x0000_s1034" style="position:absolute;margin-left:489.4pt;margin-top:15.8pt;width:215.15pt;height:64.95pt;z-index:251830272" o:regroupid="1" fillcolor="white [3201]" strokecolor="#777c84 [3209]" strokeweight="2.5pt">
            <v:shadow color="#868686"/>
            <v:textbox style="mso-next-textbox:#_x0000_s1034">
              <w:txbxContent>
                <w:p w:rsidR="000B450C" w:rsidRPr="00C97685" w:rsidRDefault="000B450C" w:rsidP="0084622A">
                  <w:pPr>
                    <w:pStyle w:val="NoSpacing"/>
                    <w:rPr>
                      <w:b/>
                      <w:color w:val="B32C16" w:themeColor="accent3"/>
                      <w:sz w:val="20"/>
                      <w:szCs w:val="20"/>
                    </w:rPr>
                  </w:pPr>
                  <w:r>
                    <w:rPr>
                      <w:b/>
                      <w:color w:val="B32C16" w:themeColor="accent3"/>
                      <w:sz w:val="20"/>
                      <w:szCs w:val="20"/>
                    </w:rPr>
                    <w:t xml:space="preserve">Toxics </w:t>
                  </w:r>
                  <w:r w:rsidRPr="00C97685">
                    <w:rPr>
                      <w:b/>
                      <w:color w:val="B32C16" w:themeColor="accent3"/>
                      <w:sz w:val="20"/>
                      <w:szCs w:val="20"/>
                    </w:rPr>
                    <w:t>Stakeholder Group</w:t>
                  </w:r>
                  <w:r>
                    <w:rPr>
                      <w:b/>
                      <w:color w:val="B32C16" w:themeColor="accent3"/>
                      <w:sz w:val="20"/>
                      <w:szCs w:val="20"/>
                    </w:rPr>
                    <w:t xml:space="preserve"> (TSG)</w:t>
                  </w:r>
                </w:p>
                <w:p w:rsidR="000B450C" w:rsidRDefault="000B450C" w:rsidP="00F14748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Comment on initial Agency list</w:t>
                  </w:r>
                  <w:r w:rsidRPr="00F1474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of priority pollutants</w:t>
                  </w:r>
                </w:p>
                <w:p w:rsidR="000B450C" w:rsidRPr="00F14748" w:rsidRDefault="000B450C" w:rsidP="00F14748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 w:rsidRPr="0084622A">
                    <w:rPr>
                      <w:sz w:val="16"/>
                      <w:szCs w:val="16"/>
                    </w:rPr>
                    <w:t xml:space="preserve">Refine membership of </w:t>
                  </w:r>
                  <w:r>
                    <w:rPr>
                      <w:sz w:val="16"/>
                      <w:szCs w:val="16"/>
                    </w:rPr>
                    <w:t>T</w:t>
                  </w:r>
                  <w:r w:rsidRPr="0084622A">
                    <w:rPr>
                      <w:sz w:val="16"/>
                      <w:szCs w:val="16"/>
                    </w:rPr>
                    <w:t>SG once know list of pollutants</w:t>
                  </w:r>
                </w:p>
              </w:txbxContent>
            </v:textbox>
          </v:rect>
        </w:pict>
      </w:r>
    </w:p>
    <w:p w:rsidR="00C7768A" w:rsidRPr="00C7768A" w:rsidRDefault="00C7768A" w:rsidP="00C7768A"/>
    <w:p w:rsidR="00C7768A" w:rsidRPr="00C7768A" w:rsidRDefault="00C7768A" w:rsidP="00C7768A"/>
    <w:p w:rsidR="00C7768A" w:rsidRDefault="00FC433A" w:rsidP="00C7768A">
      <w:r>
        <w:rPr>
          <w:noProof/>
        </w:rPr>
        <w:pict>
          <v:roundrect id="_x0000_s1040" style="position:absolute;margin-left:186.75pt;margin-top:12.65pt;width:316.8pt;height:54pt;z-index:251848704" arcsize="10923f" fillcolor="white [3201]" strokecolor="#7598d9 [3205]" strokeweight="2.5pt">
            <v:shadow color="#868686"/>
            <v:textbox style="mso-next-textbox:#_x0000_s1040">
              <w:txbxContent>
                <w:p w:rsidR="000B450C" w:rsidRPr="00C24E70" w:rsidRDefault="000B450C" w:rsidP="000434E9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sz w:val="20"/>
                      <w:szCs w:val="20"/>
                    </w:rPr>
                  </w:pPr>
                  <w:r w:rsidRPr="00942167">
                    <w:rPr>
                      <w:b/>
                      <w:sz w:val="20"/>
                      <w:szCs w:val="20"/>
                      <w:u w:val="single"/>
                    </w:rPr>
                    <w:t xml:space="preserve">Source Identification </w:t>
                  </w:r>
                  <w:r w:rsidRPr="00C24E70"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Pr="00C24E70">
                    <w:rPr>
                      <w:i/>
                      <w:sz w:val="16"/>
                      <w:szCs w:val="16"/>
                    </w:rPr>
                    <w:t>Target Date: July 30, 2009</w:t>
                  </w:r>
                </w:p>
                <w:p w:rsidR="000B450C" w:rsidRPr="000434E9" w:rsidRDefault="000B450C" w:rsidP="000434E9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DEQ will compile</w:t>
                  </w:r>
                  <w:r w:rsidRPr="000434E9">
                    <w:rPr>
                      <w:sz w:val="16"/>
                      <w:szCs w:val="16"/>
                    </w:rPr>
                    <w:t xml:space="preserve"> known information about sources of pollutants</w:t>
                  </w:r>
                </w:p>
                <w:p w:rsidR="000B450C" w:rsidRPr="00C24E70" w:rsidRDefault="000B450C" w:rsidP="00C24E70">
                  <w:pPr>
                    <w:pStyle w:val="ListParagraph"/>
                    <w:numPr>
                      <w:ilvl w:val="0"/>
                      <w:numId w:val="16"/>
                    </w:numPr>
                    <w:spacing w:after="120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0434E9">
                    <w:rPr>
                      <w:sz w:val="16"/>
                      <w:szCs w:val="16"/>
                    </w:rPr>
                    <w:t>DEQ provide overview of pathways of contamination, exposure</w:t>
                  </w:r>
                </w:p>
              </w:txbxContent>
            </v:textbox>
          </v:roundrect>
        </w:pict>
      </w:r>
    </w:p>
    <w:p w:rsidR="005D7A38" w:rsidRDefault="00C7768A" w:rsidP="00C7768A">
      <w:pPr>
        <w:tabs>
          <w:tab w:val="left" w:pos="3928"/>
        </w:tabs>
      </w:pPr>
      <w:r>
        <w:tab/>
      </w:r>
    </w:p>
    <w:p w:rsidR="0039038D" w:rsidRDefault="00FC433A" w:rsidP="00C7768A">
      <w:pPr>
        <w:tabs>
          <w:tab w:val="left" w:pos="3928"/>
        </w:tabs>
      </w:pPr>
      <w:r>
        <w:rPr>
          <w:noProof/>
        </w:rPr>
        <w:pict>
          <v:shape id="_x0000_s1113" type="#_x0000_t34" style="position:absolute;margin-left:405.25pt;margin-top:31.35pt;width:47pt;height:33pt;rotation:90;flip:x;z-index:251854848" o:connectortype="elbow" adj="21393,410269,-108322">
            <v:stroke startarrow="block" endarrow="block"/>
          </v:shape>
        </w:pict>
      </w:r>
      <w:r>
        <w:rPr>
          <w:noProof/>
        </w:rPr>
        <w:pict>
          <v:rect id="_x0000_s1057" style="position:absolute;margin-left:480.85pt;margin-top:24.35pt;width:234pt;height:63.15pt;z-index:251836416" o:regroupid="1" fillcolor="white [3201]" strokecolor="#777c84 [3209]" strokeweight="2.5pt">
            <v:shadow color="#868686"/>
            <v:textbox style="mso-next-textbox:#_x0000_s1057">
              <w:txbxContent>
                <w:p w:rsidR="000B450C" w:rsidRPr="00A5329C" w:rsidRDefault="000B450C" w:rsidP="00E14391">
                  <w:pPr>
                    <w:pStyle w:val="NoSpacing"/>
                    <w:rPr>
                      <w:b/>
                      <w:color w:val="002060"/>
                      <w:sz w:val="16"/>
                      <w:szCs w:val="16"/>
                    </w:rPr>
                  </w:pP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 xml:space="preserve">Pollutant </w:t>
                  </w:r>
                  <w:r>
                    <w:rPr>
                      <w:b/>
                      <w:color w:val="002060"/>
                      <w:sz w:val="20"/>
                      <w:szCs w:val="20"/>
                    </w:rPr>
                    <w:t xml:space="preserve">Category </w:t>
                  </w: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>Subgroups</w:t>
                  </w:r>
                </w:p>
                <w:p w:rsidR="000B450C" w:rsidRPr="00C97685" w:rsidRDefault="000B450C" w:rsidP="00C97685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People who have technical expertise in category</w:t>
                  </w:r>
                </w:p>
                <w:p w:rsidR="000B450C" w:rsidRDefault="000B450C" w:rsidP="00E14391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Identify where pollutants originate</w:t>
                  </w:r>
                </w:p>
                <w:p w:rsidR="000B450C" w:rsidRDefault="000B450C" w:rsidP="00E14391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Identify how pollutants travel to/from locations in environment</w:t>
                  </w:r>
                </w:p>
                <w:p w:rsidR="000B450C" w:rsidRDefault="000B450C"/>
              </w:txbxContent>
            </v:textbox>
          </v:rect>
        </w:pict>
      </w:r>
    </w:p>
    <w:p w:rsidR="0039038D" w:rsidRDefault="0039038D" w:rsidP="00C7768A">
      <w:pPr>
        <w:tabs>
          <w:tab w:val="left" w:pos="3928"/>
        </w:tabs>
      </w:pPr>
    </w:p>
    <w:p w:rsidR="0039038D" w:rsidRDefault="0039038D" w:rsidP="00C7768A">
      <w:pPr>
        <w:tabs>
          <w:tab w:val="left" w:pos="3928"/>
        </w:tabs>
      </w:pPr>
    </w:p>
    <w:p w:rsidR="0039038D" w:rsidRDefault="0039038D" w:rsidP="00C7768A">
      <w:pPr>
        <w:tabs>
          <w:tab w:val="left" w:pos="3928"/>
        </w:tabs>
      </w:pPr>
    </w:p>
    <w:p w:rsidR="00E3532D" w:rsidRDefault="00FC433A" w:rsidP="00C97685">
      <w:pPr>
        <w:rPr>
          <w:sz w:val="16"/>
          <w:szCs w:val="16"/>
        </w:rPr>
      </w:pPr>
      <w:r w:rsidRPr="00FC433A">
        <w:rPr>
          <w:noProof/>
        </w:rPr>
        <w:pict>
          <v:roundrect id="_x0000_s1111" style="position:absolute;margin-left:4.35pt;margin-top:12.2pt;width:146.65pt;height:52.5pt;z-index:251852800" arcsize="10923f" fillcolor="white [3201]" strokecolor="#fe8637 [3204]" strokeweight="2.5pt">
            <v:shadow color="#868686"/>
            <v:textbox style="mso-next-textbox:#_x0000_s1111">
              <w:txbxContent>
                <w:p w:rsidR="000B450C" w:rsidRPr="00771AFB" w:rsidRDefault="000B450C" w:rsidP="00771AFB">
                  <w:pPr>
                    <w:spacing w:after="0"/>
                    <w:rPr>
                      <w:i/>
                      <w:sz w:val="20"/>
                      <w:szCs w:val="20"/>
                    </w:rPr>
                  </w:pPr>
                  <w:r w:rsidRPr="00771AFB">
                    <w:rPr>
                      <w:b/>
                      <w:sz w:val="20"/>
                      <w:szCs w:val="20"/>
                    </w:rPr>
                    <w:t>WQS/NPDES Members</w:t>
                  </w:r>
                </w:p>
                <w:p w:rsidR="000B450C" w:rsidRPr="00C51A6B" w:rsidRDefault="000B450C" w:rsidP="00C51A6B">
                  <w:pPr>
                    <w:rPr>
                      <w:sz w:val="16"/>
                      <w:szCs w:val="16"/>
                    </w:rPr>
                  </w:pPr>
                  <w:r w:rsidRPr="00C51A6B">
                    <w:rPr>
                      <w:sz w:val="16"/>
                      <w:szCs w:val="16"/>
                    </w:rPr>
                    <w:t>Participate in pollutant category subgroups, as desired</w:t>
                  </w:r>
                </w:p>
              </w:txbxContent>
            </v:textbox>
          </v:roundrect>
        </w:pict>
      </w:r>
      <w:r>
        <w:rPr>
          <w:noProof/>
          <w:sz w:val="16"/>
          <w:szCs w:val="16"/>
        </w:rPr>
        <w:pict>
          <v:roundrect id="_x0000_s1041" style="position:absolute;margin-left:182.05pt;margin-top:.3pt;width:316.8pt;height:1in;z-index:251834368" arcsize="10923f" o:regroupid="1" fillcolor="white [3201]" strokecolor="#7598d9 [3205]" strokeweight="2.5pt">
            <v:shadow color="#868686"/>
            <v:textbox style="mso-next-textbox:#_x0000_s1041">
              <w:txbxContent>
                <w:p w:rsidR="000B450C" w:rsidRPr="00C24E70" w:rsidRDefault="000B450C" w:rsidP="00EF25C0">
                  <w:pPr>
                    <w:pStyle w:val="ListParagraph"/>
                    <w:numPr>
                      <w:ilvl w:val="0"/>
                      <w:numId w:val="6"/>
                    </w:numPr>
                    <w:spacing w:after="0"/>
                    <w:rPr>
                      <w:i/>
                      <w:sz w:val="16"/>
                      <w:szCs w:val="16"/>
                    </w:rPr>
                  </w:pPr>
                  <w:r w:rsidRPr="00942167">
                    <w:rPr>
                      <w:b/>
                      <w:sz w:val="20"/>
                      <w:szCs w:val="20"/>
                      <w:u w:val="single"/>
                    </w:rPr>
                    <w:t>Inventory of Current Strategies</w:t>
                  </w:r>
                  <w:r w:rsidRPr="00C24E70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C24E70">
                    <w:rPr>
                      <w:i/>
                      <w:sz w:val="16"/>
                      <w:szCs w:val="16"/>
                    </w:rPr>
                    <w:t>Target Date: Oct</w:t>
                  </w:r>
                  <w:r>
                    <w:rPr>
                      <w:i/>
                      <w:sz w:val="16"/>
                      <w:szCs w:val="16"/>
                    </w:rPr>
                    <w:t xml:space="preserve"> 30, 20</w:t>
                  </w:r>
                  <w:r w:rsidRPr="00C24E70">
                    <w:rPr>
                      <w:i/>
                      <w:sz w:val="16"/>
                      <w:szCs w:val="16"/>
                    </w:rPr>
                    <w:t>09</w:t>
                  </w:r>
                </w:p>
                <w:p w:rsidR="000B450C" w:rsidRDefault="000B450C" w:rsidP="00A30A42">
                  <w:pPr>
                    <w:pStyle w:val="ListParagraph"/>
                    <w:numPr>
                      <w:ilvl w:val="0"/>
                      <w:numId w:val="19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A30A42">
                    <w:rPr>
                      <w:sz w:val="16"/>
                      <w:szCs w:val="16"/>
                    </w:rPr>
                    <w:t xml:space="preserve">DEQ will develop initial state-wide inventory of toxics reduction programs and activities </w:t>
                  </w:r>
                </w:p>
                <w:p w:rsidR="000B450C" w:rsidRPr="00C24E70" w:rsidRDefault="000B450C" w:rsidP="00C24E70">
                  <w:pPr>
                    <w:pStyle w:val="ListParagraph"/>
                    <w:numPr>
                      <w:ilvl w:val="0"/>
                      <w:numId w:val="19"/>
                    </w:numPr>
                    <w:spacing w:after="1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Initial evaluation of current regulatory, voluntary and incentive-based program for their effectiveness and for gaps</w:t>
                  </w:r>
                </w:p>
              </w:txbxContent>
            </v:textbox>
          </v:roundrect>
        </w:pict>
      </w:r>
    </w:p>
    <w:p w:rsidR="00C97685" w:rsidRPr="00C7768A" w:rsidRDefault="00FC433A" w:rsidP="00C97685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margin-left:151pt;margin-top:18.1pt;width:31.05pt;height:0;z-index:251855872" o:connectortype="straight">
            <v:stroke startarrow="block" endarrow="block"/>
          </v:shape>
        </w:pict>
      </w:r>
    </w:p>
    <w:p w:rsidR="0039038D" w:rsidRDefault="00FC433A">
      <w:r>
        <w:rPr>
          <w:noProof/>
        </w:rPr>
        <w:pict>
          <v:rect id="_x0000_s1031" style="position:absolute;margin-left:473.9pt;margin-top:43.2pt;width:240.95pt;height:66pt;z-index:251829248" o:regroupid="1" fillcolor="white [3201]" strokecolor="#777c84 [3209]" strokeweight="2.5pt">
            <v:shadow color="#868686"/>
            <v:textbox style="mso-next-textbox:#_x0000_s1031">
              <w:txbxContent>
                <w:p w:rsidR="000B450C" w:rsidRPr="00F14748" w:rsidRDefault="000B450C" w:rsidP="00F14748">
                  <w:pPr>
                    <w:pStyle w:val="NoSpacing"/>
                    <w:rPr>
                      <w:b/>
                      <w:color w:val="002060"/>
                      <w:sz w:val="20"/>
                      <w:szCs w:val="20"/>
                    </w:rPr>
                  </w:pP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 xml:space="preserve">Pollutant </w:t>
                  </w:r>
                  <w:r>
                    <w:rPr>
                      <w:b/>
                      <w:color w:val="002060"/>
                      <w:sz w:val="20"/>
                      <w:szCs w:val="20"/>
                    </w:rPr>
                    <w:t xml:space="preserve">Category </w:t>
                  </w: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 xml:space="preserve">Subgroups </w:t>
                  </w:r>
                </w:p>
                <w:p w:rsidR="000B450C" w:rsidRDefault="000B450C" w:rsidP="00F14748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People with knowledge of regulations and policies </w:t>
                  </w:r>
                </w:p>
                <w:p w:rsidR="000B450C" w:rsidRDefault="000B450C" w:rsidP="00313DE7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Programmatic review based on pollutant categories</w:t>
                  </w:r>
                </w:p>
                <w:p w:rsidR="000B450C" w:rsidRDefault="000B450C" w:rsidP="00313DE7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Contribute to evaluation of effectiveness of current programs and gaps</w:t>
                  </w:r>
                </w:p>
                <w:p w:rsidR="000B450C" w:rsidRDefault="000B450C"/>
              </w:txbxContent>
            </v:textbox>
          </v:rect>
        </w:pict>
      </w:r>
      <w:r>
        <w:rPr>
          <w:noProof/>
        </w:rPr>
        <w:pict>
          <v:shape id="_x0000_s1080" type="#_x0000_t34" style="position:absolute;margin-left:401pt;margin-top:46.15pt;width:47pt;height:33pt;rotation:90;flip:x;z-index:251841536" o:connectortype="elbow" o:regroupid="1" adj="21393,410269,-108322">
            <v:stroke startarrow="block" endarrow="block"/>
          </v:shape>
        </w:pict>
      </w:r>
      <w:r w:rsidR="0039038D">
        <w:br w:type="page"/>
      </w:r>
    </w:p>
    <w:p w:rsidR="004C5B24" w:rsidRPr="0084622A" w:rsidRDefault="004C5B24" w:rsidP="004C5B24">
      <w:pPr>
        <w:jc w:val="center"/>
        <w:rPr>
          <w:color w:val="FFFFFF" w:themeColor="background1"/>
        </w:rPr>
      </w:pPr>
      <w:r>
        <w:rPr>
          <w:color w:val="FFFFFF" w:themeColor="background1"/>
        </w:rPr>
        <w:lastRenderedPageBreak/>
        <w:t xml:space="preserve">Toxics Reduction Strategy </w:t>
      </w:r>
      <w:r w:rsidRPr="0084622A">
        <w:rPr>
          <w:color w:val="FFFFFF" w:themeColor="background1"/>
        </w:rPr>
        <w:t>S</w:t>
      </w:r>
      <w:r>
        <w:rPr>
          <w:color w:val="FFFFFF" w:themeColor="background1"/>
        </w:rPr>
        <w:t>teps</w:t>
      </w:r>
    </w:p>
    <w:p w:rsidR="004C5B24" w:rsidRPr="0084622A" w:rsidRDefault="00FC433A" w:rsidP="004C5B24">
      <w:pPr>
        <w:jc w:val="center"/>
        <w:rPr>
          <w:color w:val="FFFFFF" w:themeColor="background1"/>
        </w:rPr>
      </w:pPr>
      <w:r w:rsidRPr="00FC433A">
        <w:rPr>
          <w:noProof/>
        </w:rPr>
        <w:pict>
          <v:roundrect id="_x0000_s1042" style="position:absolute;left:0;text-align:left;margin-left:186.3pt;margin-top:17.55pt;width:316.8pt;height:81.75pt;z-index:251849728" arcsize="10923f" fillcolor="white [3201]" strokecolor="#7598d9 [3205]" strokeweight="2.5pt">
            <v:shadow color="#868686"/>
            <v:textbox style="mso-next-textbox:#_x0000_s1042">
              <w:txbxContent>
                <w:p w:rsidR="000B450C" w:rsidRPr="00942167" w:rsidRDefault="000B450C" w:rsidP="00A30A42">
                  <w:pPr>
                    <w:pStyle w:val="ListParagraph"/>
                    <w:numPr>
                      <w:ilvl w:val="0"/>
                      <w:numId w:val="8"/>
                    </w:numPr>
                    <w:spacing w:after="0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942167">
                    <w:rPr>
                      <w:b/>
                      <w:sz w:val="20"/>
                      <w:szCs w:val="20"/>
                      <w:u w:val="single"/>
                    </w:rPr>
                    <w:t>Identify New Toxics Reduction Opportunities</w:t>
                  </w:r>
                </w:p>
                <w:p w:rsidR="000B450C" w:rsidRPr="00C24E70" w:rsidRDefault="000B450C" w:rsidP="00C24E70">
                  <w:pPr>
                    <w:spacing w:after="120"/>
                    <w:jc w:val="right"/>
                    <w:rPr>
                      <w:i/>
                      <w:sz w:val="16"/>
                      <w:szCs w:val="16"/>
                    </w:rPr>
                  </w:pPr>
                  <w:r w:rsidRPr="00C24E70">
                    <w:rPr>
                      <w:i/>
                      <w:sz w:val="16"/>
                      <w:szCs w:val="16"/>
                    </w:rPr>
                    <w:t>Target Date: November 30, 2009</w:t>
                  </w:r>
                </w:p>
                <w:p w:rsidR="000B450C" w:rsidRDefault="000B450C" w:rsidP="003608C7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DEQ will propose new toxics reduction opportunities to address gaps</w:t>
                  </w:r>
                </w:p>
                <w:p w:rsidR="000B450C" w:rsidRPr="003608C7" w:rsidRDefault="000B450C" w:rsidP="003608C7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  <w:rPr>
                      <w:sz w:val="16"/>
                      <w:szCs w:val="16"/>
                    </w:rPr>
                  </w:pPr>
                  <w:r w:rsidRPr="003608C7">
                    <w:rPr>
                      <w:sz w:val="16"/>
                      <w:szCs w:val="16"/>
                    </w:rPr>
                    <w:t>DEQ will evaluate its existing authorities to address identified gaps, and whether any new authorities are needed</w:t>
                  </w:r>
                </w:p>
              </w:txbxContent>
            </v:textbox>
          </v:roundrect>
        </w:pict>
      </w:r>
      <w:r w:rsidR="004C5B24">
        <w:rPr>
          <w:color w:val="FFFFFF" w:themeColor="background1"/>
        </w:rPr>
        <w:t xml:space="preserve">Toxics Reduction Strategy </w:t>
      </w:r>
      <w:r w:rsidR="004C5B24" w:rsidRPr="0084622A">
        <w:rPr>
          <w:color w:val="FFFFFF" w:themeColor="background1"/>
        </w:rPr>
        <w:t>S</w:t>
      </w:r>
      <w:r w:rsidR="004C5B24">
        <w:rPr>
          <w:color w:val="FFFFFF" w:themeColor="background1"/>
        </w:rPr>
        <w:t>teps</w:t>
      </w:r>
    </w:p>
    <w:p w:rsidR="004C5B24" w:rsidRPr="0084622A" w:rsidRDefault="004C5B24" w:rsidP="004C5B24">
      <w:pPr>
        <w:jc w:val="center"/>
        <w:rPr>
          <w:color w:val="FFFFFF" w:themeColor="background1"/>
        </w:rPr>
      </w:pPr>
      <w:r w:rsidRPr="0084622A">
        <w:rPr>
          <w:color w:val="FFFFFF" w:themeColor="background1"/>
        </w:rPr>
        <w:t>S</w:t>
      </w:r>
      <w:r>
        <w:rPr>
          <w:color w:val="FFFFFF" w:themeColor="background1"/>
        </w:rPr>
        <w:t>teps</w:t>
      </w:r>
    </w:p>
    <w:p w:rsidR="004C5B24" w:rsidRPr="0084622A" w:rsidRDefault="004C5B24" w:rsidP="004C5B24">
      <w:pPr>
        <w:jc w:val="center"/>
        <w:rPr>
          <w:color w:val="FFFFFF" w:themeColor="background1"/>
        </w:rPr>
      </w:pPr>
      <w:r>
        <w:rPr>
          <w:color w:val="FFFFFF" w:themeColor="background1"/>
        </w:rPr>
        <w:t xml:space="preserve">Toxics Reduction Strategy </w:t>
      </w:r>
      <w:r w:rsidRPr="0084622A">
        <w:rPr>
          <w:color w:val="FFFFFF" w:themeColor="background1"/>
        </w:rPr>
        <w:t>S</w:t>
      </w:r>
      <w:r>
        <w:rPr>
          <w:color w:val="FFFFFF" w:themeColor="background1"/>
        </w:rPr>
        <w:t>teps</w:t>
      </w:r>
    </w:p>
    <w:p w:rsidR="0039038D" w:rsidRPr="00C7768A" w:rsidRDefault="00FC433A" w:rsidP="00C7768A">
      <w:pPr>
        <w:tabs>
          <w:tab w:val="left" w:pos="3928"/>
        </w:tabs>
      </w:pPr>
      <w:r>
        <w:rPr>
          <w:noProof/>
        </w:rPr>
        <w:pict>
          <v:shape id="_x0000_s1105" type="#_x0000_t32" style="position:absolute;margin-left:122.25pt;margin-top:200.65pt;width:58.85pt;height:0;z-index:251824128" o:connectortype="straight">
            <v:stroke startarrow="block" endarrow="block"/>
          </v:shape>
        </w:pict>
      </w:r>
      <w:r>
        <w:rPr>
          <w:noProof/>
        </w:rPr>
        <w:pict>
          <v:roundrect id="_x0000_s1102" style="position:absolute;margin-left:36.65pt;margin-top:145.45pt;width:85.6pt;height:103.95pt;z-index:251821056" arcsize="10923f" fillcolor="white [3201]" strokecolor="#fe8637 [3204]" strokeweight="2.5pt">
            <v:shadow color="#868686"/>
            <v:textbox style="mso-next-textbox:#_x0000_s1102">
              <w:txbxContent>
                <w:p w:rsidR="000B450C" w:rsidRDefault="000B450C" w:rsidP="006765E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Review need to r</w:t>
                  </w:r>
                  <w:r w:rsidRPr="005010FD">
                    <w:rPr>
                      <w:sz w:val="16"/>
                      <w:szCs w:val="16"/>
                    </w:rPr>
                    <w:t>evise WQS</w:t>
                  </w:r>
                  <w:r>
                    <w:rPr>
                      <w:sz w:val="16"/>
                      <w:szCs w:val="16"/>
                    </w:rPr>
                    <w:t>/ NPDES</w:t>
                  </w:r>
                  <w:r w:rsidRPr="005010FD">
                    <w:rPr>
                      <w:sz w:val="16"/>
                      <w:szCs w:val="16"/>
                    </w:rPr>
                    <w:t xml:space="preserve"> rules where need</w:t>
                  </w:r>
                  <w:r>
                    <w:rPr>
                      <w:sz w:val="16"/>
                      <w:szCs w:val="16"/>
                    </w:rPr>
                    <w:t xml:space="preserve">ed (may or may not be current Rulemaking Workgroup)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margin-left:181.1pt;margin-top:343.35pt;width:316.8pt;height:87.55pt;z-index:251851776" arcsize="10923f" fillcolor="white [3201]" strokecolor="#7598d9 [3205]" strokeweight="2.5pt">
            <v:shadow color="#868686"/>
            <v:textbox style="mso-next-textbox:#_x0000_s1043">
              <w:txbxContent>
                <w:p w:rsidR="000B450C" w:rsidRDefault="000B450C" w:rsidP="00D52AC2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D52AC2">
                    <w:rPr>
                      <w:b/>
                      <w:sz w:val="20"/>
                      <w:szCs w:val="20"/>
                      <w:u w:val="single"/>
                    </w:rPr>
                    <w:t>Refine Strategy, Implement Recommendations</w:t>
                  </w:r>
                </w:p>
                <w:p w:rsidR="000B450C" w:rsidRPr="00771AFB" w:rsidRDefault="000B450C" w:rsidP="00771AFB">
                  <w:pPr>
                    <w:pStyle w:val="ListParagraph"/>
                    <w:spacing w:after="120" w:line="360" w:lineRule="auto"/>
                    <w:ind w:left="360"/>
                    <w:jc w:val="right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Refine</w:t>
                  </w:r>
                  <w:r w:rsidRPr="00A733FD">
                    <w:rPr>
                      <w:i/>
                      <w:sz w:val="16"/>
                      <w:szCs w:val="16"/>
                    </w:rPr>
                    <w:t xml:space="preserve"> Strategy: </w:t>
                  </w:r>
                  <w:r>
                    <w:rPr>
                      <w:i/>
                      <w:sz w:val="16"/>
                      <w:szCs w:val="16"/>
                    </w:rPr>
                    <w:t>2010</w:t>
                  </w:r>
                </w:p>
                <w:p w:rsidR="000B450C" w:rsidRPr="00771AFB" w:rsidRDefault="000B450C" w:rsidP="00771AFB">
                  <w:pPr>
                    <w:pStyle w:val="NoSpacing"/>
                    <w:numPr>
                      <w:ilvl w:val="0"/>
                      <w:numId w:val="28"/>
                    </w:numPr>
                    <w:rPr>
                      <w:sz w:val="16"/>
                      <w:szCs w:val="16"/>
                    </w:rPr>
                  </w:pPr>
                  <w:r w:rsidRPr="00771AFB">
                    <w:rPr>
                      <w:sz w:val="16"/>
                      <w:szCs w:val="16"/>
                    </w:rPr>
                    <w:t xml:space="preserve">DEQ will work with </w:t>
                  </w:r>
                  <w:r>
                    <w:rPr>
                      <w:sz w:val="16"/>
                      <w:szCs w:val="16"/>
                    </w:rPr>
                    <w:t>o</w:t>
                  </w:r>
                  <w:r w:rsidRPr="00771AFB">
                    <w:rPr>
                      <w:sz w:val="16"/>
                      <w:szCs w:val="16"/>
                    </w:rPr>
                    <w:t>ther entities as appropriate</w:t>
                  </w:r>
                </w:p>
                <w:p w:rsidR="000B450C" w:rsidRPr="0084622A" w:rsidRDefault="000B450C" w:rsidP="00771AFB">
                  <w:pPr>
                    <w:pStyle w:val="NoSpacing"/>
                    <w:numPr>
                      <w:ilvl w:val="0"/>
                      <w:numId w:val="28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Additional workgroups may be formed with interested stakeholders to develop and put in place recommended rules and programs</w:t>
                  </w:r>
                </w:p>
                <w:p w:rsidR="000B450C" w:rsidRPr="00D52AC2" w:rsidRDefault="000B450C" w:rsidP="00623964">
                  <w:pPr>
                    <w:pStyle w:val="ListParagraph"/>
                    <w:ind w:left="360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87" type="#_x0000_t34" style="position:absolute;margin-left:195.25pt;margin-top:378.6pt;width:49.25pt;height:30.55pt;z-index:251813888" o:connectortype="elbow" adj="-66,-387952,-105741">
            <v:stroke startarrow="block" endarrow="block"/>
          </v:shape>
        </w:pict>
      </w:r>
      <w:r>
        <w:rPr>
          <w:noProof/>
        </w:rPr>
        <w:pict>
          <v:rect id="_x0000_s1075" style="position:absolute;margin-left:480.4pt;margin-top:268pt;width:224.15pt;height:54.15pt;z-index:251801600" fillcolor="white [3201]" strokecolor="#777c84 [3209]" strokeweight="2.5pt">
            <v:shadow color="#868686"/>
            <v:textbox style="mso-next-textbox:#_x0000_s1075">
              <w:txbxContent>
                <w:p w:rsidR="000B450C" w:rsidRPr="00771AFB" w:rsidRDefault="000B450C" w:rsidP="0099448D">
                  <w:pPr>
                    <w:pStyle w:val="NoSpacing"/>
                    <w:rPr>
                      <w:b/>
                      <w:color w:val="002060"/>
                      <w:sz w:val="20"/>
                      <w:szCs w:val="20"/>
                    </w:rPr>
                  </w:pPr>
                  <w:r w:rsidRPr="00771AFB">
                    <w:rPr>
                      <w:b/>
                      <w:color w:val="002060"/>
                      <w:sz w:val="20"/>
                      <w:szCs w:val="20"/>
                    </w:rPr>
                    <w:t>Pollutant Category Subgroups</w:t>
                  </w:r>
                </w:p>
                <w:p w:rsidR="000B450C" w:rsidRDefault="000B450C" w:rsidP="0099448D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Rank recommendations</w:t>
                  </w:r>
                  <w:r w:rsidRPr="00F61CF6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into High/Medium/Low</w:t>
                  </w:r>
                </w:p>
                <w:p w:rsidR="000B450C" w:rsidRPr="0084622A" w:rsidRDefault="000B450C" w:rsidP="0099448D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Provide feedback to TSG for overlap and </w:t>
                  </w:r>
                  <w:r>
                    <w:rPr>
                      <w:sz w:val="16"/>
                      <w:szCs w:val="16"/>
                      <w:u w:val="single"/>
                    </w:rPr>
                    <w:t>overall</w:t>
                  </w:r>
                  <w:r>
                    <w:rPr>
                      <w:sz w:val="16"/>
                      <w:szCs w:val="16"/>
                    </w:rPr>
                    <w:t xml:space="preserve"> priority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6" type="#_x0000_t34" style="position:absolute;margin-left:420.4pt;margin-top:255.25pt;width:50.25pt;height:44.25pt;z-index:251812864" o:connectortype="elbow" adj="150,-204651,-101595">
            <v:stroke startarrow="block" endarrow="block"/>
          </v:shape>
        </w:pict>
      </w:r>
      <w:r>
        <w:rPr>
          <w:noProof/>
        </w:rPr>
        <w:pict>
          <v:shape id="_x0000_s1084" type="#_x0000_t34" style="position:absolute;margin-left:410.9pt;margin-top:37.25pt;width:56.55pt;height:48.9pt;rotation:90;flip:x;z-index:251810816" o:connectortype="elbow" adj="21657,353065,-86133">
            <v:stroke startarrow="block" endarrow="block"/>
          </v:shape>
        </w:pict>
      </w:r>
      <w:r>
        <w:rPr>
          <w:noProof/>
        </w:rPr>
        <w:pict>
          <v:rect id="_x0000_s1074" style="position:absolute;margin-left:470.65pt;margin-top:40.15pt;width:233.9pt;height:85.05pt;z-index:251800576" fillcolor="white [3201]" strokecolor="#777c84 [3209]" strokeweight="2.5pt">
            <v:shadow color="#868686"/>
            <v:textbox style="mso-next-textbox:#_x0000_s1074">
              <w:txbxContent>
                <w:p w:rsidR="000B450C" w:rsidRPr="00F14748" w:rsidRDefault="000B450C" w:rsidP="0099448D">
                  <w:pPr>
                    <w:pStyle w:val="NoSpacing"/>
                    <w:rPr>
                      <w:b/>
                      <w:color w:val="002060"/>
                      <w:sz w:val="20"/>
                      <w:szCs w:val="20"/>
                    </w:rPr>
                  </w:pP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 xml:space="preserve">Pollutant </w:t>
                  </w:r>
                  <w:r>
                    <w:rPr>
                      <w:b/>
                      <w:color w:val="002060"/>
                      <w:sz w:val="20"/>
                      <w:szCs w:val="20"/>
                    </w:rPr>
                    <w:t xml:space="preserve">Category </w:t>
                  </w:r>
                  <w:r w:rsidRPr="00F14748">
                    <w:rPr>
                      <w:b/>
                      <w:color w:val="002060"/>
                      <w:sz w:val="20"/>
                      <w:szCs w:val="20"/>
                    </w:rPr>
                    <w:t xml:space="preserve">Subgroups </w:t>
                  </w:r>
                </w:p>
                <w:p w:rsidR="000B450C" w:rsidRPr="00E3532D" w:rsidRDefault="000B450C" w:rsidP="00A733FD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Identify </w:t>
                  </w:r>
                  <w:r w:rsidRPr="00A30A42">
                    <w:rPr>
                      <w:sz w:val="16"/>
                      <w:szCs w:val="16"/>
                      <w:u w:val="single"/>
                    </w:rPr>
                    <w:t>new</w:t>
                  </w:r>
                  <w:r>
                    <w:rPr>
                      <w:sz w:val="16"/>
                      <w:szCs w:val="16"/>
                    </w:rPr>
                    <w:t xml:space="preserve"> toxics reduction opportunities to address identified gaps</w:t>
                  </w:r>
                </w:p>
                <w:p w:rsidR="000B450C" w:rsidRDefault="000B450C" w:rsidP="00A733FD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Build on and provide feedback on new toxics reduction opportunities to address gaps</w:t>
                  </w:r>
                </w:p>
                <w:p w:rsidR="000B450C" w:rsidRDefault="000B450C" w:rsidP="00A733FD">
                  <w:pPr>
                    <w:pStyle w:val="NoSpacing"/>
                    <w:numPr>
                      <w:ilvl w:val="0"/>
                      <w:numId w:val="9"/>
                    </w:num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Determine whether there are existing legal authorities to implement new reduction opportunities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54" style="position:absolute;margin-left:181.1pt;margin-top:139.9pt;width:316.8pt;height:109.5pt;z-index:251850752" arcsize="10923f" fillcolor="white [3201]" strokecolor="#7598d9 [3205]" strokeweight="2.5pt">
            <v:shadow color="#868686"/>
            <v:textbox style="mso-next-textbox:#_x0000_s1054">
              <w:txbxContent>
                <w:p w:rsidR="000B450C" w:rsidRPr="00A733FD" w:rsidRDefault="000B450C" w:rsidP="00A733FD">
                  <w:pPr>
                    <w:pStyle w:val="ListParagraph"/>
                    <w:numPr>
                      <w:ilvl w:val="0"/>
                      <w:numId w:val="8"/>
                    </w:numPr>
                    <w:spacing w:after="120"/>
                    <w:rPr>
                      <w:i/>
                      <w:sz w:val="16"/>
                      <w:szCs w:val="16"/>
                    </w:rPr>
                  </w:pPr>
                  <w:r w:rsidRPr="00A733FD">
                    <w:rPr>
                      <w:b/>
                      <w:sz w:val="20"/>
                      <w:szCs w:val="20"/>
                      <w:u w:val="single"/>
                    </w:rPr>
                    <w:t>Develop Draft Recommendations</w:t>
                  </w:r>
                </w:p>
                <w:p w:rsidR="000B450C" w:rsidRPr="00A733FD" w:rsidRDefault="000B450C" w:rsidP="001B77F7">
                  <w:pPr>
                    <w:pStyle w:val="ListParagraph"/>
                    <w:spacing w:after="120" w:line="360" w:lineRule="auto"/>
                    <w:ind w:left="360"/>
                    <w:rPr>
                      <w:i/>
                      <w:sz w:val="16"/>
                      <w:szCs w:val="16"/>
                    </w:rPr>
                  </w:pPr>
                  <w:r w:rsidRPr="00A733FD">
                    <w:rPr>
                      <w:b/>
                      <w:sz w:val="20"/>
                      <w:szCs w:val="20"/>
                    </w:rPr>
                    <w:tab/>
                  </w:r>
                  <w:r w:rsidRPr="00A733FD">
                    <w:rPr>
                      <w:b/>
                      <w:sz w:val="20"/>
                      <w:szCs w:val="20"/>
                    </w:rPr>
                    <w:tab/>
                  </w:r>
                  <w:r w:rsidRPr="00A733FD">
                    <w:rPr>
                      <w:b/>
                      <w:sz w:val="20"/>
                      <w:szCs w:val="20"/>
                    </w:rPr>
                    <w:tab/>
                  </w:r>
                  <w:r w:rsidRPr="00A733FD">
                    <w:rPr>
                      <w:b/>
                      <w:sz w:val="20"/>
                      <w:szCs w:val="20"/>
                    </w:rPr>
                    <w:tab/>
                  </w:r>
                  <w:r w:rsidRPr="00A733FD">
                    <w:rPr>
                      <w:i/>
                      <w:sz w:val="16"/>
                      <w:szCs w:val="16"/>
                    </w:rPr>
                    <w:t>Draft Strategy: December 31, 2009</w:t>
                  </w:r>
                </w:p>
                <w:p w:rsidR="000B450C" w:rsidRDefault="000B450C" w:rsidP="001B77F7">
                  <w:pPr>
                    <w:pStyle w:val="ListParagraph"/>
                    <w:numPr>
                      <w:ilvl w:val="0"/>
                      <w:numId w:val="23"/>
                    </w:numPr>
                    <w:spacing w:after="12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DEQ will draft implementation recommendations for integrated toxics reduction activities</w:t>
                  </w:r>
                </w:p>
                <w:p w:rsidR="000B450C" w:rsidRDefault="000B450C" w:rsidP="001B77F7">
                  <w:pPr>
                    <w:pStyle w:val="ListParagraph"/>
                    <w:numPr>
                      <w:ilvl w:val="0"/>
                      <w:numId w:val="23"/>
                    </w:numPr>
                    <w:spacing w:after="12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DEQ will propose methods for measuring  implementation effectiveness </w:t>
                  </w:r>
                </w:p>
                <w:p w:rsidR="000B450C" w:rsidRDefault="000B450C" w:rsidP="001B77F7">
                  <w:pPr>
                    <w:pStyle w:val="ListParagraph"/>
                    <w:numPr>
                      <w:ilvl w:val="0"/>
                      <w:numId w:val="23"/>
                    </w:numPr>
                    <w:spacing w:after="12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DEQ will provide estimated costs and possible funding mechanisms</w:t>
                  </w:r>
                </w:p>
                <w:p w:rsidR="000B450C" w:rsidRPr="00A30A42" w:rsidRDefault="000B450C" w:rsidP="001B77F7">
                  <w:pPr>
                    <w:pStyle w:val="ListParagraph"/>
                    <w:numPr>
                      <w:ilvl w:val="0"/>
                      <w:numId w:val="23"/>
                    </w:numPr>
                    <w:spacing w:after="12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Recommendations could include multi-media rules to authorize/facilitate activity or to address a focused need</w:t>
                  </w:r>
                </w:p>
              </w:txbxContent>
            </v:textbox>
          </v:roundrect>
        </w:pict>
      </w:r>
    </w:p>
    <w:sectPr w:rsidR="0039038D" w:rsidRPr="00C7768A" w:rsidSect="00487F9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50C" w:rsidRDefault="000B450C" w:rsidP="002D4754">
      <w:pPr>
        <w:spacing w:after="0" w:line="240" w:lineRule="auto"/>
      </w:pPr>
      <w:r>
        <w:separator/>
      </w:r>
    </w:p>
  </w:endnote>
  <w:endnote w:type="continuationSeparator" w:id="1">
    <w:p w:rsidR="000B450C" w:rsidRDefault="000B450C" w:rsidP="002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50C" w:rsidRDefault="000B450C" w:rsidP="002D4754">
      <w:pPr>
        <w:spacing w:after="0" w:line="240" w:lineRule="auto"/>
      </w:pPr>
      <w:r>
        <w:separator/>
      </w:r>
    </w:p>
  </w:footnote>
  <w:footnote w:type="continuationSeparator" w:id="1">
    <w:p w:rsidR="000B450C" w:rsidRDefault="000B450C" w:rsidP="002D4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EE3"/>
    <w:multiLevelType w:val="hybridMultilevel"/>
    <w:tmpl w:val="387A3064"/>
    <w:lvl w:ilvl="0" w:tplc="8932E1D6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7D7"/>
    <w:multiLevelType w:val="hybridMultilevel"/>
    <w:tmpl w:val="F344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111213"/>
    <w:multiLevelType w:val="hybridMultilevel"/>
    <w:tmpl w:val="3C108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20EF6"/>
    <w:multiLevelType w:val="hybridMultilevel"/>
    <w:tmpl w:val="4590F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B100BE"/>
    <w:multiLevelType w:val="hybridMultilevel"/>
    <w:tmpl w:val="A6E090A8"/>
    <w:lvl w:ilvl="0" w:tplc="56A22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6231"/>
    <w:multiLevelType w:val="hybridMultilevel"/>
    <w:tmpl w:val="9126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74E"/>
    <w:multiLevelType w:val="hybridMultilevel"/>
    <w:tmpl w:val="7D9E9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22D9C"/>
    <w:multiLevelType w:val="hybridMultilevel"/>
    <w:tmpl w:val="A1A6EA6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B37F7"/>
    <w:multiLevelType w:val="hybridMultilevel"/>
    <w:tmpl w:val="6EC86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F006B"/>
    <w:multiLevelType w:val="hybridMultilevel"/>
    <w:tmpl w:val="61BA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75BB5"/>
    <w:multiLevelType w:val="hybridMultilevel"/>
    <w:tmpl w:val="FFBC6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74427A"/>
    <w:multiLevelType w:val="hybridMultilevel"/>
    <w:tmpl w:val="1D26A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8A42C4"/>
    <w:multiLevelType w:val="hybridMultilevel"/>
    <w:tmpl w:val="3BD4A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DF7236"/>
    <w:multiLevelType w:val="hybridMultilevel"/>
    <w:tmpl w:val="A9D0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A61F7"/>
    <w:multiLevelType w:val="hybridMultilevel"/>
    <w:tmpl w:val="AD0646F8"/>
    <w:lvl w:ilvl="0" w:tplc="EA100F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D67D4"/>
    <w:multiLevelType w:val="hybridMultilevel"/>
    <w:tmpl w:val="964C6882"/>
    <w:lvl w:ilvl="0" w:tplc="A02A141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A77D3D"/>
    <w:multiLevelType w:val="hybridMultilevel"/>
    <w:tmpl w:val="AFA6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847CE4"/>
    <w:multiLevelType w:val="hybridMultilevel"/>
    <w:tmpl w:val="61685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E87840"/>
    <w:multiLevelType w:val="hybridMultilevel"/>
    <w:tmpl w:val="B5260736"/>
    <w:lvl w:ilvl="0" w:tplc="F7B8E7BE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3A36AD"/>
    <w:multiLevelType w:val="hybridMultilevel"/>
    <w:tmpl w:val="3C04B32E"/>
    <w:lvl w:ilvl="0" w:tplc="82CE76EA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BE3AE9"/>
    <w:multiLevelType w:val="hybridMultilevel"/>
    <w:tmpl w:val="3FB0B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007F8F"/>
    <w:multiLevelType w:val="hybridMultilevel"/>
    <w:tmpl w:val="D65E6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7617F2"/>
    <w:multiLevelType w:val="hybridMultilevel"/>
    <w:tmpl w:val="B014A1EA"/>
    <w:lvl w:ilvl="0" w:tplc="56A22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D14C0C"/>
    <w:multiLevelType w:val="hybridMultilevel"/>
    <w:tmpl w:val="3C5E4892"/>
    <w:lvl w:ilvl="0" w:tplc="69A2E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0E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FAD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CD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C8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AB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3C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E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C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951BE3"/>
    <w:multiLevelType w:val="hybridMultilevel"/>
    <w:tmpl w:val="177E9084"/>
    <w:lvl w:ilvl="0" w:tplc="A060E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48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5A8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24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84F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F6F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40D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4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58A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64E5E79"/>
    <w:multiLevelType w:val="hybridMultilevel"/>
    <w:tmpl w:val="2D384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1D208D"/>
    <w:multiLevelType w:val="hybridMultilevel"/>
    <w:tmpl w:val="9F1EBAE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E9280F"/>
    <w:multiLevelType w:val="hybridMultilevel"/>
    <w:tmpl w:val="19CC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8"/>
  </w:num>
  <w:num w:numId="4">
    <w:abstractNumId w:val="26"/>
  </w:num>
  <w:num w:numId="5">
    <w:abstractNumId w:val="25"/>
  </w:num>
  <w:num w:numId="6">
    <w:abstractNumId w:val="19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  <w:num w:numId="15">
    <w:abstractNumId w:val="16"/>
  </w:num>
  <w:num w:numId="16">
    <w:abstractNumId w:val="2"/>
  </w:num>
  <w:num w:numId="17">
    <w:abstractNumId w:val="22"/>
  </w:num>
  <w:num w:numId="18">
    <w:abstractNumId w:val="18"/>
  </w:num>
  <w:num w:numId="19">
    <w:abstractNumId w:val="12"/>
  </w:num>
  <w:num w:numId="20">
    <w:abstractNumId w:val="11"/>
  </w:num>
  <w:num w:numId="21">
    <w:abstractNumId w:val="0"/>
  </w:num>
  <w:num w:numId="22">
    <w:abstractNumId w:val="7"/>
  </w:num>
  <w:num w:numId="23">
    <w:abstractNumId w:val="21"/>
  </w:num>
  <w:num w:numId="24">
    <w:abstractNumId w:val="24"/>
  </w:num>
  <w:num w:numId="25">
    <w:abstractNumId w:val="23"/>
  </w:num>
  <w:num w:numId="26">
    <w:abstractNumId w:val="17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823B5"/>
    <w:rsid w:val="000076C1"/>
    <w:rsid w:val="00012DCE"/>
    <w:rsid w:val="00015B47"/>
    <w:rsid w:val="0001668D"/>
    <w:rsid w:val="000343BA"/>
    <w:rsid w:val="000434E9"/>
    <w:rsid w:val="0004741F"/>
    <w:rsid w:val="000476EE"/>
    <w:rsid w:val="00055E66"/>
    <w:rsid w:val="00061451"/>
    <w:rsid w:val="00066922"/>
    <w:rsid w:val="0007708F"/>
    <w:rsid w:val="000833DB"/>
    <w:rsid w:val="00090F57"/>
    <w:rsid w:val="000A324F"/>
    <w:rsid w:val="000A466F"/>
    <w:rsid w:val="000A76F1"/>
    <w:rsid w:val="000B450C"/>
    <w:rsid w:val="000B4674"/>
    <w:rsid w:val="000C01D1"/>
    <w:rsid w:val="000C46DC"/>
    <w:rsid w:val="000D30BE"/>
    <w:rsid w:val="000E3886"/>
    <w:rsid w:val="001012BF"/>
    <w:rsid w:val="0011197C"/>
    <w:rsid w:val="001135FE"/>
    <w:rsid w:val="00114B55"/>
    <w:rsid w:val="0012636E"/>
    <w:rsid w:val="00147EC4"/>
    <w:rsid w:val="00156FA2"/>
    <w:rsid w:val="001612AB"/>
    <w:rsid w:val="0019309E"/>
    <w:rsid w:val="00197D64"/>
    <w:rsid w:val="001B77F7"/>
    <w:rsid w:val="001C388D"/>
    <w:rsid w:val="001D1899"/>
    <w:rsid w:val="001D1C5C"/>
    <w:rsid w:val="001D1EC5"/>
    <w:rsid w:val="001E1B48"/>
    <w:rsid w:val="002014B3"/>
    <w:rsid w:val="00204289"/>
    <w:rsid w:val="00207E23"/>
    <w:rsid w:val="00212BF6"/>
    <w:rsid w:val="00220FBE"/>
    <w:rsid w:val="002564AD"/>
    <w:rsid w:val="00271493"/>
    <w:rsid w:val="002823B5"/>
    <w:rsid w:val="0028348A"/>
    <w:rsid w:val="00295E19"/>
    <w:rsid w:val="002968B8"/>
    <w:rsid w:val="002A1DE0"/>
    <w:rsid w:val="002A2C44"/>
    <w:rsid w:val="002B5B74"/>
    <w:rsid w:val="002C20DC"/>
    <w:rsid w:val="002C6628"/>
    <w:rsid w:val="002C719D"/>
    <w:rsid w:val="002D3920"/>
    <w:rsid w:val="002D4352"/>
    <w:rsid w:val="002D4754"/>
    <w:rsid w:val="002D689B"/>
    <w:rsid w:val="002E59EE"/>
    <w:rsid w:val="002E7718"/>
    <w:rsid w:val="00313DE7"/>
    <w:rsid w:val="00333004"/>
    <w:rsid w:val="00341883"/>
    <w:rsid w:val="00343281"/>
    <w:rsid w:val="003608C7"/>
    <w:rsid w:val="00360D19"/>
    <w:rsid w:val="00373485"/>
    <w:rsid w:val="003830A5"/>
    <w:rsid w:val="00387A77"/>
    <w:rsid w:val="0039038D"/>
    <w:rsid w:val="003A225B"/>
    <w:rsid w:val="003A7FF5"/>
    <w:rsid w:val="003C1D11"/>
    <w:rsid w:val="003C6736"/>
    <w:rsid w:val="003C6AA8"/>
    <w:rsid w:val="003D0F53"/>
    <w:rsid w:val="003D7A80"/>
    <w:rsid w:val="003E03E6"/>
    <w:rsid w:val="003E04F1"/>
    <w:rsid w:val="003E09EE"/>
    <w:rsid w:val="003E5CF5"/>
    <w:rsid w:val="004048F2"/>
    <w:rsid w:val="004145D1"/>
    <w:rsid w:val="00437C28"/>
    <w:rsid w:val="00443622"/>
    <w:rsid w:val="004447AF"/>
    <w:rsid w:val="0045254C"/>
    <w:rsid w:val="00466D15"/>
    <w:rsid w:val="00487F92"/>
    <w:rsid w:val="00492310"/>
    <w:rsid w:val="00493197"/>
    <w:rsid w:val="004A1431"/>
    <w:rsid w:val="004A4008"/>
    <w:rsid w:val="004A6E49"/>
    <w:rsid w:val="004B1CFC"/>
    <w:rsid w:val="004C440D"/>
    <w:rsid w:val="004C5B24"/>
    <w:rsid w:val="004D1811"/>
    <w:rsid w:val="004D1B28"/>
    <w:rsid w:val="004F2285"/>
    <w:rsid w:val="004F40D0"/>
    <w:rsid w:val="005010FD"/>
    <w:rsid w:val="00504160"/>
    <w:rsid w:val="00505966"/>
    <w:rsid w:val="0051732B"/>
    <w:rsid w:val="00520520"/>
    <w:rsid w:val="00527DEF"/>
    <w:rsid w:val="005574DD"/>
    <w:rsid w:val="00560A8A"/>
    <w:rsid w:val="0056686F"/>
    <w:rsid w:val="00571319"/>
    <w:rsid w:val="0057266B"/>
    <w:rsid w:val="00572CF7"/>
    <w:rsid w:val="0058498A"/>
    <w:rsid w:val="005935F4"/>
    <w:rsid w:val="00596331"/>
    <w:rsid w:val="005B3107"/>
    <w:rsid w:val="005B5FE2"/>
    <w:rsid w:val="005C20E1"/>
    <w:rsid w:val="005C5F24"/>
    <w:rsid w:val="005D6295"/>
    <w:rsid w:val="005D7A38"/>
    <w:rsid w:val="005E4DA4"/>
    <w:rsid w:val="00600F9A"/>
    <w:rsid w:val="00605FE9"/>
    <w:rsid w:val="00623964"/>
    <w:rsid w:val="006255F9"/>
    <w:rsid w:val="00631607"/>
    <w:rsid w:val="006403E3"/>
    <w:rsid w:val="00650E59"/>
    <w:rsid w:val="006514A1"/>
    <w:rsid w:val="006650DC"/>
    <w:rsid w:val="00665F7D"/>
    <w:rsid w:val="006765E5"/>
    <w:rsid w:val="006B01F9"/>
    <w:rsid w:val="006B6FF1"/>
    <w:rsid w:val="006C0F99"/>
    <w:rsid w:val="006C1F86"/>
    <w:rsid w:val="006C3AB2"/>
    <w:rsid w:val="006E7A5E"/>
    <w:rsid w:val="006E7DED"/>
    <w:rsid w:val="006F1814"/>
    <w:rsid w:val="00703BBA"/>
    <w:rsid w:val="00714B9B"/>
    <w:rsid w:val="00714BDE"/>
    <w:rsid w:val="00725A61"/>
    <w:rsid w:val="00733F1A"/>
    <w:rsid w:val="0074060D"/>
    <w:rsid w:val="00754DD0"/>
    <w:rsid w:val="007627F6"/>
    <w:rsid w:val="00766157"/>
    <w:rsid w:val="00771AFB"/>
    <w:rsid w:val="00772149"/>
    <w:rsid w:val="00787BD7"/>
    <w:rsid w:val="00790066"/>
    <w:rsid w:val="007A7DEB"/>
    <w:rsid w:val="007B05C5"/>
    <w:rsid w:val="007B0B0A"/>
    <w:rsid w:val="007B511D"/>
    <w:rsid w:val="007D1DB0"/>
    <w:rsid w:val="007D6A98"/>
    <w:rsid w:val="007F05E0"/>
    <w:rsid w:val="008068E8"/>
    <w:rsid w:val="00810D5F"/>
    <w:rsid w:val="00823441"/>
    <w:rsid w:val="0082344E"/>
    <w:rsid w:val="008315D9"/>
    <w:rsid w:val="00836002"/>
    <w:rsid w:val="00836DD0"/>
    <w:rsid w:val="00841FFD"/>
    <w:rsid w:val="0084622A"/>
    <w:rsid w:val="0088280C"/>
    <w:rsid w:val="00882A78"/>
    <w:rsid w:val="00897CCA"/>
    <w:rsid w:val="008B09E5"/>
    <w:rsid w:val="008B1A44"/>
    <w:rsid w:val="008B46EA"/>
    <w:rsid w:val="008C2D47"/>
    <w:rsid w:val="008C40EA"/>
    <w:rsid w:val="008C66AB"/>
    <w:rsid w:val="008D0231"/>
    <w:rsid w:val="008D3178"/>
    <w:rsid w:val="008F5E5F"/>
    <w:rsid w:val="00907EBD"/>
    <w:rsid w:val="00917206"/>
    <w:rsid w:val="00923B4B"/>
    <w:rsid w:val="00931E7F"/>
    <w:rsid w:val="00932391"/>
    <w:rsid w:val="00932E4C"/>
    <w:rsid w:val="00937B0A"/>
    <w:rsid w:val="00942167"/>
    <w:rsid w:val="00942996"/>
    <w:rsid w:val="00942A8D"/>
    <w:rsid w:val="0097358D"/>
    <w:rsid w:val="00986582"/>
    <w:rsid w:val="0099448D"/>
    <w:rsid w:val="009B57C0"/>
    <w:rsid w:val="009C6B95"/>
    <w:rsid w:val="009D0200"/>
    <w:rsid w:val="009F02FA"/>
    <w:rsid w:val="009F7CA4"/>
    <w:rsid w:val="00A11A9D"/>
    <w:rsid w:val="00A14963"/>
    <w:rsid w:val="00A27268"/>
    <w:rsid w:val="00A30A42"/>
    <w:rsid w:val="00A33982"/>
    <w:rsid w:val="00A5329C"/>
    <w:rsid w:val="00A553A7"/>
    <w:rsid w:val="00A57F71"/>
    <w:rsid w:val="00A630FC"/>
    <w:rsid w:val="00A733FD"/>
    <w:rsid w:val="00A73D96"/>
    <w:rsid w:val="00A81365"/>
    <w:rsid w:val="00A94205"/>
    <w:rsid w:val="00A97644"/>
    <w:rsid w:val="00AA5B88"/>
    <w:rsid w:val="00AB3394"/>
    <w:rsid w:val="00AF5115"/>
    <w:rsid w:val="00B06364"/>
    <w:rsid w:val="00B238EA"/>
    <w:rsid w:val="00B32E99"/>
    <w:rsid w:val="00B663C8"/>
    <w:rsid w:val="00B8314F"/>
    <w:rsid w:val="00B9166E"/>
    <w:rsid w:val="00BA4B3C"/>
    <w:rsid w:val="00BB5812"/>
    <w:rsid w:val="00BC0C9D"/>
    <w:rsid w:val="00BC1695"/>
    <w:rsid w:val="00BD47DB"/>
    <w:rsid w:val="00BE59B9"/>
    <w:rsid w:val="00BE7D60"/>
    <w:rsid w:val="00BF4328"/>
    <w:rsid w:val="00BF4DA1"/>
    <w:rsid w:val="00BF72ED"/>
    <w:rsid w:val="00C055C9"/>
    <w:rsid w:val="00C14C2A"/>
    <w:rsid w:val="00C24E70"/>
    <w:rsid w:val="00C25143"/>
    <w:rsid w:val="00C278D9"/>
    <w:rsid w:val="00C51A6B"/>
    <w:rsid w:val="00C51FF1"/>
    <w:rsid w:val="00C642E4"/>
    <w:rsid w:val="00C65C2E"/>
    <w:rsid w:val="00C72B0D"/>
    <w:rsid w:val="00C7755A"/>
    <w:rsid w:val="00C7768A"/>
    <w:rsid w:val="00C843A7"/>
    <w:rsid w:val="00C87762"/>
    <w:rsid w:val="00C87BF2"/>
    <w:rsid w:val="00C97685"/>
    <w:rsid w:val="00CB2B86"/>
    <w:rsid w:val="00CC729B"/>
    <w:rsid w:val="00CC7CEE"/>
    <w:rsid w:val="00CD54E6"/>
    <w:rsid w:val="00D01C49"/>
    <w:rsid w:val="00D3118C"/>
    <w:rsid w:val="00D343DF"/>
    <w:rsid w:val="00D47647"/>
    <w:rsid w:val="00D52AC2"/>
    <w:rsid w:val="00D60484"/>
    <w:rsid w:val="00D61396"/>
    <w:rsid w:val="00D76DB0"/>
    <w:rsid w:val="00D8118C"/>
    <w:rsid w:val="00D964BF"/>
    <w:rsid w:val="00D9787D"/>
    <w:rsid w:val="00DA0BFC"/>
    <w:rsid w:val="00DA1700"/>
    <w:rsid w:val="00DA2A55"/>
    <w:rsid w:val="00DA566D"/>
    <w:rsid w:val="00DB5035"/>
    <w:rsid w:val="00DB7509"/>
    <w:rsid w:val="00DD1942"/>
    <w:rsid w:val="00DE599A"/>
    <w:rsid w:val="00DE71C2"/>
    <w:rsid w:val="00DF2A9E"/>
    <w:rsid w:val="00E06D95"/>
    <w:rsid w:val="00E11816"/>
    <w:rsid w:val="00E14391"/>
    <w:rsid w:val="00E1584A"/>
    <w:rsid w:val="00E307B2"/>
    <w:rsid w:val="00E30EC9"/>
    <w:rsid w:val="00E3532D"/>
    <w:rsid w:val="00E46C80"/>
    <w:rsid w:val="00E5466D"/>
    <w:rsid w:val="00E70743"/>
    <w:rsid w:val="00E80C6F"/>
    <w:rsid w:val="00E86BD8"/>
    <w:rsid w:val="00E96708"/>
    <w:rsid w:val="00EA3AED"/>
    <w:rsid w:val="00EA6C66"/>
    <w:rsid w:val="00EA70D2"/>
    <w:rsid w:val="00EC5DAE"/>
    <w:rsid w:val="00ED038F"/>
    <w:rsid w:val="00ED71CE"/>
    <w:rsid w:val="00EE1A2A"/>
    <w:rsid w:val="00EE2648"/>
    <w:rsid w:val="00EE42D0"/>
    <w:rsid w:val="00EF25C0"/>
    <w:rsid w:val="00F01EC8"/>
    <w:rsid w:val="00F12B7E"/>
    <w:rsid w:val="00F1423E"/>
    <w:rsid w:val="00F14748"/>
    <w:rsid w:val="00F33700"/>
    <w:rsid w:val="00F6155D"/>
    <w:rsid w:val="00F61CF6"/>
    <w:rsid w:val="00F8048A"/>
    <w:rsid w:val="00F8126B"/>
    <w:rsid w:val="00F83780"/>
    <w:rsid w:val="00F8485B"/>
    <w:rsid w:val="00FA32A3"/>
    <w:rsid w:val="00FB01B6"/>
    <w:rsid w:val="00FC282C"/>
    <w:rsid w:val="00FC433A"/>
    <w:rsid w:val="00FD2ED2"/>
    <w:rsid w:val="00FE4ECA"/>
    <w:rsid w:val="00FF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  <o:rules v:ext="edit">
        <o:r id="V:Rule9" type="connector" idref="#_x0000_s1113"/>
        <o:r id="V:Rule10" type="connector" idref="#_x0000_s1086"/>
        <o:r id="V:Rule11" type="connector" idref="#_x0000_s1105"/>
        <o:r id="V:Rule12" type="connector" idref="#_x0000_s1087"/>
        <o:r id="V:Rule13" type="connector" idref="#_x0000_s1080"/>
        <o:r id="V:Rule14" type="connector" idref="#_x0000_s1112"/>
        <o:r id="V:Rule15" type="connector" idref="#_x0000_s1114"/>
        <o:r id="V:Rule16" type="connector" idref="#_x0000_s108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38"/>
  </w:style>
  <w:style w:type="paragraph" w:styleId="Heading1">
    <w:name w:val="heading 1"/>
    <w:basedOn w:val="Normal"/>
    <w:next w:val="Normal"/>
    <w:link w:val="Heading1Char"/>
    <w:uiPriority w:val="9"/>
    <w:qFormat/>
    <w:rsid w:val="002B5B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2DCE"/>
    <w:pPr>
      <w:ind w:left="720"/>
      <w:contextualSpacing/>
    </w:pPr>
  </w:style>
  <w:style w:type="paragraph" w:styleId="NoSpacing">
    <w:name w:val="No Spacing"/>
    <w:uiPriority w:val="1"/>
    <w:qFormat/>
    <w:rsid w:val="009429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B5B74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754"/>
  </w:style>
  <w:style w:type="paragraph" w:styleId="Footer">
    <w:name w:val="footer"/>
    <w:basedOn w:val="Normal"/>
    <w:link w:val="FooterChar"/>
    <w:uiPriority w:val="99"/>
    <w:semiHidden/>
    <w:unhideWhenUsed/>
    <w:rsid w:val="002D4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487C30-4976-45F1-BE70-25FC4CC91CDA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CB22A15C-7463-4C7F-A366-745873CC3BA4}">
      <dgm:prSet phldrT="[Text]"/>
      <dgm:spPr/>
      <dgm:t>
        <a:bodyPr/>
        <a:lstStyle/>
        <a:p>
          <a:pPr algn="ctr"/>
          <a:r>
            <a:rPr lang="en-US"/>
            <a:t>Pollutant Category Subgroup </a:t>
          </a:r>
        </a:p>
        <a:p>
          <a:pPr algn="ctr"/>
          <a:r>
            <a:rPr lang="en-US"/>
            <a:t>(e.g., Personal Care Products Subgroup)</a:t>
          </a:r>
        </a:p>
      </dgm:t>
    </dgm:pt>
    <dgm:pt modelId="{9B7E9654-5138-4D67-BA0D-473EB837F90E}" type="parTrans" cxnId="{C225ADC5-2D54-4345-A83F-56858B51A82A}">
      <dgm:prSet/>
      <dgm:spPr/>
      <dgm:t>
        <a:bodyPr/>
        <a:lstStyle/>
        <a:p>
          <a:pPr algn="ctr"/>
          <a:endParaRPr lang="en-US"/>
        </a:p>
      </dgm:t>
    </dgm:pt>
    <dgm:pt modelId="{51C56C48-6B5F-47B7-987C-5608285265ED}" type="sibTrans" cxnId="{C225ADC5-2D54-4345-A83F-56858B51A82A}">
      <dgm:prSet/>
      <dgm:spPr/>
      <dgm:t>
        <a:bodyPr/>
        <a:lstStyle/>
        <a:p>
          <a:pPr algn="ctr"/>
          <a:endParaRPr lang="en-US"/>
        </a:p>
      </dgm:t>
    </dgm:pt>
    <dgm:pt modelId="{10D6C356-1267-4133-BEF7-6C028053C798}">
      <dgm:prSet phldrT="[Text]"/>
      <dgm:spPr/>
      <dgm:t>
        <a:bodyPr/>
        <a:lstStyle/>
        <a:p>
          <a:pPr algn="ctr"/>
          <a:r>
            <a:rPr lang="en-US"/>
            <a:t>Pollutant Category Subgroup </a:t>
          </a:r>
        </a:p>
        <a:p>
          <a:pPr algn="ctr"/>
          <a:r>
            <a:rPr lang="en-US"/>
            <a:t>(e.g., Pesticides Subgroup)</a:t>
          </a:r>
        </a:p>
      </dgm:t>
    </dgm:pt>
    <dgm:pt modelId="{6AE10DDC-51D2-4A23-B61C-28E9CA168542}" type="parTrans" cxnId="{262CC480-28F4-40BE-8CF2-62A992710DC4}">
      <dgm:prSet/>
      <dgm:spPr/>
      <dgm:t>
        <a:bodyPr/>
        <a:lstStyle/>
        <a:p>
          <a:pPr algn="ctr"/>
          <a:endParaRPr lang="en-US"/>
        </a:p>
      </dgm:t>
    </dgm:pt>
    <dgm:pt modelId="{252AE255-3F51-4693-B87A-70ED3F1AB06C}" type="sibTrans" cxnId="{262CC480-28F4-40BE-8CF2-62A992710DC4}">
      <dgm:prSet/>
      <dgm:spPr/>
      <dgm:t>
        <a:bodyPr/>
        <a:lstStyle/>
        <a:p>
          <a:pPr algn="ctr"/>
          <a:endParaRPr lang="en-US"/>
        </a:p>
      </dgm:t>
    </dgm:pt>
    <dgm:pt modelId="{C8724D5E-C0A7-4583-B668-982CE9200EF2}">
      <dgm:prSet/>
      <dgm:spPr/>
      <dgm:t>
        <a:bodyPr/>
        <a:lstStyle/>
        <a:p>
          <a:pPr algn="ctr"/>
          <a:r>
            <a:rPr lang="en-US"/>
            <a:t>Pollutant Category Subgroup</a:t>
          </a:r>
        </a:p>
        <a:p>
          <a:pPr algn="ctr"/>
          <a:r>
            <a:rPr lang="en-US"/>
            <a:t>(e.g., Legacy Contaminant Subgroup)</a:t>
          </a:r>
        </a:p>
      </dgm:t>
    </dgm:pt>
    <dgm:pt modelId="{6CDC4C15-84A9-4447-B8E1-4A3DEEA32778}" type="parTrans" cxnId="{53743D3A-AACB-4E6C-9FCE-C2CE185F619C}">
      <dgm:prSet/>
      <dgm:spPr/>
      <dgm:t>
        <a:bodyPr/>
        <a:lstStyle/>
        <a:p>
          <a:pPr algn="ctr"/>
          <a:endParaRPr lang="en-US"/>
        </a:p>
      </dgm:t>
    </dgm:pt>
    <dgm:pt modelId="{11BA6ABB-F340-4B4B-B343-4B604A1894F6}" type="sibTrans" cxnId="{53743D3A-AACB-4E6C-9FCE-C2CE185F619C}">
      <dgm:prSet/>
      <dgm:spPr/>
      <dgm:t>
        <a:bodyPr/>
        <a:lstStyle/>
        <a:p>
          <a:pPr algn="ctr"/>
          <a:endParaRPr lang="en-US"/>
        </a:p>
      </dgm:t>
    </dgm:pt>
    <dgm:pt modelId="{C77AC29F-89C8-45AE-8D00-155B1741EBBC}">
      <dgm:prSet phldrT="[Text]" custT="1"/>
      <dgm:spPr/>
      <dgm:t>
        <a:bodyPr/>
        <a:lstStyle/>
        <a:p>
          <a:pPr algn="ctr"/>
          <a:r>
            <a:rPr lang="en-US" sz="800"/>
            <a:t>Toxics  Stakeholder Group</a:t>
          </a:r>
        </a:p>
      </dgm:t>
    </dgm:pt>
    <dgm:pt modelId="{7A8C3A25-82F7-4A98-9A36-40DB066F9D8B}" type="parTrans" cxnId="{6367A133-C84C-450A-9B11-D1EA276C5342}">
      <dgm:prSet/>
      <dgm:spPr/>
      <dgm:t>
        <a:bodyPr/>
        <a:lstStyle/>
        <a:p>
          <a:pPr algn="ctr"/>
          <a:endParaRPr lang="en-US"/>
        </a:p>
      </dgm:t>
    </dgm:pt>
    <dgm:pt modelId="{E2E62BB1-C2FC-4009-9CAB-1EEA118DA810}" type="sibTrans" cxnId="{6367A133-C84C-450A-9B11-D1EA276C5342}">
      <dgm:prSet/>
      <dgm:spPr/>
      <dgm:t>
        <a:bodyPr/>
        <a:lstStyle/>
        <a:p>
          <a:pPr algn="ctr"/>
          <a:endParaRPr lang="en-US"/>
        </a:p>
      </dgm:t>
    </dgm:pt>
    <dgm:pt modelId="{BCABC08C-369A-43A6-A25F-863B9143B4D0}">
      <dgm:prSet/>
      <dgm:spPr/>
      <dgm:t>
        <a:bodyPr/>
        <a:lstStyle/>
        <a:p>
          <a:pPr algn="l"/>
          <a:endParaRPr lang="en-US"/>
        </a:p>
      </dgm:t>
    </dgm:pt>
    <dgm:pt modelId="{4A3870AA-79DB-4265-8615-19453DD18038}" type="parTrans" cxnId="{99D721FB-3669-431C-847D-C44D76192017}">
      <dgm:prSet/>
      <dgm:spPr/>
      <dgm:t>
        <a:bodyPr/>
        <a:lstStyle/>
        <a:p>
          <a:pPr algn="ctr"/>
          <a:endParaRPr lang="en-US"/>
        </a:p>
      </dgm:t>
    </dgm:pt>
    <dgm:pt modelId="{25C21E02-A73E-49C3-ADC3-1B04AA5C7FC3}" type="sibTrans" cxnId="{99D721FB-3669-431C-847D-C44D76192017}">
      <dgm:prSet/>
      <dgm:spPr/>
      <dgm:t>
        <a:bodyPr/>
        <a:lstStyle/>
        <a:p>
          <a:pPr algn="ctr"/>
          <a:endParaRPr lang="en-US"/>
        </a:p>
      </dgm:t>
    </dgm:pt>
    <dgm:pt modelId="{51D35BEA-6DAE-48EB-BB39-C5193E7DB8CB}">
      <dgm:prSet phldrT="[Text]">
        <dgm:style>
          <a:lnRef idx="3">
            <a:schemeClr val="lt1"/>
          </a:lnRef>
          <a:fillRef idx="1">
            <a:schemeClr val="accent1"/>
          </a:fillRef>
          <a:effectRef idx="1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/>
            <a:t>WQS/NPDES Rulemaking Workgroup</a:t>
          </a:r>
        </a:p>
      </dgm:t>
    </dgm:pt>
    <dgm:pt modelId="{438FEE52-6643-4ECD-B530-60F01C86DC9E}" type="parTrans" cxnId="{A3B91A2F-9E0E-4B77-B531-9E376B1F407F}">
      <dgm:prSet/>
      <dgm:spPr/>
      <dgm:t>
        <a:bodyPr/>
        <a:lstStyle/>
        <a:p>
          <a:pPr algn="ctr"/>
          <a:endParaRPr lang="en-US"/>
        </a:p>
      </dgm:t>
    </dgm:pt>
    <dgm:pt modelId="{B76571E1-F96C-4218-9E8C-8FB2308A7D3B}" type="sibTrans" cxnId="{A3B91A2F-9E0E-4B77-B531-9E376B1F407F}">
      <dgm:prSet/>
      <dgm:spPr/>
      <dgm:t>
        <a:bodyPr/>
        <a:lstStyle/>
        <a:p>
          <a:pPr algn="ctr"/>
          <a:endParaRPr lang="en-US"/>
        </a:p>
      </dgm:t>
    </dgm:pt>
    <dgm:pt modelId="{93443916-2556-4E50-AE5B-48E986789CC3}" type="pres">
      <dgm:prSet presAssocID="{43487C30-4976-45F1-BE70-25FC4CC91CDA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5A27B68-086C-4441-B7E1-DA7E2DD8D8DC}" type="pres">
      <dgm:prSet presAssocID="{43487C30-4976-45F1-BE70-25FC4CC91CDA}" presName="hierFlow" presStyleCnt="0"/>
      <dgm:spPr/>
    </dgm:pt>
    <dgm:pt modelId="{CFB925CC-0A9E-473F-8EB5-88A200E9BB4C}" type="pres">
      <dgm:prSet presAssocID="{43487C30-4976-45F1-BE70-25FC4CC91CDA}" presName="firstBuf" presStyleCnt="0"/>
      <dgm:spPr/>
    </dgm:pt>
    <dgm:pt modelId="{23ACE0FB-4124-49AA-A1DA-63E363DC9F88}" type="pres">
      <dgm:prSet presAssocID="{43487C30-4976-45F1-BE70-25FC4CC91CDA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EDBE1F5-F03A-4EDE-A073-9215170A2A1A}" type="pres">
      <dgm:prSet presAssocID="{C77AC29F-89C8-45AE-8D00-155B1741EBBC}" presName="Name14" presStyleCnt="0"/>
      <dgm:spPr/>
    </dgm:pt>
    <dgm:pt modelId="{5BFB3BD3-D52F-4368-98D2-64D313B0C6C4}" type="pres">
      <dgm:prSet presAssocID="{C77AC29F-89C8-45AE-8D00-155B1741EBBC}" presName="level1Shape" presStyleLbl="node0" presStyleIdx="0" presStyleCnt="1" custScaleX="273454" custScaleY="191791" custLinFactX="-58672" custLinFactNeighborX="-100000" custLinFactNeighborY="186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9E885F-54AB-4F25-9369-BFA5022F26E3}" type="pres">
      <dgm:prSet presAssocID="{C77AC29F-89C8-45AE-8D00-155B1741EBBC}" presName="hierChild2" presStyleCnt="0"/>
      <dgm:spPr/>
    </dgm:pt>
    <dgm:pt modelId="{77800061-2C3D-4B1A-A99F-6EEB867D9000}" type="pres">
      <dgm:prSet presAssocID="{438FEE52-6643-4ECD-B530-60F01C86DC9E}" presName="Name19" presStyleLbl="parChTrans1D2" presStyleIdx="0" presStyleCnt="4"/>
      <dgm:spPr/>
      <dgm:t>
        <a:bodyPr/>
        <a:lstStyle/>
        <a:p>
          <a:endParaRPr lang="en-US"/>
        </a:p>
      </dgm:t>
    </dgm:pt>
    <dgm:pt modelId="{BE68E251-80D1-45F2-9DF0-C8C6201A53F5}" type="pres">
      <dgm:prSet presAssocID="{51D35BEA-6DAE-48EB-BB39-C5193E7DB8CB}" presName="Name21" presStyleCnt="0"/>
      <dgm:spPr/>
    </dgm:pt>
    <dgm:pt modelId="{6008BEC8-FEBD-4939-BF5F-0DEE9F2EB9D3}" type="pres">
      <dgm:prSet presAssocID="{51D35BEA-6DAE-48EB-BB39-C5193E7DB8CB}" presName="level2Shape" presStyleLbl="node2" presStyleIdx="0" presStyleCnt="4" custScaleX="196635" custScaleY="189388" custLinFactX="-100000" custLinFactNeighborX="-169754" custLinFactNeighborY="87549"/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6E2FA248-02E9-4F6C-A3A2-DE2E3A017282}" type="pres">
      <dgm:prSet presAssocID="{51D35BEA-6DAE-48EB-BB39-C5193E7DB8CB}" presName="hierChild3" presStyleCnt="0"/>
      <dgm:spPr/>
    </dgm:pt>
    <dgm:pt modelId="{0DCA51F8-D809-4A5F-BE76-902741D800BC}" type="pres">
      <dgm:prSet presAssocID="{9B7E9654-5138-4D67-BA0D-473EB837F90E}" presName="Name19" presStyleLbl="parChTrans1D2" presStyleIdx="1" presStyleCnt="4"/>
      <dgm:spPr/>
      <dgm:t>
        <a:bodyPr/>
        <a:lstStyle/>
        <a:p>
          <a:endParaRPr lang="en-US"/>
        </a:p>
      </dgm:t>
    </dgm:pt>
    <dgm:pt modelId="{FE3BA7F4-795B-489C-B529-F70D983786DF}" type="pres">
      <dgm:prSet presAssocID="{CB22A15C-7463-4C7F-A366-745873CC3BA4}" presName="Name21" presStyleCnt="0"/>
      <dgm:spPr/>
    </dgm:pt>
    <dgm:pt modelId="{FE6487C2-4223-4321-B71E-4928204B3287}" type="pres">
      <dgm:prSet presAssocID="{CB22A15C-7463-4C7F-A366-745873CC3BA4}" presName="level2Shape" presStyleLbl="node2" presStyleIdx="1" presStyleCnt="4" custScaleX="163068" custScaleY="150061" custLinFactX="-8856" custLinFactNeighborX="-100000" custLinFactNeighborY="91682"/>
      <dgm:spPr/>
      <dgm:t>
        <a:bodyPr/>
        <a:lstStyle/>
        <a:p>
          <a:endParaRPr lang="en-US"/>
        </a:p>
      </dgm:t>
    </dgm:pt>
    <dgm:pt modelId="{24365E0A-CCCD-4802-AF44-512BE2CEF75E}" type="pres">
      <dgm:prSet presAssocID="{CB22A15C-7463-4C7F-A366-745873CC3BA4}" presName="hierChild3" presStyleCnt="0"/>
      <dgm:spPr/>
    </dgm:pt>
    <dgm:pt modelId="{A47A2671-A8FD-4057-A2D5-273F0C4C2EDD}" type="pres">
      <dgm:prSet presAssocID="{6AE10DDC-51D2-4A23-B61C-28E9CA168542}" presName="Name19" presStyleLbl="parChTrans1D2" presStyleIdx="2" presStyleCnt="4"/>
      <dgm:spPr/>
      <dgm:t>
        <a:bodyPr/>
        <a:lstStyle/>
        <a:p>
          <a:endParaRPr lang="en-US"/>
        </a:p>
      </dgm:t>
    </dgm:pt>
    <dgm:pt modelId="{1AD38AF2-5A54-4A2A-84F9-85FE5C97BBFE}" type="pres">
      <dgm:prSet presAssocID="{10D6C356-1267-4133-BEF7-6C028053C798}" presName="Name21" presStyleCnt="0"/>
      <dgm:spPr/>
    </dgm:pt>
    <dgm:pt modelId="{B70D5D2A-27AA-4397-AA76-0781A6F8E281}" type="pres">
      <dgm:prSet presAssocID="{10D6C356-1267-4133-BEF7-6C028053C798}" presName="level2Shape" presStyleLbl="node2" presStyleIdx="2" presStyleCnt="4" custScaleX="161721" custScaleY="149226" custLinFactNeighborX="-77463" custLinFactNeighborY="95253"/>
      <dgm:spPr/>
      <dgm:t>
        <a:bodyPr/>
        <a:lstStyle/>
        <a:p>
          <a:endParaRPr lang="en-US"/>
        </a:p>
      </dgm:t>
    </dgm:pt>
    <dgm:pt modelId="{012ED422-BB14-4A85-95C2-A18659318C56}" type="pres">
      <dgm:prSet presAssocID="{10D6C356-1267-4133-BEF7-6C028053C798}" presName="hierChild3" presStyleCnt="0"/>
      <dgm:spPr/>
    </dgm:pt>
    <dgm:pt modelId="{F32D778D-B4DD-4EF9-80ED-169205394764}" type="pres">
      <dgm:prSet presAssocID="{6CDC4C15-84A9-4447-B8E1-4A3DEEA32778}" presName="Name19" presStyleLbl="parChTrans1D2" presStyleIdx="3" presStyleCnt="4"/>
      <dgm:spPr/>
      <dgm:t>
        <a:bodyPr/>
        <a:lstStyle/>
        <a:p>
          <a:endParaRPr lang="en-US"/>
        </a:p>
      </dgm:t>
    </dgm:pt>
    <dgm:pt modelId="{DD2A4B83-C043-47F9-8D43-E943992AA4E8}" type="pres">
      <dgm:prSet presAssocID="{C8724D5E-C0A7-4583-B668-982CE9200EF2}" presName="Name21" presStyleCnt="0"/>
      <dgm:spPr/>
    </dgm:pt>
    <dgm:pt modelId="{5134F5CD-50D9-49BE-BAE4-1F27080D6141}" type="pres">
      <dgm:prSet presAssocID="{C8724D5E-C0A7-4583-B668-982CE9200EF2}" presName="level2Shape" presStyleLbl="node2" presStyleIdx="3" presStyleCnt="4" custScaleX="159777" custScaleY="160692" custLinFactNeighborX="-54089" custLinFactNeighborY="94109"/>
      <dgm:spPr/>
      <dgm:t>
        <a:bodyPr/>
        <a:lstStyle/>
        <a:p>
          <a:endParaRPr lang="en-US"/>
        </a:p>
      </dgm:t>
    </dgm:pt>
    <dgm:pt modelId="{47A9A50B-BA74-4984-91F0-E42EB3DFFBF8}" type="pres">
      <dgm:prSet presAssocID="{C8724D5E-C0A7-4583-B668-982CE9200EF2}" presName="hierChild3" presStyleCnt="0"/>
      <dgm:spPr/>
    </dgm:pt>
    <dgm:pt modelId="{9E34AAFE-3E2D-401A-99D9-31D3DA7DC9BF}" type="pres">
      <dgm:prSet presAssocID="{43487C30-4976-45F1-BE70-25FC4CC91CDA}" presName="bgShapesFlow" presStyleCnt="0"/>
      <dgm:spPr/>
    </dgm:pt>
    <dgm:pt modelId="{010300F8-52BF-47A0-9AAC-F7C42423F9AF}" type="pres">
      <dgm:prSet presAssocID="{BCABC08C-369A-43A6-A25F-863B9143B4D0}" presName="rectComp" presStyleCnt="0"/>
      <dgm:spPr/>
    </dgm:pt>
    <dgm:pt modelId="{95E6B799-9D4D-48B1-86A7-BE815C2F99C6}" type="pres">
      <dgm:prSet presAssocID="{BCABC08C-369A-43A6-A25F-863B9143B4D0}" presName="bgRect" presStyleLbl="bgShp" presStyleIdx="0" presStyleCnt="1" custScaleX="93151" custScaleY="485072" custLinFactNeighborY="7087"/>
      <dgm:spPr/>
      <dgm:t>
        <a:bodyPr/>
        <a:lstStyle/>
        <a:p>
          <a:endParaRPr lang="en-US"/>
        </a:p>
      </dgm:t>
    </dgm:pt>
    <dgm:pt modelId="{7ED8CE59-8403-449A-BFAF-44F1904D90E1}" type="pres">
      <dgm:prSet presAssocID="{BCABC08C-369A-43A6-A25F-863B9143B4D0}" presName="bgRectTx" presStyleLbl="bgShp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62CC480-28F4-40BE-8CF2-62A992710DC4}" srcId="{C77AC29F-89C8-45AE-8D00-155B1741EBBC}" destId="{10D6C356-1267-4133-BEF7-6C028053C798}" srcOrd="2" destOrd="0" parTransId="{6AE10DDC-51D2-4A23-B61C-28E9CA168542}" sibTransId="{252AE255-3F51-4693-B87A-70ED3F1AB06C}"/>
    <dgm:cxn modelId="{3E034522-5328-452D-89F7-D0281476845D}" type="presOf" srcId="{9B7E9654-5138-4D67-BA0D-473EB837F90E}" destId="{0DCA51F8-D809-4A5F-BE76-902741D800BC}" srcOrd="0" destOrd="0" presId="urn:microsoft.com/office/officeart/2005/8/layout/hierarchy6"/>
    <dgm:cxn modelId="{C478BC30-37A4-492F-99E0-6C60ED495501}" type="presOf" srcId="{43487C30-4976-45F1-BE70-25FC4CC91CDA}" destId="{93443916-2556-4E50-AE5B-48E986789CC3}" srcOrd="0" destOrd="0" presId="urn:microsoft.com/office/officeart/2005/8/layout/hierarchy6"/>
    <dgm:cxn modelId="{C9F1DEC7-C2A6-47A3-A687-8239239201A7}" type="presOf" srcId="{C77AC29F-89C8-45AE-8D00-155B1741EBBC}" destId="{5BFB3BD3-D52F-4368-98D2-64D313B0C6C4}" srcOrd="0" destOrd="0" presId="urn:microsoft.com/office/officeart/2005/8/layout/hierarchy6"/>
    <dgm:cxn modelId="{99D721FB-3669-431C-847D-C44D76192017}" srcId="{43487C30-4976-45F1-BE70-25FC4CC91CDA}" destId="{BCABC08C-369A-43A6-A25F-863B9143B4D0}" srcOrd="1" destOrd="0" parTransId="{4A3870AA-79DB-4265-8615-19453DD18038}" sibTransId="{25C21E02-A73E-49C3-ADC3-1B04AA5C7FC3}"/>
    <dgm:cxn modelId="{A3B91A2F-9E0E-4B77-B531-9E376B1F407F}" srcId="{C77AC29F-89C8-45AE-8D00-155B1741EBBC}" destId="{51D35BEA-6DAE-48EB-BB39-C5193E7DB8CB}" srcOrd="0" destOrd="0" parTransId="{438FEE52-6643-4ECD-B530-60F01C86DC9E}" sibTransId="{B76571E1-F96C-4218-9E8C-8FB2308A7D3B}"/>
    <dgm:cxn modelId="{6367A133-C84C-450A-9B11-D1EA276C5342}" srcId="{43487C30-4976-45F1-BE70-25FC4CC91CDA}" destId="{C77AC29F-89C8-45AE-8D00-155B1741EBBC}" srcOrd="0" destOrd="0" parTransId="{7A8C3A25-82F7-4A98-9A36-40DB066F9D8B}" sibTransId="{E2E62BB1-C2FC-4009-9CAB-1EEA118DA810}"/>
    <dgm:cxn modelId="{17CC7A80-C672-41EA-8134-730141A020F6}" type="presOf" srcId="{51D35BEA-6DAE-48EB-BB39-C5193E7DB8CB}" destId="{6008BEC8-FEBD-4939-BF5F-0DEE9F2EB9D3}" srcOrd="0" destOrd="0" presId="urn:microsoft.com/office/officeart/2005/8/layout/hierarchy6"/>
    <dgm:cxn modelId="{03EBEEF9-0026-42E7-A28B-CCD62436B36E}" type="presOf" srcId="{C8724D5E-C0A7-4583-B668-982CE9200EF2}" destId="{5134F5CD-50D9-49BE-BAE4-1F27080D6141}" srcOrd="0" destOrd="0" presId="urn:microsoft.com/office/officeart/2005/8/layout/hierarchy6"/>
    <dgm:cxn modelId="{1E0BD956-7C50-475A-94AB-3909577FD756}" type="presOf" srcId="{CB22A15C-7463-4C7F-A366-745873CC3BA4}" destId="{FE6487C2-4223-4321-B71E-4928204B3287}" srcOrd="0" destOrd="0" presId="urn:microsoft.com/office/officeart/2005/8/layout/hierarchy6"/>
    <dgm:cxn modelId="{53743D3A-AACB-4E6C-9FCE-C2CE185F619C}" srcId="{C77AC29F-89C8-45AE-8D00-155B1741EBBC}" destId="{C8724D5E-C0A7-4583-B668-982CE9200EF2}" srcOrd="3" destOrd="0" parTransId="{6CDC4C15-84A9-4447-B8E1-4A3DEEA32778}" sibTransId="{11BA6ABB-F340-4B4B-B343-4B604A1894F6}"/>
    <dgm:cxn modelId="{E94ABFE7-4AC5-4F12-B46E-D244A14183DC}" type="presOf" srcId="{10D6C356-1267-4133-BEF7-6C028053C798}" destId="{B70D5D2A-27AA-4397-AA76-0781A6F8E281}" srcOrd="0" destOrd="0" presId="urn:microsoft.com/office/officeart/2005/8/layout/hierarchy6"/>
    <dgm:cxn modelId="{C13B7E71-D75F-4794-9DE6-7DD858374EEA}" type="presOf" srcId="{BCABC08C-369A-43A6-A25F-863B9143B4D0}" destId="{95E6B799-9D4D-48B1-86A7-BE815C2F99C6}" srcOrd="0" destOrd="0" presId="urn:microsoft.com/office/officeart/2005/8/layout/hierarchy6"/>
    <dgm:cxn modelId="{4F933378-FC9E-40EB-93AC-F2336338ABB4}" type="presOf" srcId="{438FEE52-6643-4ECD-B530-60F01C86DC9E}" destId="{77800061-2C3D-4B1A-A99F-6EEB867D9000}" srcOrd="0" destOrd="0" presId="urn:microsoft.com/office/officeart/2005/8/layout/hierarchy6"/>
    <dgm:cxn modelId="{1CA22BAE-3CA0-4689-A89D-172BFEE746E3}" type="presOf" srcId="{6AE10DDC-51D2-4A23-B61C-28E9CA168542}" destId="{A47A2671-A8FD-4057-A2D5-273F0C4C2EDD}" srcOrd="0" destOrd="0" presId="urn:microsoft.com/office/officeart/2005/8/layout/hierarchy6"/>
    <dgm:cxn modelId="{9C3631D9-FFF2-427E-830A-E93057AA705B}" type="presOf" srcId="{BCABC08C-369A-43A6-A25F-863B9143B4D0}" destId="{7ED8CE59-8403-449A-BFAF-44F1904D90E1}" srcOrd="1" destOrd="0" presId="urn:microsoft.com/office/officeart/2005/8/layout/hierarchy6"/>
    <dgm:cxn modelId="{E2082DAC-62F9-46BE-90CA-28A88772C343}" type="presOf" srcId="{6CDC4C15-84A9-4447-B8E1-4A3DEEA32778}" destId="{F32D778D-B4DD-4EF9-80ED-169205394764}" srcOrd="0" destOrd="0" presId="urn:microsoft.com/office/officeart/2005/8/layout/hierarchy6"/>
    <dgm:cxn modelId="{C225ADC5-2D54-4345-A83F-56858B51A82A}" srcId="{C77AC29F-89C8-45AE-8D00-155B1741EBBC}" destId="{CB22A15C-7463-4C7F-A366-745873CC3BA4}" srcOrd="1" destOrd="0" parTransId="{9B7E9654-5138-4D67-BA0D-473EB837F90E}" sibTransId="{51C56C48-6B5F-47B7-987C-5608285265ED}"/>
    <dgm:cxn modelId="{FA84BAB9-0A20-4435-922D-6C2D0B47C771}" type="presParOf" srcId="{93443916-2556-4E50-AE5B-48E986789CC3}" destId="{65A27B68-086C-4441-B7E1-DA7E2DD8D8DC}" srcOrd="0" destOrd="0" presId="urn:microsoft.com/office/officeart/2005/8/layout/hierarchy6"/>
    <dgm:cxn modelId="{86E73A2F-2B29-42BD-B3BC-4D0F6BDEDED2}" type="presParOf" srcId="{65A27B68-086C-4441-B7E1-DA7E2DD8D8DC}" destId="{CFB925CC-0A9E-473F-8EB5-88A200E9BB4C}" srcOrd="0" destOrd="0" presId="urn:microsoft.com/office/officeart/2005/8/layout/hierarchy6"/>
    <dgm:cxn modelId="{E4AED75D-6AF5-48F0-8599-C19C02D4587E}" type="presParOf" srcId="{65A27B68-086C-4441-B7E1-DA7E2DD8D8DC}" destId="{23ACE0FB-4124-49AA-A1DA-63E363DC9F88}" srcOrd="1" destOrd="0" presId="urn:microsoft.com/office/officeart/2005/8/layout/hierarchy6"/>
    <dgm:cxn modelId="{48FA99B3-8B43-4617-815A-DBC3DDC71C77}" type="presParOf" srcId="{23ACE0FB-4124-49AA-A1DA-63E363DC9F88}" destId="{9EDBE1F5-F03A-4EDE-A073-9215170A2A1A}" srcOrd="0" destOrd="0" presId="urn:microsoft.com/office/officeart/2005/8/layout/hierarchy6"/>
    <dgm:cxn modelId="{429C94E9-5C95-4245-9958-A1854A266EB2}" type="presParOf" srcId="{9EDBE1F5-F03A-4EDE-A073-9215170A2A1A}" destId="{5BFB3BD3-D52F-4368-98D2-64D313B0C6C4}" srcOrd="0" destOrd="0" presId="urn:microsoft.com/office/officeart/2005/8/layout/hierarchy6"/>
    <dgm:cxn modelId="{22D3E486-11D9-4DF0-AE54-9A8D2EBEF354}" type="presParOf" srcId="{9EDBE1F5-F03A-4EDE-A073-9215170A2A1A}" destId="{1D9E885F-54AB-4F25-9369-BFA5022F26E3}" srcOrd="1" destOrd="0" presId="urn:microsoft.com/office/officeart/2005/8/layout/hierarchy6"/>
    <dgm:cxn modelId="{FB769E06-C9EF-4443-A895-1A5F7D5489AD}" type="presParOf" srcId="{1D9E885F-54AB-4F25-9369-BFA5022F26E3}" destId="{77800061-2C3D-4B1A-A99F-6EEB867D9000}" srcOrd="0" destOrd="0" presId="urn:microsoft.com/office/officeart/2005/8/layout/hierarchy6"/>
    <dgm:cxn modelId="{C0EC3E10-2849-402E-90F8-BBBADB122D93}" type="presParOf" srcId="{1D9E885F-54AB-4F25-9369-BFA5022F26E3}" destId="{BE68E251-80D1-45F2-9DF0-C8C6201A53F5}" srcOrd="1" destOrd="0" presId="urn:microsoft.com/office/officeart/2005/8/layout/hierarchy6"/>
    <dgm:cxn modelId="{B3CC059D-2F87-4E05-9A33-95EFCB42655B}" type="presParOf" srcId="{BE68E251-80D1-45F2-9DF0-C8C6201A53F5}" destId="{6008BEC8-FEBD-4939-BF5F-0DEE9F2EB9D3}" srcOrd="0" destOrd="0" presId="urn:microsoft.com/office/officeart/2005/8/layout/hierarchy6"/>
    <dgm:cxn modelId="{EAB8B546-D38D-4D30-88C1-A585A07E72F1}" type="presParOf" srcId="{BE68E251-80D1-45F2-9DF0-C8C6201A53F5}" destId="{6E2FA248-02E9-4F6C-A3A2-DE2E3A017282}" srcOrd="1" destOrd="0" presId="urn:microsoft.com/office/officeart/2005/8/layout/hierarchy6"/>
    <dgm:cxn modelId="{50703D0B-0105-4979-8977-FB7B9F7BE0C4}" type="presParOf" srcId="{1D9E885F-54AB-4F25-9369-BFA5022F26E3}" destId="{0DCA51F8-D809-4A5F-BE76-902741D800BC}" srcOrd="2" destOrd="0" presId="urn:microsoft.com/office/officeart/2005/8/layout/hierarchy6"/>
    <dgm:cxn modelId="{F92D6AAF-D555-4473-A488-5A99723B6CAA}" type="presParOf" srcId="{1D9E885F-54AB-4F25-9369-BFA5022F26E3}" destId="{FE3BA7F4-795B-489C-B529-F70D983786DF}" srcOrd="3" destOrd="0" presId="urn:microsoft.com/office/officeart/2005/8/layout/hierarchy6"/>
    <dgm:cxn modelId="{611570B7-DC84-47D8-B8B1-578F8A69C1DD}" type="presParOf" srcId="{FE3BA7F4-795B-489C-B529-F70D983786DF}" destId="{FE6487C2-4223-4321-B71E-4928204B3287}" srcOrd="0" destOrd="0" presId="urn:microsoft.com/office/officeart/2005/8/layout/hierarchy6"/>
    <dgm:cxn modelId="{19372D72-F4D6-4264-A430-47CA9A65A7BB}" type="presParOf" srcId="{FE3BA7F4-795B-489C-B529-F70D983786DF}" destId="{24365E0A-CCCD-4802-AF44-512BE2CEF75E}" srcOrd="1" destOrd="0" presId="urn:microsoft.com/office/officeart/2005/8/layout/hierarchy6"/>
    <dgm:cxn modelId="{A75187B2-DA0A-4831-954E-A85766E341AF}" type="presParOf" srcId="{1D9E885F-54AB-4F25-9369-BFA5022F26E3}" destId="{A47A2671-A8FD-4057-A2D5-273F0C4C2EDD}" srcOrd="4" destOrd="0" presId="urn:microsoft.com/office/officeart/2005/8/layout/hierarchy6"/>
    <dgm:cxn modelId="{F6DF5352-4251-452A-9D62-5CB377A01E80}" type="presParOf" srcId="{1D9E885F-54AB-4F25-9369-BFA5022F26E3}" destId="{1AD38AF2-5A54-4A2A-84F9-85FE5C97BBFE}" srcOrd="5" destOrd="0" presId="urn:microsoft.com/office/officeart/2005/8/layout/hierarchy6"/>
    <dgm:cxn modelId="{70167642-BDE6-40F1-9DD2-14737EFF9AD3}" type="presParOf" srcId="{1AD38AF2-5A54-4A2A-84F9-85FE5C97BBFE}" destId="{B70D5D2A-27AA-4397-AA76-0781A6F8E281}" srcOrd="0" destOrd="0" presId="urn:microsoft.com/office/officeart/2005/8/layout/hierarchy6"/>
    <dgm:cxn modelId="{84F76B8F-B223-4F2D-BA80-BA432F810878}" type="presParOf" srcId="{1AD38AF2-5A54-4A2A-84F9-85FE5C97BBFE}" destId="{012ED422-BB14-4A85-95C2-A18659318C56}" srcOrd="1" destOrd="0" presId="urn:microsoft.com/office/officeart/2005/8/layout/hierarchy6"/>
    <dgm:cxn modelId="{BC09A260-440C-43D1-9C56-DC478BA3810A}" type="presParOf" srcId="{1D9E885F-54AB-4F25-9369-BFA5022F26E3}" destId="{F32D778D-B4DD-4EF9-80ED-169205394764}" srcOrd="6" destOrd="0" presId="urn:microsoft.com/office/officeart/2005/8/layout/hierarchy6"/>
    <dgm:cxn modelId="{CBC81699-3C0E-4700-9AC2-23FFB68106DE}" type="presParOf" srcId="{1D9E885F-54AB-4F25-9369-BFA5022F26E3}" destId="{DD2A4B83-C043-47F9-8D43-E943992AA4E8}" srcOrd="7" destOrd="0" presId="urn:microsoft.com/office/officeart/2005/8/layout/hierarchy6"/>
    <dgm:cxn modelId="{40AED11B-213B-445F-A371-9111A988E7D5}" type="presParOf" srcId="{DD2A4B83-C043-47F9-8D43-E943992AA4E8}" destId="{5134F5CD-50D9-49BE-BAE4-1F27080D6141}" srcOrd="0" destOrd="0" presId="urn:microsoft.com/office/officeart/2005/8/layout/hierarchy6"/>
    <dgm:cxn modelId="{BAECE4B4-9269-4D88-9291-63D37C07DD09}" type="presParOf" srcId="{DD2A4B83-C043-47F9-8D43-E943992AA4E8}" destId="{47A9A50B-BA74-4984-91F0-E42EB3DFFBF8}" srcOrd="1" destOrd="0" presId="urn:microsoft.com/office/officeart/2005/8/layout/hierarchy6"/>
    <dgm:cxn modelId="{D339B4DF-2D31-48F5-8DCF-09ED8A2B4629}" type="presParOf" srcId="{93443916-2556-4E50-AE5B-48E986789CC3}" destId="{9E34AAFE-3E2D-401A-99D9-31D3DA7DC9BF}" srcOrd="1" destOrd="0" presId="urn:microsoft.com/office/officeart/2005/8/layout/hierarchy6"/>
    <dgm:cxn modelId="{24A22962-0069-418E-9AFA-B2E8D4B161B5}" type="presParOf" srcId="{9E34AAFE-3E2D-401A-99D9-31D3DA7DC9BF}" destId="{010300F8-52BF-47A0-9AAC-F7C42423F9AF}" srcOrd="0" destOrd="0" presId="urn:microsoft.com/office/officeart/2005/8/layout/hierarchy6"/>
    <dgm:cxn modelId="{72850641-FE41-4024-9AB7-EE8906527289}" type="presParOf" srcId="{010300F8-52BF-47A0-9AAC-F7C42423F9AF}" destId="{95E6B799-9D4D-48B1-86A7-BE815C2F99C6}" srcOrd="0" destOrd="0" presId="urn:microsoft.com/office/officeart/2005/8/layout/hierarchy6"/>
    <dgm:cxn modelId="{94EC0A11-8255-4D27-AFAA-CB5F9DB84AE2}" type="presParOf" srcId="{010300F8-52BF-47A0-9AAC-F7C42423F9AF}" destId="{7ED8CE59-8403-449A-BFAF-44F1904D90E1}" srcOrd="1" destOrd="0" presId="urn:microsoft.com/office/officeart/2005/8/layout/hierarchy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EAD1-A15D-4C89-A439-2BD69007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Wigal</dc:creator>
  <cp:keywords/>
  <dc:description/>
  <cp:lastModifiedBy>debra sturdevant</cp:lastModifiedBy>
  <cp:revision>8</cp:revision>
  <cp:lastPrinted>2009-04-14T22:26:00Z</cp:lastPrinted>
  <dcterms:created xsi:type="dcterms:W3CDTF">2009-04-14T21:10:00Z</dcterms:created>
  <dcterms:modified xsi:type="dcterms:W3CDTF">2009-04-15T16:10:00Z</dcterms:modified>
</cp:coreProperties>
</file>