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75" w:rsidRDefault="00642675" w:rsidP="00856A83">
      <w:pPr>
        <w:jc w:val="center"/>
        <w:rPr>
          <w:b/>
        </w:rPr>
      </w:pPr>
    </w:p>
    <w:p w:rsidR="00856A83" w:rsidRPr="00702CE6" w:rsidRDefault="00642675" w:rsidP="00856A83">
      <w:pPr>
        <w:jc w:val="center"/>
      </w:pPr>
      <w:r>
        <w:rPr>
          <w:b/>
        </w:rPr>
        <w:t>Key</w:t>
      </w:r>
      <w:r w:rsidRPr="00702CE6">
        <w:rPr>
          <w:b/>
        </w:rPr>
        <w:t xml:space="preserve"> Differences </w:t>
      </w:r>
      <w:proofErr w:type="gramStart"/>
      <w:r w:rsidRPr="00702CE6">
        <w:rPr>
          <w:b/>
        </w:rPr>
        <w:t>Between</w:t>
      </w:r>
      <w:proofErr w:type="gramEnd"/>
      <w:r w:rsidRPr="00702CE6">
        <w:rPr>
          <w:b/>
        </w:rPr>
        <w:t xml:space="preserve"> the </w:t>
      </w:r>
      <w:r>
        <w:rPr>
          <w:b/>
        </w:rPr>
        <w:t xml:space="preserve">Variance and </w:t>
      </w:r>
      <w:r w:rsidRPr="00702CE6">
        <w:rPr>
          <w:b/>
        </w:rPr>
        <w:t>UAA Application Process</w:t>
      </w:r>
      <w:r>
        <w:rPr>
          <w:b/>
        </w:rPr>
        <w:t>es</w:t>
      </w:r>
    </w:p>
    <w:p w:rsidR="00856A83" w:rsidRPr="00702CE6" w:rsidRDefault="001F19D2" w:rsidP="00856A83"/>
    <w:p w:rsidR="00642675" w:rsidRDefault="00642675" w:rsidP="00856A83"/>
    <w:p w:rsidR="00856A83" w:rsidRDefault="00642675" w:rsidP="00856A83">
      <w:r w:rsidRPr="00702CE6">
        <w:t xml:space="preserve">While </w:t>
      </w:r>
      <w:r>
        <w:t>the justification factors</w:t>
      </w:r>
      <w:r w:rsidRPr="00702CE6">
        <w:t xml:space="preserve"> for </w:t>
      </w:r>
      <w:r>
        <w:t xml:space="preserve">requesting </w:t>
      </w:r>
      <w:r w:rsidRPr="00702CE6">
        <w:t xml:space="preserve">a variance </w:t>
      </w:r>
      <w:r>
        <w:t>are</w:t>
      </w:r>
      <w:r w:rsidRPr="00702CE6">
        <w:t xml:space="preserve"> the same </w:t>
      </w:r>
      <w:r>
        <w:t xml:space="preserve">as those for requesting </w:t>
      </w:r>
      <w:r w:rsidRPr="00702CE6">
        <w:t>a Use Attainability Analysis,</w:t>
      </w:r>
      <w:r w:rsidRPr="00702CE6">
        <w:rPr>
          <w:rStyle w:val="FootnoteReference"/>
        </w:rPr>
        <w:footnoteReference w:id="2"/>
      </w:r>
      <w:r w:rsidRPr="00702CE6">
        <w:t xml:space="preserve"> DEQ </w:t>
      </w:r>
      <w:r>
        <w:t xml:space="preserve">believes there are some key differences between the variance and UAA processes which are important to recognize.  For purposes of this document, the differences highlighted are between the </w:t>
      </w:r>
      <w:proofErr w:type="gramStart"/>
      <w:r>
        <w:t>process</w:t>
      </w:r>
      <w:proofErr w:type="gramEnd"/>
      <w:r>
        <w:t xml:space="preserve"> of granting an individual variance versus a UAA.</w:t>
      </w:r>
    </w:p>
    <w:p w:rsidR="00856A83" w:rsidRPr="00702CE6" w:rsidRDefault="001F19D2" w:rsidP="00856A83"/>
    <w:p w:rsidR="00856A83" w:rsidRDefault="00642675" w:rsidP="00856A83">
      <w:r w:rsidRPr="00702CE6">
        <w:t xml:space="preserve">Because variances apply to individual dischargers and individual pollutants for a limited time period, and because the underlying </w:t>
      </w:r>
      <w:r>
        <w:t>water quality standards for the water body are</w:t>
      </w:r>
      <w:r w:rsidRPr="00702CE6">
        <w:t xml:space="preserve"> maintained, development of the variance application and subsequent </w:t>
      </w:r>
      <w:r>
        <w:t>D</w:t>
      </w:r>
      <w:r w:rsidRPr="00702CE6">
        <w:t xml:space="preserve">epartment review </w:t>
      </w:r>
      <w:r>
        <w:t>are expected to be</w:t>
      </w:r>
      <w:r w:rsidRPr="00702CE6">
        <w:t xml:space="preserve"> less time-consuming and less resource-intensive</w:t>
      </w:r>
      <w:r>
        <w:t xml:space="preserve"> than would be expected for a UAA or site-specific criteria application</w:t>
      </w:r>
      <w:r w:rsidRPr="00702CE6">
        <w:t xml:space="preserve">. </w:t>
      </w:r>
      <w:r>
        <w:t xml:space="preserve"> Further, the Department believes that revisions to the variance rule will create a more efficient variance process as compared to the current UAA process.</w:t>
      </w:r>
    </w:p>
    <w:p w:rsidR="00856A83" w:rsidRPr="00702CE6" w:rsidRDefault="00642675" w:rsidP="00856A83">
      <w:r w:rsidRPr="00702CE6">
        <w:t xml:space="preserve"> </w:t>
      </w:r>
    </w:p>
    <w:p w:rsidR="00856A83" w:rsidRDefault="00642675" w:rsidP="00856A83">
      <w:pPr>
        <w:rPr>
          <w:u w:val="single"/>
        </w:rPr>
      </w:pPr>
      <w:r>
        <w:rPr>
          <w:u w:val="single"/>
        </w:rPr>
        <w:t>Key</w:t>
      </w:r>
      <w:r w:rsidRPr="00702CE6">
        <w:rPr>
          <w:u w:val="single"/>
        </w:rPr>
        <w:t xml:space="preserve"> Difference</w:t>
      </w:r>
      <w:r>
        <w:rPr>
          <w:u w:val="single"/>
        </w:rPr>
        <w:t>s</w:t>
      </w:r>
      <w:r w:rsidRPr="00702CE6">
        <w:rPr>
          <w:u w:val="single"/>
        </w:rPr>
        <w:t xml:space="preserve"> </w:t>
      </w:r>
      <w:proofErr w:type="gramStart"/>
      <w:r w:rsidRPr="00702CE6">
        <w:rPr>
          <w:u w:val="single"/>
        </w:rPr>
        <w:t>Between</w:t>
      </w:r>
      <w:proofErr w:type="gramEnd"/>
      <w:r w:rsidRPr="00702CE6">
        <w:rPr>
          <w:u w:val="single"/>
        </w:rPr>
        <w:t xml:space="preserve"> </w:t>
      </w:r>
      <w:r>
        <w:rPr>
          <w:u w:val="single"/>
        </w:rPr>
        <w:t>the “Streamlined” Variance Process Being Developed by DEQ</w:t>
      </w:r>
      <w:r w:rsidRPr="00702CE6" w:rsidDel="00083D58">
        <w:rPr>
          <w:u w:val="single"/>
        </w:rPr>
        <w:t xml:space="preserve"> </w:t>
      </w:r>
      <w:r>
        <w:rPr>
          <w:u w:val="single"/>
        </w:rPr>
        <w:t xml:space="preserve">and the Current </w:t>
      </w:r>
      <w:r w:rsidRPr="00702CE6">
        <w:rPr>
          <w:u w:val="single"/>
        </w:rPr>
        <w:t>UAA</w:t>
      </w:r>
      <w:r>
        <w:rPr>
          <w:u w:val="single"/>
        </w:rPr>
        <w:t xml:space="preserve"> </w:t>
      </w:r>
      <w:r w:rsidRPr="00702CE6">
        <w:rPr>
          <w:u w:val="single"/>
        </w:rPr>
        <w:t>Process</w:t>
      </w:r>
      <w:r>
        <w:rPr>
          <w:u w:val="single"/>
        </w:rPr>
        <w:t>:</w:t>
      </w:r>
    </w:p>
    <w:p w:rsidR="00856A83" w:rsidRDefault="001F19D2" w:rsidP="00856A83">
      <w:pPr>
        <w:rPr>
          <w:u w:val="single"/>
        </w:rPr>
      </w:pPr>
    </w:p>
    <w:p w:rsidR="00856A83" w:rsidRPr="00F2009D" w:rsidRDefault="00642675" w:rsidP="00856A83">
      <w:pPr>
        <w:numPr>
          <w:ilvl w:val="0"/>
          <w:numId w:val="1"/>
        </w:numPr>
      </w:pPr>
      <w:r w:rsidRPr="00F2009D">
        <w:t xml:space="preserve">For variances, the focus of the application is on the </w:t>
      </w:r>
      <w:r>
        <w:t xml:space="preserve">infeasibility </w:t>
      </w:r>
      <w:r w:rsidRPr="00F2009D">
        <w:t>of an individual</w:t>
      </w:r>
      <w:r>
        <w:t xml:space="preserve"> discharger</w:t>
      </w:r>
      <w:r w:rsidRPr="00F2009D">
        <w:t xml:space="preserve"> to achieve the limits necessary to meet the WQS</w:t>
      </w:r>
      <w:r w:rsidR="009A6387">
        <w:t xml:space="preserve"> in a defined location or stream reach</w:t>
      </w:r>
      <w:r w:rsidRPr="00F2009D">
        <w:t xml:space="preserve">, not the attainability of the use within the </w:t>
      </w:r>
      <w:proofErr w:type="spellStart"/>
      <w:r w:rsidRPr="00F2009D">
        <w:t>waterbody</w:t>
      </w:r>
      <w:proofErr w:type="spellEnd"/>
      <w:r w:rsidRPr="00F2009D">
        <w:t xml:space="preserve"> as a whole, which requires a more comprehensive and time consuming review.</w:t>
      </w:r>
    </w:p>
    <w:p w:rsidR="00856A83" w:rsidRDefault="00642675" w:rsidP="00856A83">
      <w:pPr>
        <w:numPr>
          <w:ilvl w:val="0"/>
          <w:numId w:val="1"/>
        </w:numPr>
      </w:pPr>
      <w:r>
        <w:t xml:space="preserve">UAAs change the designated use and associated criteria for the </w:t>
      </w:r>
      <w:proofErr w:type="spellStart"/>
      <w:r>
        <w:t>waterbody</w:t>
      </w:r>
      <w:proofErr w:type="spellEnd"/>
      <w:r>
        <w:t xml:space="preserve">.  As such, more detailed analyses, such as a </w:t>
      </w:r>
      <w:proofErr w:type="spellStart"/>
      <w:r w:rsidRPr="00702CE6">
        <w:t>Waterbody</w:t>
      </w:r>
      <w:proofErr w:type="spellEnd"/>
      <w:r w:rsidRPr="00702CE6">
        <w:t xml:space="preserve"> Survey, </w:t>
      </w:r>
      <w:r>
        <w:t xml:space="preserve">may be </w:t>
      </w:r>
      <w:r w:rsidRPr="00702CE6">
        <w:t xml:space="preserve">required as part of the UAA process. </w:t>
      </w:r>
    </w:p>
    <w:p w:rsidR="00856A83" w:rsidRPr="00702CE6" w:rsidRDefault="00642675" w:rsidP="00856A83">
      <w:pPr>
        <w:numPr>
          <w:ilvl w:val="0"/>
          <w:numId w:val="1"/>
        </w:numPr>
      </w:pPr>
      <w:r>
        <w:t xml:space="preserve">Variances do not alter </w:t>
      </w:r>
      <w:r w:rsidRPr="00702CE6">
        <w:t xml:space="preserve">underlying use </w:t>
      </w:r>
      <w:r>
        <w:t xml:space="preserve">or other criteria, </w:t>
      </w:r>
      <w:r w:rsidR="009A6387">
        <w:t xml:space="preserve">these would remain as the long term goal, </w:t>
      </w:r>
      <w:r>
        <w:t xml:space="preserve">and all other </w:t>
      </w:r>
      <w:r w:rsidDel="00856A83">
        <w:t xml:space="preserve">elements of the WQS remain in force.  </w:t>
      </w:r>
      <w:r>
        <w:t>As such, t</w:t>
      </w:r>
      <w:r w:rsidRPr="00702CE6">
        <w:t xml:space="preserve">he technical support for a variance application will usually focus on following more limited </w:t>
      </w:r>
      <w:r w:rsidRPr="00702CE6" w:rsidDel="000212E2">
        <w:t>inquires</w:t>
      </w:r>
      <w:r w:rsidRPr="00702CE6">
        <w:t xml:space="preserve">: </w:t>
      </w:r>
    </w:p>
    <w:p w:rsidR="00856A83" w:rsidRPr="00702CE6" w:rsidRDefault="00642675" w:rsidP="00856A83">
      <w:pPr>
        <w:numPr>
          <w:ilvl w:val="1"/>
          <w:numId w:val="1"/>
        </w:numPr>
      </w:pPr>
      <w:r w:rsidRPr="00702CE6">
        <w:t xml:space="preserve">The inability of the facility to meet the  </w:t>
      </w:r>
      <w:r>
        <w:t>water quality criterion (including the consideration of applicable treatment technologies or other appropriate alternatives) and the reasons for that</w:t>
      </w:r>
      <w:r w:rsidRPr="00702CE6">
        <w:t xml:space="preserve">; </w:t>
      </w:r>
    </w:p>
    <w:p w:rsidR="00856A83" w:rsidRPr="00702CE6" w:rsidRDefault="00642675" w:rsidP="00856A83">
      <w:pPr>
        <w:numPr>
          <w:ilvl w:val="1"/>
          <w:numId w:val="1"/>
        </w:numPr>
      </w:pPr>
      <w:r>
        <w:t>If applicable, t</w:t>
      </w:r>
      <w:r w:rsidRPr="00702CE6">
        <w:t>he costs and needs associated with meeting the current water quality standard</w:t>
      </w:r>
      <w:r>
        <w:t xml:space="preserve"> for the facility requesting the variance</w:t>
      </w:r>
      <w:r w:rsidRPr="00702CE6">
        <w:t>; and</w:t>
      </w:r>
    </w:p>
    <w:p w:rsidR="00856A83" w:rsidRPr="00702CE6" w:rsidRDefault="00642675" w:rsidP="00856A83">
      <w:pPr>
        <w:numPr>
          <w:ilvl w:val="1"/>
          <w:numId w:val="1"/>
        </w:numPr>
      </w:pPr>
      <w:r>
        <w:t>Whether granting the variance will impact the maintenance and protection of</w:t>
      </w:r>
      <w:r w:rsidRPr="00702CE6">
        <w:t xml:space="preserve"> existing uses.</w:t>
      </w:r>
    </w:p>
    <w:p w:rsidR="00856A83" w:rsidRPr="00F47C5E" w:rsidRDefault="00642675" w:rsidP="00856A83">
      <w:pPr>
        <w:numPr>
          <w:ilvl w:val="1"/>
          <w:numId w:val="1"/>
        </w:numPr>
      </w:pPr>
      <w:r w:rsidRPr="00F47C5E">
        <w:t>Actions the facility will undertake to make progress toward meeting the water quality standards, as appropriate.</w:t>
      </w:r>
    </w:p>
    <w:p w:rsidR="00856A83" w:rsidRPr="00702CE6" w:rsidRDefault="00642675" w:rsidP="00856A83">
      <w:pPr>
        <w:numPr>
          <w:ilvl w:val="0"/>
          <w:numId w:val="1"/>
        </w:numPr>
      </w:pPr>
      <w:r>
        <w:t xml:space="preserve">Rulemaking would not be necessary to issue individual </w:t>
      </w:r>
      <w:r w:rsidRPr="00702CE6">
        <w:t>variance</w:t>
      </w:r>
      <w:r>
        <w:t>s; rather, it would be accomplished by a Commission Order or by the Director</w:t>
      </w:r>
      <w:r w:rsidRPr="00702CE6">
        <w:t>, and therefore</w:t>
      </w:r>
      <w:r>
        <w:t>,</w:t>
      </w:r>
      <w:r w:rsidRPr="00702CE6">
        <w:t xml:space="preserve"> </w:t>
      </w:r>
      <w:r>
        <w:t>would be accomplished with fewer DEQ administrative resources and within a shorter timeframe</w:t>
      </w:r>
      <w:r w:rsidRPr="00702CE6">
        <w:t>.</w:t>
      </w:r>
      <w:r>
        <w:t xml:space="preserve">  </w:t>
      </w:r>
    </w:p>
    <w:p w:rsidR="00856A83" w:rsidRDefault="00642675" w:rsidP="00856A83">
      <w:pPr>
        <w:numPr>
          <w:ilvl w:val="0"/>
          <w:numId w:val="1"/>
        </w:numPr>
        <w:rPr>
          <w:u w:val="single"/>
        </w:rPr>
      </w:pPr>
      <w:r w:rsidRPr="00702CE6">
        <w:t xml:space="preserve">DEQ can process variance applications </w:t>
      </w:r>
      <w:r>
        <w:t xml:space="preserve">in coordination </w:t>
      </w:r>
      <w:r w:rsidRPr="00702CE6">
        <w:t xml:space="preserve">with </w:t>
      </w:r>
      <w:r>
        <w:t xml:space="preserve">the </w:t>
      </w:r>
      <w:r w:rsidRPr="00702CE6">
        <w:t>NPDES permit renewal process</w:t>
      </w:r>
      <w:r>
        <w:t>.</w:t>
      </w:r>
    </w:p>
    <w:p w:rsidR="00856A83" w:rsidRDefault="001F19D2" w:rsidP="00856A83">
      <w:pPr>
        <w:rPr>
          <w:u w:val="single"/>
        </w:rPr>
      </w:pPr>
    </w:p>
    <w:p w:rsidR="00642675" w:rsidRDefault="00642675" w:rsidP="00856A83">
      <w:pPr>
        <w:rPr>
          <w:u w:val="single"/>
        </w:rPr>
      </w:pPr>
    </w:p>
    <w:p w:rsidR="00856A83" w:rsidRPr="00702CE6" w:rsidRDefault="00642675" w:rsidP="00856A83">
      <w:r w:rsidRPr="00702CE6">
        <w:rPr>
          <w:u w:val="single"/>
        </w:rPr>
        <w:lastRenderedPageBreak/>
        <w:t>Similarit</w:t>
      </w:r>
      <w:r>
        <w:rPr>
          <w:u w:val="single"/>
        </w:rPr>
        <w:t>ies</w:t>
      </w:r>
      <w:r w:rsidRPr="00702CE6">
        <w:rPr>
          <w:u w:val="single"/>
        </w:rPr>
        <w:t xml:space="preserve"> </w:t>
      </w:r>
      <w:proofErr w:type="gramStart"/>
      <w:r w:rsidRPr="00702CE6">
        <w:rPr>
          <w:u w:val="single"/>
        </w:rPr>
        <w:t>Between</w:t>
      </w:r>
      <w:proofErr w:type="gramEnd"/>
      <w:r>
        <w:rPr>
          <w:u w:val="single"/>
        </w:rPr>
        <w:t xml:space="preserve"> the</w:t>
      </w:r>
      <w:r w:rsidRPr="00702CE6">
        <w:rPr>
          <w:u w:val="single"/>
        </w:rPr>
        <w:t xml:space="preserve"> Variance and UAA Application</w:t>
      </w:r>
      <w:r>
        <w:rPr>
          <w:u w:val="single"/>
        </w:rPr>
        <w:t xml:space="preserve"> Processe</w:t>
      </w:r>
      <w:r w:rsidRPr="00702CE6">
        <w:rPr>
          <w:u w:val="single"/>
        </w:rPr>
        <w:t>s:</w:t>
      </w:r>
    </w:p>
    <w:p w:rsidR="00856A83" w:rsidRPr="00702CE6" w:rsidRDefault="001F19D2" w:rsidP="00856A83"/>
    <w:p w:rsidR="00856A83" w:rsidRDefault="00642675" w:rsidP="00856A83">
      <w:pPr>
        <w:numPr>
          <w:ilvl w:val="0"/>
          <w:numId w:val="2"/>
        </w:numPr>
      </w:pPr>
      <w:r>
        <w:t>The justification for granting either a variance or a UAA must rely on one of the same six factors found at 40 C.F.R. § 131.10(g).</w:t>
      </w:r>
    </w:p>
    <w:p w:rsidR="00856A83" w:rsidRPr="00702CE6" w:rsidRDefault="00642675" w:rsidP="00856A83">
      <w:pPr>
        <w:numPr>
          <w:ilvl w:val="0"/>
          <w:numId w:val="2"/>
        </w:numPr>
      </w:pPr>
      <w:r>
        <w:t>I</w:t>
      </w:r>
      <w:r w:rsidRPr="00702CE6">
        <w:t xml:space="preserve">n order to demonstrate </w:t>
      </w:r>
      <w:r>
        <w:t xml:space="preserve">substantial and </w:t>
      </w:r>
      <w:r w:rsidRPr="00702CE6">
        <w:t>widespread economic or social impact under 40 C.F.R. § 131.10(g</w:t>
      </w:r>
      <w:proofErr w:type="gramStart"/>
      <w:r w:rsidRPr="00702CE6">
        <w:t>)(</w:t>
      </w:r>
      <w:proofErr w:type="gramEnd"/>
      <w:r w:rsidRPr="00702CE6">
        <w:t>6)</w:t>
      </w:r>
      <w:r>
        <w:t>, b</w:t>
      </w:r>
      <w:r w:rsidRPr="00702CE6">
        <w:t>oth processes require information necessary to show costs of standards attainment</w:t>
      </w:r>
      <w:r>
        <w:t>, though at a different scale</w:t>
      </w:r>
      <w:r w:rsidRPr="00702CE6">
        <w:t>.</w:t>
      </w:r>
      <w:r w:rsidRPr="00702CE6">
        <w:rPr>
          <w:rStyle w:val="FootnoteReference"/>
        </w:rPr>
        <w:footnoteReference w:id="3"/>
      </w:r>
    </w:p>
    <w:p w:rsidR="00856A83" w:rsidRPr="00702CE6" w:rsidRDefault="00642675" w:rsidP="00856A83">
      <w:pPr>
        <w:numPr>
          <w:ilvl w:val="0"/>
          <w:numId w:val="2"/>
        </w:numPr>
      </w:pPr>
      <w:r w:rsidRPr="00702CE6">
        <w:t>Both processes will consider possible restoration/mitigation as part of the application process.  DEQ acknowledges that better protection of the resource could be achieved through habitat restoration, or by offsets/trading.</w:t>
      </w:r>
      <w:r w:rsidRPr="00702CE6">
        <w:rPr>
          <w:rStyle w:val="FootnoteReference"/>
        </w:rPr>
        <w:footnoteReference w:id="4"/>
      </w:r>
      <w:r w:rsidRPr="00702CE6">
        <w:t xml:space="preserve"> </w:t>
      </w:r>
    </w:p>
    <w:p w:rsidR="00856A83" w:rsidRPr="00702CE6" w:rsidRDefault="001F19D2" w:rsidP="00856A83"/>
    <w:p w:rsidR="00856A83" w:rsidRPr="00702CE6" w:rsidRDefault="00642675" w:rsidP="00856A83">
      <w:r w:rsidRPr="00702CE6">
        <w:t>DEQ is still formulating the strictures of the variance process</w:t>
      </w:r>
      <w:r>
        <w:t>.  While DEQ expects</w:t>
      </w:r>
      <w:r w:rsidRPr="00702CE6">
        <w:t xml:space="preserve"> that the review and approval procedures for </w:t>
      </w:r>
      <w:r>
        <w:t>granting</w:t>
      </w:r>
      <w:r w:rsidRPr="00702CE6">
        <w:t xml:space="preserve"> variance</w:t>
      </w:r>
      <w:r>
        <w:t>s</w:t>
      </w:r>
      <w:r w:rsidRPr="00702CE6">
        <w:t xml:space="preserve"> will be </w:t>
      </w:r>
      <w:r>
        <w:t>tailored to the situations for which they are being considered, it believes that the procedures will be</w:t>
      </w:r>
      <w:r w:rsidDel="00F2009D">
        <w:t xml:space="preserve"> much </w:t>
      </w:r>
      <w:r w:rsidRPr="00702CE6">
        <w:t>less intensive than that required for a UAA application.</w:t>
      </w:r>
    </w:p>
    <w:sectPr w:rsidR="00856A83" w:rsidRPr="00702CE6" w:rsidSect="00856A83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A83" w:rsidRDefault="00642675">
      <w:r>
        <w:separator/>
      </w:r>
    </w:p>
  </w:endnote>
  <w:endnote w:type="continuationSeparator" w:id="1">
    <w:p w:rsidR="00856A83" w:rsidRDefault="0064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A83" w:rsidRDefault="00642675">
      <w:r>
        <w:separator/>
      </w:r>
    </w:p>
  </w:footnote>
  <w:footnote w:type="continuationSeparator" w:id="1">
    <w:p w:rsidR="00856A83" w:rsidRDefault="00642675">
      <w:r>
        <w:continuationSeparator/>
      </w:r>
    </w:p>
  </w:footnote>
  <w:footnote w:id="2">
    <w:p w:rsidR="00856A83" w:rsidRDefault="00642675">
      <w:pPr>
        <w:pStyle w:val="FootnoteText"/>
      </w:pPr>
      <w:r w:rsidRPr="00702CE6">
        <w:rPr>
          <w:rStyle w:val="FootnoteReference"/>
          <w:sz w:val="20"/>
          <w:szCs w:val="20"/>
        </w:rPr>
        <w:footnoteRef/>
      </w:r>
      <w:r w:rsidRPr="00702CE6">
        <w:rPr>
          <w:sz w:val="20"/>
          <w:szCs w:val="20"/>
        </w:rPr>
        <w:t xml:space="preserve"> 40 C.F.R. § 131.10(g)</w:t>
      </w:r>
    </w:p>
  </w:footnote>
  <w:footnote w:id="3">
    <w:p w:rsidR="00856A83" w:rsidRDefault="00642675">
      <w:pPr>
        <w:pStyle w:val="FootnoteText"/>
      </w:pPr>
      <w:r w:rsidRPr="00702CE6">
        <w:rPr>
          <w:rStyle w:val="FootnoteReference"/>
          <w:i/>
          <w:sz w:val="20"/>
          <w:szCs w:val="20"/>
        </w:rPr>
        <w:footnoteRef/>
      </w:r>
      <w:r w:rsidRPr="00702CE6">
        <w:rPr>
          <w:i/>
          <w:sz w:val="20"/>
          <w:szCs w:val="20"/>
        </w:rPr>
        <w:t xml:space="preserve"> See Use Attainability and Site Specific Criteria - Internal Management Directive</w:t>
      </w:r>
      <w:r w:rsidRPr="00702CE6">
        <w:rPr>
          <w:sz w:val="20"/>
          <w:szCs w:val="20"/>
        </w:rPr>
        <w:t>, Oregon Department of Environmental Quality, 2007, Chapter 4 (DEQ UAA IMD).</w:t>
      </w:r>
    </w:p>
  </w:footnote>
  <w:footnote w:id="4">
    <w:p w:rsidR="00856A83" w:rsidRDefault="00642675">
      <w:pPr>
        <w:pStyle w:val="FootnoteText"/>
      </w:pPr>
      <w:r w:rsidRPr="00702CE6">
        <w:rPr>
          <w:rStyle w:val="FootnoteReference"/>
          <w:sz w:val="20"/>
          <w:szCs w:val="20"/>
        </w:rPr>
        <w:footnoteRef/>
      </w:r>
      <w:r w:rsidRPr="00702CE6">
        <w:rPr>
          <w:sz w:val="20"/>
          <w:szCs w:val="20"/>
        </w:rPr>
        <w:t xml:space="preserve"> DEQ UAA IMD, pg. 48.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A83" w:rsidRPr="00702CE6" w:rsidRDefault="00642675" w:rsidP="00856A83">
    <w:pPr>
      <w:pStyle w:val="Footer"/>
      <w:jc w:val="right"/>
      <w:rPr>
        <w:i/>
      </w:rPr>
    </w:pPr>
    <w:r w:rsidRPr="00702CE6">
      <w:rPr>
        <w:i/>
      </w:rPr>
      <w:tab/>
    </w:r>
    <w:r w:rsidRPr="00702CE6">
      <w:rPr>
        <w:i/>
      </w:rPr>
      <w:tab/>
      <w:t>October 12, 2009</w:t>
    </w:r>
  </w:p>
  <w:p w:rsidR="00856A83" w:rsidRDefault="001F19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40DF"/>
    <w:multiLevelType w:val="hybridMultilevel"/>
    <w:tmpl w:val="F0F0C3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F0353B"/>
    <w:multiLevelType w:val="hybridMultilevel"/>
    <w:tmpl w:val="9E1864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trackRevisions/>
  <w:doNotTrackMoves/>
  <w:defaultTabStop w:val="720"/>
  <w:doNotHyphenateCaps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E3D"/>
    <w:rsid w:val="001F19D2"/>
    <w:rsid w:val="00642675"/>
    <w:rsid w:val="009A6387"/>
    <w:rsid w:val="00AD5E3D"/>
    <w:rsid w:val="00FC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32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32F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C32F7"/>
  </w:style>
  <w:style w:type="character" w:styleId="FootnoteReference">
    <w:name w:val="footnote reference"/>
    <w:basedOn w:val="DefaultParagraphFont"/>
    <w:semiHidden/>
    <w:rsid w:val="00FC32F7"/>
    <w:rPr>
      <w:rFonts w:ascii="Times New Roman" w:hAnsi="Times New Roman"/>
      <w:vertAlign w:val="superscript"/>
    </w:rPr>
  </w:style>
  <w:style w:type="paragraph" w:styleId="BalloonText">
    <w:name w:val="Balloon Text"/>
    <w:basedOn w:val="Normal"/>
    <w:semiHidden/>
    <w:rsid w:val="003719E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6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572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DEQ White Paper on the Differences Between the UAA Application Process and the Envisioned Streamlined Variance Process</vt:lpstr>
    </vt:vector>
  </TitlesOfParts>
  <Company>Davis &amp; Sudbury Law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DEQ White Paper on the Differences Between the UAA Application Process and the Envisioned Streamlined Variance Process</dc:title>
  <dc:subject/>
  <dc:creator>Ryan Sudbury</dc:creator>
  <cp:keywords/>
  <cp:lastModifiedBy>DEQ Build</cp:lastModifiedBy>
  <cp:revision>2</cp:revision>
  <cp:lastPrinted>2009-10-16T17:00:00Z</cp:lastPrinted>
  <dcterms:created xsi:type="dcterms:W3CDTF">2009-10-19T16:07:00Z</dcterms:created>
  <dcterms:modified xsi:type="dcterms:W3CDTF">2009-10-19T16:07:00Z</dcterms:modified>
</cp:coreProperties>
</file>