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587"/>
        <w:gridCol w:w="1775"/>
        <w:gridCol w:w="3399"/>
        <w:gridCol w:w="3212"/>
        <w:gridCol w:w="2203"/>
      </w:tblGrid>
      <w:tr w:rsidR="00C74EC1" w:rsidRPr="00B673F2" w:rsidTr="00035A78">
        <w:trPr>
          <w:trHeight w:val="800"/>
        </w:trPr>
        <w:tc>
          <w:tcPr>
            <w:tcW w:w="13176" w:type="dxa"/>
            <w:gridSpan w:val="5"/>
            <w:vAlign w:val="center"/>
          </w:tcPr>
          <w:p w:rsidR="00C74EC1" w:rsidRPr="00C74EC1" w:rsidRDefault="00C74EC1" w:rsidP="0007496E">
            <w:pPr>
              <w:jc w:val="center"/>
              <w:rPr>
                <w:b/>
                <w:color w:val="403152" w:themeColor="accent4" w:themeShade="80"/>
                <w:sz w:val="40"/>
                <w:szCs w:val="40"/>
              </w:rPr>
            </w:pPr>
            <w:r w:rsidRPr="00C74EC1">
              <w:rPr>
                <w:b/>
                <w:color w:val="403152" w:themeColor="accent4" w:themeShade="80"/>
                <w:sz w:val="40"/>
                <w:szCs w:val="40"/>
              </w:rPr>
              <w:t>Action Items to Prepare for February RWG Meeting</w:t>
            </w:r>
          </w:p>
        </w:tc>
      </w:tr>
      <w:tr w:rsidR="00AF53CD" w:rsidRPr="00B673F2" w:rsidTr="00C74EC1">
        <w:trPr>
          <w:trHeight w:val="800"/>
        </w:trPr>
        <w:tc>
          <w:tcPr>
            <w:tcW w:w="2621" w:type="dxa"/>
            <w:vAlign w:val="center"/>
          </w:tcPr>
          <w:p w:rsidR="00AF53CD" w:rsidRPr="00B673F2" w:rsidRDefault="00AF53CD" w:rsidP="0007496E">
            <w:pPr>
              <w:jc w:val="center"/>
              <w:rPr>
                <w:b/>
              </w:rPr>
            </w:pPr>
            <w:r w:rsidRPr="00B673F2">
              <w:rPr>
                <w:b/>
              </w:rPr>
              <w:t>WHAT</w:t>
            </w:r>
          </w:p>
        </w:tc>
        <w:tc>
          <w:tcPr>
            <w:tcW w:w="1788" w:type="dxa"/>
            <w:vAlign w:val="center"/>
          </w:tcPr>
          <w:p w:rsidR="00AF53CD" w:rsidRPr="00B673F2" w:rsidRDefault="00AF53CD" w:rsidP="0007496E">
            <w:pPr>
              <w:jc w:val="center"/>
              <w:rPr>
                <w:b/>
              </w:rPr>
            </w:pPr>
            <w:r w:rsidRPr="00B673F2">
              <w:rPr>
                <w:b/>
              </w:rPr>
              <w:t>ADDITIONAL RWG DISCUSSION</w:t>
            </w:r>
          </w:p>
        </w:tc>
        <w:tc>
          <w:tcPr>
            <w:tcW w:w="3454" w:type="dxa"/>
            <w:vAlign w:val="center"/>
          </w:tcPr>
          <w:p w:rsidR="00AF53CD" w:rsidRPr="00B673F2" w:rsidRDefault="00AF53CD" w:rsidP="0007496E">
            <w:pPr>
              <w:jc w:val="center"/>
              <w:rPr>
                <w:b/>
              </w:rPr>
            </w:pPr>
            <w:r w:rsidRPr="00B673F2">
              <w:rPr>
                <w:b/>
              </w:rPr>
              <w:t>RESOLUTION</w:t>
            </w:r>
          </w:p>
        </w:tc>
        <w:tc>
          <w:tcPr>
            <w:tcW w:w="3254" w:type="dxa"/>
            <w:vAlign w:val="center"/>
          </w:tcPr>
          <w:p w:rsidR="00AF53CD" w:rsidRPr="00B673F2" w:rsidRDefault="00AF53CD" w:rsidP="0007496E">
            <w:pPr>
              <w:jc w:val="center"/>
              <w:rPr>
                <w:b/>
              </w:rPr>
            </w:pPr>
            <w:r w:rsidRPr="00B673F2">
              <w:rPr>
                <w:b/>
              </w:rPr>
              <w:t>NEXT STEPS</w:t>
            </w:r>
          </w:p>
        </w:tc>
        <w:tc>
          <w:tcPr>
            <w:tcW w:w="2059" w:type="dxa"/>
            <w:vAlign w:val="center"/>
          </w:tcPr>
          <w:p w:rsidR="00AF53CD" w:rsidRPr="00B673F2" w:rsidRDefault="00AF53CD" w:rsidP="0007496E">
            <w:pPr>
              <w:jc w:val="center"/>
              <w:rPr>
                <w:b/>
              </w:rPr>
            </w:pPr>
            <w:r w:rsidRPr="00B673F2">
              <w:rPr>
                <w:b/>
              </w:rPr>
              <w:t>COMMUNICATION</w:t>
            </w:r>
          </w:p>
        </w:tc>
      </w:tr>
      <w:tr w:rsidR="00AF53CD" w:rsidTr="00C74EC1">
        <w:tc>
          <w:tcPr>
            <w:tcW w:w="2621" w:type="dxa"/>
            <w:shd w:val="clear" w:color="auto" w:fill="E5DFEC" w:themeFill="accent4" w:themeFillTint="33"/>
          </w:tcPr>
          <w:p w:rsidR="00AF53CD" w:rsidRPr="00B673F2" w:rsidRDefault="00AF53CD">
            <w:pPr>
              <w:rPr>
                <w:b/>
              </w:rPr>
            </w:pPr>
            <w:r w:rsidRPr="00B673F2">
              <w:rPr>
                <w:b/>
              </w:rPr>
              <w:t>Intake Credit Rule</w:t>
            </w:r>
          </w:p>
        </w:tc>
        <w:tc>
          <w:tcPr>
            <w:tcW w:w="1788" w:type="dxa"/>
            <w:shd w:val="clear" w:color="auto" w:fill="E5DFEC" w:themeFill="accent4" w:themeFillTint="33"/>
          </w:tcPr>
          <w:p w:rsidR="00AF53CD" w:rsidRDefault="0075375D" w:rsidP="00B673F2">
            <w:pPr>
              <w:jc w:val="center"/>
            </w:pPr>
            <w:r>
              <w:t>No</w:t>
            </w:r>
          </w:p>
        </w:tc>
        <w:tc>
          <w:tcPr>
            <w:tcW w:w="3454" w:type="dxa"/>
            <w:shd w:val="clear" w:color="auto" w:fill="E5DFEC" w:themeFill="accent4" w:themeFillTint="33"/>
          </w:tcPr>
          <w:p w:rsidR="00B673F2" w:rsidRDefault="00B673F2">
            <w:r>
              <w:t>-DEQ going forward w/ existing rule language</w:t>
            </w:r>
          </w:p>
          <w:p w:rsidR="00B673F2" w:rsidRDefault="00B673F2"/>
          <w:p w:rsidR="00C74EC1" w:rsidRDefault="00B673F2">
            <w:r>
              <w:t>-resolve/justify legal issue</w:t>
            </w:r>
            <w:r w:rsidR="00C74EC1">
              <w:t>:  Why doesn’t EPA consider the ICR as a standards provision?  EPA:  Not a standards provision as long as the WQS is met at the end of pipe or MZ if not WQL.</w:t>
            </w:r>
            <w:r w:rsidR="00035A78">
              <w:t xml:space="preserve">  DEQ:  need to revise the boilerplate language in the permit to allow intake credits in meeting QBELs.</w:t>
            </w:r>
          </w:p>
          <w:p w:rsidR="00AF53CD" w:rsidRDefault="00C74EC1">
            <w:r>
              <w:t xml:space="preserve">  </w:t>
            </w:r>
          </w:p>
          <w:p w:rsidR="00B673F2" w:rsidRDefault="00B673F2"/>
        </w:tc>
        <w:tc>
          <w:tcPr>
            <w:tcW w:w="3254" w:type="dxa"/>
            <w:shd w:val="clear" w:color="auto" w:fill="E5DFEC" w:themeFill="accent4" w:themeFillTint="33"/>
          </w:tcPr>
          <w:p w:rsidR="00AF53CD" w:rsidRDefault="00F00258">
            <w:r>
              <w:t>Call Michael—</w:t>
            </w:r>
            <w:r w:rsidRPr="00002D4D">
              <w:rPr>
                <w:b/>
              </w:rPr>
              <w:t>Deb</w:t>
            </w:r>
            <w:r w:rsidR="00D22DDA">
              <w:rPr>
                <w:b/>
              </w:rPr>
              <w:t>--DONE</w:t>
            </w:r>
          </w:p>
          <w:p w:rsidR="00F00258" w:rsidRDefault="00F00258">
            <w:r>
              <w:t>E-mail RWG</w:t>
            </w:r>
            <w:r w:rsidR="00C74EC1">
              <w:t>—</w:t>
            </w:r>
            <w:r w:rsidR="00C74EC1" w:rsidRPr="00C74EC1">
              <w:rPr>
                <w:b/>
              </w:rPr>
              <w:t>Melinda/Jannine</w:t>
            </w:r>
            <w:r w:rsidR="00C74EC1">
              <w:t xml:space="preserve"> </w:t>
            </w:r>
            <w:proofErr w:type="gramStart"/>
            <w:r w:rsidR="00C74EC1">
              <w:t>provide</w:t>
            </w:r>
            <w:proofErr w:type="gramEnd"/>
            <w:r w:rsidR="00C74EC1">
              <w:t xml:space="preserve"> response?</w:t>
            </w:r>
          </w:p>
          <w:p w:rsidR="00035A78" w:rsidRDefault="00035A78"/>
          <w:p w:rsidR="00035A78" w:rsidRDefault="00035A78">
            <w:r>
              <w:t>Wrap up remaining revisions--</w:t>
            </w:r>
            <w:r w:rsidRPr="00035A78">
              <w:rPr>
                <w:b/>
              </w:rPr>
              <w:t>Spencer</w:t>
            </w:r>
          </w:p>
        </w:tc>
        <w:tc>
          <w:tcPr>
            <w:tcW w:w="2059" w:type="dxa"/>
            <w:shd w:val="clear" w:color="auto" w:fill="E5DFEC" w:themeFill="accent4" w:themeFillTint="33"/>
          </w:tcPr>
          <w:p w:rsidR="00AF53CD" w:rsidRDefault="00F00258">
            <w:r>
              <w:t>e-mail</w:t>
            </w:r>
            <w:r w:rsidR="00035A78">
              <w:t xml:space="preserve"> RWG w/ final language in a separate e-mail (along w/ other final products) indicating no other action needed--</w:t>
            </w:r>
            <w:r w:rsidR="00035A78" w:rsidRPr="00035A78">
              <w:rPr>
                <w:b/>
              </w:rPr>
              <w:t>Andrea</w:t>
            </w:r>
          </w:p>
          <w:p w:rsidR="00035A78" w:rsidRDefault="00035A78"/>
          <w:p w:rsidR="00035A78" w:rsidRDefault="00035A78">
            <w:r>
              <w:t>Work w/ Larry/Jane on permit language--</w:t>
            </w:r>
            <w:r w:rsidRPr="00035A78">
              <w:rPr>
                <w:b/>
              </w:rPr>
              <w:t>Spencer</w:t>
            </w:r>
          </w:p>
          <w:p w:rsidR="00035A78" w:rsidRDefault="00035A78"/>
          <w:p w:rsidR="00035A78" w:rsidRDefault="00035A78"/>
        </w:tc>
      </w:tr>
      <w:tr w:rsidR="00AF53CD" w:rsidTr="00C74EC1">
        <w:tc>
          <w:tcPr>
            <w:tcW w:w="2621" w:type="dxa"/>
          </w:tcPr>
          <w:p w:rsidR="00AF53CD" w:rsidRPr="00B673F2" w:rsidRDefault="00AF53CD">
            <w:pPr>
              <w:rPr>
                <w:b/>
              </w:rPr>
            </w:pPr>
            <w:r w:rsidRPr="00B673F2">
              <w:rPr>
                <w:b/>
              </w:rPr>
              <w:t>HHC Schedule</w:t>
            </w:r>
          </w:p>
        </w:tc>
        <w:tc>
          <w:tcPr>
            <w:tcW w:w="1788" w:type="dxa"/>
          </w:tcPr>
          <w:p w:rsidR="00AF53CD" w:rsidRDefault="00F00258" w:rsidP="00B673F2">
            <w:pPr>
              <w:jc w:val="center"/>
            </w:pPr>
            <w:r>
              <w:t>No</w:t>
            </w:r>
          </w:p>
        </w:tc>
        <w:tc>
          <w:tcPr>
            <w:tcW w:w="3454" w:type="dxa"/>
          </w:tcPr>
          <w:p w:rsidR="00AF53CD" w:rsidRDefault="00F00258">
            <w:r>
              <w:t xml:space="preserve">-Proceed with Option #3 (separate HHC </w:t>
            </w:r>
            <w:proofErr w:type="spellStart"/>
            <w:r>
              <w:t>sched</w:t>
            </w:r>
            <w:proofErr w:type="spellEnd"/>
            <w:r>
              <w:t>. Language)</w:t>
            </w:r>
          </w:p>
          <w:p w:rsidR="00F00258" w:rsidRDefault="00F00258"/>
          <w:p w:rsidR="00F00258" w:rsidRDefault="00F00258">
            <w:r>
              <w:t xml:space="preserve">-Check existing </w:t>
            </w:r>
            <w:proofErr w:type="spellStart"/>
            <w:r>
              <w:t>reg</w:t>
            </w:r>
            <w:proofErr w:type="spellEnd"/>
            <w:r>
              <w:t xml:space="preserve"> </w:t>
            </w:r>
            <w:proofErr w:type="spellStart"/>
            <w:r>
              <w:t>lang</w:t>
            </w:r>
            <w:proofErr w:type="spellEnd"/>
            <w:r>
              <w:t xml:space="preserve"> for consistency</w:t>
            </w:r>
          </w:p>
          <w:p w:rsidR="00F00258" w:rsidRDefault="00F00258"/>
          <w:p w:rsidR="00F00258" w:rsidRDefault="00F00258">
            <w:r>
              <w:t>-Check gaps for implementation for pre-TMDL timeframe and pre WQS effectiveness</w:t>
            </w:r>
          </w:p>
          <w:p w:rsidR="00B673F2" w:rsidRDefault="00B673F2"/>
          <w:p w:rsidR="00B673F2" w:rsidRDefault="00B673F2"/>
        </w:tc>
        <w:tc>
          <w:tcPr>
            <w:tcW w:w="3254" w:type="dxa"/>
          </w:tcPr>
          <w:p w:rsidR="00AF53CD" w:rsidRPr="00002D4D" w:rsidRDefault="00F00258">
            <w:pPr>
              <w:rPr>
                <w:b/>
              </w:rPr>
            </w:pPr>
            <w:r>
              <w:t>- Confirm Neil wants to proceed w/ this option—</w:t>
            </w:r>
            <w:r w:rsidRPr="00002D4D">
              <w:rPr>
                <w:b/>
              </w:rPr>
              <w:t>Spencer</w:t>
            </w:r>
            <w:r w:rsidR="00D22DDA">
              <w:rPr>
                <w:b/>
              </w:rPr>
              <w:t>/DONE</w:t>
            </w:r>
          </w:p>
          <w:p w:rsidR="00F00258" w:rsidRDefault="00F00258" w:rsidP="00F00258"/>
          <w:p w:rsidR="00F00258" w:rsidRDefault="00F00258" w:rsidP="00F00258">
            <w:r>
              <w:t>-Call Michael—</w:t>
            </w:r>
            <w:r w:rsidRPr="00002D4D">
              <w:rPr>
                <w:b/>
              </w:rPr>
              <w:t>Deb</w:t>
            </w:r>
          </w:p>
          <w:p w:rsidR="00F00258" w:rsidRDefault="00F00258" w:rsidP="00F00258"/>
          <w:p w:rsidR="00F00258" w:rsidRPr="00002D4D" w:rsidRDefault="00F00258" w:rsidP="00F00258">
            <w:pPr>
              <w:rPr>
                <w:b/>
              </w:rPr>
            </w:pPr>
            <w:r>
              <w:t>-call Nina—</w:t>
            </w:r>
            <w:r w:rsidRPr="00002D4D">
              <w:rPr>
                <w:b/>
              </w:rPr>
              <w:t>Neil</w:t>
            </w:r>
            <w:r w:rsidR="00D22DDA">
              <w:rPr>
                <w:b/>
              </w:rPr>
              <w:t>/DONE</w:t>
            </w:r>
          </w:p>
          <w:p w:rsidR="00B673F2" w:rsidRDefault="00B673F2" w:rsidP="00F00258"/>
          <w:p w:rsidR="00B673F2" w:rsidRDefault="00B673F2" w:rsidP="00F00258">
            <w:pPr>
              <w:rPr>
                <w:b/>
              </w:rPr>
            </w:pPr>
            <w:r>
              <w:t>-call Deb Smith (CA) for input on what they’ve been doing—</w:t>
            </w:r>
            <w:r w:rsidRPr="00002D4D">
              <w:rPr>
                <w:b/>
              </w:rPr>
              <w:t>Deb</w:t>
            </w:r>
            <w:r w:rsidR="00D22DDA">
              <w:rPr>
                <w:b/>
              </w:rPr>
              <w:t>/Jennifer-DONE</w:t>
            </w:r>
          </w:p>
          <w:p w:rsidR="00035A78" w:rsidRDefault="00035A78" w:rsidP="00F00258">
            <w:pPr>
              <w:rPr>
                <w:b/>
              </w:rPr>
            </w:pPr>
          </w:p>
          <w:p w:rsidR="00035A78" w:rsidRDefault="00035A78" w:rsidP="00035A78">
            <w:r>
              <w:t xml:space="preserve">-revise language to reflect current reg. language, but only refer to HHC -- </w:t>
            </w:r>
            <w:r w:rsidRPr="00035A78">
              <w:rPr>
                <w:b/>
              </w:rPr>
              <w:t>Spencer</w:t>
            </w:r>
          </w:p>
          <w:p w:rsidR="00B673F2" w:rsidRDefault="00B673F2" w:rsidP="00F00258"/>
          <w:p w:rsidR="00F00258" w:rsidRDefault="00F00258" w:rsidP="00F00258"/>
        </w:tc>
        <w:tc>
          <w:tcPr>
            <w:tcW w:w="2059" w:type="dxa"/>
          </w:tcPr>
          <w:p w:rsidR="00AF53CD" w:rsidRDefault="00F00258">
            <w:r>
              <w:t>e-mail to RWG</w:t>
            </w:r>
            <w:r w:rsidR="00035A78">
              <w:t xml:space="preserve"> w/ final language in a separate e-mail (along w/ other final products) indicating no other action needed--</w:t>
            </w:r>
            <w:r w:rsidR="00035A78" w:rsidRPr="00035A78">
              <w:rPr>
                <w:b/>
              </w:rPr>
              <w:t>Andrea</w:t>
            </w:r>
          </w:p>
          <w:p w:rsidR="00035A78" w:rsidRDefault="00035A78"/>
          <w:p w:rsidR="00035A78" w:rsidRDefault="00035A78">
            <w:r>
              <w:t>Find out if Jane needs to review our rule language before going to Larry at DOJ—</w:t>
            </w:r>
            <w:r w:rsidR="00E162A3">
              <w:t xml:space="preserve">what’s her role? </w:t>
            </w:r>
            <w:r w:rsidRPr="00035A78">
              <w:rPr>
                <w:b/>
              </w:rPr>
              <w:t>Andrea/Spencer</w:t>
            </w:r>
          </w:p>
        </w:tc>
      </w:tr>
      <w:tr w:rsidR="00AF53CD" w:rsidTr="00C74EC1">
        <w:tc>
          <w:tcPr>
            <w:tcW w:w="2621" w:type="dxa"/>
            <w:shd w:val="clear" w:color="auto" w:fill="E5DFEC" w:themeFill="accent4" w:themeFillTint="33"/>
          </w:tcPr>
          <w:p w:rsidR="00AF53CD" w:rsidRPr="00B673F2" w:rsidRDefault="00AF53CD">
            <w:pPr>
              <w:rPr>
                <w:b/>
              </w:rPr>
            </w:pPr>
            <w:r w:rsidRPr="00B673F2">
              <w:rPr>
                <w:b/>
              </w:rPr>
              <w:t>Variance White Paper and Reg. Language</w:t>
            </w:r>
          </w:p>
        </w:tc>
        <w:tc>
          <w:tcPr>
            <w:tcW w:w="1788" w:type="dxa"/>
            <w:shd w:val="clear" w:color="auto" w:fill="E5DFEC" w:themeFill="accent4" w:themeFillTint="33"/>
          </w:tcPr>
          <w:p w:rsidR="00AF53CD" w:rsidRDefault="00F00258" w:rsidP="00B673F2">
            <w:pPr>
              <w:jc w:val="center"/>
            </w:pPr>
            <w:r>
              <w:t>Yes</w:t>
            </w:r>
          </w:p>
        </w:tc>
        <w:tc>
          <w:tcPr>
            <w:tcW w:w="3454" w:type="dxa"/>
            <w:shd w:val="clear" w:color="auto" w:fill="E5DFEC" w:themeFill="accent4" w:themeFillTint="33"/>
          </w:tcPr>
          <w:p w:rsidR="00AF53CD" w:rsidRDefault="00F00258">
            <w:r>
              <w:t>-How much detail do we want in the regulation, IMD, and white paper?</w:t>
            </w:r>
          </w:p>
          <w:p w:rsidR="00815350" w:rsidRDefault="00815350"/>
          <w:p w:rsidR="00815350" w:rsidRDefault="00815350">
            <w:r>
              <w:t>-Does DEQ want to pursue a MDV?</w:t>
            </w:r>
          </w:p>
          <w:p w:rsidR="00F00258" w:rsidRDefault="00F00258" w:rsidP="00F00258"/>
          <w:p w:rsidR="00F00258" w:rsidRDefault="00F00258" w:rsidP="00F00258">
            <w:r>
              <w:t>-specific issues and questions that still need resolution</w:t>
            </w:r>
          </w:p>
        </w:tc>
        <w:tc>
          <w:tcPr>
            <w:tcW w:w="3254" w:type="dxa"/>
            <w:shd w:val="clear" w:color="auto" w:fill="E5DFEC" w:themeFill="accent4" w:themeFillTint="33"/>
          </w:tcPr>
          <w:p w:rsidR="00AF53CD" w:rsidRPr="00257ED8" w:rsidRDefault="00F00258">
            <w:r>
              <w:lastRenderedPageBreak/>
              <w:t>-</w:t>
            </w:r>
            <w:r w:rsidR="00741260">
              <w:t>Meet w/ Nina to get her opinion and discuss her concerns ASAP</w:t>
            </w:r>
            <w:r w:rsidR="00257ED8">
              <w:t>—</w:t>
            </w:r>
            <w:r w:rsidR="00741260" w:rsidRPr="00002D4D">
              <w:rPr>
                <w:b/>
              </w:rPr>
              <w:t>Andrea</w:t>
            </w:r>
            <w:r w:rsidR="00257ED8">
              <w:rPr>
                <w:b/>
              </w:rPr>
              <w:t xml:space="preserve"> </w:t>
            </w:r>
            <w:r w:rsidR="00815350">
              <w:t>-</w:t>
            </w:r>
            <w:r w:rsidR="00D22DDA">
              <w:t xml:space="preserve"> </w:t>
            </w:r>
            <w:r w:rsidR="00D22DDA" w:rsidRPr="00D22DDA">
              <w:rPr>
                <w:b/>
              </w:rPr>
              <w:t>DONE</w:t>
            </w:r>
          </w:p>
          <w:p w:rsidR="00741260" w:rsidRDefault="00741260"/>
          <w:p w:rsidR="00002D4D" w:rsidRDefault="00741260">
            <w:r>
              <w:lastRenderedPageBreak/>
              <w:t>-Receive RWG comments by 12/18</w:t>
            </w:r>
            <w:r w:rsidR="00002D4D">
              <w:t xml:space="preserve"> and incorporate if applicable—</w:t>
            </w:r>
            <w:r w:rsidR="00002D4D" w:rsidRPr="00002D4D">
              <w:rPr>
                <w:b/>
              </w:rPr>
              <w:t>Andrea</w:t>
            </w:r>
          </w:p>
          <w:p w:rsidR="00741260" w:rsidRDefault="00741260"/>
          <w:p w:rsidR="00741260" w:rsidRDefault="00815350">
            <w:pPr>
              <w:rPr>
                <w:b/>
              </w:rPr>
            </w:pPr>
            <w:r>
              <w:t xml:space="preserve">-Incorporate comments, as needed, from </w:t>
            </w:r>
            <w:r w:rsidR="00741260">
              <w:t>IRT meeting on Jan 6</w:t>
            </w:r>
            <w:r>
              <w:t xml:space="preserve"> </w:t>
            </w:r>
            <w:r w:rsidR="00D22DDA">
              <w:t>—</w:t>
            </w:r>
            <w:r w:rsidR="00741260" w:rsidRPr="00002D4D">
              <w:rPr>
                <w:b/>
              </w:rPr>
              <w:t>Andrea</w:t>
            </w:r>
          </w:p>
          <w:p w:rsidR="00815350" w:rsidRDefault="00815350">
            <w:pPr>
              <w:rPr>
                <w:b/>
              </w:rPr>
            </w:pPr>
          </w:p>
          <w:p w:rsidR="00815350" w:rsidRDefault="00815350" w:rsidP="00815350">
            <w:r>
              <w:t>-incorporate revisions as needed in the regulation and white paper</w:t>
            </w:r>
          </w:p>
          <w:p w:rsidR="00741260" w:rsidRDefault="00741260"/>
          <w:p w:rsidR="00741260" w:rsidRPr="00257ED8" w:rsidRDefault="00741260" w:rsidP="00741260">
            <w:r>
              <w:t xml:space="preserve">-Schedule 3 </w:t>
            </w:r>
            <w:proofErr w:type="spellStart"/>
            <w:r>
              <w:t>govt</w:t>
            </w:r>
            <w:proofErr w:type="spellEnd"/>
            <w:r>
              <w:t xml:space="preserve"> meeting for 1/8—</w:t>
            </w:r>
            <w:r w:rsidRPr="00002D4D">
              <w:rPr>
                <w:b/>
              </w:rPr>
              <w:t>Andrea</w:t>
            </w:r>
            <w:r w:rsidR="00257ED8">
              <w:rPr>
                <w:b/>
              </w:rPr>
              <w:t xml:space="preserve"> </w:t>
            </w:r>
            <w:r w:rsidR="00D22DDA">
              <w:t xml:space="preserve"> </w:t>
            </w:r>
            <w:r w:rsidR="00D22DDA" w:rsidRPr="00D22DDA">
              <w:rPr>
                <w:b/>
              </w:rPr>
              <w:t>DONE</w:t>
            </w:r>
          </w:p>
          <w:p w:rsidR="00741260" w:rsidRDefault="00741260" w:rsidP="00741260"/>
          <w:p w:rsidR="00741260" w:rsidRDefault="00741260" w:rsidP="00741260">
            <w:r>
              <w:t>-Issues to bring forward to EPA HQ?</w:t>
            </w:r>
            <w:r w:rsidR="00D22DDA">
              <w:t xml:space="preserve"> </w:t>
            </w:r>
            <w:r w:rsidR="00815350">
              <w:rPr>
                <w:b/>
              </w:rPr>
              <w:t>IN PROGRESS—waiting to hear on NPS and existing use questions</w:t>
            </w:r>
          </w:p>
          <w:p w:rsidR="00741260" w:rsidRDefault="00741260" w:rsidP="00741260"/>
          <w:p w:rsidR="00741260" w:rsidRDefault="00815350" w:rsidP="00815350">
            <w:r>
              <w:t>-Develop an options paper for a RWG variance conference call and provide opportunity for comments</w:t>
            </w:r>
          </w:p>
          <w:p w:rsidR="00741260" w:rsidRDefault="00741260" w:rsidP="00741260"/>
          <w:p w:rsidR="00741260" w:rsidRDefault="00741260" w:rsidP="00741260"/>
        </w:tc>
        <w:tc>
          <w:tcPr>
            <w:tcW w:w="2059" w:type="dxa"/>
            <w:shd w:val="clear" w:color="auto" w:fill="E5DFEC" w:themeFill="accent4" w:themeFillTint="33"/>
          </w:tcPr>
          <w:p w:rsidR="00AF53CD" w:rsidRDefault="00741260">
            <w:r>
              <w:lastRenderedPageBreak/>
              <w:t xml:space="preserve">-e-mail straw poll:  send </w:t>
            </w:r>
            <w:proofErr w:type="spellStart"/>
            <w:r>
              <w:t>reg</w:t>
            </w:r>
            <w:proofErr w:type="spellEnd"/>
            <w:r>
              <w:t xml:space="preserve"> language</w:t>
            </w:r>
            <w:r w:rsidR="0007496E">
              <w:t xml:space="preserve"> ASAP</w:t>
            </w:r>
            <w:r>
              <w:t xml:space="preserve"> to RWG and ask for support (1 – 5).  If 4 or</w:t>
            </w:r>
            <w:r w:rsidR="00257ED8">
              <w:t xml:space="preserve"> 5, explain </w:t>
            </w:r>
            <w:r w:rsidR="00257ED8">
              <w:lastRenderedPageBreak/>
              <w:t>hesitation/concerns</w:t>
            </w:r>
            <w:r w:rsidR="00D22DDA">
              <w:t>—</w:t>
            </w:r>
            <w:r w:rsidR="00D22DDA" w:rsidRPr="00D22DDA">
              <w:rPr>
                <w:b/>
              </w:rPr>
              <w:t>Andrea</w:t>
            </w:r>
            <w:r w:rsidR="00D22DDA">
              <w:t xml:space="preserve">-- </w:t>
            </w:r>
            <w:r w:rsidR="00257ED8" w:rsidRPr="00D22DDA">
              <w:rPr>
                <w:b/>
              </w:rPr>
              <w:t>DONE</w:t>
            </w:r>
          </w:p>
          <w:p w:rsidR="00741260" w:rsidRDefault="00741260"/>
          <w:p w:rsidR="00741260" w:rsidRDefault="00741260">
            <w:r>
              <w:t>-Enables DEQ to understand major issues and evaluates ability to address them.</w:t>
            </w:r>
          </w:p>
          <w:p w:rsidR="00815350" w:rsidRDefault="00815350"/>
          <w:p w:rsidR="00815350" w:rsidRDefault="00815350">
            <w:r>
              <w:t>-send conference call e-mail to RWG for  Jan. 13 or 15—</w:t>
            </w:r>
            <w:r w:rsidRPr="00815350">
              <w:rPr>
                <w:b/>
              </w:rPr>
              <w:t>Andrea-DONE</w:t>
            </w:r>
          </w:p>
        </w:tc>
      </w:tr>
      <w:tr w:rsidR="00AF53CD" w:rsidTr="00C74EC1">
        <w:tc>
          <w:tcPr>
            <w:tcW w:w="2621" w:type="dxa"/>
          </w:tcPr>
          <w:p w:rsidR="00AF53CD" w:rsidRPr="00B673F2" w:rsidRDefault="00AF53CD">
            <w:pPr>
              <w:rPr>
                <w:b/>
              </w:rPr>
            </w:pPr>
            <w:r w:rsidRPr="00B673F2">
              <w:rPr>
                <w:b/>
              </w:rPr>
              <w:lastRenderedPageBreak/>
              <w:t>Background Concentration Allowance</w:t>
            </w:r>
          </w:p>
        </w:tc>
        <w:tc>
          <w:tcPr>
            <w:tcW w:w="1788" w:type="dxa"/>
          </w:tcPr>
          <w:p w:rsidR="00AF53CD" w:rsidRDefault="00417ED9" w:rsidP="00B673F2">
            <w:pPr>
              <w:jc w:val="center"/>
            </w:pPr>
            <w:r>
              <w:t>Yes</w:t>
            </w:r>
          </w:p>
        </w:tc>
        <w:tc>
          <w:tcPr>
            <w:tcW w:w="3454" w:type="dxa"/>
          </w:tcPr>
          <w:p w:rsidR="00AF53CD" w:rsidRDefault="00417ED9" w:rsidP="00417ED9">
            <w:r>
              <w:t>-implementation plan for DEQ and EPA approval</w:t>
            </w:r>
          </w:p>
          <w:p w:rsidR="00417ED9" w:rsidRDefault="00417ED9" w:rsidP="00417ED9"/>
          <w:p w:rsidR="00417ED9" w:rsidRDefault="00417ED9" w:rsidP="00417ED9">
            <w:r>
              <w:t>-what does 5 yr review mean?—Melinda &amp; Jannine</w:t>
            </w:r>
          </w:p>
          <w:p w:rsidR="00417ED9" w:rsidRDefault="00417ED9" w:rsidP="00417ED9">
            <w:r>
              <w:t>(MI MDV—EPA ne</w:t>
            </w:r>
            <w:r w:rsidR="00815350">
              <w:t>eds to do a review every 5 yrs.</w:t>
            </w:r>
            <w:r>
              <w:t>)</w:t>
            </w:r>
          </w:p>
        </w:tc>
        <w:tc>
          <w:tcPr>
            <w:tcW w:w="3254" w:type="dxa"/>
          </w:tcPr>
          <w:p w:rsidR="00AF53CD" w:rsidRDefault="00417ED9">
            <w:r>
              <w:t>-ID likely pollutant categories (303d list?)—</w:t>
            </w:r>
            <w:r w:rsidRPr="00002D4D">
              <w:rPr>
                <w:b/>
              </w:rPr>
              <w:t>Deb</w:t>
            </w:r>
          </w:p>
          <w:p w:rsidR="00417ED9" w:rsidRDefault="00417ED9"/>
          <w:p w:rsidR="00417ED9" w:rsidRDefault="00417ED9">
            <w:r>
              <w:t xml:space="preserve">-develop </w:t>
            </w:r>
            <w:r w:rsidR="00FD47A6">
              <w:t xml:space="preserve">1 pg. </w:t>
            </w:r>
            <w:r>
              <w:t xml:space="preserve">paper describing process </w:t>
            </w:r>
            <w:r w:rsidR="00FD47A6">
              <w:t xml:space="preserve"> 12/31—</w:t>
            </w:r>
            <w:r w:rsidR="00FD47A6" w:rsidRPr="00002D4D">
              <w:rPr>
                <w:b/>
              </w:rPr>
              <w:t>Andrea/Melinda</w:t>
            </w:r>
            <w:r w:rsidR="00D22DDA">
              <w:rPr>
                <w:b/>
              </w:rPr>
              <w:t>--</w:t>
            </w:r>
            <w:r w:rsidR="00D22DDA">
              <w:rPr>
                <w:b/>
              </w:rPr>
              <w:br/>
              <w:t>DONE/IN PROGRESS</w:t>
            </w:r>
          </w:p>
          <w:p w:rsidR="00FD47A6" w:rsidRDefault="00FD47A6"/>
          <w:p w:rsidR="00FD47A6" w:rsidRDefault="00FD47A6">
            <w:r>
              <w:t>-EPA to explore justification based on HH use—</w:t>
            </w:r>
            <w:r w:rsidRPr="00002D4D">
              <w:rPr>
                <w:b/>
              </w:rPr>
              <w:t>Melinda</w:t>
            </w:r>
            <w:r w:rsidR="00D22DDA">
              <w:rPr>
                <w:b/>
              </w:rPr>
              <w:t xml:space="preserve"> DONE/IN PROGRESS</w:t>
            </w:r>
          </w:p>
          <w:p w:rsidR="00FD47A6" w:rsidRDefault="00FD47A6"/>
          <w:p w:rsidR="00FD47A6" w:rsidRDefault="00FD47A6">
            <w:r>
              <w:t>-develop multiple pass cooling alternative</w:t>
            </w:r>
            <w:r w:rsidR="00002D4D">
              <w:t>s</w:t>
            </w:r>
            <w:r>
              <w:t xml:space="preserve"> 1 pg. paper 12/31—</w:t>
            </w:r>
            <w:r w:rsidRPr="00002D4D">
              <w:rPr>
                <w:b/>
              </w:rPr>
              <w:t>Spencer</w:t>
            </w:r>
            <w:r w:rsidR="00257ED8">
              <w:rPr>
                <w:b/>
              </w:rPr>
              <w:t xml:space="preserve"> </w:t>
            </w:r>
          </w:p>
          <w:p w:rsidR="00FD47A6" w:rsidRDefault="00FD47A6"/>
          <w:p w:rsidR="00FD47A6" w:rsidRPr="00D22DDA" w:rsidRDefault="00FD47A6">
            <w:pPr>
              <w:rPr>
                <w:b/>
              </w:rPr>
            </w:pPr>
            <w:r>
              <w:t xml:space="preserve">-determine approximate number </w:t>
            </w:r>
            <w:r>
              <w:lastRenderedPageBreak/>
              <w:t>of multiple pass cooling systems in OR 12/18—</w:t>
            </w:r>
            <w:r w:rsidRPr="00002D4D">
              <w:rPr>
                <w:b/>
              </w:rPr>
              <w:t>Spencer</w:t>
            </w:r>
            <w:r w:rsidR="00257ED8">
              <w:rPr>
                <w:b/>
              </w:rPr>
              <w:t xml:space="preserve"> </w:t>
            </w:r>
            <w:r w:rsidR="00257ED8">
              <w:t>(sent out e-mail request 12/11)</w:t>
            </w:r>
            <w:r w:rsidR="00D22DDA">
              <w:t xml:space="preserve"> </w:t>
            </w:r>
            <w:r w:rsidR="00D22DDA" w:rsidRPr="00D22DDA">
              <w:rPr>
                <w:b/>
              </w:rPr>
              <w:t>DONE</w:t>
            </w:r>
          </w:p>
          <w:p w:rsidR="00FD47A6" w:rsidRDefault="00FD47A6"/>
          <w:p w:rsidR="00FD47A6" w:rsidRDefault="00FD47A6"/>
        </w:tc>
        <w:tc>
          <w:tcPr>
            <w:tcW w:w="2059" w:type="dxa"/>
          </w:tcPr>
          <w:p w:rsidR="00AF53CD" w:rsidRDefault="00FD47A6">
            <w:r>
              <w:lastRenderedPageBreak/>
              <w:t>-call Michael to help w/ ID of pollutants—</w:t>
            </w:r>
            <w:r w:rsidRPr="00002D4D">
              <w:rPr>
                <w:b/>
              </w:rPr>
              <w:t>Deb</w:t>
            </w:r>
          </w:p>
          <w:p w:rsidR="00FD47A6" w:rsidRDefault="00FD47A6"/>
        </w:tc>
      </w:tr>
    </w:tbl>
    <w:p w:rsidR="001773D3" w:rsidRDefault="001773D3"/>
    <w:sectPr w:rsidR="001773D3" w:rsidSect="00AF53CD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2A3" w:rsidRDefault="00E162A3" w:rsidP="00C74EC1">
      <w:pPr>
        <w:spacing w:after="0" w:line="240" w:lineRule="auto"/>
      </w:pPr>
      <w:r>
        <w:separator/>
      </w:r>
    </w:p>
  </w:endnote>
  <w:endnote w:type="continuationSeparator" w:id="1">
    <w:p w:rsidR="00E162A3" w:rsidRDefault="00E162A3" w:rsidP="00C7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2A3" w:rsidRDefault="00E162A3" w:rsidP="00C74EC1">
      <w:pPr>
        <w:spacing w:after="0" w:line="240" w:lineRule="auto"/>
      </w:pPr>
      <w:r>
        <w:separator/>
      </w:r>
    </w:p>
  </w:footnote>
  <w:footnote w:type="continuationSeparator" w:id="1">
    <w:p w:rsidR="00E162A3" w:rsidRDefault="00E162A3" w:rsidP="00C74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2A3" w:rsidRDefault="00E162A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0F7F"/>
    <w:multiLevelType w:val="hybridMultilevel"/>
    <w:tmpl w:val="19BC804C"/>
    <w:lvl w:ilvl="0" w:tplc="5ED2208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412E2"/>
    <w:multiLevelType w:val="hybridMultilevel"/>
    <w:tmpl w:val="17684B78"/>
    <w:lvl w:ilvl="0" w:tplc="F466718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839D3"/>
    <w:multiLevelType w:val="hybridMultilevel"/>
    <w:tmpl w:val="CACC8A5C"/>
    <w:lvl w:ilvl="0" w:tplc="C5DAF4A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B710A"/>
    <w:multiLevelType w:val="hybridMultilevel"/>
    <w:tmpl w:val="185C0456"/>
    <w:lvl w:ilvl="0" w:tplc="CFB26AC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4603CF"/>
    <w:multiLevelType w:val="hybridMultilevel"/>
    <w:tmpl w:val="A874D348"/>
    <w:lvl w:ilvl="0" w:tplc="7C46FE6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992CA8"/>
    <w:multiLevelType w:val="hybridMultilevel"/>
    <w:tmpl w:val="55B6AE82"/>
    <w:lvl w:ilvl="0" w:tplc="B5286B4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375C2"/>
    <w:multiLevelType w:val="hybridMultilevel"/>
    <w:tmpl w:val="175EDBD2"/>
    <w:lvl w:ilvl="0" w:tplc="6B8668D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6614C3"/>
    <w:multiLevelType w:val="hybridMultilevel"/>
    <w:tmpl w:val="763650E0"/>
    <w:lvl w:ilvl="0" w:tplc="9A8C69A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D605BA"/>
    <w:multiLevelType w:val="hybridMultilevel"/>
    <w:tmpl w:val="E4DC8BEE"/>
    <w:lvl w:ilvl="0" w:tplc="EC46C9D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53CD"/>
    <w:rsid w:val="00002D4D"/>
    <w:rsid w:val="00035A78"/>
    <w:rsid w:val="0007496E"/>
    <w:rsid w:val="001773D3"/>
    <w:rsid w:val="00257ED8"/>
    <w:rsid w:val="003B6FB8"/>
    <w:rsid w:val="003E5F1E"/>
    <w:rsid w:val="00417ED9"/>
    <w:rsid w:val="00741260"/>
    <w:rsid w:val="0075375D"/>
    <w:rsid w:val="00815350"/>
    <w:rsid w:val="00AF53CD"/>
    <w:rsid w:val="00B673F2"/>
    <w:rsid w:val="00B8745E"/>
    <w:rsid w:val="00C74EC1"/>
    <w:rsid w:val="00D22DDA"/>
    <w:rsid w:val="00D2390D"/>
    <w:rsid w:val="00D84CA5"/>
    <w:rsid w:val="00E162A3"/>
    <w:rsid w:val="00F00258"/>
    <w:rsid w:val="00FD4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3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53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AF53C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ListParagraph">
    <w:name w:val="List Paragraph"/>
    <w:basedOn w:val="Normal"/>
    <w:uiPriority w:val="34"/>
    <w:qFormat/>
    <w:rsid w:val="00F002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4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EC1"/>
  </w:style>
  <w:style w:type="paragraph" w:styleId="Footer">
    <w:name w:val="footer"/>
    <w:basedOn w:val="Normal"/>
    <w:link w:val="FooterChar"/>
    <w:uiPriority w:val="99"/>
    <w:semiHidden/>
    <w:unhideWhenUsed/>
    <w:rsid w:val="00C74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4E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Items to Prepare for February Meeting</vt:lpstr>
    </vt:vector>
  </TitlesOfParts>
  <Company>State of Oregon Department of Environmental Quality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Items to Prepare for February Meeting</dc:title>
  <dc:subject/>
  <dc:creator>Andrea Matzke</dc:creator>
  <cp:keywords/>
  <dc:description/>
  <cp:lastModifiedBy>Andrea Matzke</cp:lastModifiedBy>
  <cp:revision>4</cp:revision>
  <dcterms:created xsi:type="dcterms:W3CDTF">2010-01-11T16:43:00Z</dcterms:created>
  <dcterms:modified xsi:type="dcterms:W3CDTF">2010-01-11T17:03:00Z</dcterms:modified>
</cp:coreProperties>
</file>