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D" w:rsidRDefault="00D5267D"/>
    <w:p w:rsidR="006A1D56" w:rsidRPr="006A1D56" w:rsidRDefault="006A1D56" w:rsidP="006A1D56">
      <w:pPr>
        <w:jc w:val="center"/>
        <w:rPr>
          <w:b/>
          <w:sz w:val="32"/>
          <w:szCs w:val="32"/>
        </w:rPr>
      </w:pPr>
      <w:r w:rsidRPr="006A1D56">
        <w:rPr>
          <w:b/>
          <w:sz w:val="32"/>
          <w:szCs w:val="32"/>
        </w:rPr>
        <w:t>Compliance Schedules for Human Health Criteria</w:t>
      </w:r>
    </w:p>
    <w:p w:rsidR="006A1D56" w:rsidRPr="006A1D56" w:rsidRDefault="006A1D56"/>
    <w:p w:rsidR="006A1D56" w:rsidRPr="006A1D56" w:rsidRDefault="00501072">
      <w:pPr>
        <w:rPr>
          <w:i/>
        </w:rPr>
      </w:pPr>
      <w:r>
        <w:rPr>
          <w:i/>
          <w:color w:val="1F497D"/>
        </w:rPr>
        <w:t>After considering</w:t>
      </w:r>
      <w:r w:rsidR="006A1D56" w:rsidRPr="006A1D56">
        <w:rPr>
          <w:i/>
          <w:color w:val="1F497D"/>
        </w:rPr>
        <w:t xml:space="preserve"> the option of including “Hanlon memo” language in the rule, the Department has decided to retain the current rule language.  It is anticipated that additional information/interpretations will be described</w:t>
      </w:r>
      <w:r>
        <w:rPr>
          <w:i/>
          <w:color w:val="1F497D"/>
        </w:rPr>
        <w:t xml:space="preserve"> in the IMD.  I</w:t>
      </w:r>
      <w:r w:rsidR="006A1D56" w:rsidRPr="006A1D56">
        <w:rPr>
          <w:i/>
          <w:color w:val="1F497D"/>
        </w:rPr>
        <w:t xml:space="preserve">f the current compliance language found under (16) has to go through formal ESA consultation before EPA can approve a compliance schedule for aquatic life criteria and it becomes effective, then this provision, </w:t>
      </w:r>
      <w:r>
        <w:rPr>
          <w:i/>
          <w:color w:val="1F497D"/>
        </w:rPr>
        <w:t xml:space="preserve">which is </w:t>
      </w:r>
      <w:r w:rsidR="006A1D56" w:rsidRPr="006A1D56">
        <w:rPr>
          <w:i/>
          <w:color w:val="1F497D"/>
        </w:rPr>
        <w:t>specifically for human health</w:t>
      </w:r>
      <w:r>
        <w:rPr>
          <w:i/>
          <w:color w:val="1F497D"/>
        </w:rPr>
        <w:t>,</w:t>
      </w:r>
      <w:r w:rsidR="006A1D56" w:rsidRPr="006A1D56">
        <w:rPr>
          <w:i/>
          <w:color w:val="1F497D"/>
        </w:rPr>
        <w:t xml:space="preserve"> would be a</w:t>
      </w:r>
      <w:r w:rsidR="00C63099">
        <w:rPr>
          <w:i/>
          <w:color w:val="1F497D"/>
        </w:rPr>
        <w:t>vailable sooner</w:t>
      </w:r>
      <w:r w:rsidR="006A1D56" w:rsidRPr="006A1D56">
        <w:rPr>
          <w:i/>
          <w:color w:val="1F497D"/>
        </w:rPr>
        <w:t xml:space="preserve">.  </w:t>
      </w:r>
    </w:p>
    <w:p w:rsidR="006A1D56" w:rsidRDefault="006A1D56"/>
    <w:p w:rsidR="006A1D56" w:rsidRPr="006A1D56" w:rsidRDefault="006A1D56">
      <w:pPr>
        <w:rPr>
          <w:b/>
          <w:u w:val="single"/>
        </w:rPr>
      </w:pPr>
      <w:r w:rsidRPr="006A1D56">
        <w:rPr>
          <w:b/>
          <w:u w:val="single"/>
        </w:rPr>
        <w:t>Revised Language</w:t>
      </w:r>
    </w:p>
    <w:p w:rsidR="006A1D56" w:rsidRPr="006A1D56" w:rsidRDefault="006A1D56" w:rsidP="006A1D56">
      <w:pPr>
        <w:pStyle w:val="NormalWeb"/>
        <w:rPr>
          <w:rFonts w:asciiTheme="minorHAnsi" w:hAnsiTheme="minorHAnsi"/>
        </w:rPr>
      </w:pPr>
      <w:r w:rsidRPr="006A1D56">
        <w:rPr>
          <w:rFonts w:asciiTheme="minorHAnsi" w:hAnsiTheme="minorHAnsi"/>
        </w:rPr>
        <w:t>(1</w:t>
      </w:r>
      <w:r w:rsidRPr="006A1D56">
        <w:rPr>
          <w:rFonts w:asciiTheme="minorHAnsi" w:hAnsiTheme="minorHAnsi"/>
          <w:strike/>
        </w:rPr>
        <w:t>6</w:t>
      </w:r>
      <w:r w:rsidRPr="006A1D56">
        <w:rPr>
          <w:rFonts w:asciiTheme="minorHAnsi" w:hAnsiTheme="minorHAnsi"/>
          <w:color w:val="FF0000"/>
        </w:rPr>
        <w:t>7</w:t>
      </w:r>
      <w:r w:rsidRPr="006A1D56">
        <w:rPr>
          <w:rFonts w:asciiTheme="minorHAnsi" w:hAnsiTheme="minorHAnsi"/>
        </w:rPr>
        <w:t xml:space="preserve">) Compliance schedules </w:t>
      </w:r>
      <w:r w:rsidRPr="006A1D56">
        <w:rPr>
          <w:rFonts w:asciiTheme="minorHAnsi" w:hAnsiTheme="minorHAnsi"/>
          <w:color w:val="FF0000"/>
        </w:rPr>
        <w:t>for human health criteria</w:t>
      </w:r>
      <w:r w:rsidRPr="006A1D56">
        <w:rPr>
          <w:rFonts w:asciiTheme="minorHAnsi" w:hAnsiTheme="minorHAnsi"/>
        </w:rPr>
        <w:t xml:space="preserve">. In a permit issued under OAR 340, division 045 or in a water quality certification under OAR 340, division 48, the department may include compliance schedules for the implementation of effluent limits derived from water quality criteria in this division </w:t>
      </w:r>
      <w:r w:rsidRPr="006A1D56">
        <w:rPr>
          <w:rFonts w:asciiTheme="minorHAnsi" w:hAnsiTheme="minorHAnsi"/>
          <w:color w:val="FF0000"/>
        </w:rPr>
        <w:t>established to protect human health</w:t>
      </w:r>
      <w:r w:rsidRPr="006A1D56">
        <w:rPr>
          <w:rFonts w:asciiTheme="minorHAnsi" w:hAnsiTheme="minorHAnsi"/>
        </w:rPr>
        <w:t>. A compliance schedule in an NPDES permit is allowed only for water quality based effluent limits that are newly applicable to the permit and must co</w:t>
      </w:r>
      <w:r w:rsidR="00501072">
        <w:rPr>
          <w:rFonts w:asciiTheme="minorHAnsi" w:hAnsiTheme="minorHAnsi"/>
        </w:rPr>
        <w:t xml:space="preserve">mply with provisions in 40 CFR </w:t>
      </w:r>
      <w:r w:rsidRPr="006A1D56">
        <w:rPr>
          <w:rFonts w:asciiTheme="minorHAnsi" w:hAnsiTheme="minorHAnsi"/>
        </w:rPr>
        <w:t>122.47 (including the requirement that water quality criteria must be achieved as soon as possible).</w:t>
      </w:r>
    </w:p>
    <w:p w:rsidR="006A1D56" w:rsidRDefault="006A1D56"/>
    <w:sectPr w:rsidR="006A1D56" w:rsidSect="00D526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072" w:rsidRDefault="00501072" w:rsidP="00501072">
      <w:pPr>
        <w:spacing w:after="0" w:line="240" w:lineRule="auto"/>
      </w:pPr>
      <w:r>
        <w:separator/>
      </w:r>
    </w:p>
  </w:endnote>
  <w:endnote w:type="continuationSeparator" w:id="1">
    <w:p w:rsidR="00501072" w:rsidRDefault="00501072" w:rsidP="0050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072" w:rsidRDefault="00501072" w:rsidP="00501072">
      <w:pPr>
        <w:spacing w:after="0" w:line="240" w:lineRule="auto"/>
      </w:pPr>
      <w:r>
        <w:separator/>
      </w:r>
    </w:p>
  </w:footnote>
  <w:footnote w:type="continuationSeparator" w:id="1">
    <w:p w:rsidR="00501072" w:rsidRDefault="00501072" w:rsidP="0050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72" w:rsidRDefault="00501072">
    <w:pPr>
      <w:pStyle w:val="Header"/>
    </w:pPr>
    <w:r>
      <w:t>Draft January 21, 2010</w:t>
    </w:r>
  </w:p>
  <w:p w:rsidR="00501072" w:rsidRDefault="005010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D56"/>
    <w:rsid w:val="00501072"/>
    <w:rsid w:val="006A1D56"/>
    <w:rsid w:val="00C63099"/>
    <w:rsid w:val="00D5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072"/>
  </w:style>
  <w:style w:type="paragraph" w:styleId="Footer">
    <w:name w:val="footer"/>
    <w:basedOn w:val="Normal"/>
    <w:link w:val="FooterChar"/>
    <w:uiPriority w:val="99"/>
    <w:semiHidden/>
    <w:unhideWhenUsed/>
    <w:rsid w:val="00501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072"/>
  </w:style>
  <w:style w:type="paragraph" w:styleId="BalloonText">
    <w:name w:val="Balloon Text"/>
    <w:basedOn w:val="Normal"/>
    <w:link w:val="BalloonTextChar"/>
    <w:uiPriority w:val="99"/>
    <w:semiHidden/>
    <w:unhideWhenUsed/>
    <w:rsid w:val="0050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dcterms:created xsi:type="dcterms:W3CDTF">2010-01-21T16:53:00Z</dcterms:created>
  <dcterms:modified xsi:type="dcterms:W3CDTF">2010-01-21T17:03:00Z</dcterms:modified>
</cp:coreProperties>
</file>