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C0" w:rsidRDefault="001A1EC0" w:rsidP="00282E67">
      <w:pPr>
        <w:pStyle w:val="Heading1"/>
        <w:jc w:val="center"/>
      </w:pPr>
      <w:r>
        <w:t xml:space="preserve">Discussions of the Rulemaking Workgroup Related to </w:t>
      </w:r>
    </w:p>
    <w:p w:rsidR="001A1EC0" w:rsidRDefault="001A1EC0" w:rsidP="00282E67">
      <w:pPr>
        <w:pStyle w:val="Heading1"/>
        <w:spacing w:before="0"/>
        <w:jc w:val="center"/>
      </w:pPr>
      <w:r>
        <w:t>Non-NPDES Sources of Toxic Pollutants</w:t>
      </w:r>
    </w:p>
    <w:p w:rsidR="001A1EC0" w:rsidRPr="00282E67" w:rsidRDefault="001A1EC0" w:rsidP="00282E67">
      <w:pPr>
        <w:jc w:val="center"/>
      </w:pPr>
      <w:r>
        <w:t>Distributed November 18, 2009</w:t>
      </w:r>
    </w:p>
    <w:p w:rsidR="001A1EC0" w:rsidRDefault="001A1EC0" w:rsidP="00F52BFC"/>
    <w:p w:rsidR="001A1EC0" w:rsidRDefault="001A1EC0" w:rsidP="00F52BFC">
      <w:pPr>
        <w:pStyle w:val="Heading2"/>
      </w:pPr>
      <w:r>
        <w:t>Charge</w:t>
      </w:r>
    </w:p>
    <w:p w:rsidR="001A1EC0" w:rsidRDefault="001A1EC0" w:rsidP="00F52BFC">
      <w:pPr>
        <w:pStyle w:val="ListParagraph"/>
        <w:numPr>
          <w:ilvl w:val="0"/>
          <w:numId w:val="1"/>
        </w:numPr>
      </w:pPr>
      <w:r>
        <w:t xml:space="preserve">Assist DEQ in identifying water quality regulatory </w:t>
      </w:r>
      <w:r w:rsidRPr="001A3D87">
        <w:t xml:space="preserve">changes </w:t>
      </w:r>
      <w:r>
        <w:t xml:space="preserve">or actions that could be addressed in the short-term that </w:t>
      </w:r>
    </w:p>
    <w:p w:rsidR="001A1EC0" w:rsidRDefault="001A1EC0" w:rsidP="00F52BFC">
      <w:pPr>
        <w:pStyle w:val="ListParagraph"/>
        <w:numPr>
          <w:ilvl w:val="1"/>
          <w:numId w:val="1"/>
        </w:numPr>
      </w:pPr>
      <w:r w:rsidRPr="001A3D87">
        <w:t xml:space="preserve">are needed </w:t>
      </w:r>
      <w:r>
        <w:t>to</w:t>
      </w:r>
      <w:r w:rsidRPr="001A3D87">
        <w:t xml:space="preserve"> make a significant improvement in the ability of non-NPDES sources to implement reduction measures</w:t>
      </w:r>
      <w:r>
        <w:t xml:space="preserve"> for toxic pollutants</w:t>
      </w:r>
      <w:r w:rsidRPr="001A3D87">
        <w:t xml:space="preserve"> and </w:t>
      </w:r>
    </w:p>
    <w:p w:rsidR="001A1EC0" w:rsidRDefault="001A1EC0" w:rsidP="00F52BFC">
      <w:pPr>
        <w:pStyle w:val="ListParagraph"/>
        <w:numPr>
          <w:ilvl w:val="1"/>
          <w:numId w:val="1"/>
        </w:numPr>
      </w:pPr>
      <w:r w:rsidRPr="001A3D87">
        <w:t>that would have a positive environmental impact</w:t>
      </w:r>
      <w:r>
        <w:t xml:space="preserve"> </w:t>
      </w:r>
    </w:p>
    <w:p w:rsidR="001A1EC0" w:rsidRDefault="001A1EC0" w:rsidP="00F52BFC">
      <w:pPr>
        <w:pStyle w:val="Heading2"/>
      </w:pPr>
      <w:r>
        <w:t>Scope of Discussions</w:t>
      </w:r>
    </w:p>
    <w:p w:rsidR="001A1EC0" w:rsidRDefault="001A1EC0" w:rsidP="00F52BFC">
      <w:pPr>
        <w:pStyle w:val="ListParagraph"/>
        <w:numPr>
          <w:ilvl w:val="0"/>
          <w:numId w:val="2"/>
        </w:numPr>
      </w:pPr>
      <w:r>
        <w:t xml:space="preserve">Focused on toxic pollutants addressed by water quality standards </w:t>
      </w:r>
    </w:p>
    <w:p w:rsidR="001A1EC0" w:rsidRDefault="001A1EC0" w:rsidP="00F52BFC">
      <w:pPr>
        <w:pStyle w:val="ListParagraph"/>
        <w:numPr>
          <w:ilvl w:val="0"/>
          <w:numId w:val="2"/>
        </w:numPr>
      </w:pPr>
      <w:r>
        <w:t>Rule revisions or other actions related to the DEQ water quality regulations</w:t>
      </w:r>
    </w:p>
    <w:p w:rsidR="001A1EC0" w:rsidRDefault="001A1EC0" w:rsidP="00F52BFC">
      <w:pPr>
        <w:pStyle w:val="ListParagraph"/>
        <w:numPr>
          <w:ilvl w:val="0"/>
          <w:numId w:val="2"/>
        </w:numPr>
      </w:pPr>
      <w:r>
        <w:t xml:space="preserve">The Rulemaking Workgroup will focus on water quality program s and regulations. Any ideas related to changes in air, hazardous waste, or solid waste programs and regulations in detail will go to the Toxics Reduction Strategy to formulate priority areas for further action in these programs (both regulatory and non-regulatory). </w:t>
      </w:r>
    </w:p>
    <w:p w:rsidR="001A1EC0" w:rsidRDefault="001A1EC0" w:rsidP="00F52BFC">
      <w:pPr>
        <w:pStyle w:val="Heading2"/>
      </w:pPr>
      <w:r>
        <w:t>Expected Outcomes</w:t>
      </w:r>
    </w:p>
    <w:p w:rsidR="001A1EC0" w:rsidRDefault="001A1EC0" w:rsidP="00F52BFC">
      <w:pPr>
        <w:pStyle w:val="ListParagraph"/>
        <w:numPr>
          <w:ilvl w:val="0"/>
          <w:numId w:val="3"/>
        </w:numPr>
      </w:pPr>
      <w:r>
        <w:t>I</w:t>
      </w:r>
      <w:r w:rsidRPr="00216DC4">
        <w:t xml:space="preserve">tems identified as short-term, high priority items appropriate for inclusion in the </w:t>
      </w:r>
      <w:r>
        <w:t>water quality</w:t>
      </w:r>
      <w:r w:rsidRPr="00216DC4">
        <w:t xml:space="preserve"> rules, would be included along with the WQS changes cu</w:t>
      </w:r>
      <w:r>
        <w:t>rrently being discussed by the Rulemaking Workgroup</w:t>
      </w:r>
      <w:r w:rsidRPr="00216DC4">
        <w:t>.</w:t>
      </w:r>
    </w:p>
    <w:p w:rsidR="001A1EC0" w:rsidRDefault="001A1EC0" w:rsidP="00F52BFC">
      <w:pPr>
        <w:pStyle w:val="ListParagraph"/>
        <w:numPr>
          <w:ilvl w:val="0"/>
          <w:numId w:val="3"/>
        </w:numPr>
      </w:pPr>
      <w:r>
        <w:t xml:space="preserve">If revisions or actions are identified needing </w:t>
      </w:r>
      <w:r w:rsidRPr="00216DC4">
        <w:t>long term actions/regulatory changes</w:t>
      </w:r>
      <w:r>
        <w:t xml:space="preserve"> or </w:t>
      </w:r>
      <w:r w:rsidRPr="00216DC4">
        <w:t>items appropriate for further consideration within the Toxics Reduction Strategy</w:t>
      </w:r>
      <w:r>
        <w:t>, these will be included within the Strategy and could also be brought to the EQC as recommendations</w:t>
      </w:r>
    </w:p>
    <w:p w:rsidR="001A1EC0" w:rsidRDefault="001A1EC0" w:rsidP="001C028F"/>
    <w:p w:rsidR="001A1EC0" w:rsidRDefault="001A1EC0">
      <w:r>
        <w:br w:type="page"/>
      </w:r>
    </w:p>
    <w:p w:rsidR="001A1EC0" w:rsidRDefault="001A1EC0" w:rsidP="001C028F"/>
    <w:tbl>
      <w:tblPr>
        <w:tblW w:w="0" w:type="auto"/>
        <w:jc w:val="center"/>
        <w:tblBorders>
          <w:top w:val="single" w:sz="8" w:space="0" w:color="4F81BD"/>
          <w:bottom w:val="single" w:sz="8" w:space="0" w:color="4F81BD"/>
        </w:tblBorders>
        <w:tblLook w:val="00A0"/>
      </w:tblPr>
      <w:tblGrid>
        <w:gridCol w:w="4518"/>
        <w:gridCol w:w="5058"/>
      </w:tblGrid>
      <w:tr w:rsidR="001A1EC0" w:rsidRPr="00FC5312">
        <w:trPr>
          <w:trHeight w:val="718"/>
          <w:jc w:val="center"/>
        </w:trPr>
        <w:tc>
          <w:tcPr>
            <w:tcW w:w="9576" w:type="dxa"/>
            <w:gridSpan w:val="2"/>
            <w:tcBorders>
              <w:top w:val="single" w:sz="8" w:space="0" w:color="4F81BD"/>
              <w:left w:val="nil"/>
              <w:bottom w:val="single" w:sz="8" w:space="0" w:color="4F81BD"/>
              <w:right w:val="nil"/>
            </w:tcBorders>
          </w:tcPr>
          <w:p w:rsidR="001A1EC0" w:rsidRPr="00FC5312" w:rsidRDefault="001A1EC0" w:rsidP="00FC5312">
            <w:pPr>
              <w:spacing w:after="0" w:line="240" w:lineRule="auto"/>
              <w:jc w:val="center"/>
              <w:rPr>
                <w:b/>
                <w:bCs/>
                <w:color w:val="365F91"/>
                <w:sz w:val="28"/>
                <w:szCs w:val="28"/>
              </w:rPr>
            </w:pPr>
            <w:r w:rsidRPr="00FC5312">
              <w:rPr>
                <w:color w:val="365F91"/>
                <w:sz w:val="28"/>
                <w:szCs w:val="28"/>
              </w:rPr>
              <w:t>Rulemaking Work Group Members</w:t>
            </w:r>
          </w:p>
          <w:p w:rsidR="001A1EC0" w:rsidRPr="00FC5312" w:rsidRDefault="001A1EC0" w:rsidP="00FC5312">
            <w:pPr>
              <w:spacing w:after="0" w:line="240" w:lineRule="auto"/>
              <w:jc w:val="center"/>
              <w:rPr>
                <w:b/>
                <w:bCs/>
                <w:color w:val="365F91"/>
                <w:sz w:val="28"/>
                <w:szCs w:val="28"/>
              </w:rPr>
            </w:pPr>
            <w:r w:rsidRPr="00FC5312">
              <w:rPr>
                <w:i/>
                <w:iCs/>
                <w:color w:val="365F91"/>
                <w:sz w:val="28"/>
                <w:szCs w:val="28"/>
              </w:rPr>
              <w:t>Non-NPDES Discussions</w:t>
            </w:r>
            <w:r w:rsidRPr="00FC5312">
              <w:rPr>
                <w:color w:val="365F91"/>
                <w:sz w:val="28"/>
                <w:szCs w:val="28"/>
              </w:rPr>
              <w:t>*</w:t>
            </w:r>
          </w:p>
          <w:p w:rsidR="001A1EC0" w:rsidRPr="00FC5312" w:rsidRDefault="001A1EC0" w:rsidP="00FC5312">
            <w:pPr>
              <w:spacing w:after="0" w:line="240" w:lineRule="auto"/>
              <w:jc w:val="center"/>
              <w:rPr>
                <w:b/>
                <w:bCs/>
                <w:color w:val="365F91"/>
                <w:sz w:val="28"/>
                <w:szCs w:val="28"/>
              </w:rPr>
            </w:pPr>
            <w:r w:rsidRPr="00FC5312">
              <w:rPr>
                <w:b/>
                <w:bCs/>
                <w:color w:val="365F91"/>
                <w:sz w:val="24"/>
                <w:szCs w:val="24"/>
              </w:rPr>
              <w:t>Facilitator:  Donna Silverberg</w:t>
            </w:r>
          </w:p>
        </w:tc>
      </w:tr>
      <w:tr w:rsidR="001A1EC0" w:rsidRPr="00FC5312">
        <w:trPr>
          <w:trHeight w:val="340"/>
          <w:jc w:val="center"/>
        </w:trPr>
        <w:tc>
          <w:tcPr>
            <w:tcW w:w="4518" w:type="dxa"/>
            <w:tcBorders>
              <w:left w:val="nil"/>
              <w:right w:val="nil"/>
            </w:tcBorders>
            <w:shd w:val="clear" w:color="auto" w:fill="D3DFEE"/>
          </w:tcPr>
          <w:p w:rsidR="001A1EC0" w:rsidRPr="00FC5312" w:rsidRDefault="001A1EC0" w:rsidP="00FC5312">
            <w:pPr>
              <w:spacing w:after="0" w:line="240" w:lineRule="auto"/>
              <w:jc w:val="center"/>
              <w:rPr>
                <w:b/>
                <w:bCs/>
                <w:color w:val="365F91"/>
              </w:rPr>
            </w:pPr>
            <w:r w:rsidRPr="00FC5312">
              <w:rPr>
                <w:b/>
                <w:bCs/>
                <w:color w:val="365F91"/>
              </w:rPr>
              <w:t>Organization / Sector</w:t>
            </w:r>
          </w:p>
        </w:tc>
        <w:tc>
          <w:tcPr>
            <w:tcW w:w="5058" w:type="dxa"/>
            <w:tcBorders>
              <w:left w:val="nil"/>
              <w:right w:val="nil"/>
            </w:tcBorders>
            <w:shd w:val="clear" w:color="auto" w:fill="D3DFEE"/>
          </w:tcPr>
          <w:p w:rsidR="001A1EC0" w:rsidRPr="00FC5312" w:rsidRDefault="001A1EC0" w:rsidP="00FC5312">
            <w:pPr>
              <w:spacing w:after="0" w:line="240" w:lineRule="auto"/>
              <w:jc w:val="center"/>
              <w:rPr>
                <w:b/>
                <w:bCs/>
                <w:color w:val="365F91"/>
              </w:rPr>
            </w:pPr>
            <w:r w:rsidRPr="00FC5312">
              <w:rPr>
                <w:b/>
                <w:bCs/>
                <w:color w:val="365F91"/>
              </w:rPr>
              <w:t>Individual(s)</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CTUIR</w:t>
            </w:r>
          </w:p>
        </w:tc>
        <w:tc>
          <w:tcPr>
            <w:tcW w:w="5058" w:type="dxa"/>
          </w:tcPr>
          <w:p w:rsidR="001A1EC0" w:rsidRPr="00FC5312" w:rsidRDefault="001A1EC0" w:rsidP="00FC5312">
            <w:pPr>
              <w:spacing w:after="0" w:line="240" w:lineRule="auto"/>
              <w:rPr>
                <w:color w:val="365F91"/>
              </w:rPr>
            </w:pPr>
            <w:r w:rsidRPr="00FC5312">
              <w:rPr>
                <w:color w:val="365F91"/>
              </w:rPr>
              <w:t>Ryan Sudbury</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ACWA</w:t>
            </w:r>
          </w:p>
        </w:tc>
        <w:tc>
          <w:tcPr>
            <w:tcW w:w="5058" w:type="dxa"/>
            <w:tcBorders>
              <w:left w:val="nil"/>
              <w:right w:val="nil"/>
            </w:tcBorders>
            <w:shd w:val="clear" w:color="auto" w:fill="D3DFEE"/>
          </w:tcPr>
          <w:p w:rsidR="001A1EC0" w:rsidRPr="00FC5312" w:rsidRDefault="0067590A" w:rsidP="00FC5312">
            <w:pPr>
              <w:spacing w:after="0" w:line="240" w:lineRule="auto"/>
              <w:rPr>
                <w:color w:val="365F91"/>
              </w:rPr>
            </w:pPr>
            <w:r>
              <w:rPr>
                <w:color w:val="365F91"/>
              </w:rPr>
              <w:t>David Kliewer</w:t>
            </w:r>
            <w:r w:rsidR="001A1EC0" w:rsidRPr="00FC5312">
              <w:rPr>
                <w:color w:val="365F91"/>
              </w:rPr>
              <w:t xml:space="preserve"> </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League of Oregon Cities</w:t>
            </w:r>
          </w:p>
        </w:tc>
        <w:tc>
          <w:tcPr>
            <w:tcW w:w="5058" w:type="dxa"/>
          </w:tcPr>
          <w:p w:rsidR="001A1EC0" w:rsidRPr="00FC5312" w:rsidRDefault="001A1EC0" w:rsidP="00FC5312">
            <w:pPr>
              <w:spacing w:after="0" w:line="240" w:lineRule="auto"/>
              <w:rPr>
                <w:color w:val="365F91"/>
              </w:rPr>
            </w:pPr>
            <w:r w:rsidRPr="00FC5312">
              <w:rPr>
                <w:color w:val="365F91"/>
              </w:rPr>
              <w:t>Peter Ruffier</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Northwest Pulp and Paper</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 xml:space="preserve">Kathryn Van Natta </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Industrial Dischargers</w:t>
            </w:r>
          </w:p>
        </w:tc>
        <w:tc>
          <w:tcPr>
            <w:tcW w:w="5058" w:type="dxa"/>
          </w:tcPr>
          <w:p w:rsidR="001A1EC0" w:rsidRPr="00FC5312" w:rsidRDefault="001A1EC0" w:rsidP="00FC5312">
            <w:pPr>
              <w:spacing w:after="0" w:line="240" w:lineRule="auto"/>
              <w:rPr>
                <w:color w:val="365F91"/>
              </w:rPr>
            </w:pPr>
            <w:r w:rsidRPr="00FC5312">
              <w:rPr>
                <w:color w:val="365F91"/>
              </w:rPr>
              <w:t>Michael Campbell</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Associated Oregon Industries</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Rich Garber</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Northwest Environmental Advocates</w:t>
            </w:r>
          </w:p>
        </w:tc>
        <w:tc>
          <w:tcPr>
            <w:tcW w:w="5058" w:type="dxa"/>
          </w:tcPr>
          <w:p w:rsidR="001A1EC0" w:rsidRPr="00FC5312" w:rsidRDefault="001A1EC0" w:rsidP="00FC5312">
            <w:pPr>
              <w:spacing w:after="0" w:line="240" w:lineRule="auto"/>
              <w:rPr>
                <w:color w:val="365F91"/>
              </w:rPr>
            </w:pPr>
            <w:r w:rsidRPr="00FC5312">
              <w:rPr>
                <w:color w:val="365F91"/>
              </w:rPr>
              <w:t>Nina Bell</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Northwest Environmental Defense Council</w:t>
            </w:r>
          </w:p>
        </w:tc>
        <w:tc>
          <w:tcPr>
            <w:tcW w:w="5058" w:type="dxa"/>
            <w:tcBorders>
              <w:left w:val="nil"/>
              <w:right w:val="nil"/>
            </w:tcBorders>
            <w:shd w:val="clear" w:color="auto" w:fill="D3DFEE"/>
          </w:tcPr>
          <w:p w:rsidR="001A1EC0" w:rsidRPr="00FC5312" w:rsidRDefault="00891A65" w:rsidP="00FC5312">
            <w:pPr>
              <w:spacing w:after="0" w:line="240" w:lineRule="auto"/>
              <w:rPr>
                <w:color w:val="365F91"/>
              </w:rPr>
            </w:pPr>
            <w:r>
              <w:rPr>
                <w:color w:val="365F91"/>
              </w:rPr>
              <w:t>Andrew Hawley</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 xml:space="preserve">Columbia </w:t>
            </w:r>
            <w:proofErr w:type="spellStart"/>
            <w:r w:rsidRPr="00FC5312">
              <w:rPr>
                <w:color w:val="365F91"/>
              </w:rPr>
              <w:t>Riverkeeper</w:t>
            </w:r>
            <w:proofErr w:type="spellEnd"/>
          </w:p>
        </w:tc>
        <w:tc>
          <w:tcPr>
            <w:tcW w:w="5058" w:type="dxa"/>
          </w:tcPr>
          <w:p w:rsidR="001A1EC0" w:rsidRPr="00FC5312" w:rsidRDefault="001A1EC0" w:rsidP="00FC5312">
            <w:pPr>
              <w:spacing w:after="0" w:line="240" w:lineRule="auto"/>
              <w:rPr>
                <w:color w:val="365F91"/>
              </w:rPr>
            </w:pPr>
            <w:r w:rsidRPr="00FC5312">
              <w:rPr>
                <w:color w:val="365F91"/>
              </w:rPr>
              <w:t>Lauren Goldberg</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Oregonians for Food and Shelter</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Terry Witt</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Oregon Farm Bureau</w:t>
            </w:r>
          </w:p>
        </w:tc>
        <w:tc>
          <w:tcPr>
            <w:tcW w:w="5058" w:type="dxa"/>
          </w:tcPr>
          <w:p w:rsidR="001A1EC0" w:rsidRPr="00FC5312" w:rsidRDefault="001A1EC0" w:rsidP="00FC5312">
            <w:pPr>
              <w:spacing w:after="0" w:line="240" w:lineRule="auto"/>
              <w:rPr>
                <w:color w:val="365F91"/>
              </w:rPr>
            </w:pPr>
            <w:r w:rsidRPr="00FC5312">
              <w:rPr>
                <w:color w:val="365F91"/>
              </w:rPr>
              <w:t>Jennifer Shmikler</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Oregon Forest Industries Council</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Chris Jarmer</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Association of Oregon Counties</w:t>
            </w:r>
          </w:p>
        </w:tc>
        <w:tc>
          <w:tcPr>
            <w:tcW w:w="5058" w:type="dxa"/>
          </w:tcPr>
          <w:p w:rsidR="001A1EC0" w:rsidRPr="00FC5312" w:rsidRDefault="001A1EC0" w:rsidP="00FC5312">
            <w:pPr>
              <w:spacing w:after="0" w:line="240" w:lineRule="auto"/>
              <w:rPr>
                <w:color w:val="365F91"/>
              </w:rPr>
            </w:pPr>
            <w:r w:rsidRPr="00FC5312">
              <w:rPr>
                <w:color w:val="365F91"/>
              </w:rPr>
              <w:t>Emily Ackland</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Oregon Small Woodlands Association</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David Ford</w:t>
            </w:r>
          </w:p>
        </w:tc>
      </w:tr>
      <w:tr w:rsidR="001A1EC0" w:rsidRPr="00FC5312">
        <w:trPr>
          <w:jc w:val="center"/>
        </w:trPr>
        <w:tc>
          <w:tcPr>
            <w:tcW w:w="4518" w:type="dxa"/>
          </w:tcPr>
          <w:p w:rsidR="001A1EC0" w:rsidRPr="00FC5312" w:rsidRDefault="006B6467" w:rsidP="00FC5312">
            <w:pPr>
              <w:spacing w:after="0" w:line="240" w:lineRule="auto"/>
              <w:rPr>
                <w:b/>
                <w:bCs/>
                <w:color w:val="365F91"/>
              </w:rPr>
            </w:pPr>
            <w:proofErr w:type="spellStart"/>
            <w:r>
              <w:rPr>
                <w:b/>
                <w:bCs/>
                <w:color w:val="365F91"/>
              </w:rPr>
              <w:t>Siltronic</w:t>
            </w:r>
            <w:proofErr w:type="spellEnd"/>
          </w:p>
        </w:tc>
        <w:tc>
          <w:tcPr>
            <w:tcW w:w="5058" w:type="dxa"/>
          </w:tcPr>
          <w:p w:rsidR="001A1EC0" w:rsidRPr="00FC5312" w:rsidRDefault="006B6467" w:rsidP="00FC5312">
            <w:pPr>
              <w:spacing w:after="0" w:line="240" w:lineRule="auto"/>
              <w:rPr>
                <w:color w:val="365F91"/>
              </w:rPr>
            </w:pPr>
            <w:r>
              <w:rPr>
                <w:color w:val="365F91"/>
              </w:rPr>
              <w:t>Myron Burr</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p>
        </w:tc>
      </w:tr>
      <w:tr w:rsidR="001A1EC0" w:rsidRPr="00FC5312">
        <w:trPr>
          <w:jc w:val="center"/>
        </w:trPr>
        <w:tc>
          <w:tcPr>
            <w:tcW w:w="4518" w:type="dxa"/>
          </w:tcPr>
          <w:p w:rsidR="001A1EC0" w:rsidRPr="00FC5312" w:rsidRDefault="001A1EC0" w:rsidP="00FC5312">
            <w:pPr>
              <w:spacing w:after="0" w:line="240" w:lineRule="auto"/>
              <w:jc w:val="center"/>
              <w:rPr>
                <w:b/>
                <w:bCs/>
                <w:color w:val="365F91"/>
              </w:rPr>
            </w:pPr>
            <w:r w:rsidRPr="00FC5312">
              <w:rPr>
                <w:b/>
                <w:bCs/>
                <w:color w:val="365F91"/>
              </w:rPr>
              <w:t>Participating Agencies</w:t>
            </w:r>
          </w:p>
        </w:tc>
        <w:tc>
          <w:tcPr>
            <w:tcW w:w="5058" w:type="dxa"/>
          </w:tcPr>
          <w:p w:rsidR="001A1EC0" w:rsidRPr="00FC5312" w:rsidRDefault="001A1EC0" w:rsidP="00FC5312">
            <w:pPr>
              <w:spacing w:after="0" w:line="240" w:lineRule="auto"/>
              <w:jc w:val="center"/>
              <w:rPr>
                <w:color w:val="365F91"/>
              </w:rPr>
            </w:pPr>
            <w:r w:rsidRPr="00FC5312">
              <w:rPr>
                <w:b/>
                <w:bCs/>
                <w:color w:val="365F91"/>
              </w:rPr>
              <w:t>Individual(s)</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EPA</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Jannine Jennings</w:t>
            </w:r>
          </w:p>
        </w:tc>
      </w:tr>
      <w:tr w:rsidR="001A1EC0" w:rsidRPr="00FC5312">
        <w:trPr>
          <w:jc w:val="center"/>
        </w:trPr>
        <w:tc>
          <w:tcPr>
            <w:tcW w:w="4518" w:type="dxa"/>
          </w:tcPr>
          <w:p w:rsidR="001A1EC0" w:rsidRPr="00FC5312" w:rsidRDefault="001A1EC0" w:rsidP="00FC5312">
            <w:pPr>
              <w:spacing w:after="0" w:line="240" w:lineRule="auto"/>
              <w:rPr>
                <w:b/>
                <w:bCs/>
                <w:color w:val="365F91"/>
              </w:rPr>
            </w:pPr>
            <w:r w:rsidRPr="00FC5312">
              <w:rPr>
                <w:color w:val="365F91"/>
              </w:rPr>
              <w:t>Department of Agriculture</w:t>
            </w:r>
          </w:p>
        </w:tc>
        <w:tc>
          <w:tcPr>
            <w:tcW w:w="5058" w:type="dxa"/>
          </w:tcPr>
          <w:p w:rsidR="001A1EC0" w:rsidRPr="00FC5312" w:rsidRDefault="001A1EC0" w:rsidP="00FC5312">
            <w:pPr>
              <w:spacing w:after="0" w:line="240" w:lineRule="auto"/>
              <w:rPr>
                <w:color w:val="365F91"/>
              </w:rPr>
            </w:pPr>
            <w:r w:rsidRPr="00FC5312">
              <w:rPr>
                <w:color w:val="365F91"/>
              </w:rPr>
              <w:t>Dave Wilkinson or Ellen Hammond</w:t>
            </w:r>
          </w:p>
        </w:tc>
      </w:tr>
      <w:tr w:rsidR="001A1EC0" w:rsidRPr="00FC5312">
        <w:trPr>
          <w:jc w:val="center"/>
        </w:trPr>
        <w:tc>
          <w:tcPr>
            <w:tcW w:w="4518" w:type="dxa"/>
            <w:tcBorders>
              <w:left w:val="nil"/>
              <w:right w:val="nil"/>
            </w:tcBorders>
            <w:shd w:val="clear" w:color="auto" w:fill="D3DFEE"/>
          </w:tcPr>
          <w:p w:rsidR="001A1EC0" w:rsidRPr="00FC5312" w:rsidRDefault="001A1EC0" w:rsidP="00FC5312">
            <w:pPr>
              <w:spacing w:after="0" w:line="240" w:lineRule="auto"/>
              <w:rPr>
                <w:b/>
                <w:bCs/>
                <w:color w:val="365F91"/>
              </w:rPr>
            </w:pPr>
            <w:r w:rsidRPr="00FC5312">
              <w:rPr>
                <w:color w:val="365F91"/>
              </w:rPr>
              <w:t>Department of Forestry</w:t>
            </w:r>
          </w:p>
        </w:tc>
        <w:tc>
          <w:tcPr>
            <w:tcW w:w="5058" w:type="dxa"/>
            <w:tcBorders>
              <w:left w:val="nil"/>
              <w:right w:val="nil"/>
            </w:tcBorders>
            <w:shd w:val="clear" w:color="auto" w:fill="D3DFEE"/>
          </w:tcPr>
          <w:p w:rsidR="001A1EC0" w:rsidRPr="00FC5312" w:rsidRDefault="001A1EC0" w:rsidP="00FC5312">
            <w:pPr>
              <w:spacing w:after="0" w:line="240" w:lineRule="auto"/>
              <w:rPr>
                <w:color w:val="365F91"/>
              </w:rPr>
            </w:pPr>
            <w:r w:rsidRPr="00FC5312">
              <w:rPr>
                <w:color w:val="365F91"/>
              </w:rPr>
              <w:t>Marganne Allen</w:t>
            </w:r>
          </w:p>
        </w:tc>
      </w:tr>
      <w:tr w:rsidR="001A1EC0" w:rsidRPr="00FC5312">
        <w:trPr>
          <w:jc w:val="center"/>
        </w:trPr>
        <w:tc>
          <w:tcPr>
            <w:tcW w:w="4518" w:type="dxa"/>
            <w:tcBorders>
              <w:bottom w:val="single" w:sz="8" w:space="0" w:color="4F81BD"/>
            </w:tcBorders>
          </w:tcPr>
          <w:p w:rsidR="001A1EC0" w:rsidRPr="00FC5312" w:rsidRDefault="001A1EC0" w:rsidP="00FC5312">
            <w:pPr>
              <w:spacing w:after="0" w:line="240" w:lineRule="auto"/>
              <w:rPr>
                <w:b/>
                <w:bCs/>
                <w:color w:val="365F91"/>
              </w:rPr>
            </w:pPr>
          </w:p>
        </w:tc>
        <w:tc>
          <w:tcPr>
            <w:tcW w:w="5058" w:type="dxa"/>
            <w:tcBorders>
              <w:bottom w:val="single" w:sz="8" w:space="0" w:color="4F81BD"/>
            </w:tcBorders>
          </w:tcPr>
          <w:p w:rsidR="001A1EC0" w:rsidRPr="00FC5312" w:rsidRDefault="001A1EC0" w:rsidP="00FC5312">
            <w:pPr>
              <w:spacing w:after="0" w:line="240" w:lineRule="auto"/>
              <w:rPr>
                <w:color w:val="365F91"/>
              </w:rPr>
            </w:pPr>
          </w:p>
        </w:tc>
      </w:tr>
    </w:tbl>
    <w:p w:rsidR="001A1EC0" w:rsidRPr="00F52BFC" w:rsidRDefault="001A1EC0" w:rsidP="001C028F"/>
    <w:sectPr w:rsidR="001A1EC0" w:rsidRPr="00F52BFC" w:rsidSect="00282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45D5"/>
    <w:multiLevelType w:val="hybridMultilevel"/>
    <w:tmpl w:val="74AC87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0900C66"/>
    <w:multiLevelType w:val="hybridMultilevel"/>
    <w:tmpl w:val="6F00F23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B0B238D"/>
    <w:multiLevelType w:val="hybridMultilevel"/>
    <w:tmpl w:val="326237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6007C7D"/>
    <w:multiLevelType w:val="hybridMultilevel"/>
    <w:tmpl w:val="1C08E9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BFC"/>
    <w:rsid w:val="0000228E"/>
    <w:rsid w:val="000039EA"/>
    <w:rsid w:val="000076C1"/>
    <w:rsid w:val="00015B47"/>
    <w:rsid w:val="0001668D"/>
    <w:rsid w:val="000169EB"/>
    <w:rsid w:val="000254AF"/>
    <w:rsid w:val="0004741F"/>
    <w:rsid w:val="000476EE"/>
    <w:rsid w:val="00055E66"/>
    <w:rsid w:val="00061451"/>
    <w:rsid w:val="00063836"/>
    <w:rsid w:val="000646B0"/>
    <w:rsid w:val="00066922"/>
    <w:rsid w:val="00071ED6"/>
    <w:rsid w:val="0007708F"/>
    <w:rsid w:val="000833DB"/>
    <w:rsid w:val="00090D06"/>
    <w:rsid w:val="00090F57"/>
    <w:rsid w:val="000962AB"/>
    <w:rsid w:val="000A324F"/>
    <w:rsid w:val="000A466F"/>
    <w:rsid w:val="000A76F1"/>
    <w:rsid w:val="000A7CDE"/>
    <w:rsid w:val="000B3C5C"/>
    <w:rsid w:val="000B4FCC"/>
    <w:rsid w:val="000C01D1"/>
    <w:rsid w:val="000C46DC"/>
    <w:rsid w:val="000C46F8"/>
    <w:rsid w:val="000C6FD6"/>
    <w:rsid w:val="000D2183"/>
    <w:rsid w:val="000D30BE"/>
    <w:rsid w:val="000E242F"/>
    <w:rsid w:val="000E3886"/>
    <w:rsid w:val="000F4081"/>
    <w:rsid w:val="001012BF"/>
    <w:rsid w:val="00102B0D"/>
    <w:rsid w:val="00103208"/>
    <w:rsid w:val="00103F02"/>
    <w:rsid w:val="0011197C"/>
    <w:rsid w:val="001135FE"/>
    <w:rsid w:val="00114B55"/>
    <w:rsid w:val="0012636E"/>
    <w:rsid w:val="001413C0"/>
    <w:rsid w:val="00147EC4"/>
    <w:rsid w:val="00147EE7"/>
    <w:rsid w:val="001565BE"/>
    <w:rsid w:val="00156FA2"/>
    <w:rsid w:val="00157442"/>
    <w:rsid w:val="001612AB"/>
    <w:rsid w:val="00167190"/>
    <w:rsid w:val="0017043A"/>
    <w:rsid w:val="00183F09"/>
    <w:rsid w:val="00186BD3"/>
    <w:rsid w:val="0019309E"/>
    <w:rsid w:val="00194374"/>
    <w:rsid w:val="00197651"/>
    <w:rsid w:val="00197D64"/>
    <w:rsid w:val="001A0297"/>
    <w:rsid w:val="001A15F2"/>
    <w:rsid w:val="001A1EC0"/>
    <w:rsid w:val="001A3522"/>
    <w:rsid w:val="001A3D87"/>
    <w:rsid w:val="001A3EAB"/>
    <w:rsid w:val="001A7B80"/>
    <w:rsid w:val="001B6E60"/>
    <w:rsid w:val="001C028F"/>
    <w:rsid w:val="001C388D"/>
    <w:rsid w:val="001D1899"/>
    <w:rsid w:val="001D1EC5"/>
    <w:rsid w:val="001E1B48"/>
    <w:rsid w:val="001E5DC5"/>
    <w:rsid w:val="002014B3"/>
    <w:rsid w:val="0021337D"/>
    <w:rsid w:val="00216DC4"/>
    <w:rsid w:val="00220FBE"/>
    <w:rsid w:val="00224979"/>
    <w:rsid w:val="00226046"/>
    <w:rsid w:val="00227374"/>
    <w:rsid w:val="00240110"/>
    <w:rsid w:val="00244AAB"/>
    <w:rsid w:val="00247141"/>
    <w:rsid w:val="0025364A"/>
    <w:rsid w:val="002564AD"/>
    <w:rsid w:val="0026434C"/>
    <w:rsid w:val="00271493"/>
    <w:rsid w:val="00282E67"/>
    <w:rsid w:val="0028348A"/>
    <w:rsid w:val="00286198"/>
    <w:rsid w:val="00292119"/>
    <w:rsid w:val="00295E19"/>
    <w:rsid w:val="002968B8"/>
    <w:rsid w:val="002A1F8D"/>
    <w:rsid w:val="002A2C44"/>
    <w:rsid w:val="002A4515"/>
    <w:rsid w:val="002C5FC3"/>
    <w:rsid w:val="002C6628"/>
    <w:rsid w:val="002C719D"/>
    <w:rsid w:val="002D07D7"/>
    <w:rsid w:val="002D0C3A"/>
    <w:rsid w:val="002D3920"/>
    <w:rsid w:val="002D3988"/>
    <w:rsid w:val="002D62C6"/>
    <w:rsid w:val="002D689B"/>
    <w:rsid w:val="002E1C33"/>
    <w:rsid w:val="002E7718"/>
    <w:rsid w:val="002F47FE"/>
    <w:rsid w:val="00302E9C"/>
    <w:rsid w:val="00313215"/>
    <w:rsid w:val="00325AA2"/>
    <w:rsid w:val="00327111"/>
    <w:rsid w:val="00333004"/>
    <w:rsid w:val="00333302"/>
    <w:rsid w:val="00341883"/>
    <w:rsid w:val="00343281"/>
    <w:rsid w:val="00351361"/>
    <w:rsid w:val="00356ADE"/>
    <w:rsid w:val="00381565"/>
    <w:rsid w:val="00387A77"/>
    <w:rsid w:val="003A225B"/>
    <w:rsid w:val="003A5864"/>
    <w:rsid w:val="003A7D58"/>
    <w:rsid w:val="003A7FF5"/>
    <w:rsid w:val="003C16A0"/>
    <w:rsid w:val="003C26B9"/>
    <w:rsid w:val="003C4F64"/>
    <w:rsid w:val="003C6736"/>
    <w:rsid w:val="003C6AA8"/>
    <w:rsid w:val="003D0F53"/>
    <w:rsid w:val="003D2AD8"/>
    <w:rsid w:val="003D6B00"/>
    <w:rsid w:val="003E5CF5"/>
    <w:rsid w:val="003F38C6"/>
    <w:rsid w:val="003F6A55"/>
    <w:rsid w:val="0040263D"/>
    <w:rsid w:val="004048F2"/>
    <w:rsid w:val="00413888"/>
    <w:rsid w:val="004145D1"/>
    <w:rsid w:val="00444DE8"/>
    <w:rsid w:val="00447DDD"/>
    <w:rsid w:val="0045254C"/>
    <w:rsid w:val="004547DC"/>
    <w:rsid w:val="00466A45"/>
    <w:rsid w:val="00470ACC"/>
    <w:rsid w:val="00471719"/>
    <w:rsid w:val="00471E3B"/>
    <w:rsid w:val="004731CA"/>
    <w:rsid w:val="00481E84"/>
    <w:rsid w:val="00493197"/>
    <w:rsid w:val="004942D2"/>
    <w:rsid w:val="004A1431"/>
    <w:rsid w:val="004A1C29"/>
    <w:rsid w:val="004A4008"/>
    <w:rsid w:val="004A6E49"/>
    <w:rsid w:val="004A7228"/>
    <w:rsid w:val="004B1CFC"/>
    <w:rsid w:val="004B2429"/>
    <w:rsid w:val="004B4D74"/>
    <w:rsid w:val="004C440D"/>
    <w:rsid w:val="004D1811"/>
    <w:rsid w:val="004D1B28"/>
    <w:rsid w:val="004E6B1F"/>
    <w:rsid w:val="004F0622"/>
    <w:rsid w:val="004F2285"/>
    <w:rsid w:val="004F40D0"/>
    <w:rsid w:val="004F6AF1"/>
    <w:rsid w:val="004F7E03"/>
    <w:rsid w:val="00501F1E"/>
    <w:rsid w:val="00503928"/>
    <w:rsid w:val="00504160"/>
    <w:rsid w:val="005047C3"/>
    <w:rsid w:val="00505966"/>
    <w:rsid w:val="0051732B"/>
    <w:rsid w:val="005277E6"/>
    <w:rsid w:val="00527DEF"/>
    <w:rsid w:val="00530D0D"/>
    <w:rsid w:val="00531F39"/>
    <w:rsid w:val="00536606"/>
    <w:rsid w:val="00551EE0"/>
    <w:rsid w:val="00564813"/>
    <w:rsid w:val="0056686F"/>
    <w:rsid w:val="005705E0"/>
    <w:rsid w:val="00571319"/>
    <w:rsid w:val="00571821"/>
    <w:rsid w:val="0057266B"/>
    <w:rsid w:val="0058380A"/>
    <w:rsid w:val="00587F1A"/>
    <w:rsid w:val="005905BD"/>
    <w:rsid w:val="005935F4"/>
    <w:rsid w:val="00596331"/>
    <w:rsid w:val="005A50F8"/>
    <w:rsid w:val="005A7463"/>
    <w:rsid w:val="005B1E29"/>
    <w:rsid w:val="005B3107"/>
    <w:rsid w:val="005B3CDD"/>
    <w:rsid w:val="005B58A1"/>
    <w:rsid w:val="005B5FE2"/>
    <w:rsid w:val="005B71F2"/>
    <w:rsid w:val="005C7179"/>
    <w:rsid w:val="005D6295"/>
    <w:rsid w:val="005D7A38"/>
    <w:rsid w:val="005E1FCD"/>
    <w:rsid w:val="005E4DA4"/>
    <w:rsid w:val="005F3FB7"/>
    <w:rsid w:val="00600F9A"/>
    <w:rsid w:val="0060297F"/>
    <w:rsid w:val="0060329C"/>
    <w:rsid w:val="00605FE9"/>
    <w:rsid w:val="00606F04"/>
    <w:rsid w:val="0061091F"/>
    <w:rsid w:val="00613F71"/>
    <w:rsid w:val="006208DB"/>
    <w:rsid w:val="00623ACA"/>
    <w:rsid w:val="00627C46"/>
    <w:rsid w:val="00631607"/>
    <w:rsid w:val="00633F42"/>
    <w:rsid w:val="006403E3"/>
    <w:rsid w:val="006440E7"/>
    <w:rsid w:val="006442D9"/>
    <w:rsid w:val="006444D0"/>
    <w:rsid w:val="00647839"/>
    <w:rsid w:val="00650E59"/>
    <w:rsid w:val="006514A1"/>
    <w:rsid w:val="006545E6"/>
    <w:rsid w:val="0066384C"/>
    <w:rsid w:val="006650DC"/>
    <w:rsid w:val="00665103"/>
    <w:rsid w:val="00665F7D"/>
    <w:rsid w:val="00673509"/>
    <w:rsid w:val="0067590A"/>
    <w:rsid w:val="006A5072"/>
    <w:rsid w:val="006B01F9"/>
    <w:rsid w:val="006B595D"/>
    <w:rsid w:val="006B6467"/>
    <w:rsid w:val="006B6FF1"/>
    <w:rsid w:val="006C0F99"/>
    <w:rsid w:val="006C18BC"/>
    <w:rsid w:val="006C1F86"/>
    <w:rsid w:val="006C3567"/>
    <w:rsid w:val="006C3AB2"/>
    <w:rsid w:val="006C6A75"/>
    <w:rsid w:val="006D0D09"/>
    <w:rsid w:val="006D734A"/>
    <w:rsid w:val="006E1A6F"/>
    <w:rsid w:val="006E497E"/>
    <w:rsid w:val="006E4AD7"/>
    <w:rsid w:val="006F057E"/>
    <w:rsid w:val="006F4954"/>
    <w:rsid w:val="006F5991"/>
    <w:rsid w:val="006F71AD"/>
    <w:rsid w:val="0070216B"/>
    <w:rsid w:val="007022E2"/>
    <w:rsid w:val="00703BBA"/>
    <w:rsid w:val="00704DB0"/>
    <w:rsid w:val="007070D4"/>
    <w:rsid w:val="00710AFF"/>
    <w:rsid w:val="0071458C"/>
    <w:rsid w:val="00714B9B"/>
    <w:rsid w:val="00714BDE"/>
    <w:rsid w:val="00717D56"/>
    <w:rsid w:val="00725A61"/>
    <w:rsid w:val="00727178"/>
    <w:rsid w:val="00733F1A"/>
    <w:rsid w:val="00741246"/>
    <w:rsid w:val="007422A6"/>
    <w:rsid w:val="00754DD0"/>
    <w:rsid w:val="00756B3B"/>
    <w:rsid w:val="007578A3"/>
    <w:rsid w:val="007627F6"/>
    <w:rsid w:val="00763DF2"/>
    <w:rsid w:val="00766157"/>
    <w:rsid w:val="00785BA0"/>
    <w:rsid w:val="007876F7"/>
    <w:rsid w:val="00787BD7"/>
    <w:rsid w:val="00790066"/>
    <w:rsid w:val="007968F9"/>
    <w:rsid w:val="007A673A"/>
    <w:rsid w:val="007A7DEB"/>
    <w:rsid w:val="007B0B0A"/>
    <w:rsid w:val="007B1964"/>
    <w:rsid w:val="007B3B5E"/>
    <w:rsid w:val="007B511D"/>
    <w:rsid w:val="007B5B00"/>
    <w:rsid w:val="007B7B77"/>
    <w:rsid w:val="007C64E6"/>
    <w:rsid w:val="007D6A98"/>
    <w:rsid w:val="007F05E0"/>
    <w:rsid w:val="00803876"/>
    <w:rsid w:val="00804201"/>
    <w:rsid w:val="008068E8"/>
    <w:rsid w:val="00810D5F"/>
    <w:rsid w:val="00815B33"/>
    <w:rsid w:val="008168CC"/>
    <w:rsid w:val="00823441"/>
    <w:rsid w:val="00827CB5"/>
    <w:rsid w:val="008315D9"/>
    <w:rsid w:val="00835972"/>
    <w:rsid w:val="00836002"/>
    <w:rsid w:val="008369AB"/>
    <w:rsid w:val="00836DD0"/>
    <w:rsid w:val="00857AD5"/>
    <w:rsid w:val="0088280C"/>
    <w:rsid w:val="00882A78"/>
    <w:rsid w:val="008913E5"/>
    <w:rsid w:val="00891A65"/>
    <w:rsid w:val="00897CCA"/>
    <w:rsid w:val="008B09E5"/>
    <w:rsid w:val="008B2419"/>
    <w:rsid w:val="008B46EA"/>
    <w:rsid w:val="008B5EDB"/>
    <w:rsid w:val="008C2D47"/>
    <w:rsid w:val="008C40EA"/>
    <w:rsid w:val="008C7245"/>
    <w:rsid w:val="008D0231"/>
    <w:rsid w:val="008D1226"/>
    <w:rsid w:val="008D1C52"/>
    <w:rsid w:val="008D3178"/>
    <w:rsid w:val="008E446B"/>
    <w:rsid w:val="008F3199"/>
    <w:rsid w:val="00903C76"/>
    <w:rsid w:val="00907EBD"/>
    <w:rsid w:val="0091434B"/>
    <w:rsid w:val="00915131"/>
    <w:rsid w:val="009166A3"/>
    <w:rsid w:val="0092184B"/>
    <w:rsid w:val="00922FBB"/>
    <w:rsid w:val="00923B4B"/>
    <w:rsid w:val="00926536"/>
    <w:rsid w:val="00932391"/>
    <w:rsid w:val="00932E4C"/>
    <w:rsid w:val="009349B0"/>
    <w:rsid w:val="00934CDF"/>
    <w:rsid w:val="00942A8D"/>
    <w:rsid w:val="00955174"/>
    <w:rsid w:val="00957797"/>
    <w:rsid w:val="0096598B"/>
    <w:rsid w:val="00971350"/>
    <w:rsid w:val="0097358D"/>
    <w:rsid w:val="00975B90"/>
    <w:rsid w:val="009776F4"/>
    <w:rsid w:val="00977E8D"/>
    <w:rsid w:val="00982EF9"/>
    <w:rsid w:val="009832C0"/>
    <w:rsid w:val="009873B7"/>
    <w:rsid w:val="009879EA"/>
    <w:rsid w:val="009933F9"/>
    <w:rsid w:val="009942E5"/>
    <w:rsid w:val="00994CE8"/>
    <w:rsid w:val="009A12C2"/>
    <w:rsid w:val="009B1A5B"/>
    <w:rsid w:val="009C070D"/>
    <w:rsid w:val="009C6B95"/>
    <w:rsid w:val="009D0200"/>
    <w:rsid w:val="009D6D5E"/>
    <w:rsid w:val="009E2F7F"/>
    <w:rsid w:val="009F02FA"/>
    <w:rsid w:val="009F68D8"/>
    <w:rsid w:val="009F7CA4"/>
    <w:rsid w:val="009F7EC8"/>
    <w:rsid w:val="00A00ED0"/>
    <w:rsid w:val="00A02755"/>
    <w:rsid w:val="00A0380E"/>
    <w:rsid w:val="00A11A9D"/>
    <w:rsid w:val="00A170A0"/>
    <w:rsid w:val="00A27268"/>
    <w:rsid w:val="00A33982"/>
    <w:rsid w:val="00A54A4F"/>
    <w:rsid w:val="00A553A7"/>
    <w:rsid w:val="00A569FE"/>
    <w:rsid w:val="00A630FC"/>
    <w:rsid w:val="00A65648"/>
    <w:rsid w:val="00A73D96"/>
    <w:rsid w:val="00A74D09"/>
    <w:rsid w:val="00A81365"/>
    <w:rsid w:val="00A8217B"/>
    <w:rsid w:val="00A8301C"/>
    <w:rsid w:val="00A83646"/>
    <w:rsid w:val="00A8766B"/>
    <w:rsid w:val="00A94205"/>
    <w:rsid w:val="00A942D1"/>
    <w:rsid w:val="00AA041B"/>
    <w:rsid w:val="00AA2094"/>
    <w:rsid w:val="00AA3929"/>
    <w:rsid w:val="00AB3394"/>
    <w:rsid w:val="00AB505F"/>
    <w:rsid w:val="00AB55D0"/>
    <w:rsid w:val="00AC394D"/>
    <w:rsid w:val="00AC6578"/>
    <w:rsid w:val="00AD3D6A"/>
    <w:rsid w:val="00AE2D78"/>
    <w:rsid w:val="00AE70C3"/>
    <w:rsid w:val="00AE7457"/>
    <w:rsid w:val="00AF5115"/>
    <w:rsid w:val="00AF6342"/>
    <w:rsid w:val="00B03B20"/>
    <w:rsid w:val="00B06364"/>
    <w:rsid w:val="00B07088"/>
    <w:rsid w:val="00B14818"/>
    <w:rsid w:val="00B15BFA"/>
    <w:rsid w:val="00B17907"/>
    <w:rsid w:val="00B238EA"/>
    <w:rsid w:val="00B31DDD"/>
    <w:rsid w:val="00B32E99"/>
    <w:rsid w:val="00B375B4"/>
    <w:rsid w:val="00B46099"/>
    <w:rsid w:val="00B52731"/>
    <w:rsid w:val="00B63382"/>
    <w:rsid w:val="00B663C8"/>
    <w:rsid w:val="00B676D8"/>
    <w:rsid w:val="00B67CD3"/>
    <w:rsid w:val="00B7354D"/>
    <w:rsid w:val="00B8314F"/>
    <w:rsid w:val="00B8773A"/>
    <w:rsid w:val="00B9166E"/>
    <w:rsid w:val="00BA0BB7"/>
    <w:rsid w:val="00BA4B3C"/>
    <w:rsid w:val="00BB679E"/>
    <w:rsid w:val="00BC0C9D"/>
    <w:rsid w:val="00BC1695"/>
    <w:rsid w:val="00BD12A5"/>
    <w:rsid w:val="00BD3381"/>
    <w:rsid w:val="00BE72CA"/>
    <w:rsid w:val="00BE7D60"/>
    <w:rsid w:val="00BF4DA1"/>
    <w:rsid w:val="00C01812"/>
    <w:rsid w:val="00C04692"/>
    <w:rsid w:val="00C12A4B"/>
    <w:rsid w:val="00C14C2A"/>
    <w:rsid w:val="00C25143"/>
    <w:rsid w:val="00C278D9"/>
    <w:rsid w:val="00C3084D"/>
    <w:rsid w:val="00C40E38"/>
    <w:rsid w:val="00C41576"/>
    <w:rsid w:val="00C477DE"/>
    <w:rsid w:val="00C51FF1"/>
    <w:rsid w:val="00C54302"/>
    <w:rsid w:val="00C551E1"/>
    <w:rsid w:val="00C5591B"/>
    <w:rsid w:val="00C55E95"/>
    <w:rsid w:val="00C57824"/>
    <w:rsid w:val="00C6735C"/>
    <w:rsid w:val="00C72B0D"/>
    <w:rsid w:val="00C7755A"/>
    <w:rsid w:val="00C80F1D"/>
    <w:rsid w:val="00C87762"/>
    <w:rsid w:val="00C87BF2"/>
    <w:rsid w:val="00C90F8C"/>
    <w:rsid w:val="00C90FD1"/>
    <w:rsid w:val="00CA566C"/>
    <w:rsid w:val="00CB063A"/>
    <w:rsid w:val="00CB150A"/>
    <w:rsid w:val="00CB18BA"/>
    <w:rsid w:val="00CB2B86"/>
    <w:rsid w:val="00CB494A"/>
    <w:rsid w:val="00CC0BB4"/>
    <w:rsid w:val="00CC0BE3"/>
    <w:rsid w:val="00CC10E5"/>
    <w:rsid w:val="00CC5EA5"/>
    <w:rsid w:val="00CC6E2F"/>
    <w:rsid w:val="00CC729B"/>
    <w:rsid w:val="00CC7CEE"/>
    <w:rsid w:val="00CD54E6"/>
    <w:rsid w:val="00CD5968"/>
    <w:rsid w:val="00CD6C85"/>
    <w:rsid w:val="00CE4DD1"/>
    <w:rsid w:val="00CF2196"/>
    <w:rsid w:val="00D01C49"/>
    <w:rsid w:val="00D100E2"/>
    <w:rsid w:val="00D132CD"/>
    <w:rsid w:val="00D3118C"/>
    <w:rsid w:val="00D343DF"/>
    <w:rsid w:val="00D40131"/>
    <w:rsid w:val="00D47647"/>
    <w:rsid w:val="00D47BAF"/>
    <w:rsid w:val="00D543F7"/>
    <w:rsid w:val="00D60484"/>
    <w:rsid w:val="00D61396"/>
    <w:rsid w:val="00D80AD3"/>
    <w:rsid w:val="00D94140"/>
    <w:rsid w:val="00D964BF"/>
    <w:rsid w:val="00D9787D"/>
    <w:rsid w:val="00DA0BFC"/>
    <w:rsid w:val="00DA1700"/>
    <w:rsid w:val="00DA2A55"/>
    <w:rsid w:val="00DA3E64"/>
    <w:rsid w:val="00DB7509"/>
    <w:rsid w:val="00DC11F7"/>
    <w:rsid w:val="00DD0B43"/>
    <w:rsid w:val="00DD1942"/>
    <w:rsid w:val="00DD56E6"/>
    <w:rsid w:val="00DE292A"/>
    <w:rsid w:val="00DE599A"/>
    <w:rsid w:val="00DF2A9E"/>
    <w:rsid w:val="00DF386F"/>
    <w:rsid w:val="00DF3ACC"/>
    <w:rsid w:val="00DF5A05"/>
    <w:rsid w:val="00E00AFA"/>
    <w:rsid w:val="00E0350B"/>
    <w:rsid w:val="00E03C44"/>
    <w:rsid w:val="00E06D95"/>
    <w:rsid w:val="00E11816"/>
    <w:rsid w:val="00E11935"/>
    <w:rsid w:val="00E1584A"/>
    <w:rsid w:val="00E252E9"/>
    <w:rsid w:val="00E27D09"/>
    <w:rsid w:val="00E30EC9"/>
    <w:rsid w:val="00E3511B"/>
    <w:rsid w:val="00E36343"/>
    <w:rsid w:val="00E4344B"/>
    <w:rsid w:val="00E4385B"/>
    <w:rsid w:val="00E44498"/>
    <w:rsid w:val="00E46C80"/>
    <w:rsid w:val="00E509EC"/>
    <w:rsid w:val="00E513A6"/>
    <w:rsid w:val="00E51755"/>
    <w:rsid w:val="00E535D9"/>
    <w:rsid w:val="00E542DE"/>
    <w:rsid w:val="00E5466D"/>
    <w:rsid w:val="00E553DE"/>
    <w:rsid w:val="00E61A02"/>
    <w:rsid w:val="00E70743"/>
    <w:rsid w:val="00E75772"/>
    <w:rsid w:val="00E80C6F"/>
    <w:rsid w:val="00E81E56"/>
    <w:rsid w:val="00E876BF"/>
    <w:rsid w:val="00E923DE"/>
    <w:rsid w:val="00E96708"/>
    <w:rsid w:val="00EA3AED"/>
    <w:rsid w:val="00EA6C66"/>
    <w:rsid w:val="00EA70D2"/>
    <w:rsid w:val="00EB1351"/>
    <w:rsid w:val="00EB2863"/>
    <w:rsid w:val="00EC40EA"/>
    <w:rsid w:val="00EC7934"/>
    <w:rsid w:val="00ED038F"/>
    <w:rsid w:val="00ED20E0"/>
    <w:rsid w:val="00ED5698"/>
    <w:rsid w:val="00ED71CE"/>
    <w:rsid w:val="00EE1A2A"/>
    <w:rsid w:val="00EE20C6"/>
    <w:rsid w:val="00EE2648"/>
    <w:rsid w:val="00EE42D0"/>
    <w:rsid w:val="00EF3007"/>
    <w:rsid w:val="00F01EC8"/>
    <w:rsid w:val="00F06878"/>
    <w:rsid w:val="00F1125A"/>
    <w:rsid w:val="00F2262B"/>
    <w:rsid w:val="00F24610"/>
    <w:rsid w:val="00F27D4E"/>
    <w:rsid w:val="00F33700"/>
    <w:rsid w:val="00F52BFC"/>
    <w:rsid w:val="00F52F56"/>
    <w:rsid w:val="00F6155D"/>
    <w:rsid w:val="00F6751C"/>
    <w:rsid w:val="00F70254"/>
    <w:rsid w:val="00F71EC8"/>
    <w:rsid w:val="00F769F1"/>
    <w:rsid w:val="00F8126B"/>
    <w:rsid w:val="00F83437"/>
    <w:rsid w:val="00F83780"/>
    <w:rsid w:val="00F84F3D"/>
    <w:rsid w:val="00F92A51"/>
    <w:rsid w:val="00F9409C"/>
    <w:rsid w:val="00FA32A3"/>
    <w:rsid w:val="00FB654E"/>
    <w:rsid w:val="00FB77A9"/>
    <w:rsid w:val="00FC282C"/>
    <w:rsid w:val="00FC4FC2"/>
    <w:rsid w:val="00FC5312"/>
    <w:rsid w:val="00FD2ED2"/>
    <w:rsid w:val="00FD409E"/>
    <w:rsid w:val="00FD437C"/>
    <w:rsid w:val="00FD48A3"/>
    <w:rsid w:val="00FE1396"/>
    <w:rsid w:val="00FE4ECA"/>
    <w:rsid w:val="00FF12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38"/>
    <w:pPr>
      <w:spacing w:after="200" w:line="276" w:lineRule="auto"/>
    </w:pPr>
    <w:rPr>
      <w:rFonts w:cs="Calibri"/>
    </w:rPr>
  </w:style>
  <w:style w:type="paragraph" w:styleId="Heading1">
    <w:name w:val="heading 1"/>
    <w:basedOn w:val="Normal"/>
    <w:next w:val="Normal"/>
    <w:link w:val="Heading1Char"/>
    <w:uiPriority w:val="99"/>
    <w:qFormat/>
    <w:rsid w:val="00F52BF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52BFC"/>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BF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F52BFC"/>
    <w:rPr>
      <w:rFonts w:ascii="Cambria" w:hAnsi="Cambria" w:cs="Cambria"/>
      <w:b/>
      <w:bCs/>
      <w:color w:val="4F81BD"/>
      <w:sz w:val="26"/>
      <w:szCs w:val="26"/>
    </w:rPr>
  </w:style>
  <w:style w:type="paragraph" w:styleId="ListParagraph">
    <w:name w:val="List Paragraph"/>
    <w:basedOn w:val="Normal"/>
    <w:uiPriority w:val="99"/>
    <w:qFormat/>
    <w:rsid w:val="00F52BFC"/>
    <w:pPr>
      <w:ind w:left="720"/>
    </w:pPr>
  </w:style>
  <w:style w:type="table" w:styleId="LightShading-Accent1">
    <w:name w:val="Light Shading Accent 1"/>
    <w:basedOn w:val="TableNormal"/>
    <w:uiPriority w:val="99"/>
    <w:rsid w:val="001C028F"/>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324</Words>
  <Characters>1976</Characters>
  <Application>Microsoft Office Word</Application>
  <DocSecurity>0</DocSecurity>
  <Lines>16</Lines>
  <Paragraphs>4</Paragraphs>
  <ScaleCrop>false</ScaleCrop>
  <Company>State of Oregon Department of Environmental Quality</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Discussions of the Rulemaking Workgroup Related to </dc:title>
  <dc:subject/>
  <dc:creator>Jennifer Wigal</dc:creator>
  <cp:keywords/>
  <dc:description/>
  <cp:lastModifiedBy>Andrea Matzke</cp:lastModifiedBy>
  <cp:revision>6</cp:revision>
  <cp:lastPrinted>2009-11-16T18:51:00Z</cp:lastPrinted>
  <dcterms:created xsi:type="dcterms:W3CDTF">2009-11-16T18:53:00Z</dcterms:created>
  <dcterms:modified xsi:type="dcterms:W3CDTF">2010-02-05T19:19:00Z</dcterms:modified>
</cp:coreProperties>
</file>