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E0A" w:rsidRDefault="00EC6E0A" w:rsidP="00AC4045">
      <w:pPr>
        <w:spacing w:after="0"/>
        <w:rPr>
          <w:rFonts w:asciiTheme="minorHAnsi" w:hAnsiTheme="minorHAnsi"/>
          <w:b/>
        </w:rPr>
      </w:pPr>
    </w:p>
    <w:p w:rsidR="00EC6E0A" w:rsidRPr="00EC6E0A" w:rsidRDefault="00EC6E0A" w:rsidP="00EC6E0A">
      <w:pPr>
        <w:spacing w:after="0"/>
        <w:jc w:val="center"/>
        <w:rPr>
          <w:rFonts w:asciiTheme="minorHAnsi" w:hAnsiTheme="minorHAnsi"/>
          <w:b/>
          <w:sz w:val="32"/>
          <w:szCs w:val="32"/>
        </w:rPr>
      </w:pPr>
      <w:r w:rsidRPr="00EC6E0A">
        <w:rPr>
          <w:rFonts w:asciiTheme="minorHAnsi" w:hAnsiTheme="minorHAnsi"/>
          <w:b/>
          <w:sz w:val="32"/>
          <w:szCs w:val="32"/>
        </w:rPr>
        <w:t>Implementing Water Quality Standards for Toxic Pollutants in Clean Water Act Permits</w:t>
      </w:r>
    </w:p>
    <w:p w:rsidR="004D73B6" w:rsidRPr="004D73B6" w:rsidRDefault="00023DCE" w:rsidP="004D73B6">
      <w:pPr>
        <w:jc w:val="center"/>
        <w:rPr>
          <w:sz w:val="32"/>
          <w:szCs w:val="32"/>
        </w:rPr>
      </w:pPr>
      <w:r>
        <w:rPr>
          <w:sz w:val="32"/>
          <w:szCs w:val="32"/>
        </w:rPr>
        <w:t xml:space="preserve">Draft </w:t>
      </w:r>
      <w:r w:rsidR="004D73B6">
        <w:rPr>
          <w:sz w:val="32"/>
          <w:szCs w:val="32"/>
        </w:rPr>
        <w:t>Issue Paper</w:t>
      </w:r>
    </w:p>
    <w:p w:rsidR="00EC6E0A" w:rsidRDefault="00EC6E0A" w:rsidP="00EC6E0A">
      <w:pPr>
        <w:spacing w:after="0"/>
        <w:rPr>
          <w:rFonts w:asciiTheme="minorHAnsi" w:hAnsiTheme="minorHAnsi"/>
          <w:b/>
        </w:rPr>
      </w:pPr>
    </w:p>
    <w:p w:rsidR="00EC6E0A" w:rsidRDefault="00EC6E0A" w:rsidP="00EC6E0A">
      <w:pPr>
        <w:spacing w:after="0"/>
        <w:rPr>
          <w:rFonts w:asciiTheme="minorHAnsi" w:hAnsiTheme="minorHAnsi"/>
          <w:b/>
        </w:rPr>
      </w:pPr>
    </w:p>
    <w:p w:rsidR="00EC6E0A" w:rsidRPr="00326494" w:rsidRDefault="00EC6E0A" w:rsidP="00103CD7">
      <w:pPr>
        <w:pStyle w:val="Title"/>
        <w:rPr>
          <w:sz w:val="32"/>
          <w:szCs w:val="32"/>
        </w:rPr>
      </w:pPr>
      <w:r w:rsidRPr="00326494">
        <w:rPr>
          <w:sz w:val="32"/>
          <w:szCs w:val="32"/>
        </w:rPr>
        <w:t>I.  Introduction</w:t>
      </w:r>
    </w:p>
    <w:p w:rsidR="00EC6E0A" w:rsidRPr="00EC6E0A" w:rsidRDefault="00EC6E0A" w:rsidP="00EC6E0A">
      <w:pPr>
        <w:spacing w:after="0"/>
        <w:ind w:left="720"/>
        <w:rPr>
          <w:i/>
        </w:rPr>
      </w:pPr>
      <w:r w:rsidRPr="00EC6E0A">
        <w:rPr>
          <w:i/>
        </w:rPr>
        <w:t>Placeholder to include:</w:t>
      </w:r>
    </w:p>
    <w:p w:rsidR="00EC6E0A" w:rsidRDefault="005632BA" w:rsidP="00EC6E0A">
      <w:pPr>
        <w:spacing w:after="0"/>
        <w:ind w:left="720"/>
      </w:pPr>
      <w:r>
        <w:t>-</w:t>
      </w:r>
      <w:r w:rsidR="004D73B6">
        <w:t>Context – revising WQ</w:t>
      </w:r>
      <w:r w:rsidR="00EC6E0A">
        <w:t xml:space="preserve"> criteria based on higher FCR</w:t>
      </w:r>
    </w:p>
    <w:p w:rsidR="00EC6E0A" w:rsidRDefault="00EC6E0A" w:rsidP="00EC6E0A">
      <w:pPr>
        <w:spacing w:after="0"/>
      </w:pPr>
      <w:r>
        <w:tab/>
      </w:r>
      <w:r w:rsidR="005632BA">
        <w:t>-</w:t>
      </w:r>
      <w:r>
        <w:t>Purpose, Why we are doing this now</w:t>
      </w:r>
    </w:p>
    <w:p w:rsidR="00EC6E0A" w:rsidRDefault="00EC6E0A" w:rsidP="00EC6E0A">
      <w:pPr>
        <w:spacing w:after="0"/>
      </w:pPr>
      <w:r>
        <w:tab/>
      </w:r>
      <w:r w:rsidR="005632BA">
        <w:t>-</w:t>
      </w:r>
      <w:r>
        <w:t>Policy statement (language recommended for EQC adoption)</w:t>
      </w:r>
    </w:p>
    <w:p w:rsidR="00EC6E0A" w:rsidRDefault="00EC6E0A" w:rsidP="00EC6E0A">
      <w:pPr>
        <w:spacing w:after="0"/>
      </w:pPr>
    </w:p>
    <w:p w:rsidR="00EC6E0A" w:rsidRPr="00326494" w:rsidRDefault="00EC6E0A" w:rsidP="00103CD7">
      <w:pPr>
        <w:pStyle w:val="Title"/>
        <w:rPr>
          <w:sz w:val="32"/>
          <w:szCs w:val="32"/>
        </w:rPr>
      </w:pPr>
      <w:r w:rsidRPr="00326494">
        <w:rPr>
          <w:sz w:val="32"/>
          <w:szCs w:val="32"/>
        </w:rPr>
        <w:t>II. Background</w:t>
      </w:r>
    </w:p>
    <w:p w:rsidR="00EC6E0A" w:rsidRPr="00103CD7" w:rsidRDefault="00EC6E0A" w:rsidP="00EC6E0A">
      <w:pPr>
        <w:spacing w:after="0"/>
        <w:rPr>
          <w:i/>
        </w:rPr>
      </w:pPr>
      <w:r>
        <w:tab/>
      </w:r>
      <w:r w:rsidRPr="00103CD7">
        <w:rPr>
          <w:i/>
        </w:rPr>
        <w:t>Placeholder to include:</w:t>
      </w:r>
      <w:r w:rsidRPr="00103CD7">
        <w:rPr>
          <w:i/>
        </w:rPr>
        <w:tab/>
      </w:r>
    </w:p>
    <w:p w:rsidR="00EC6E0A" w:rsidRDefault="005632BA" w:rsidP="00EC6E0A">
      <w:pPr>
        <w:spacing w:after="0"/>
        <w:ind w:firstLine="720"/>
      </w:pPr>
      <w:r>
        <w:t>-</w:t>
      </w:r>
      <w:r w:rsidR="00EC6E0A">
        <w:t>History</w:t>
      </w:r>
    </w:p>
    <w:p w:rsidR="00AA662B" w:rsidRDefault="00EC6E0A" w:rsidP="004D73B6">
      <w:pPr>
        <w:spacing w:after="0"/>
      </w:pPr>
      <w:r>
        <w:tab/>
      </w:r>
      <w:r w:rsidR="004D73B6">
        <w:t>-</w:t>
      </w:r>
      <w:r w:rsidR="00AA662B">
        <w:t>General permits</w:t>
      </w:r>
      <w:r w:rsidR="004D73B6">
        <w:t xml:space="preserve"> info?</w:t>
      </w:r>
    </w:p>
    <w:p w:rsidR="00DB1EFF" w:rsidRDefault="00DB1EFF" w:rsidP="00DB1EFF">
      <w:pPr>
        <w:spacing w:after="0"/>
        <w:ind w:firstLine="720"/>
      </w:pPr>
      <w:r>
        <w:t>-why we need to do this, what we’re trying to solve</w:t>
      </w:r>
    </w:p>
    <w:p w:rsidR="00DB1EFF" w:rsidRDefault="00DB1EFF" w:rsidP="00DB1EFF">
      <w:pPr>
        <w:spacing w:after="0"/>
      </w:pPr>
      <w:r>
        <w:tab/>
        <w:t xml:space="preserve">-Objectives, what we’re trying to accomplish </w:t>
      </w:r>
    </w:p>
    <w:p w:rsidR="00DB1EFF" w:rsidRDefault="00DB1EFF" w:rsidP="00DB1EFF">
      <w:pPr>
        <w:spacing w:after="0"/>
      </w:pPr>
      <w:r>
        <w:tab/>
      </w:r>
      <w:r>
        <w:tab/>
        <w:t>Principles and desired outcomes from the discussion paper – probably pared down</w:t>
      </w:r>
    </w:p>
    <w:p w:rsidR="00DB1EFF" w:rsidRDefault="00DB1EFF" w:rsidP="00DB1EFF">
      <w:pPr>
        <w:spacing w:after="0"/>
      </w:pPr>
      <w:r>
        <w:tab/>
        <w:t xml:space="preserve">-Process, 3 </w:t>
      </w:r>
      <w:proofErr w:type="spellStart"/>
      <w:proofErr w:type="gramStart"/>
      <w:r>
        <w:t>gov</w:t>
      </w:r>
      <w:proofErr w:type="spellEnd"/>
      <w:proofErr w:type="gramEnd"/>
      <w:r>
        <w:t>. cooperative effort, stakeholder input, etc.</w:t>
      </w:r>
    </w:p>
    <w:p w:rsidR="007A0A17" w:rsidRDefault="007A0A17" w:rsidP="007A0A17">
      <w:pPr>
        <w:pStyle w:val="ListParagraph"/>
      </w:pPr>
    </w:p>
    <w:p w:rsidR="00D03CDE" w:rsidRDefault="00D03CDE" w:rsidP="00311D3B">
      <w:pPr>
        <w:autoSpaceDE w:val="0"/>
        <w:autoSpaceDN w:val="0"/>
        <w:adjustRightInd w:val="0"/>
        <w:spacing w:after="0" w:line="240" w:lineRule="auto"/>
        <w:rPr>
          <w:rFonts w:asciiTheme="minorHAnsi" w:hAnsiTheme="minorHAnsi"/>
          <w:b/>
          <w:u w:val="single"/>
        </w:rPr>
      </w:pPr>
    </w:p>
    <w:p w:rsidR="00D03CDE" w:rsidRDefault="00D03CDE" w:rsidP="00311D3B">
      <w:pPr>
        <w:autoSpaceDE w:val="0"/>
        <w:autoSpaceDN w:val="0"/>
        <w:adjustRightInd w:val="0"/>
        <w:spacing w:after="0" w:line="240" w:lineRule="auto"/>
        <w:rPr>
          <w:rFonts w:asciiTheme="minorHAnsi" w:hAnsiTheme="minorHAnsi"/>
          <w:b/>
          <w:u w:val="single"/>
        </w:rPr>
      </w:pPr>
    </w:p>
    <w:p w:rsidR="00D03CDE" w:rsidRDefault="00A705E4" w:rsidP="00311D3B">
      <w:pPr>
        <w:autoSpaceDE w:val="0"/>
        <w:autoSpaceDN w:val="0"/>
        <w:adjustRightInd w:val="0"/>
        <w:spacing w:after="0" w:line="240" w:lineRule="auto"/>
        <w:rPr>
          <w:rFonts w:asciiTheme="minorHAnsi" w:hAnsiTheme="minorHAnsi"/>
          <w:b/>
          <w:u w:val="single"/>
        </w:rPr>
      </w:pPr>
      <w:r>
        <w:rPr>
          <w:rFonts w:asciiTheme="minorHAnsi" w:hAnsiTheme="minorHAnsi"/>
          <w:b/>
          <w:u w:val="single"/>
        </w:rPr>
        <w:t>Description of the Problem</w:t>
      </w:r>
      <w:r w:rsidR="00CE26A5">
        <w:rPr>
          <w:rFonts w:asciiTheme="minorHAnsi" w:hAnsiTheme="minorHAnsi"/>
          <w:b/>
          <w:u w:val="single"/>
        </w:rPr>
        <w:t xml:space="preserve"> (</w:t>
      </w:r>
      <w:r w:rsidR="00CE26A5" w:rsidRPr="00CE26A5">
        <w:rPr>
          <w:rFonts w:asciiTheme="minorHAnsi" w:hAnsiTheme="minorHAnsi"/>
          <w:highlight w:val="yellow"/>
          <w:u w:val="single"/>
        </w:rPr>
        <w:t>We’ve started filling in this information)</w:t>
      </w:r>
    </w:p>
    <w:p w:rsidR="00A705E4" w:rsidRDefault="00A705E4" w:rsidP="00311D3B">
      <w:pPr>
        <w:autoSpaceDE w:val="0"/>
        <w:autoSpaceDN w:val="0"/>
        <w:adjustRightInd w:val="0"/>
        <w:spacing w:after="0" w:line="240" w:lineRule="auto"/>
        <w:rPr>
          <w:rFonts w:asciiTheme="minorHAnsi" w:hAnsiTheme="minorHAnsi"/>
          <w:b/>
          <w:u w:val="single"/>
        </w:rPr>
      </w:pPr>
    </w:p>
    <w:p w:rsidR="00A705E4" w:rsidRDefault="004D73B6" w:rsidP="00311D3B">
      <w:pPr>
        <w:autoSpaceDE w:val="0"/>
        <w:autoSpaceDN w:val="0"/>
        <w:adjustRightInd w:val="0"/>
        <w:spacing w:after="0" w:line="240" w:lineRule="auto"/>
        <w:rPr>
          <w:rStyle w:val="SubtleEmphasis"/>
        </w:rPr>
      </w:pPr>
      <w:r>
        <w:rPr>
          <w:rStyle w:val="SubtleEmphasis"/>
        </w:rPr>
        <w:t>Permitting Demographics</w:t>
      </w:r>
    </w:p>
    <w:p w:rsidR="00CE26A5" w:rsidRDefault="00CE26A5" w:rsidP="004D73B6">
      <w:pPr>
        <w:rPr>
          <w:rStyle w:val="SubtleEmphasis"/>
        </w:rPr>
      </w:pPr>
    </w:p>
    <w:p w:rsidR="004D73B6" w:rsidRDefault="004D73B6" w:rsidP="004D73B6">
      <w:r>
        <w:t>Theoretically, all individual and general permits will be applicable to the new toxicity criteria.  The degree to which these permits are affected by the new criteria is determined by the various monitoring requirements that are mandated by state and federal rule.</w:t>
      </w:r>
    </w:p>
    <w:p w:rsidR="004D73B6" w:rsidRDefault="004D73B6" w:rsidP="004D73B6">
      <w:r>
        <w:t xml:space="preserve">For example, </w:t>
      </w:r>
      <w:r>
        <w:rPr>
          <w:u w:val="single"/>
        </w:rPr>
        <w:t>minor</w:t>
      </w:r>
      <w:r>
        <w:t xml:space="preserve"> domestic sources have much reduced monitoring, and subsequently permitting, requirements than </w:t>
      </w:r>
      <w:r>
        <w:rPr>
          <w:u w:val="single"/>
        </w:rPr>
        <w:t>major</w:t>
      </w:r>
      <w:r>
        <w:t xml:space="preserve"> domestic sources.  Industrial permits have a complex process to determine monitoring requirements based on the industrial category and the potential for toxicity in the receiving </w:t>
      </w:r>
      <w:proofErr w:type="spellStart"/>
      <w:r>
        <w:lastRenderedPageBreak/>
        <w:t>waterbody</w:t>
      </w:r>
      <w:proofErr w:type="spellEnd"/>
      <w:r>
        <w:t>.  A flow chart demonstrating the monitoring requirements identification process for “primary Industries” is presented below as an example of a portion of the process.</w:t>
      </w:r>
      <w:r w:rsidRPr="00570CBC">
        <w:t xml:space="preserve"> </w:t>
      </w:r>
    </w:p>
    <w:p w:rsidR="004D73B6" w:rsidRDefault="004D73B6" w:rsidP="004D73B6">
      <w:r>
        <w:rPr>
          <w:noProof/>
        </w:rPr>
        <w:drawing>
          <wp:anchor distT="0" distB="0" distL="114300" distR="114300" simplePos="0" relativeHeight="251658240" behindDoc="1" locked="0" layoutInCell="1" allowOverlap="1">
            <wp:simplePos x="0" y="0"/>
            <wp:positionH relativeFrom="column">
              <wp:posOffset>2987040</wp:posOffset>
            </wp:positionH>
            <wp:positionV relativeFrom="paragraph">
              <wp:posOffset>327025</wp:posOffset>
            </wp:positionV>
            <wp:extent cx="3464560" cy="4906010"/>
            <wp:effectExtent l="19050" t="0" r="2540" b="0"/>
            <wp:wrapTight wrapText="bothSides">
              <wp:wrapPolygon edited="0">
                <wp:start x="-119" y="0"/>
                <wp:lineTo x="-119" y="21555"/>
                <wp:lineTo x="21616" y="21555"/>
                <wp:lineTo x="21616" y="0"/>
                <wp:lineTo x="-11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464560" cy="4906010"/>
                    </a:xfrm>
                    <a:prstGeom prst="rect">
                      <a:avLst/>
                    </a:prstGeom>
                    <a:noFill/>
                    <a:ln w="9525">
                      <a:noFill/>
                      <a:miter lim="800000"/>
                      <a:headEnd/>
                      <a:tailEnd/>
                    </a:ln>
                  </pic:spPr>
                </pic:pic>
              </a:graphicData>
            </a:graphic>
          </wp:anchor>
        </w:drawing>
      </w:r>
      <w:r>
        <w:t>Based upon current data, the Department has the number of active permits as described in the Table 1 below.</w:t>
      </w:r>
    </w:p>
    <w:p w:rsidR="004D73B6" w:rsidRPr="00DB1EFF" w:rsidRDefault="004D73B6" w:rsidP="004D73B6">
      <w:pPr>
        <w:rPr>
          <w:b/>
          <w:u w:val="single"/>
        </w:rPr>
      </w:pPr>
      <w:r w:rsidRPr="00DB1EFF">
        <w:rPr>
          <w:b/>
          <w:u w:val="single"/>
        </w:rPr>
        <w:t>Table 1</w:t>
      </w:r>
    </w:p>
    <w:tbl>
      <w:tblPr>
        <w:tblW w:w="2972" w:type="dxa"/>
        <w:tblInd w:w="89" w:type="dxa"/>
        <w:tblLook w:val="04A0"/>
      </w:tblPr>
      <w:tblGrid>
        <w:gridCol w:w="1746"/>
        <w:gridCol w:w="266"/>
        <w:gridCol w:w="960"/>
      </w:tblGrid>
      <w:tr w:rsidR="004D73B6" w:rsidRPr="00564DE1" w:rsidTr="004D73B6">
        <w:trPr>
          <w:trHeight w:val="300"/>
        </w:trPr>
        <w:tc>
          <w:tcPr>
            <w:tcW w:w="2012" w:type="dxa"/>
            <w:gridSpan w:val="2"/>
            <w:tcBorders>
              <w:top w:val="single" w:sz="8" w:space="0" w:color="auto"/>
              <w:left w:val="single" w:sz="8" w:space="0" w:color="auto"/>
              <w:bottom w:val="single" w:sz="8" w:space="0" w:color="auto"/>
              <w:right w:val="nil"/>
            </w:tcBorders>
            <w:shd w:val="clear" w:color="auto" w:fill="BFBFBF" w:themeFill="background1" w:themeFillShade="BF"/>
            <w:noWrap/>
            <w:vAlign w:val="bottom"/>
            <w:hideMark/>
          </w:tcPr>
          <w:p w:rsidR="004D73B6" w:rsidRPr="00564DE1" w:rsidRDefault="004D73B6" w:rsidP="004D73B6">
            <w:pPr>
              <w:spacing w:after="0" w:line="240" w:lineRule="auto"/>
              <w:rPr>
                <w:rFonts w:eastAsia="Times New Roman"/>
                <w:b/>
                <w:color w:val="000000"/>
              </w:rPr>
            </w:pPr>
            <w:r w:rsidRPr="00564DE1">
              <w:rPr>
                <w:rFonts w:eastAsia="Times New Roman"/>
                <w:b/>
                <w:color w:val="000000"/>
              </w:rPr>
              <w:t>Facility Type</w:t>
            </w:r>
          </w:p>
        </w:tc>
        <w:tc>
          <w:tcPr>
            <w:tcW w:w="960" w:type="dxa"/>
            <w:tcBorders>
              <w:top w:val="single" w:sz="8" w:space="0" w:color="auto"/>
              <w:left w:val="nil"/>
              <w:bottom w:val="single" w:sz="8" w:space="0" w:color="auto"/>
              <w:right w:val="single" w:sz="8" w:space="0" w:color="auto"/>
            </w:tcBorders>
            <w:shd w:val="clear" w:color="auto" w:fill="BFBFBF" w:themeFill="background1" w:themeFillShade="BF"/>
            <w:noWrap/>
            <w:vAlign w:val="bottom"/>
            <w:hideMark/>
          </w:tcPr>
          <w:p w:rsidR="004D73B6" w:rsidRPr="00564DE1" w:rsidRDefault="004D73B6" w:rsidP="004D73B6">
            <w:pPr>
              <w:spacing w:after="0" w:line="240" w:lineRule="auto"/>
              <w:jc w:val="right"/>
              <w:rPr>
                <w:rFonts w:eastAsia="Times New Roman"/>
                <w:b/>
                <w:color w:val="000000"/>
              </w:rPr>
            </w:pPr>
            <w:r w:rsidRPr="00564DE1">
              <w:rPr>
                <w:rFonts w:eastAsia="Times New Roman"/>
                <w:b/>
                <w:color w:val="000000"/>
              </w:rPr>
              <w:t>No.</w:t>
            </w:r>
          </w:p>
        </w:tc>
      </w:tr>
      <w:tr w:rsidR="004D73B6" w:rsidRPr="00564DE1" w:rsidTr="004D73B6">
        <w:trPr>
          <w:trHeight w:val="300"/>
        </w:trPr>
        <w:tc>
          <w:tcPr>
            <w:tcW w:w="2012" w:type="dxa"/>
            <w:gridSpan w:val="2"/>
            <w:tcBorders>
              <w:top w:val="single" w:sz="8" w:space="0" w:color="auto"/>
              <w:left w:val="single" w:sz="8" w:space="0" w:color="auto"/>
              <w:bottom w:val="single" w:sz="4" w:space="0" w:color="auto"/>
              <w:right w:val="nil"/>
            </w:tcBorders>
            <w:shd w:val="clear" w:color="auto" w:fill="auto"/>
            <w:noWrap/>
            <w:vAlign w:val="bottom"/>
            <w:hideMark/>
          </w:tcPr>
          <w:p w:rsidR="004D73B6" w:rsidRPr="00564DE1" w:rsidRDefault="004D73B6" w:rsidP="004D73B6">
            <w:pPr>
              <w:spacing w:after="0" w:line="240" w:lineRule="auto"/>
              <w:rPr>
                <w:rFonts w:eastAsia="Times New Roman"/>
                <w:color w:val="000000"/>
              </w:rPr>
            </w:pPr>
            <w:r w:rsidRPr="00564DE1">
              <w:rPr>
                <w:rFonts w:eastAsia="Times New Roman"/>
                <w:color w:val="000000"/>
              </w:rPr>
              <w:t>Major Domestic</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rsidR="004D73B6" w:rsidRPr="00564DE1" w:rsidRDefault="004D73B6" w:rsidP="004D73B6">
            <w:pPr>
              <w:spacing w:after="0" w:line="240" w:lineRule="auto"/>
              <w:jc w:val="right"/>
              <w:rPr>
                <w:rFonts w:eastAsia="Times New Roman"/>
                <w:color w:val="000000"/>
              </w:rPr>
            </w:pPr>
            <w:r w:rsidRPr="00564DE1">
              <w:rPr>
                <w:rFonts w:eastAsia="Times New Roman"/>
                <w:color w:val="000000"/>
              </w:rPr>
              <w:t>56</w:t>
            </w:r>
          </w:p>
        </w:tc>
      </w:tr>
      <w:tr w:rsidR="004D73B6" w:rsidRPr="00564DE1" w:rsidTr="004D73B6">
        <w:trPr>
          <w:trHeight w:val="300"/>
        </w:trPr>
        <w:tc>
          <w:tcPr>
            <w:tcW w:w="2012" w:type="dxa"/>
            <w:gridSpan w:val="2"/>
            <w:tcBorders>
              <w:top w:val="single" w:sz="4" w:space="0" w:color="auto"/>
              <w:left w:val="single" w:sz="8" w:space="0" w:color="auto"/>
              <w:bottom w:val="single" w:sz="4" w:space="0" w:color="auto"/>
              <w:right w:val="nil"/>
            </w:tcBorders>
            <w:shd w:val="clear" w:color="auto" w:fill="auto"/>
            <w:noWrap/>
            <w:vAlign w:val="bottom"/>
            <w:hideMark/>
          </w:tcPr>
          <w:p w:rsidR="004D73B6" w:rsidRPr="00564DE1" w:rsidRDefault="004D73B6" w:rsidP="004D73B6">
            <w:pPr>
              <w:spacing w:after="0" w:line="240" w:lineRule="auto"/>
              <w:rPr>
                <w:rFonts w:eastAsia="Times New Roman"/>
                <w:color w:val="000000"/>
              </w:rPr>
            </w:pPr>
            <w:r w:rsidRPr="00564DE1">
              <w:rPr>
                <w:rFonts w:eastAsia="Times New Roman"/>
                <w:color w:val="000000"/>
              </w:rPr>
              <w:t>Minor Domestic</w:t>
            </w:r>
          </w:p>
        </w:tc>
        <w:tc>
          <w:tcPr>
            <w:tcW w:w="960" w:type="dxa"/>
            <w:tcBorders>
              <w:top w:val="nil"/>
              <w:left w:val="nil"/>
              <w:bottom w:val="single" w:sz="4" w:space="0" w:color="auto"/>
              <w:right w:val="single" w:sz="8" w:space="0" w:color="auto"/>
            </w:tcBorders>
            <w:shd w:val="clear" w:color="auto" w:fill="auto"/>
            <w:noWrap/>
            <w:vAlign w:val="bottom"/>
            <w:hideMark/>
          </w:tcPr>
          <w:p w:rsidR="004D73B6" w:rsidRPr="00564DE1" w:rsidRDefault="004D73B6" w:rsidP="004D73B6">
            <w:pPr>
              <w:spacing w:after="0" w:line="240" w:lineRule="auto"/>
              <w:jc w:val="right"/>
              <w:rPr>
                <w:rFonts w:eastAsia="Times New Roman"/>
                <w:color w:val="000000"/>
              </w:rPr>
            </w:pPr>
            <w:r w:rsidRPr="00564DE1">
              <w:rPr>
                <w:rFonts w:eastAsia="Times New Roman"/>
                <w:color w:val="000000"/>
              </w:rPr>
              <w:t>146</w:t>
            </w:r>
          </w:p>
        </w:tc>
      </w:tr>
      <w:tr w:rsidR="004D73B6" w:rsidRPr="00564DE1" w:rsidTr="004D73B6">
        <w:trPr>
          <w:trHeight w:val="300"/>
        </w:trPr>
        <w:tc>
          <w:tcPr>
            <w:tcW w:w="1746" w:type="dxa"/>
            <w:tcBorders>
              <w:top w:val="nil"/>
              <w:left w:val="single" w:sz="8" w:space="0" w:color="auto"/>
              <w:bottom w:val="single" w:sz="4" w:space="0" w:color="auto"/>
              <w:right w:val="nil"/>
            </w:tcBorders>
            <w:shd w:val="clear" w:color="auto" w:fill="auto"/>
            <w:noWrap/>
            <w:vAlign w:val="bottom"/>
            <w:hideMark/>
          </w:tcPr>
          <w:p w:rsidR="004D73B6" w:rsidRPr="00564DE1" w:rsidRDefault="004D73B6" w:rsidP="004D73B6">
            <w:pPr>
              <w:spacing w:after="0" w:line="240" w:lineRule="auto"/>
              <w:rPr>
                <w:rFonts w:eastAsia="Times New Roman"/>
                <w:color w:val="000000"/>
              </w:rPr>
            </w:pPr>
            <w:r w:rsidRPr="00564DE1">
              <w:rPr>
                <w:rFonts w:eastAsia="Times New Roman"/>
                <w:color w:val="000000"/>
              </w:rPr>
              <w:t>Industrial</w:t>
            </w:r>
          </w:p>
        </w:tc>
        <w:tc>
          <w:tcPr>
            <w:tcW w:w="266" w:type="dxa"/>
            <w:tcBorders>
              <w:top w:val="nil"/>
              <w:left w:val="nil"/>
              <w:bottom w:val="single" w:sz="4" w:space="0" w:color="auto"/>
              <w:right w:val="nil"/>
            </w:tcBorders>
            <w:shd w:val="clear" w:color="auto" w:fill="auto"/>
            <w:noWrap/>
            <w:vAlign w:val="bottom"/>
            <w:hideMark/>
          </w:tcPr>
          <w:p w:rsidR="004D73B6" w:rsidRPr="00564DE1" w:rsidRDefault="004D73B6" w:rsidP="004D73B6">
            <w:pPr>
              <w:spacing w:after="0" w:line="240" w:lineRule="auto"/>
              <w:rPr>
                <w:rFonts w:eastAsia="Times New Roman"/>
                <w:color w:val="000000"/>
              </w:rPr>
            </w:pPr>
            <w:r w:rsidRPr="00564DE1">
              <w:rPr>
                <w:rFonts w:eastAsia="Times New Roman"/>
                <w:color w:val="000000"/>
              </w:rPr>
              <w:t> </w:t>
            </w:r>
          </w:p>
        </w:tc>
        <w:tc>
          <w:tcPr>
            <w:tcW w:w="960" w:type="dxa"/>
            <w:tcBorders>
              <w:top w:val="nil"/>
              <w:left w:val="nil"/>
              <w:bottom w:val="single" w:sz="4" w:space="0" w:color="auto"/>
              <w:right w:val="single" w:sz="8" w:space="0" w:color="auto"/>
            </w:tcBorders>
            <w:shd w:val="clear" w:color="auto" w:fill="auto"/>
            <w:noWrap/>
            <w:vAlign w:val="bottom"/>
            <w:hideMark/>
          </w:tcPr>
          <w:p w:rsidR="004D73B6" w:rsidRPr="00564DE1" w:rsidRDefault="004D73B6" w:rsidP="004D73B6">
            <w:pPr>
              <w:spacing w:after="0" w:line="240" w:lineRule="auto"/>
              <w:jc w:val="right"/>
              <w:rPr>
                <w:rFonts w:eastAsia="Times New Roman"/>
                <w:color w:val="000000"/>
              </w:rPr>
            </w:pPr>
            <w:r w:rsidRPr="00564DE1">
              <w:rPr>
                <w:rFonts w:eastAsia="Times New Roman"/>
                <w:color w:val="000000"/>
              </w:rPr>
              <w:t>149</w:t>
            </w:r>
          </w:p>
        </w:tc>
      </w:tr>
      <w:tr w:rsidR="004D73B6" w:rsidRPr="00564DE1" w:rsidTr="004D73B6">
        <w:trPr>
          <w:trHeight w:val="315"/>
        </w:trPr>
        <w:tc>
          <w:tcPr>
            <w:tcW w:w="1746" w:type="dxa"/>
            <w:tcBorders>
              <w:top w:val="nil"/>
              <w:left w:val="single" w:sz="8" w:space="0" w:color="auto"/>
              <w:bottom w:val="single" w:sz="8" w:space="0" w:color="auto"/>
              <w:right w:val="nil"/>
            </w:tcBorders>
            <w:shd w:val="clear" w:color="auto" w:fill="auto"/>
            <w:noWrap/>
            <w:vAlign w:val="bottom"/>
            <w:hideMark/>
          </w:tcPr>
          <w:p w:rsidR="004D73B6" w:rsidRPr="00564DE1" w:rsidRDefault="004D73B6" w:rsidP="004D73B6">
            <w:pPr>
              <w:spacing w:after="0" w:line="240" w:lineRule="auto"/>
              <w:rPr>
                <w:rFonts w:eastAsia="Times New Roman"/>
                <w:color w:val="000000"/>
              </w:rPr>
            </w:pPr>
            <w:r w:rsidRPr="00564DE1">
              <w:rPr>
                <w:rFonts w:eastAsia="Times New Roman"/>
                <w:color w:val="000000"/>
              </w:rPr>
              <w:t>MS4</w:t>
            </w:r>
          </w:p>
        </w:tc>
        <w:tc>
          <w:tcPr>
            <w:tcW w:w="266" w:type="dxa"/>
            <w:tcBorders>
              <w:top w:val="nil"/>
              <w:left w:val="nil"/>
              <w:bottom w:val="single" w:sz="8" w:space="0" w:color="auto"/>
              <w:right w:val="nil"/>
            </w:tcBorders>
            <w:shd w:val="clear" w:color="auto" w:fill="auto"/>
            <w:noWrap/>
            <w:vAlign w:val="bottom"/>
            <w:hideMark/>
          </w:tcPr>
          <w:p w:rsidR="004D73B6" w:rsidRPr="00564DE1" w:rsidRDefault="004D73B6" w:rsidP="004D73B6">
            <w:pPr>
              <w:spacing w:after="0" w:line="240" w:lineRule="auto"/>
              <w:rPr>
                <w:rFonts w:eastAsia="Times New Roman"/>
                <w:color w:val="000000"/>
              </w:rPr>
            </w:pPr>
            <w:r w:rsidRPr="00564DE1">
              <w:rPr>
                <w:rFonts w:eastAsia="Times New Roman"/>
                <w:color w:val="000000"/>
              </w:rPr>
              <w:t> </w:t>
            </w:r>
          </w:p>
        </w:tc>
        <w:tc>
          <w:tcPr>
            <w:tcW w:w="960" w:type="dxa"/>
            <w:tcBorders>
              <w:top w:val="nil"/>
              <w:left w:val="nil"/>
              <w:bottom w:val="single" w:sz="8" w:space="0" w:color="auto"/>
              <w:right w:val="single" w:sz="8" w:space="0" w:color="auto"/>
            </w:tcBorders>
            <w:shd w:val="clear" w:color="auto" w:fill="auto"/>
            <w:noWrap/>
            <w:vAlign w:val="bottom"/>
            <w:hideMark/>
          </w:tcPr>
          <w:p w:rsidR="004D73B6" w:rsidRPr="00564DE1" w:rsidRDefault="004D73B6" w:rsidP="004D73B6">
            <w:pPr>
              <w:spacing w:after="0" w:line="240" w:lineRule="auto"/>
              <w:jc w:val="right"/>
              <w:rPr>
                <w:rFonts w:eastAsia="Times New Roman"/>
                <w:color w:val="000000"/>
              </w:rPr>
            </w:pPr>
            <w:r w:rsidRPr="00564DE1">
              <w:rPr>
                <w:rFonts w:eastAsia="Times New Roman"/>
                <w:color w:val="000000"/>
              </w:rPr>
              <w:t>22</w:t>
            </w:r>
          </w:p>
        </w:tc>
      </w:tr>
      <w:tr w:rsidR="004D73B6" w:rsidRPr="00564DE1" w:rsidTr="004D73B6">
        <w:trPr>
          <w:trHeight w:val="315"/>
        </w:trPr>
        <w:tc>
          <w:tcPr>
            <w:tcW w:w="1746" w:type="dxa"/>
            <w:tcBorders>
              <w:top w:val="single" w:sz="8" w:space="0" w:color="auto"/>
              <w:left w:val="single" w:sz="8" w:space="0" w:color="auto"/>
              <w:bottom w:val="single" w:sz="8" w:space="0" w:color="auto"/>
              <w:right w:val="nil"/>
            </w:tcBorders>
            <w:shd w:val="clear" w:color="auto" w:fill="D9D9D9" w:themeFill="background1" w:themeFillShade="D9"/>
            <w:noWrap/>
            <w:vAlign w:val="bottom"/>
            <w:hideMark/>
          </w:tcPr>
          <w:p w:rsidR="004D73B6" w:rsidRPr="00564DE1" w:rsidRDefault="004D73B6" w:rsidP="004D73B6">
            <w:pPr>
              <w:spacing w:after="0" w:line="240" w:lineRule="auto"/>
              <w:rPr>
                <w:rFonts w:eastAsia="Times New Roman"/>
                <w:b/>
                <w:color w:val="000000"/>
              </w:rPr>
            </w:pPr>
            <w:r w:rsidRPr="00564DE1">
              <w:rPr>
                <w:rFonts w:eastAsia="Times New Roman"/>
                <w:b/>
                <w:color w:val="000000"/>
              </w:rPr>
              <w:t>Total</w:t>
            </w:r>
          </w:p>
        </w:tc>
        <w:tc>
          <w:tcPr>
            <w:tcW w:w="266" w:type="dxa"/>
            <w:tcBorders>
              <w:top w:val="single" w:sz="8" w:space="0" w:color="auto"/>
              <w:left w:val="nil"/>
              <w:bottom w:val="single" w:sz="8" w:space="0" w:color="auto"/>
              <w:right w:val="nil"/>
            </w:tcBorders>
            <w:shd w:val="clear" w:color="auto" w:fill="D9D9D9" w:themeFill="background1" w:themeFillShade="D9"/>
            <w:noWrap/>
            <w:vAlign w:val="bottom"/>
            <w:hideMark/>
          </w:tcPr>
          <w:p w:rsidR="004D73B6" w:rsidRPr="00564DE1" w:rsidRDefault="004D73B6" w:rsidP="004D73B6">
            <w:pPr>
              <w:spacing w:after="0" w:line="240" w:lineRule="auto"/>
              <w:rPr>
                <w:rFonts w:eastAsia="Times New Roman"/>
                <w:b/>
                <w:color w:val="000000"/>
              </w:rPr>
            </w:pPr>
            <w:r w:rsidRPr="00564DE1">
              <w:rPr>
                <w:rFonts w:eastAsia="Times New Roman"/>
                <w:b/>
                <w:color w:val="000000"/>
              </w:rPr>
              <w:t> </w:t>
            </w:r>
          </w:p>
        </w:tc>
        <w:tc>
          <w:tcPr>
            <w:tcW w:w="960"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rsidR="004D73B6" w:rsidRPr="00564DE1" w:rsidRDefault="004D73B6" w:rsidP="004D73B6">
            <w:pPr>
              <w:spacing w:after="0" w:line="240" w:lineRule="auto"/>
              <w:jc w:val="right"/>
              <w:rPr>
                <w:rFonts w:eastAsia="Times New Roman"/>
                <w:b/>
                <w:color w:val="000000"/>
              </w:rPr>
            </w:pPr>
            <w:r w:rsidRPr="00564DE1">
              <w:rPr>
                <w:rFonts w:eastAsia="Times New Roman"/>
                <w:b/>
                <w:color w:val="000000"/>
              </w:rPr>
              <w:t>373</w:t>
            </w:r>
          </w:p>
        </w:tc>
      </w:tr>
    </w:tbl>
    <w:p w:rsidR="004D73B6" w:rsidRPr="004D73B6" w:rsidRDefault="004D73B6" w:rsidP="004D73B6">
      <w:pPr>
        <w:rPr>
          <w:rStyle w:val="SubtleEmphasis"/>
          <w:i w:val="0"/>
        </w:rPr>
      </w:pPr>
    </w:p>
    <w:p w:rsidR="004D73B6" w:rsidRPr="004D73B6" w:rsidRDefault="004D73B6" w:rsidP="00311D3B">
      <w:pPr>
        <w:autoSpaceDE w:val="0"/>
        <w:autoSpaceDN w:val="0"/>
        <w:adjustRightInd w:val="0"/>
        <w:spacing w:after="0" w:line="240" w:lineRule="auto"/>
        <w:rPr>
          <w:rStyle w:val="SubtleEmphasis"/>
        </w:rPr>
      </w:pPr>
    </w:p>
    <w:p w:rsidR="00311D3B" w:rsidRPr="00A15837" w:rsidRDefault="00311D3B" w:rsidP="00311D3B">
      <w:pPr>
        <w:autoSpaceDE w:val="0"/>
        <w:autoSpaceDN w:val="0"/>
        <w:adjustRightInd w:val="0"/>
        <w:spacing w:after="0" w:line="240" w:lineRule="auto"/>
        <w:rPr>
          <w:rStyle w:val="SubtleEmphasis"/>
        </w:rPr>
      </w:pPr>
      <w:r w:rsidRPr="00A15837">
        <w:rPr>
          <w:rStyle w:val="SubtleEmphasis"/>
        </w:rPr>
        <w:t>Toxi</w:t>
      </w:r>
      <w:r w:rsidR="00D03CDE" w:rsidRPr="00A15837">
        <w:rPr>
          <w:rStyle w:val="SubtleEmphasis"/>
        </w:rPr>
        <w:t xml:space="preserve">c Pollutants on 2004/06 303(d) </w:t>
      </w:r>
      <w:r w:rsidR="00DF1590">
        <w:rPr>
          <w:rStyle w:val="SubtleEmphasis"/>
        </w:rPr>
        <w:t>Integrated Report as Water Quality</w:t>
      </w:r>
      <w:r w:rsidRPr="00A15837">
        <w:rPr>
          <w:rStyle w:val="SubtleEmphasis"/>
        </w:rPr>
        <w:t xml:space="preserve"> Impaired</w:t>
      </w:r>
    </w:p>
    <w:p w:rsidR="00311D3B" w:rsidRDefault="00311D3B" w:rsidP="00311D3B">
      <w:pPr>
        <w:autoSpaceDE w:val="0"/>
        <w:autoSpaceDN w:val="0"/>
        <w:adjustRightInd w:val="0"/>
        <w:spacing w:after="0" w:line="240" w:lineRule="auto"/>
        <w:rPr>
          <w:rFonts w:ascii="Times New Roman" w:hAnsi="Times New Roman"/>
          <w:sz w:val="24"/>
          <w:szCs w:val="24"/>
          <w:u w:val="single"/>
        </w:rPr>
      </w:pPr>
    </w:p>
    <w:p w:rsidR="00311D3B" w:rsidRPr="00311D3B" w:rsidRDefault="00311D3B" w:rsidP="00311D3B">
      <w:pPr>
        <w:autoSpaceDE w:val="0"/>
        <w:autoSpaceDN w:val="0"/>
        <w:adjustRightInd w:val="0"/>
        <w:spacing w:after="0" w:line="240" w:lineRule="auto"/>
        <w:rPr>
          <w:rFonts w:asciiTheme="minorHAnsi" w:hAnsiTheme="minorHAnsi"/>
        </w:rPr>
      </w:pPr>
      <w:r w:rsidRPr="00311D3B">
        <w:rPr>
          <w:rFonts w:asciiTheme="minorHAnsi" w:hAnsiTheme="minorHAnsi"/>
        </w:rPr>
        <w:t xml:space="preserve">The column headings </w:t>
      </w:r>
      <w:r w:rsidR="00DB1EFF">
        <w:rPr>
          <w:rFonts w:asciiTheme="minorHAnsi" w:hAnsiTheme="minorHAnsi"/>
        </w:rPr>
        <w:t>on Table 2</w:t>
      </w:r>
      <w:r w:rsidR="00DF1590">
        <w:rPr>
          <w:rFonts w:asciiTheme="minorHAnsi" w:hAnsiTheme="minorHAnsi"/>
        </w:rPr>
        <w:t xml:space="preserve"> </w:t>
      </w:r>
      <w:r w:rsidRPr="00311D3B">
        <w:rPr>
          <w:rFonts w:asciiTheme="minorHAnsi" w:hAnsiTheme="minorHAnsi"/>
        </w:rPr>
        <w:t xml:space="preserve">indicate whether the criteria are for human health </w:t>
      </w:r>
      <w:r w:rsidR="00332999">
        <w:rPr>
          <w:rFonts w:asciiTheme="minorHAnsi" w:hAnsiTheme="minorHAnsi"/>
        </w:rPr>
        <w:t xml:space="preserve">criteria </w:t>
      </w:r>
      <w:r w:rsidR="00DF1590">
        <w:rPr>
          <w:rFonts w:asciiTheme="minorHAnsi" w:hAnsiTheme="minorHAnsi"/>
        </w:rPr>
        <w:t>(HHC),</w:t>
      </w:r>
      <w:r w:rsidRPr="00311D3B">
        <w:rPr>
          <w:rFonts w:asciiTheme="minorHAnsi" w:hAnsiTheme="minorHAnsi"/>
        </w:rPr>
        <w:t xml:space="preserve"> aquatic life </w:t>
      </w:r>
      <w:r w:rsidR="00332999">
        <w:rPr>
          <w:rFonts w:asciiTheme="minorHAnsi" w:hAnsiTheme="minorHAnsi"/>
        </w:rPr>
        <w:t xml:space="preserve">criteria </w:t>
      </w:r>
      <w:r>
        <w:rPr>
          <w:rFonts w:asciiTheme="minorHAnsi" w:hAnsiTheme="minorHAnsi"/>
        </w:rPr>
        <w:t xml:space="preserve">(ALC) </w:t>
      </w:r>
      <w:r w:rsidRPr="00311D3B">
        <w:rPr>
          <w:rFonts w:asciiTheme="minorHAnsi" w:hAnsiTheme="minorHAnsi"/>
        </w:rPr>
        <w:t>protection</w:t>
      </w:r>
      <w:r>
        <w:rPr>
          <w:rFonts w:asciiTheme="minorHAnsi" w:hAnsiTheme="minorHAnsi"/>
        </w:rPr>
        <w:t xml:space="preserve">, or only </w:t>
      </w:r>
      <w:proofErr w:type="spellStart"/>
      <w:r>
        <w:rPr>
          <w:rFonts w:asciiTheme="minorHAnsi" w:hAnsiTheme="minorHAnsi"/>
        </w:rPr>
        <w:t>organoleptic</w:t>
      </w:r>
      <w:proofErr w:type="spellEnd"/>
      <w:r>
        <w:rPr>
          <w:rFonts w:asciiTheme="minorHAnsi" w:hAnsiTheme="minorHAnsi"/>
        </w:rPr>
        <w:t xml:space="preserve"> effects</w:t>
      </w:r>
      <w:r w:rsidR="00FF7DB7">
        <w:rPr>
          <w:rFonts w:asciiTheme="minorHAnsi" w:hAnsiTheme="minorHAnsi"/>
        </w:rPr>
        <w:t xml:space="preserve"> (i.e. taste, odor, and color effects)</w:t>
      </w:r>
      <w:r>
        <w:rPr>
          <w:rFonts w:asciiTheme="minorHAnsi" w:hAnsiTheme="minorHAnsi"/>
        </w:rPr>
        <w:t>.  I</w:t>
      </w:r>
      <w:r w:rsidRPr="00311D3B">
        <w:rPr>
          <w:rFonts w:asciiTheme="minorHAnsi" w:hAnsiTheme="minorHAnsi"/>
        </w:rPr>
        <w:t xml:space="preserve">f there are criteria for both uses, </w:t>
      </w:r>
      <w:r>
        <w:rPr>
          <w:rFonts w:asciiTheme="minorHAnsi" w:hAnsiTheme="minorHAnsi"/>
        </w:rPr>
        <w:t xml:space="preserve">the column </w:t>
      </w:r>
      <w:r w:rsidR="00FF7DB7">
        <w:rPr>
          <w:rFonts w:asciiTheme="minorHAnsi" w:hAnsiTheme="minorHAnsi"/>
        </w:rPr>
        <w:t xml:space="preserve">in which the toxin is located indicates </w:t>
      </w:r>
      <w:r w:rsidRPr="00311D3B">
        <w:rPr>
          <w:rFonts w:asciiTheme="minorHAnsi" w:hAnsiTheme="minorHAnsi"/>
        </w:rPr>
        <w:t>which of those criteria are more stringent.</w:t>
      </w:r>
      <w:r w:rsidR="00E64572">
        <w:rPr>
          <w:rFonts w:asciiTheme="minorHAnsi" w:hAnsiTheme="minorHAnsi"/>
        </w:rPr>
        <w:t xml:space="preserve">  For a complete list of </w:t>
      </w:r>
      <w:proofErr w:type="spellStart"/>
      <w:r w:rsidR="00E64572">
        <w:rPr>
          <w:rFonts w:asciiTheme="minorHAnsi" w:hAnsiTheme="minorHAnsi"/>
        </w:rPr>
        <w:t>waterbodies</w:t>
      </w:r>
      <w:proofErr w:type="spellEnd"/>
      <w:r w:rsidR="00E64572">
        <w:rPr>
          <w:rFonts w:asciiTheme="minorHAnsi" w:hAnsiTheme="minorHAnsi"/>
        </w:rPr>
        <w:t xml:space="preserve"> </w:t>
      </w:r>
      <w:r w:rsidR="00DF1590">
        <w:rPr>
          <w:rFonts w:asciiTheme="minorHAnsi" w:hAnsiTheme="minorHAnsi"/>
        </w:rPr>
        <w:t xml:space="preserve">which are </w:t>
      </w:r>
      <w:r w:rsidR="00E64572">
        <w:rPr>
          <w:rFonts w:asciiTheme="minorHAnsi" w:hAnsiTheme="minorHAnsi"/>
        </w:rPr>
        <w:t>water quality</w:t>
      </w:r>
      <w:r w:rsidR="00A15837">
        <w:rPr>
          <w:rFonts w:asciiTheme="minorHAnsi" w:hAnsiTheme="minorHAnsi"/>
        </w:rPr>
        <w:t xml:space="preserve"> limited for toxics, please refer to the table in Appendix A.</w:t>
      </w:r>
    </w:p>
    <w:p w:rsidR="00311D3B" w:rsidRDefault="00311D3B" w:rsidP="00311D3B">
      <w:pPr>
        <w:autoSpaceDE w:val="0"/>
        <w:autoSpaceDN w:val="0"/>
        <w:adjustRightInd w:val="0"/>
        <w:spacing w:after="0" w:line="240" w:lineRule="auto"/>
        <w:rPr>
          <w:rFonts w:asciiTheme="minorHAnsi" w:hAnsiTheme="minorHAnsi"/>
        </w:rPr>
      </w:pPr>
    </w:p>
    <w:p w:rsidR="00DE2A69" w:rsidRDefault="00DE2A69" w:rsidP="00311D3B">
      <w:pPr>
        <w:autoSpaceDE w:val="0"/>
        <w:autoSpaceDN w:val="0"/>
        <w:adjustRightInd w:val="0"/>
        <w:spacing w:after="0" w:line="240" w:lineRule="auto"/>
        <w:rPr>
          <w:rFonts w:asciiTheme="minorHAnsi" w:hAnsiTheme="minorHAnsi"/>
          <w:b/>
        </w:rPr>
      </w:pPr>
    </w:p>
    <w:p w:rsidR="004D73B6" w:rsidRDefault="004D73B6" w:rsidP="00311D3B">
      <w:pPr>
        <w:autoSpaceDE w:val="0"/>
        <w:autoSpaceDN w:val="0"/>
        <w:adjustRightInd w:val="0"/>
        <w:spacing w:after="0" w:line="240" w:lineRule="auto"/>
        <w:rPr>
          <w:rFonts w:asciiTheme="minorHAnsi" w:hAnsiTheme="minorHAnsi"/>
          <w:b/>
        </w:rPr>
      </w:pPr>
    </w:p>
    <w:p w:rsidR="004D73B6" w:rsidRDefault="004D73B6" w:rsidP="00311D3B">
      <w:pPr>
        <w:autoSpaceDE w:val="0"/>
        <w:autoSpaceDN w:val="0"/>
        <w:adjustRightInd w:val="0"/>
        <w:spacing w:after="0" w:line="240" w:lineRule="auto"/>
        <w:rPr>
          <w:rFonts w:asciiTheme="minorHAnsi" w:hAnsiTheme="minorHAnsi"/>
          <w:b/>
        </w:rPr>
      </w:pPr>
    </w:p>
    <w:p w:rsidR="00DB1EFF" w:rsidRDefault="00DB1EFF" w:rsidP="00311D3B">
      <w:pPr>
        <w:autoSpaceDE w:val="0"/>
        <w:autoSpaceDN w:val="0"/>
        <w:adjustRightInd w:val="0"/>
        <w:spacing w:after="0" w:line="240" w:lineRule="auto"/>
        <w:rPr>
          <w:rFonts w:asciiTheme="minorHAnsi" w:hAnsiTheme="minorHAnsi"/>
          <w:b/>
        </w:rPr>
      </w:pPr>
    </w:p>
    <w:p w:rsidR="00DB1EFF" w:rsidRDefault="00DB1EFF" w:rsidP="00311D3B">
      <w:pPr>
        <w:autoSpaceDE w:val="0"/>
        <w:autoSpaceDN w:val="0"/>
        <w:adjustRightInd w:val="0"/>
        <w:spacing w:after="0" w:line="240" w:lineRule="auto"/>
        <w:rPr>
          <w:rFonts w:asciiTheme="minorHAnsi" w:hAnsiTheme="minorHAnsi"/>
          <w:b/>
        </w:rPr>
      </w:pPr>
    </w:p>
    <w:p w:rsidR="00DB1EFF" w:rsidRDefault="00DB1EFF" w:rsidP="00311D3B">
      <w:pPr>
        <w:autoSpaceDE w:val="0"/>
        <w:autoSpaceDN w:val="0"/>
        <w:adjustRightInd w:val="0"/>
        <w:spacing w:after="0" w:line="240" w:lineRule="auto"/>
        <w:rPr>
          <w:rFonts w:asciiTheme="minorHAnsi" w:hAnsiTheme="minorHAnsi"/>
          <w:b/>
        </w:rPr>
      </w:pPr>
    </w:p>
    <w:p w:rsidR="00DB1EFF" w:rsidRDefault="00DB1EFF" w:rsidP="00311D3B">
      <w:pPr>
        <w:autoSpaceDE w:val="0"/>
        <w:autoSpaceDN w:val="0"/>
        <w:adjustRightInd w:val="0"/>
        <w:spacing w:after="0" w:line="240" w:lineRule="auto"/>
        <w:rPr>
          <w:rFonts w:asciiTheme="minorHAnsi" w:hAnsiTheme="minorHAnsi"/>
          <w:b/>
        </w:rPr>
      </w:pPr>
    </w:p>
    <w:p w:rsidR="00DB1EFF" w:rsidRDefault="00DB1EFF" w:rsidP="00311D3B">
      <w:pPr>
        <w:autoSpaceDE w:val="0"/>
        <w:autoSpaceDN w:val="0"/>
        <w:adjustRightInd w:val="0"/>
        <w:spacing w:after="0" w:line="240" w:lineRule="auto"/>
        <w:rPr>
          <w:rFonts w:asciiTheme="minorHAnsi" w:hAnsiTheme="minorHAnsi"/>
          <w:b/>
        </w:rPr>
      </w:pPr>
    </w:p>
    <w:p w:rsidR="00DB1EFF" w:rsidRDefault="00DB1EFF" w:rsidP="00311D3B">
      <w:pPr>
        <w:autoSpaceDE w:val="0"/>
        <w:autoSpaceDN w:val="0"/>
        <w:adjustRightInd w:val="0"/>
        <w:spacing w:after="0" w:line="240" w:lineRule="auto"/>
        <w:rPr>
          <w:rFonts w:asciiTheme="minorHAnsi" w:hAnsiTheme="minorHAnsi"/>
          <w:b/>
        </w:rPr>
      </w:pPr>
    </w:p>
    <w:p w:rsidR="00DB1EFF" w:rsidRDefault="00DB1EFF" w:rsidP="00311D3B">
      <w:pPr>
        <w:autoSpaceDE w:val="0"/>
        <w:autoSpaceDN w:val="0"/>
        <w:adjustRightInd w:val="0"/>
        <w:spacing w:after="0" w:line="240" w:lineRule="auto"/>
        <w:rPr>
          <w:rFonts w:asciiTheme="minorHAnsi" w:hAnsiTheme="minorHAnsi"/>
          <w:b/>
        </w:rPr>
      </w:pPr>
    </w:p>
    <w:p w:rsidR="00DB1EFF" w:rsidRDefault="00DB1EFF" w:rsidP="00311D3B">
      <w:pPr>
        <w:autoSpaceDE w:val="0"/>
        <w:autoSpaceDN w:val="0"/>
        <w:adjustRightInd w:val="0"/>
        <w:spacing w:after="0" w:line="240" w:lineRule="auto"/>
        <w:rPr>
          <w:rFonts w:asciiTheme="minorHAnsi" w:hAnsiTheme="minorHAnsi"/>
          <w:b/>
        </w:rPr>
      </w:pPr>
    </w:p>
    <w:p w:rsidR="00DB1EFF" w:rsidRDefault="00DB1EFF" w:rsidP="00311D3B">
      <w:pPr>
        <w:autoSpaceDE w:val="0"/>
        <w:autoSpaceDN w:val="0"/>
        <w:adjustRightInd w:val="0"/>
        <w:spacing w:after="0" w:line="240" w:lineRule="auto"/>
        <w:rPr>
          <w:rFonts w:asciiTheme="minorHAnsi" w:hAnsiTheme="minorHAnsi"/>
          <w:b/>
        </w:rPr>
      </w:pPr>
    </w:p>
    <w:p w:rsidR="00DB1EFF" w:rsidRDefault="00DB1EFF" w:rsidP="00311D3B">
      <w:pPr>
        <w:autoSpaceDE w:val="0"/>
        <w:autoSpaceDN w:val="0"/>
        <w:adjustRightInd w:val="0"/>
        <w:spacing w:after="0" w:line="240" w:lineRule="auto"/>
        <w:rPr>
          <w:rFonts w:asciiTheme="minorHAnsi" w:hAnsiTheme="minorHAnsi"/>
          <w:b/>
        </w:rPr>
      </w:pPr>
    </w:p>
    <w:p w:rsidR="00DB1EFF" w:rsidRDefault="00DB1EFF" w:rsidP="00311D3B">
      <w:pPr>
        <w:autoSpaceDE w:val="0"/>
        <w:autoSpaceDN w:val="0"/>
        <w:adjustRightInd w:val="0"/>
        <w:spacing w:after="0" w:line="240" w:lineRule="auto"/>
        <w:rPr>
          <w:rFonts w:asciiTheme="minorHAnsi" w:hAnsiTheme="minorHAnsi"/>
          <w:b/>
        </w:rPr>
      </w:pPr>
    </w:p>
    <w:p w:rsidR="00DB1EFF" w:rsidRDefault="00DB1EFF" w:rsidP="00311D3B">
      <w:pPr>
        <w:autoSpaceDE w:val="0"/>
        <w:autoSpaceDN w:val="0"/>
        <w:adjustRightInd w:val="0"/>
        <w:spacing w:after="0" w:line="240" w:lineRule="auto"/>
        <w:rPr>
          <w:rFonts w:asciiTheme="minorHAnsi" w:hAnsiTheme="minorHAnsi"/>
          <w:b/>
        </w:rPr>
      </w:pPr>
    </w:p>
    <w:p w:rsidR="00332999" w:rsidRDefault="00DB1EFF" w:rsidP="00311D3B">
      <w:pPr>
        <w:autoSpaceDE w:val="0"/>
        <w:autoSpaceDN w:val="0"/>
        <w:adjustRightInd w:val="0"/>
        <w:spacing w:after="0" w:line="240" w:lineRule="auto"/>
        <w:rPr>
          <w:rFonts w:asciiTheme="minorHAnsi" w:hAnsiTheme="minorHAnsi"/>
          <w:b/>
        </w:rPr>
      </w:pPr>
      <w:r>
        <w:rPr>
          <w:rFonts w:asciiTheme="minorHAnsi" w:hAnsiTheme="minorHAnsi"/>
          <w:b/>
        </w:rPr>
        <w:lastRenderedPageBreak/>
        <w:t>TABLE 2</w:t>
      </w:r>
      <w:r w:rsidR="00332999" w:rsidRPr="00332999">
        <w:rPr>
          <w:rFonts w:asciiTheme="minorHAnsi" w:hAnsiTheme="minorHAnsi"/>
          <w:b/>
        </w:rPr>
        <w:t>:  303(d) Listed Toxics</w:t>
      </w:r>
      <w:r w:rsidR="008A563B">
        <w:rPr>
          <w:rFonts w:asciiTheme="minorHAnsi" w:hAnsiTheme="minorHAnsi"/>
          <w:b/>
        </w:rPr>
        <w:t xml:space="preserve"> </w:t>
      </w:r>
      <w:proofErr w:type="gramStart"/>
      <w:r w:rsidR="008A563B">
        <w:rPr>
          <w:rFonts w:asciiTheme="minorHAnsi" w:hAnsiTheme="minorHAnsi"/>
          <w:b/>
        </w:rPr>
        <w:t>From</w:t>
      </w:r>
      <w:proofErr w:type="gramEnd"/>
      <w:r w:rsidR="008A563B">
        <w:rPr>
          <w:rFonts w:asciiTheme="minorHAnsi" w:hAnsiTheme="minorHAnsi"/>
          <w:b/>
        </w:rPr>
        <w:t xml:space="preserve"> 2004/2006 Integrated Report</w:t>
      </w:r>
    </w:p>
    <w:p w:rsidR="00332999" w:rsidRPr="00332999" w:rsidRDefault="00332999" w:rsidP="00311D3B">
      <w:pPr>
        <w:autoSpaceDE w:val="0"/>
        <w:autoSpaceDN w:val="0"/>
        <w:adjustRightInd w:val="0"/>
        <w:spacing w:after="0" w:line="240" w:lineRule="auto"/>
        <w:rPr>
          <w:rFonts w:asciiTheme="minorHAnsi" w:hAnsiTheme="minorHAnsi"/>
          <w:b/>
        </w:rPr>
      </w:pPr>
    </w:p>
    <w:tbl>
      <w:tblPr>
        <w:tblStyle w:val="TableGrid"/>
        <w:tblW w:w="5332" w:type="dxa"/>
        <w:tblInd w:w="585" w:type="dxa"/>
        <w:tblLook w:val="04A0"/>
      </w:tblPr>
      <w:tblGrid>
        <w:gridCol w:w="2007"/>
        <w:gridCol w:w="1927"/>
        <w:gridCol w:w="1398"/>
      </w:tblGrid>
      <w:tr w:rsidR="00311D3B" w:rsidRPr="00311D3B" w:rsidTr="00F2329F">
        <w:trPr>
          <w:trHeight w:val="395"/>
        </w:trPr>
        <w:tc>
          <w:tcPr>
            <w:tcW w:w="0" w:type="auto"/>
            <w:shd w:val="clear" w:color="auto" w:fill="365F91" w:themeFill="accent1" w:themeFillShade="BF"/>
            <w:vAlign w:val="center"/>
          </w:tcPr>
          <w:p w:rsidR="00311D3B" w:rsidRPr="00FF7DB7" w:rsidRDefault="00311D3B" w:rsidP="00FF7DB7">
            <w:pPr>
              <w:autoSpaceDE w:val="0"/>
              <w:autoSpaceDN w:val="0"/>
              <w:adjustRightInd w:val="0"/>
              <w:jc w:val="center"/>
              <w:rPr>
                <w:b/>
                <w:color w:val="FFFFFF" w:themeColor="background1"/>
              </w:rPr>
            </w:pPr>
            <w:r w:rsidRPr="00FF7DB7">
              <w:rPr>
                <w:b/>
                <w:color w:val="FFFFFF" w:themeColor="background1"/>
              </w:rPr>
              <w:t>HHC</w:t>
            </w:r>
          </w:p>
        </w:tc>
        <w:tc>
          <w:tcPr>
            <w:tcW w:w="0" w:type="auto"/>
            <w:shd w:val="clear" w:color="auto" w:fill="365F91" w:themeFill="accent1" w:themeFillShade="BF"/>
            <w:vAlign w:val="center"/>
          </w:tcPr>
          <w:p w:rsidR="00311D3B" w:rsidRPr="00FF7DB7" w:rsidRDefault="00311D3B" w:rsidP="00FF7DB7">
            <w:pPr>
              <w:autoSpaceDE w:val="0"/>
              <w:autoSpaceDN w:val="0"/>
              <w:adjustRightInd w:val="0"/>
              <w:jc w:val="center"/>
              <w:rPr>
                <w:b/>
                <w:color w:val="FFFFFF" w:themeColor="background1"/>
              </w:rPr>
            </w:pPr>
            <w:r w:rsidRPr="00FF7DB7">
              <w:rPr>
                <w:b/>
                <w:color w:val="FFFFFF" w:themeColor="background1"/>
              </w:rPr>
              <w:t>ALC</w:t>
            </w:r>
          </w:p>
        </w:tc>
        <w:tc>
          <w:tcPr>
            <w:tcW w:w="0" w:type="auto"/>
            <w:shd w:val="clear" w:color="auto" w:fill="365F91" w:themeFill="accent1" w:themeFillShade="BF"/>
            <w:vAlign w:val="center"/>
          </w:tcPr>
          <w:p w:rsidR="00311D3B" w:rsidRPr="00FF7DB7" w:rsidRDefault="00311D3B" w:rsidP="00FF7DB7">
            <w:pPr>
              <w:autoSpaceDE w:val="0"/>
              <w:autoSpaceDN w:val="0"/>
              <w:adjustRightInd w:val="0"/>
              <w:jc w:val="center"/>
              <w:rPr>
                <w:b/>
                <w:color w:val="FFFFFF" w:themeColor="background1"/>
              </w:rPr>
            </w:pPr>
            <w:proofErr w:type="spellStart"/>
            <w:r w:rsidRPr="00FF7DB7">
              <w:rPr>
                <w:b/>
                <w:color w:val="FFFFFF" w:themeColor="background1"/>
              </w:rPr>
              <w:t>Organoleptic</w:t>
            </w:r>
            <w:proofErr w:type="spellEnd"/>
          </w:p>
        </w:tc>
      </w:tr>
      <w:tr w:rsidR="00311D3B" w:rsidRPr="00311D3B" w:rsidTr="00FF7DB7">
        <w:trPr>
          <w:trHeight w:val="395"/>
        </w:trPr>
        <w:tc>
          <w:tcPr>
            <w:tcW w:w="0" w:type="auto"/>
            <w:vAlign w:val="center"/>
          </w:tcPr>
          <w:p w:rsidR="00311D3B" w:rsidRPr="00311D3B" w:rsidRDefault="00311D3B" w:rsidP="00FF7DB7">
            <w:pPr>
              <w:autoSpaceDE w:val="0"/>
              <w:autoSpaceDN w:val="0"/>
              <w:adjustRightInd w:val="0"/>
              <w:jc w:val="center"/>
              <w:rPr>
                <w:rFonts w:cs="Times New Roman"/>
              </w:rPr>
            </w:pPr>
            <w:r w:rsidRPr="00311D3B">
              <w:rPr>
                <w:rFonts w:cs="Times New Roman"/>
              </w:rPr>
              <w:t>arsenic</w:t>
            </w:r>
          </w:p>
        </w:tc>
        <w:tc>
          <w:tcPr>
            <w:tcW w:w="0" w:type="auto"/>
            <w:vAlign w:val="center"/>
          </w:tcPr>
          <w:p w:rsidR="00311D3B" w:rsidRPr="00311D3B" w:rsidRDefault="00311D3B" w:rsidP="00FF7DB7">
            <w:pPr>
              <w:autoSpaceDE w:val="0"/>
              <w:autoSpaceDN w:val="0"/>
              <w:adjustRightInd w:val="0"/>
              <w:jc w:val="center"/>
              <w:rPr>
                <w:rFonts w:cs="Times New Roman"/>
              </w:rPr>
            </w:pPr>
            <w:r w:rsidRPr="00311D3B">
              <w:rPr>
                <w:rFonts w:cs="Times New Roman"/>
              </w:rPr>
              <w:t>cadmium</w:t>
            </w:r>
          </w:p>
        </w:tc>
        <w:tc>
          <w:tcPr>
            <w:tcW w:w="0" w:type="auto"/>
            <w:vAlign w:val="center"/>
          </w:tcPr>
          <w:p w:rsidR="00311D3B" w:rsidRPr="00311D3B" w:rsidRDefault="00311D3B" w:rsidP="00FF7DB7">
            <w:pPr>
              <w:autoSpaceDE w:val="0"/>
              <w:autoSpaceDN w:val="0"/>
              <w:adjustRightInd w:val="0"/>
              <w:jc w:val="center"/>
              <w:rPr>
                <w:rFonts w:cs="Times New Roman"/>
              </w:rPr>
            </w:pPr>
            <w:r w:rsidRPr="00311D3B">
              <w:rPr>
                <w:rFonts w:cs="Times New Roman"/>
              </w:rPr>
              <w:t>iron</w:t>
            </w:r>
          </w:p>
        </w:tc>
      </w:tr>
      <w:tr w:rsidR="00311D3B" w:rsidRPr="00311D3B" w:rsidTr="00F2329F">
        <w:trPr>
          <w:trHeight w:val="350"/>
        </w:trPr>
        <w:tc>
          <w:tcPr>
            <w:tcW w:w="0" w:type="auto"/>
            <w:vAlign w:val="center"/>
          </w:tcPr>
          <w:p w:rsidR="00311D3B" w:rsidRPr="00311D3B" w:rsidRDefault="00311D3B" w:rsidP="00FF7DB7">
            <w:pPr>
              <w:autoSpaceDE w:val="0"/>
              <w:autoSpaceDN w:val="0"/>
              <w:adjustRightInd w:val="0"/>
              <w:jc w:val="center"/>
              <w:rPr>
                <w:rFonts w:cs="Times New Roman"/>
              </w:rPr>
            </w:pPr>
            <w:r w:rsidRPr="00311D3B">
              <w:rPr>
                <w:rFonts w:cs="Times New Roman"/>
              </w:rPr>
              <w:t>beryllium</w:t>
            </w:r>
          </w:p>
        </w:tc>
        <w:tc>
          <w:tcPr>
            <w:tcW w:w="0" w:type="auto"/>
            <w:vAlign w:val="center"/>
          </w:tcPr>
          <w:p w:rsidR="00311D3B" w:rsidRPr="00311D3B" w:rsidRDefault="00311D3B" w:rsidP="00FF7DB7">
            <w:pPr>
              <w:autoSpaceDE w:val="0"/>
              <w:autoSpaceDN w:val="0"/>
              <w:adjustRightInd w:val="0"/>
              <w:jc w:val="center"/>
              <w:rPr>
                <w:rFonts w:cs="Times New Roman"/>
              </w:rPr>
            </w:pPr>
            <w:r w:rsidRPr="00311D3B">
              <w:rPr>
                <w:rFonts w:cs="Times New Roman"/>
              </w:rPr>
              <w:t>chromium</w:t>
            </w:r>
          </w:p>
        </w:tc>
        <w:tc>
          <w:tcPr>
            <w:tcW w:w="0" w:type="auto"/>
            <w:tcBorders>
              <w:bottom w:val="single" w:sz="4" w:space="0" w:color="000000" w:themeColor="text1"/>
            </w:tcBorders>
            <w:vAlign w:val="center"/>
          </w:tcPr>
          <w:p w:rsidR="00311D3B" w:rsidRPr="00311D3B" w:rsidRDefault="00311D3B" w:rsidP="00FF7DB7">
            <w:pPr>
              <w:autoSpaceDE w:val="0"/>
              <w:autoSpaceDN w:val="0"/>
              <w:adjustRightInd w:val="0"/>
              <w:jc w:val="center"/>
              <w:rPr>
                <w:rFonts w:cs="Times New Roman"/>
              </w:rPr>
            </w:pPr>
            <w:r w:rsidRPr="00311D3B">
              <w:rPr>
                <w:rFonts w:cs="Times New Roman"/>
              </w:rPr>
              <w:t>manganese</w:t>
            </w: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mercury</w:t>
            </w:r>
          </w:p>
        </w:tc>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copper</w:t>
            </w:r>
          </w:p>
        </w:tc>
        <w:tc>
          <w:tcPr>
            <w:tcW w:w="0" w:type="auto"/>
            <w:vMerge w:val="restart"/>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nickel</w:t>
            </w:r>
          </w:p>
        </w:tc>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lead</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proofErr w:type="spellStart"/>
            <w:r w:rsidRPr="00311D3B">
              <w:rPr>
                <w:rFonts w:cs="Times New Roman"/>
              </w:rPr>
              <w:t>Aldrin</w:t>
            </w:r>
            <w:proofErr w:type="spellEnd"/>
          </w:p>
        </w:tc>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silver</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chlordane</w:t>
            </w:r>
          </w:p>
        </w:tc>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zinc</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proofErr w:type="spellStart"/>
            <w:r w:rsidRPr="00311D3B">
              <w:rPr>
                <w:rFonts w:cs="Times New Roman"/>
              </w:rPr>
              <w:t>dichloroethylenes</w:t>
            </w:r>
            <w:proofErr w:type="spellEnd"/>
          </w:p>
        </w:tc>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ammonia</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proofErr w:type="spellStart"/>
            <w:r w:rsidRPr="00311D3B">
              <w:rPr>
                <w:rFonts w:cs="Times New Roman"/>
              </w:rPr>
              <w:t>Dieldrin</w:t>
            </w:r>
            <w:proofErr w:type="spellEnd"/>
          </w:p>
        </w:tc>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pentachlorophenol</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DDE, DDT</w:t>
            </w:r>
          </w:p>
        </w:tc>
        <w:tc>
          <w:tcPr>
            <w:tcW w:w="0" w:type="auto"/>
            <w:vAlign w:val="center"/>
          </w:tcPr>
          <w:p w:rsidR="00B50BDF" w:rsidRPr="00311D3B" w:rsidRDefault="00B50BDF" w:rsidP="00FF7DB7">
            <w:pPr>
              <w:autoSpaceDE w:val="0"/>
              <w:autoSpaceDN w:val="0"/>
              <w:adjustRightInd w:val="0"/>
              <w:jc w:val="center"/>
              <w:rPr>
                <w:rFonts w:cs="Times New Roman"/>
              </w:rPr>
            </w:pPr>
            <w:proofErr w:type="spellStart"/>
            <w:r w:rsidRPr="00311D3B">
              <w:rPr>
                <w:rFonts w:cs="Times New Roman"/>
              </w:rPr>
              <w:t>chlorpyrifos</w:t>
            </w:r>
            <w:proofErr w:type="spellEnd"/>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Heptachlor</w:t>
            </w:r>
          </w:p>
        </w:tc>
        <w:tc>
          <w:tcPr>
            <w:tcW w:w="0" w:type="auto"/>
            <w:tcBorders>
              <w:bottom w:val="single" w:sz="4" w:space="0" w:color="000000" w:themeColor="text1"/>
            </w:tcBorders>
            <w:vAlign w:val="center"/>
          </w:tcPr>
          <w:p w:rsidR="00B50BDF" w:rsidRPr="00311D3B" w:rsidRDefault="00B50BDF" w:rsidP="00FF7DB7">
            <w:pPr>
              <w:autoSpaceDE w:val="0"/>
              <w:autoSpaceDN w:val="0"/>
              <w:adjustRightInd w:val="0"/>
              <w:jc w:val="center"/>
              <w:rPr>
                <w:rFonts w:cs="Times New Roman"/>
              </w:rPr>
            </w:pPr>
            <w:proofErr w:type="spellStart"/>
            <w:r w:rsidRPr="00311D3B">
              <w:rPr>
                <w:rFonts w:cs="Times New Roman"/>
              </w:rPr>
              <w:t>Guthion</w:t>
            </w:r>
            <w:proofErr w:type="spellEnd"/>
          </w:p>
          <w:p w:rsidR="00B50BDF" w:rsidRPr="00311D3B" w:rsidRDefault="00B50BDF" w:rsidP="00FF7DB7">
            <w:pPr>
              <w:autoSpaceDE w:val="0"/>
              <w:autoSpaceDN w:val="0"/>
              <w:adjustRightInd w:val="0"/>
              <w:jc w:val="center"/>
              <w:rPr>
                <w:rFonts w:cs="Times New Roman"/>
              </w:rPr>
            </w:pPr>
            <w:r w:rsidRPr="00311D3B">
              <w:rPr>
                <w:rFonts w:cs="Times New Roman"/>
              </w:rPr>
              <w:t>(</w:t>
            </w:r>
            <w:proofErr w:type="spellStart"/>
            <w:r w:rsidRPr="00311D3B">
              <w:rPr>
                <w:rFonts w:cs="Times New Roman"/>
              </w:rPr>
              <w:t>azinphos</w:t>
            </w:r>
            <w:proofErr w:type="spellEnd"/>
            <w:r w:rsidRPr="00311D3B">
              <w:rPr>
                <w:rFonts w:cs="Times New Roman"/>
              </w:rPr>
              <w:t>-methyl)</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PAHs</w:t>
            </w:r>
          </w:p>
        </w:tc>
        <w:tc>
          <w:tcPr>
            <w:tcW w:w="0" w:type="auto"/>
            <w:vMerge w:val="restart"/>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23"/>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PCB</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proofErr w:type="spellStart"/>
            <w:r w:rsidRPr="00311D3B">
              <w:rPr>
                <w:rFonts w:cs="Times New Roman"/>
              </w:rPr>
              <w:t>tetrachloroethylene</w:t>
            </w:r>
            <w:proofErr w:type="spellEnd"/>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68"/>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trichloroethylene</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bl>
    <w:p w:rsidR="00311D3B" w:rsidRPr="00311D3B" w:rsidRDefault="00311D3B" w:rsidP="00311D3B">
      <w:pPr>
        <w:autoSpaceDE w:val="0"/>
        <w:autoSpaceDN w:val="0"/>
        <w:adjustRightInd w:val="0"/>
        <w:spacing w:after="0" w:line="240" w:lineRule="auto"/>
        <w:rPr>
          <w:rFonts w:asciiTheme="minorHAnsi" w:hAnsiTheme="minorHAnsi"/>
        </w:rPr>
      </w:pPr>
    </w:p>
    <w:p w:rsidR="00A840DD" w:rsidRDefault="00A840DD" w:rsidP="00311D3B">
      <w:pPr>
        <w:autoSpaceDE w:val="0"/>
        <w:autoSpaceDN w:val="0"/>
        <w:adjustRightInd w:val="0"/>
        <w:spacing w:after="0" w:line="240" w:lineRule="auto"/>
        <w:rPr>
          <w:rFonts w:asciiTheme="minorHAnsi" w:hAnsiTheme="minorHAnsi"/>
        </w:rPr>
      </w:pPr>
    </w:p>
    <w:p w:rsidR="00A840DD" w:rsidRDefault="00A840DD" w:rsidP="00311D3B">
      <w:pPr>
        <w:autoSpaceDE w:val="0"/>
        <w:autoSpaceDN w:val="0"/>
        <w:adjustRightInd w:val="0"/>
        <w:spacing w:after="0" w:line="240" w:lineRule="auto"/>
        <w:rPr>
          <w:rFonts w:asciiTheme="minorHAnsi" w:hAnsiTheme="minorHAnsi"/>
        </w:rPr>
      </w:pPr>
    </w:p>
    <w:p w:rsidR="00A840DD" w:rsidRDefault="00A840DD" w:rsidP="00311D3B">
      <w:pPr>
        <w:autoSpaceDE w:val="0"/>
        <w:autoSpaceDN w:val="0"/>
        <w:adjustRightInd w:val="0"/>
        <w:spacing w:after="0" w:line="240" w:lineRule="auto"/>
        <w:rPr>
          <w:rFonts w:asciiTheme="minorHAnsi" w:hAnsiTheme="minorHAnsi"/>
        </w:rPr>
      </w:pPr>
    </w:p>
    <w:p w:rsidR="00A840DD" w:rsidRDefault="00A840DD" w:rsidP="00311D3B">
      <w:pPr>
        <w:autoSpaceDE w:val="0"/>
        <w:autoSpaceDN w:val="0"/>
        <w:adjustRightInd w:val="0"/>
        <w:spacing w:after="0" w:line="240" w:lineRule="auto"/>
        <w:rPr>
          <w:rFonts w:asciiTheme="minorHAnsi" w:hAnsiTheme="minorHAnsi"/>
        </w:rPr>
      </w:pPr>
    </w:p>
    <w:p w:rsidR="00A840DD" w:rsidRDefault="00A840DD" w:rsidP="00311D3B">
      <w:pPr>
        <w:autoSpaceDE w:val="0"/>
        <w:autoSpaceDN w:val="0"/>
        <w:adjustRightInd w:val="0"/>
        <w:spacing w:after="0" w:line="240" w:lineRule="auto"/>
        <w:rPr>
          <w:rFonts w:asciiTheme="minorHAnsi" w:hAnsiTheme="minorHAnsi"/>
        </w:rPr>
      </w:pPr>
    </w:p>
    <w:p w:rsidR="00A840DD" w:rsidRDefault="00A840DD" w:rsidP="00311D3B">
      <w:pPr>
        <w:autoSpaceDE w:val="0"/>
        <w:autoSpaceDN w:val="0"/>
        <w:adjustRightInd w:val="0"/>
        <w:spacing w:after="0" w:line="240" w:lineRule="auto"/>
        <w:rPr>
          <w:rFonts w:asciiTheme="minorHAnsi" w:hAnsiTheme="minorHAnsi"/>
        </w:rPr>
      </w:pPr>
    </w:p>
    <w:p w:rsidR="00A840DD" w:rsidRDefault="00A840DD" w:rsidP="00311D3B">
      <w:pPr>
        <w:autoSpaceDE w:val="0"/>
        <w:autoSpaceDN w:val="0"/>
        <w:adjustRightInd w:val="0"/>
        <w:spacing w:after="0" w:line="240" w:lineRule="auto"/>
        <w:rPr>
          <w:rFonts w:asciiTheme="minorHAnsi" w:hAnsiTheme="minorHAnsi"/>
        </w:rPr>
      </w:pPr>
    </w:p>
    <w:p w:rsidR="00A840DD" w:rsidRDefault="00A840DD" w:rsidP="00311D3B">
      <w:pPr>
        <w:autoSpaceDE w:val="0"/>
        <w:autoSpaceDN w:val="0"/>
        <w:adjustRightInd w:val="0"/>
        <w:spacing w:after="0" w:line="240" w:lineRule="auto"/>
        <w:rPr>
          <w:rFonts w:asciiTheme="minorHAnsi" w:hAnsiTheme="minorHAnsi"/>
        </w:rPr>
      </w:pPr>
    </w:p>
    <w:p w:rsidR="00A840DD" w:rsidRDefault="00A840DD" w:rsidP="00311D3B">
      <w:pPr>
        <w:autoSpaceDE w:val="0"/>
        <w:autoSpaceDN w:val="0"/>
        <w:adjustRightInd w:val="0"/>
        <w:spacing w:after="0" w:line="240" w:lineRule="auto"/>
        <w:rPr>
          <w:rFonts w:asciiTheme="minorHAnsi" w:hAnsiTheme="minorHAnsi"/>
        </w:rPr>
      </w:pPr>
    </w:p>
    <w:p w:rsidR="00CE26A5" w:rsidRDefault="00CE26A5" w:rsidP="00311D3B">
      <w:pPr>
        <w:autoSpaceDE w:val="0"/>
        <w:autoSpaceDN w:val="0"/>
        <w:adjustRightInd w:val="0"/>
        <w:spacing w:after="0" w:line="240" w:lineRule="auto"/>
        <w:rPr>
          <w:rFonts w:asciiTheme="minorHAnsi" w:hAnsiTheme="minorHAnsi"/>
        </w:rPr>
      </w:pPr>
    </w:p>
    <w:p w:rsidR="00CE26A5" w:rsidRDefault="00CE26A5" w:rsidP="00311D3B">
      <w:pPr>
        <w:autoSpaceDE w:val="0"/>
        <w:autoSpaceDN w:val="0"/>
        <w:adjustRightInd w:val="0"/>
        <w:spacing w:after="0" w:line="240" w:lineRule="auto"/>
        <w:rPr>
          <w:rFonts w:asciiTheme="minorHAnsi" w:hAnsiTheme="minorHAnsi"/>
        </w:rPr>
      </w:pPr>
    </w:p>
    <w:p w:rsidR="00CE26A5" w:rsidRDefault="00CE26A5" w:rsidP="00311D3B">
      <w:pPr>
        <w:autoSpaceDE w:val="0"/>
        <w:autoSpaceDN w:val="0"/>
        <w:adjustRightInd w:val="0"/>
        <w:spacing w:after="0" w:line="240" w:lineRule="auto"/>
        <w:rPr>
          <w:rFonts w:asciiTheme="minorHAnsi" w:hAnsiTheme="minorHAnsi"/>
        </w:rPr>
      </w:pPr>
    </w:p>
    <w:p w:rsidR="00311D3B" w:rsidRDefault="00311D3B" w:rsidP="00311D3B">
      <w:pPr>
        <w:autoSpaceDE w:val="0"/>
        <w:autoSpaceDN w:val="0"/>
        <w:adjustRightInd w:val="0"/>
        <w:spacing w:after="0" w:line="240" w:lineRule="auto"/>
        <w:rPr>
          <w:rFonts w:asciiTheme="minorHAnsi" w:hAnsiTheme="minorHAnsi"/>
        </w:rPr>
      </w:pPr>
      <w:r w:rsidRPr="00311D3B">
        <w:rPr>
          <w:rFonts w:asciiTheme="minorHAnsi" w:hAnsiTheme="minorHAnsi"/>
        </w:rPr>
        <w:t xml:space="preserve">In addition, the following pollutants were identified as pollutants of concern in the 2004/06 </w:t>
      </w:r>
      <w:r w:rsidR="00A840DD">
        <w:rPr>
          <w:rFonts w:asciiTheme="minorHAnsi" w:hAnsiTheme="minorHAnsi"/>
        </w:rPr>
        <w:t xml:space="preserve">water quality assessment report.  </w:t>
      </w:r>
      <w:r w:rsidR="00494B5E">
        <w:rPr>
          <w:rFonts w:asciiTheme="minorHAnsi" w:hAnsiTheme="minorHAnsi"/>
        </w:rPr>
        <w:t>Given that s</w:t>
      </w:r>
      <w:r w:rsidR="00A840DD">
        <w:rPr>
          <w:rFonts w:asciiTheme="minorHAnsi" w:hAnsiTheme="minorHAnsi"/>
        </w:rPr>
        <w:t xml:space="preserve">ome of these pollutants were added to this list based on concentrations </w:t>
      </w:r>
      <w:r w:rsidR="00494B5E">
        <w:rPr>
          <w:rFonts w:asciiTheme="minorHAnsi" w:hAnsiTheme="minorHAnsi"/>
        </w:rPr>
        <w:t>found through</w:t>
      </w:r>
      <w:r w:rsidR="00A840DD">
        <w:rPr>
          <w:rFonts w:asciiTheme="minorHAnsi" w:hAnsiTheme="minorHAnsi"/>
        </w:rPr>
        <w:t xml:space="preserve"> sediment</w:t>
      </w:r>
      <w:r w:rsidR="00494B5E">
        <w:rPr>
          <w:rFonts w:asciiTheme="minorHAnsi" w:hAnsiTheme="minorHAnsi"/>
        </w:rPr>
        <w:t xml:space="preserve"> analyses, direct correlations to concentrations in the water column could not be made</w:t>
      </w:r>
      <w:r w:rsidR="00A840DD">
        <w:rPr>
          <w:rFonts w:asciiTheme="minorHAnsi" w:hAnsiTheme="minorHAnsi"/>
        </w:rPr>
        <w:t>.</w:t>
      </w:r>
    </w:p>
    <w:p w:rsidR="00A840DD" w:rsidRDefault="00A840DD" w:rsidP="00311D3B">
      <w:pPr>
        <w:autoSpaceDE w:val="0"/>
        <w:autoSpaceDN w:val="0"/>
        <w:adjustRightInd w:val="0"/>
        <w:spacing w:after="0" w:line="240" w:lineRule="auto"/>
        <w:rPr>
          <w:rFonts w:asciiTheme="minorHAnsi" w:hAnsiTheme="minorHAnsi"/>
        </w:rPr>
      </w:pPr>
    </w:p>
    <w:p w:rsidR="00332999" w:rsidRPr="00332999" w:rsidRDefault="00DB1EFF" w:rsidP="00311D3B">
      <w:pPr>
        <w:autoSpaceDE w:val="0"/>
        <w:autoSpaceDN w:val="0"/>
        <w:adjustRightInd w:val="0"/>
        <w:spacing w:after="0" w:line="240" w:lineRule="auto"/>
        <w:rPr>
          <w:rFonts w:asciiTheme="minorHAnsi" w:hAnsiTheme="minorHAnsi"/>
          <w:b/>
        </w:rPr>
      </w:pPr>
      <w:r>
        <w:rPr>
          <w:rFonts w:asciiTheme="minorHAnsi" w:hAnsiTheme="minorHAnsi"/>
          <w:b/>
        </w:rPr>
        <w:t>Table 3</w:t>
      </w:r>
      <w:r w:rsidR="00332999" w:rsidRPr="00332999">
        <w:rPr>
          <w:rFonts w:asciiTheme="minorHAnsi" w:hAnsiTheme="minorHAnsi"/>
          <w:b/>
        </w:rPr>
        <w:t>:  Pollutants of Concern</w:t>
      </w:r>
      <w:r w:rsidR="008A563B">
        <w:rPr>
          <w:rFonts w:asciiTheme="minorHAnsi" w:hAnsiTheme="minorHAnsi"/>
          <w:b/>
        </w:rPr>
        <w:t xml:space="preserve"> from 2004/2006 Integrated Report</w:t>
      </w:r>
    </w:p>
    <w:p w:rsidR="00332999" w:rsidRDefault="00332999" w:rsidP="00311D3B">
      <w:pPr>
        <w:autoSpaceDE w:val="0"/>
        <w:autoSpaceDN w:val="0"/>
        <w:adjustRightInd w:val="0"/>
        <w:spacing w:after="0" w:line="240" w:lineRule="auto"/>
        <w:rPr>
          <w:rFonts w:asciiTheme="minorHAnsi" w:hAnsiTheme="minorHAnsi"/>
        </w:rPr>
      </w:pPr>
    </w:p>
    <w:tbl>
      <w:tblPr>
        <w:tblW w:w="6900" w:type="dxa"/>
        <w:tblInd w:w="97" w:type="dxa"/>
        <w:tblLook w:val="04A0"/>
      </w:tblPr>
      <w:tblGrid>
        <w:gridCol w:w="3340"/>
        <w:gridCol w:w="3560"/>
      </w:tblGrid>
      <w:tr w:rsidR="00A840DD" w:rsidRPr="00A840DD" w:rsidTr="00A840DD">
        <w:trPr>
          <w:trHeight w:val="390"/>
        </w:trPr>
        <w:tc>
          <w:tcPr>
            <w:tcW w:w="6900" w:type="dxa"/>
            <w:gridSpan w:val="2"/>
            <w:tcBorders>
              <w:top w:val="single" w:sz="8" w:space="0" w:color="auto"/>
              <w:left w:val="single" w:sz="8" w:space="0" w:color="auto"/>
              <w:bottom w:val="single" w:sz="8" w:space="0" w:color="auto"/>
              <w:right w:val="single" w:sz="8" w:space="0" w:color="000000"/>
            </w:tcBorders>
            <w:shd w:val="clear" w:color="000000" w:fill="376091"/>
            <w:vAlign w:val="bottom"/>
            <w:hideMark/>
          </w:tcPr>
          <w:p w:rsidR="00A840DD" w:rsidRPr="00A840DD" w:rsidRDefault="00A840DD" w:rsidP="00A840DD">
            <w:pPr>
              <w:spacing w:after="0" w:line="240" w:lineRule="auto"/>
              <w:jc w:val="center"/>
              <w:rPr>
                <w:rFonts w:eastAsia="Times New Roman"/>
                <w:b/>
                <w:bCs/>
                <w:color w:val="FFFFFF"/>
                <w:sz w:val="28"/>
                <w:szCs w:val="28"/>
              </w:rPr>
            </w:pPr>
            <w:r w:rsidRPr="00A840DD">
              <w:rPr>
                <w:rFonts w:eastAsia="Times New Roman"/>
                <w:b/>
                <w:bCs/>
                <w:color w:val="FFFFFF"/>
                <w:sz w:val="28"/>
                <w:szCs w:val="28"/>
              </w:rPr>
              <w:t>Pollutants of Potential Concern</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Acenapthene</w:t>
            </w:r>
            <w:proofErr w:type="spellEnd"/>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Endrin</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Aldrin</w:t>
            </w:r>
            <w:proofErr w:type="spellEnd"/>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Fluoranthene</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Alkalinity</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Guthion</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494B5E" w:rsidP="00A840DD">
            <w:pPr>
              <w:spacing w:after="0" w:line="240" w:lineRule="auto"/>
              <w:jc w:val="center"/>
              <w:rPr>
                <w:rFonts w:eastAsia="Times New Roman"/>
                <w:color w:val="000000"/>
              </w:rPr>
            </w:pPr>
            <w:r>
              <w:rPr>
                <w:rFonts w:eastAsia="Times New Roman"/>
                <w:color w:val="000000"/>
              </w:rPr>
              <w:t>Alpha-BH</w:t>
            </w:r>
            <w:r w:rsidR="00A840DD" w:rsidRPr="00A840DD">
              <w:rPr>
                <w:rFonts w:eastAsia="Times New Roman"/>
                <w:color w:val="000000"/>
              </w:rPr>
              <w:t>C</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Heptachlor</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Ammonia</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Iron</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Antimony</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Isophorone</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Arsenic</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Lead</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Arsenic (tri)</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Malathion</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Benxo</w:t>
            </w:r>
            <w:proofErr w:type="spellEnd"/>
            <w:r w:rsidRPr="00A840DD">
              <w:rPr>
                <w:rFonts w:eastAsia="Times New Roman"/>
                <w:color w:val="000000"/>
              </w:rPr>
              <w:t>(a)</w:t>
            </w:r>
            <w:proofErr w:type="spellStart"/>
            <w:r w:rsidRPr="00A840DD">
              <w:rPr>
                <w:rFonts w:eastAsia="Times New Roman"/>
                <w:color w:val="000000"/>
              </w:rPr>
              <w:t>anthracene</w:t>
            </w:r>
            <w:proofErr w:type="spellEnd"/>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Manganese</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Benzo</w:t>
            </w:r>
            <w:proofErr w:type="spellEnd"/>
            <w:r w:rsidRPr="00A840DD">
              <w:rPr>
                <w:rFonts w:eastAsia="Times New Roman"/>
                <w:color w:val="000000"/>
              </w:rPr>
              <w:t>(A)</w:t>
            </w:r>
            <w:proofErr w:type="spellStart"/>
            <w:r w:rsidRPr="00A840DD">
              <w:rPr>
                <w:rFonts w:eastAsia="Times New Roman"/>
                <w:color w:val="000000"/>
              </w:rPr>
              <w:t>anthracene</w:t>
            </w:r>
            <w:proofErr w:type="spellEnd"/>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Mercury</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Benzo</w:t>
            </w:r>
            <w:proofErr w:type="spellEnd"/>
            <w:r w:rsidRPr="00A840DD">
              <w:rPr>
                <w:rFonts w:eastAsia="Times New Roman"/>
                <w:color w:val="000000"/>
              </w:rPr>
              <w:t>(A)</w:t>
            </w:r>
            <w:proofErr w:type="spellStart"/>
            <w:r w:rsidRPr="00A840DD">
              <w:rPr>
                <w:rFonts w:eastAsia="Times New Roman"/>
                <w:color w:val="000000"/>
              </w:rPr>
              <w:t>pyrene</w:t>
            </w:r>
            <w:proofErr w:type="spellEnd"/>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Naphthalene</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Benzo</w:t>
            </w:r>
            <w:proofErr w:type="spellEnd"/>
            <w:r w:rsidRPr="00A840DD">
              <w:rPr>
                <w:rFonts w:eastAsia="Times New Roman"/>
                <w:color w:val="000000"/>
              </w:rPr>
              <w:t>(</w:t>
            </w:r>
            <w:proofErr w:type="spellStart"/>
            <w:r w:rsidRPr="00A840DD">
              <w:rPr>
                <w:rFonts w:eastAsia="Times New Roman"/>
                <w:color w:val="000000"/>
              </w:rPr>
              <w:t>g,h,i</w:t>
            </w:r>
            <w:proofErr w:type="spellEnd"/>
            <w:r w:rsidRPr="00A840DD">
              <w:rPr>
                <w:rFonts w:eastAsia="Times New Roman"/>
                <w:color w:val="000000"/>
              </w:rPr>
              <w:t>)</w:t>
            </w:r>
            <w:proofErr w:type="spellStart"/>
            <w:r w:rsidRPr="00A840DD">
              <w:rPr>
                <w:rFonts w:eastAsia="Times New Roman"/>
                <w:color w:val="000000"/>
              </w:rPr>
              <w:t>perylene</w:t>
            </w:r>
            <w:proofErr w:type="spellEnd"/>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Nickel</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Beryllium</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Nitrates</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494B5E" w:rsidP="00A840DD">
            <w:pPr>
              <w:spacing w:after="0" w:line="240" w:lineRule="auto"/>
              <w:jc w:val="center"/>
              <w:rPr>
                <w:rFonts w:eastAsia="Times New Roman"/>
                <w:color w:val="000000"/>
              </w:rPr>
            </w:pPr>
            <w:r>
              <w:rPr>
                <w:rFonts w:eastAsia="Times New Roman"/>
                <w:color w:val="000000"/>
              </w:rPr>
              <w:t>BHC</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p,p</w:t>
            </w:r>
            <w:proofErr w:type="spellEnd"/>
            <w:r w:rsidRPr="00A840DD">
              <w:rPr>
                <w:rFonts w:eastAsia="Times New Roman"/>
                <w:color w:val="000000"/>
              </w:rPr>
              <w:t>` DDD</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Cadmium</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Parathion</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Chlordane</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PCB</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Chlorophenoxy</w:t>
            </w:r>
            <w:proofErr w:type="spellEnd"/>
            <w:r w:rsidRPr="00A840DD">
              <w:rPr>
                <w:rFonts w:eastAsia="Times New Roman"/>
                <w:color w:val="000000"/>
              </w:rPr>
              <w:t xml:space="preserve"> Herbicides (2,4-D)</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Pentachlorophenol</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Chlorpyrifos</w:t>
            </w:r>
            <w:proofErr w:type="spellEnd"/>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phenanthrene</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Chromium (hex)</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Phenol</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Chrysene</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Phthalate Esters</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Copper</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Polynuclear</w:t>
            </w:r>
            <w:proofErr w:type="spellEnd"/>
            <w:r w:rsidRPr="00A840DD">
              <w:rPr>
                <w:rFonts w:eastAsia="Times New Roman"/>
                <w:color w:val="000000"/>
              </w:rPr>
              <w:t xml:space="preserve"> Aromatic Hydrocarbons</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Cyanide</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pyrene</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DDD</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Radionuclides</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DDT</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Silver</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DDT Metabolite (DDE)</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Tetrachloroethylene</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Dichloroethylenes</w:t>
            </w:r>
            <w:proofErr w:type="spellEnd"/>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Thallium</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Dieldrin</w:t>
            </w:r>
            <w:proofErr w:type="spellEnd"/>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Toxaphene</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Dioxin (2,3,7,8-TCDD)</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Tributyltin</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Dioxins/Furans</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Trichloroethylene</w:t>
            </w:r>
          </w:p>
        </w:tc>
      </w:tr>
      <w:tr w:rsidR="00A840DD" w:rsidRPr="00A840DD" w:rsidTr="00A840DD">
        <w:trPr>
          <w:trHeight w:val="315"/>
        </w:trPr>
        <w:tc>
          <w:tcPr>
            <w:tcW w:w="3340" w:type="dxa"/>
            <w:tcBorders>
              <w:top w:val="nil"/>
              <w:left w:val="single" w:sz="8" w:space="0" w:color="auto"/>
              <w:bottom w:val="single" w:sz="8" w:space="0" w:color="auto"/>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 </w:t>
            </w:r>
          </w:p>
        </w:tc>
        <w:tc>
          <w:tcPr>
            <w:tcW w:w="3560" w:type="dxa"/>
            <w:tcBorders>
              <w:top w:val="nil"/>
              <w:left w:val="single" w:sz="8" w:space="0" w:color="auto"/>
              <w:bottom w:val="single" w:sz="8" w:space="0" w:color="auto"/>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Zinc</w:t>
            </w:r>
          </w:p>
        </w:tc>
      </w:tr>
    </w:tbl>
    <w:p w:rsidR="00A840DD" w:rsidRDefault="00A840DD" w:rsidP="00311D3B">
      <w:pPr>
        <w:autoSpaceDE w:val="0"/>
        <w:autoSpaceDN w:val="0"/>
        <w:adjustRightInd w:val="0"/>
        <w:spacing w:after="0" w:line="240" w:lineRule="auto"/>
        <w:rPr>
          <w:rFonts w:asciiTheme="minorHAnsi" w:hAnsiTheme="minorHAnsi"/>
        </w:rPr>
      </w:pPr>
    </w:p>
    <w:p w:rsidR="00A840DD" w:rsidRDefault="00A840DD" w:rsidP="00311D3B">
      <w:pPr>
        <w:autoSpaceDE w:val="0"/>
        <w:autoSpaceDN w:val="0"/>
        <w:adjustRightInd w:val="0"/>
        <w:spacing w:after="0" w:line="240" w:lineRule="auto"/>
        <w:rPr>
          <w:rFonts w:asciiTheme="minorHAnsi" w:hAnsiTheme="minorHAnsi"/>
        </w:rPr>
      </w:pPr>
    </w:p>
    <w:p w:rsidR="00A840DD" w:rsidRPr="00311D3B" w:rsidRDefault="00A840DD" w:rsidP="00311D3B">
      <w:pPr>
        <w:autoSpaceDE w:val="0"/>
        <w:autoSpaceDN w:val="0"/>
        <w:adjustRightInd w:val="0"/>
        <w:spacing w:after="0" w:line="240" w:lineRule="auto"/>
        <w:rPr>
          <w:rFonts w:asciiTheme="minorHAnsi" w:hAnsiTheme="minorHAnsi"/>
        </w:rPr>
      </w:pPr>
    </w:p>
    <w:p w:rsidR="002A6494" w:rsidRPr="00983860" w:rsidRDefault="002A6494" w:rsidP="00A840DD">
      <w:pPr>
        <w:pStyle w:val="ListParagraph"/>
        <w:spacing w:after="0" w:line="240" w:lineRule="auto"/>
        <w:rPr>
          <w:rFonts w:eastAsia="Times New Roman"/>
          <w:color w:val="000000"/>
        </w:rPr>
      </w:pPr>
    </w:p>
    <w:p w:rsidR="00A15837" w:rsidRPr="00A15837" w:rsidRDefault="00A15837" w:rsidP="00311D3B">
      <w:pPr>
        <w:autoSpaceDE w:val="0"/>
        <w:autoSpaceDN w:val="0"/>
        <w:adjustRightInd w:val="0"/>
        <w:spacing w:after="0" w:line="240" w:lineRule="auto"/>
        <w:rPr>
          <w:rStyle w:val="SubtleEmphasis"/>
        </w:rPr>
      </w:pPr>
      <w:r w:rsidRPr="00A15837">
        <w:rPr>
          <w:rStyle w:val="SubtleEmphasis"/>
        </w:rPr>
        <w:t>The Cost of Complian</w:t>
      </w:r>
      <w:r w:rsidR="00884A8F">
        <w:rPr>
          <w:rStyle w:val="SubtleEmphasis"/>
        </w:rPr>
        <w:t>ce with Water Quality Criteria f</w:t>
      </w:r>
      <w:r w:rsidRPr="00A15837">
        <w:rPr>
          <w:rStyle w:val="SubtleEmphasis"/>
        </w:rPr>
        <w:t>or Toxic Pollutants for Oregon Waters</w:t>
      </w:r>
    </w:p>
    <w:p w:rsidR="00A15837" w:rsidRPr="00A15837" w:rsidRDefault="00A15837" w:rsidP="00311D3B">
      <w:pPr>
        <w:autoSpaceDE w:val="0"/>
        <w:autoSpaceDN w:val="0"/>
        <w:adjustRightInd w:val="0"/>
        <w:spacing w:after="0" w:line="240" w:lineRule="auto"/>
        <w:rPr>
          <w:rStyle w:val="SubtleEmphasis"/>
        </w:rPr>
      </w:pPr>
    </w:p>
    <w:p w:rsidR="00884A8F" w:rsidRDefault="00884A8F" w:rsidP="00311D3B">
      <w:pPr>
        <w:autoSpaceDE w:val="0"/>
        <w:autoSpaceDN w:val="0"/>
        <w:adjustRightInd w:val="0"/>
        <w:spacing w:after="0" w:line="240" w:lineRule="auto"/>
        <w:rPr>
          <w:rFonts w:asciiTheme="minorHAnsi" w:hAnsiTheme="minorHAnsi"/>
        </w:rPr>
      </w:pPr>
      <w:r>
        <w:t>A report</w:t>
      </w:r>
      <w:r>
        <w:rPr>
          <w:rStyle w:val="FootnoteReference"/>
        </w:rPr>
        <w:footnoteReference w:id="1"/>
      </w:r>
      <w:r>
        <w:t xml:space="preserve"> written in 2008 </w:t>
      </w:r>
      <w:r w:rsidR="000D7D1D">
        <w:t>provided estimates of the potential incremental compliance actions and costs that could be associated with</w:t>
      </w:r>
      <w:r>
        <w:t xml:space="preserve"> revising the fish consumption rate.  The </w:t>
      </w:r>
      <w:r w:rsidR="00311D3B" w:rsidRPr="00311D3B">
        <w:rPr>
          <w:rFonts w:asciiTheme="minorHAnsi" w:hAnsiTheme="minorHAnsi"/>
        </w:rPr>
        <w:t>project identified that there would be permitted sources that would have the potential to exceed currently effective criteria for the following pollutants:</w:t>
      </w:r>
    </w:p>
    <w:p w:rsidR="00311D3B" w:rsidRPr="00311D3B" w:rsidRDefault="00311D3B" w:rsidP="00311D3B">
      <w:pPr>
        <w:autoSpaceDE w:val="0"/>
        <w:autoSpaceDN w:val="0"/>
        <w:adjustRightInd w:val="0"/>
        <w:spacing w:after="0" w:line="240" w:lineRule="auto"/>
        <w:rPr>
          <w:rFonts w:asciiTheme="minorHAnsi" w:hAnsiTheme="minorHAnsi"/>
        </w:rPr>
      </w:pPr>
      <w:r w:rsidRPr="00311D3B">
        <w:rPr>
          <w:rFonts w:asciiTheme="minorHAnsi" w:hAnsiTheme="minorHAnsi"/>
        </w:rPr>
        <w:t xml:space="preserve">  </w:t>
      </w:r>
    </w:p>
    <w:p w:rsidR="00FF7DB7" w:rsidRDefault="00311D3B" w:rsidP="00311D3B">
      <w:pPr>
        <w:pStyle w:val="ListParagraph"/>
        <w:numPr>
          <w:ilvl w:val="0"/>
          <w:numId w:val="31"/>
        </w:numPr>
        <w:autoSpaceDE w:val="0"/>
        <w:autoSpaceDN w:val="0"/>
        <w:adjustRightInd w:val="0"/>
        <w:spacing w:after="0" w:line="240" w:lineRule="auto"/>
        <w:rPr>
          <w:rFonts w:asciiTheme="minorHAnsi" w:hAnsiTheme="minorHAnsi"/>
        </w:rPr>
      </w:pPr>
      <w:r w:rsidRPr="00FF7DB7">
        <w:rPr>
          <w:rFonts w:asciiTheme="minorHAnsi" w:hAnsiTheme="minorHAnsi"/>
        </w:rPr>
        <w:t>DDT</w:t>
      </w:r>
    </w:p>
    <w:p w:rsidR="00FF7DB7" w:rsidRDefault="00311D3B" w:rsidP="00311D3B">
      <w:pPr>
        <w:pStyle w:val="ListParagraph"/>
        <w:numPr>
          <w:ilvl w:val="0"/>
          <w:numId w:val="31"/>
        </w:numPr>
        <w:autoSpaceDE w:val="0"/>
        <w:autoSpaceDN w:val="0"/>
        <w:adjustRightInd w:val="0"/>
        <w:spacing w:after="0" w:line="240" w:lineRule="auto"/>
        <w:rPr>
          <w:rFonts w:asciiTheme="minorHAnsi" w:hAnsiTheme="minorHAnsi"/>
        </w:rPr>
      </w:pPr>
      <w:r w:rsidRPr="00FF7DB7">
        <w:rPr>
          <w:rFonts w:asciiTheme="minorHAnsi" w:hAnsiTheme="minorHAnsi"/>
        </w:rPr>
        <w:t>Alpha-BHC</w:t>
      </w:r>
    </w:p>
    <w:p w:rsidR="00FF7DB7" w:rsidRDefault="00311D3B" w:rsidP="00311D3B">
      <w:pPr>
        <w:pStyle w:val="ListParagraph"/>
        <w:numPr>
          <w:ilvl w:val="0"/>
          <w:numId w:val="31"/>
        </w:numPr>
        <w:autoSpaceDE w:val="0"/>
        <w:autoSpaceDN w:val="0"/>
        <w:adjustRightInd w:val="0"/>
        <w:spacing w:after="0" w:line="240" w:lineRule="auto"/>
        <w:rPr>
          <w:rFonts w:asciiTheme="minorHAnsi" w:hAnsiTheme="minorHAnsi"/>
        </w:rPr>
      </w:pPr>
      <w:r w:rsidRPr="00FF7DB7">
        <w:rPr>
          <w:rFonts w:asciiTheme="minorHAnsi" w:hAnsiTheme="minorHAnsi"/>
        </w:rPr>
        <w:t>Arsenic</w:t>
      </w:r>
    </w:p>
    <w:p w:rsidR="00FF7DB7" w:rsidRDefault="00311D3B" w:rsidP="00311D3B">
      <w:pPr>
        <w:pStyle w:val="ListParagraph"/>
        <w:numPr>
          <w:ilvl w:val="0"/>
          <w:numId w:val="31"/>
        </w:numPr>
        <w:autoSpaceDE w:val="0"/>
        <w:autoSpaceDN w:val="0"/>
        <w:adjustRightInd w:val="0"/>
        <w:spacing w:after="0" w:line="240" w:lineRule="auto"/>
        <w:rPr>
          <w:rFonts w:asciiTheme="minorHAnsi" w:hAnsiTheme="minorHAnsi"/>
        </w:rPr>
      </w:pPr>
      <w:proofErr w:type="spellStart"/>
      <w:r w:rsidRPr="00FF7DB7">
        <w:rPr>
          <w:rFonts w:asciiTheme="minorHAnsi" w:hAnsiTheme="minorHAnsi"/>
        </w:rPr>
        <w:t>Bis</w:t>
      </w:r>
      <w:proofErr w:type="spellEnd"/>
      <w:r w:rsidRPr="00FF7DB7">
        <w:rPr>
          <w:rFonts w:asciiTheme="minorHAnsi" w:hAnsiTheme="minorHAnsi"/>
        </w:rPr>
        <w:t xml:space="preserve"> (2-ethylhexyl) phthalate (on Table 20 as Di-2-ethylhexyl phthalate)</w:t>
      </w:r>
    </w:p>
    <w:p w:rsidR="00FF7DB7" w:rsidRDefault="00FF7DB7" w:rsidP="00311D3B">
      <w:pPr>
        <w:pStyle w:val="ListParagraph"/>
        <w:numPr>
          <w:ilvl w:val="0"/>
          <w:numId w:val="31"/>
        </w:numPr>
        <w:autoSpaceDE w:val="0"/>
        <w:autoSpaceDN w:val="0"/>
        <w:adjustRightInd w:val="0"/>
        <w:spacing w:after="0" w:line="240" w:lineRule="auto"/>
        <w:rPr>
          <w:rFonts w:asciiTheme="minorHAnsi" w:hAnsiTheme="minorHAnsi"/>
        </w:rPr>
      </w:pPr>
      <w:r>
        <w:rPr>
          <w:rFonts w:asciiTheme="minorHAnsi" w:hAnsiTheme="minorHAnsi"/>
        </w:rPr>
        <w:t>Dioxin</w:t>
      </w:r>
    </w:p>
    <w:p w:rsidR="00311D3B" w:rsidRPr="00FF7DB7" w:rsidRDefault="00FF7DB7" w:rsidP="00311D3B">
      <w:pPr>
        <w:pStyle w:val="ListParagraph"/>
        <w:numPr>
          <w:ilvl w:val="0"/>
          <w:numId w:val="31"/>
        </w:numPr>
        <w:autoSpaceDE w:val="0"/>
        <w:autoSpaceDN w:val="0"/>
        <w:adjustRightInd w:val="0"/>
        <w:spacing w:after="0" w:line="240" w:lineRule="auto"/>
        <w:rPr>
          <w:rFonts w:asciiTheme="minorHAnsi" w:hAnsiTheme="minorHAnsi"/>
        </w:rPr>
      </w:pPr>
      <w:r>
        <w:rPr>
          <w:rFonts w:asciiTheme="minorHAnsi" w:hAnsiTheme="minorHAnsi"/>
        </w:rPr>
        <w:t>Mercury</w:t>
      </w:r>
    </w:p>
    <w:p w:rsidR="00311D3B" w:rsidRDefault="00311D3B" w:rsidP="00311D3B">
      <w:pPr>
        <w:autoSpaceDE w:val="0"/>
        <w:autoSpaceDN w:val="0"/>
        <w:adjustRightInd w:val="0"/>
        <w:spacing w:after="0" w:line="240" w:lineRule="auto"/>
        <w:rPr>
          <w:rFonts w:ascii="Times New Roman" w:hAnsi="Times New Roman"/>
          <w:sz w:val="24"/>
          <w:szCs w:val="24"/>
        </w:rPr>
      </w:pPr>
    </w:p>
    <w:p w:rsidR="00311D3B" w:rsidRPr="00413EAB" w:rsidRDefault="00A705E4" w:rsidP="00311D3B">
      <w:pPr>
        <w:autoSpaceDE w:val="0"/>
        <w:autoSpaceDN w:val="0"/>
        <w:adjustRightInd w:val="0"/>
        <w:spacing w:after="0" w:line="240" w:lineRule="auto"/>
        <w:rPr>
          <w:rFonts w:asciiTheme="minorHAnsi" w:hAnsiTheme="minorHAnsi"/>
        </w:rPr>
      </w:pPr>
      <w:r>
        <w:rPr>
          <w:rFonts w:asciiTheme="minorHAnsi" w:hAnsiTheme="minorHAnsi"/>
        </w:rPr>
        <w:t>Note that a</w:t>
      </w:r>
      <w:r w:rsidR="00413EAB">
        <w:rPr>
          <w:rFonts w:asciiTheme="minorHAnsi" w:hAnsiTheme="minorHAnsi"/>
        </w:rPr>
        <w:t>rsenic will have a higher proposed criterion</w:t>
      </w:r>
      <w:r>
        <w:rPr>
          <w:rFonts w:asciiTheme="minorHAnsi" w:hAnsiTheme="minorHAnsi"/>
        </w:rPr>
        <w:t xml:space="preserve"> under this current rulemaking</w:t>
      </w:r>
      <w:r w:rsidR="00413EAB" w:rsidRPr="00413EAB">
        <w:rPr>
          <w:rFonts w:asciiTheme="minorHAnsi" w:hAnsiTheme="minorHAnsi"/>
        </w:rPr>
        <w:t xml:space="preserve"> (and will be for inorganic – not total), which was not reflected at the time of the SAIC report, so </w:t>
      </w:r>
      <w:r w:rsidR="00413EAB">
        <w:rPr>
          <w:rFonts w:asciiTheme="minorHAnsi" w:hAnsiTheme="minorHAnsi"/>
        </w:rPr>
        <w:t xml:space="preserve">some of the compliance issues </w:t>
      </w:r>
      <w:r>
        <w:rPr>
          <w:rFonts w:asciiTheme="minorHAnsi" w:hAnsiTheme="minorHAnsi"/>
        </w:rPr>
        <w:t xml:space="preserve">associated with arsenic </w:t>
      </w:r>
      <w:r w:rsidR="00413EAB" w:rsidRPr="00413EAB">
        <w:rPr>
          <w:rFonts w:asciiTheme="minorHAnsi" w:hAnsiTheme="minorHAnsi"/>
        </w:rPr>
        <w:t xml:space="preserve">may </w:t>
      </w:r>
      <w:r w:rsidR="00413EAB">
        <w:rPr>
          <w:rFonts w:asciiTheme="minorHAnsi" w:hAnsiTheme="minorHAnsi"/>
        </w:rPr>
        <w:t>b</w:t>
      </w:r>
      <w:r>
        <w:rPr>
          <w:rFonts w:asciiTheme="minorHAnsi" w:hAnsiTheme="minorHAnsi"/>
        </w:rPr>
        <w:t>e minimized.  Also note</w:t>
      </w:r>
      <w:r w:rsidR="00413EAB">
        <w:rPr>
          <w:rFonts w:asciiTheme="minorHAnsi" w:hAnsiTheme="minorHAnsi"/>
        </w:rPr>
        <w:t xml:space="preserve"> that </w:t>
      </w:r>
      <w:r w:rsidR="00413EAB" w:rsidRPr="00413EAB">
        <w:rPr>
          <w:rFonts w:asciiTheme="minorHAnsi" w:hAnsiTheme="minorHAnsi"/>
        </w:rPr>
        <w:t xml:space="preserve">5 out of the 6 pollutants (not </w:t>
      </w:r>
      <w:proofErr w:type="spellStart"/>
      <w:r w:rsidR="00413EAB" w:rsidRPr="00413EAB">
        <w:rPr>
          <w:rFonts w:asciiTheme="minorHAnsi" w:hAnsiTheme="minorHAnsi"/>
        </w:rPr>
        <w:t>bis</w:t>
      </w:r>
      <w:proofErr w:type="spellEnd"/>
      <w:r w:rsidR="00413EAB" w:rsidRPr="00413EAB">
        <w:rPr>
          <w:rFonts w:asciiTheme="minorHAnsi" w:hAnsiTheme="minorHAnsi"/>
        </w:rPr>
        <w:t>-pht</w:t>
      </w:r>
      <w:r w:rsidR="00413EAB">
        <w:rPr>
          <w:rFonts w:asciiTheme="minorHAnsi" w:hAnsiTheme="minorHAnsi"/>
        </w:rPr>
        <w:t xml:space="preserve">halate) identified above have a reasonable potential to exceed or contribute to an </w:t>
      </w:r>
      <w:proofErr w:type="spellStart"/>
      <w:r w:rsidR="00413EAB">
        <w:rPr>
          <w:rFonts w:asciiTheme="minorHAnsi" w:hAnsiTheme="minorHAnsi"/>
        </w:rPr>
        <w:t>exceedance</w:t>
      </w:r>
      <w:proofErr w:type="spellEnd"/>
      <w:r w:rsidR="00413EAB">
        <w:rPr>
          <w:rFonts w:asciiTheme="minorHAnsi" w:hAnsiTheme="minorHAnsi"/>
        </w:rPr>
        <w:t xml:space="preserve"> at OR’s current fish consumption rate of 17.5 g/day</w:t>
      </w:r>
      <w:r>
        <w:rPr>
          <w:rFonts w:asciiTheme="minorHAnsi" w:hAnsiTheme="minorHAnsi"/>
        </w:rPr>
        <w:t>, so the higher proposed criteria for these pollutants may not necessarily create additional compliance concerns</w:t>
      </w:r>
      <w:r w:rsidR="00413EAB">
        <w:rPr>
          <w:rFonts w:asciiTheme="minorHAnsi" w:hAnsiTheme="minorHAnsi"/>
        </w:rPr>
        <w:t>.</w:t>
      </w:r>
    </w:p>
    <w:p w:rsidR="00311D3B" w:rsidRDefault="00311D3B" w:rsidP="00311D3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311D3B" w:rsidRPr="00F406E6" w:rsidRDefault="00311D3B" w:rsidP="00311D3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311D3B" w:rsidRPr="00413EAB" w:rsidRDefault="008A563B" w:rsidP="00311D3B">
      <w:pPr>
        <w:autoSpaceDE w:val="0"/>
        <w:autoSpaceDN w:val="0"/>
        <w:adjustRightInd w:val="0"/>
        <w:spacing w:after="0" w:line="240" w:lineRule="auto"/>
        <w:rPr>
          <w:rFonts w:asciiTheme="minorHAnsi" w:hAnsiTheme="minorHAnsi"/>
        </w:rPr>
      </w:pPr>
      <w:r>
        <w:rPr>
          <w:rFonts w:asciiTheme="minorHAnsi" w:hAnsiTheme="minorHAnsi"/>
          <w:highlight w:val="yellow"/>
        </w:rPr>
        <w:t xml:space="preserve">May add more </w:t>
      </w:r>
      <w:r w:rsidR="00413EAB" w:rsidRPr="00413EAB">
        <w:rPr>
          <w:rFonts w:asciiTheme="minorHAnsi" w:hAnsiTheme="minorHAnsi"/>
          <w:highlight w:val="yellow"/>
        </w:rPr>
        <w:t>info on SAIC Report from Sonja</w:t>
      </w:r>
    </w:p>
    <w:p w:rsidR="00311D3B" w:rsidRDefault="00311D3B" w:rsidP="007A0A17">
      <w:pPr>
        <w:pStyle w:val="ListParagraph"/>
        <w:ind w:left="1080"/>
      </w:pPr>
    </w:p>
    <w:p w:rsidR="00EC6E0A" w:rsidRDefault="00EC6E0A" w:rsidP="00EC6E0A">
      <w:pPr>
        <w:spacing w:after="0"/>
      </w:pPr>
    </w:p>
    <w:p w:rsidR="00EC6E0A" w:rsidRPr="00326494" w:rsidRDefault="00103CD7" w:rsidP="00103CD7">
      <w:pPr>
        <w:pStyle w:val="Title"/>
        <w:rPr>
          <w:sz w:val="32"/>
          <w:szCs w:val="32"/>
        </w:rPr>
      </w:pPr>
      <w:r w:rsidRPr="00326494">
        <w:rPr>
          <w:sz w:val="32"/>
          <w:szCs w:val="32"/>
        </w:rPr>
        <w:t>III. Clean Water Act Requirements for Implementing Water Quality Standards in P</w:t>
      </w:r>
      <w:r w:rsidR="00EC6E0A" w:rsidRPr="00326494">
        <w:rPr>
          <w:sz w:val="32"/>
          <w:szCs w:val="32"/>
        </w:rPr>
        <w:t>ermits</w:t>
      </w:r>
    </w:p>
    <w:p w:rsidR="00EC6E0A" w:rsidRPr="00103CD7" w:rsidRDefault="00EC6E0A" w:rsidP="00EC6E0A">
      <w:pPr>
        <w:spacing w:after="0"/>
        <w:rPr>
          <w:i/>
        </w:rPr>
      </w:pPr>
      <w:r>
        <w:tab/>
      </w:r>
      <w:r w:rsidRPr="00103CD7">
        <w:rPr>
          <w:i/>
        </w:rPr>
        <w:t>Placeholder to include:</w:t>
      </w:r>
    </w:p>
    <w:p w:rsidR="00EC6E0A" w:rsidRDefault="00EC6E0A" w:rsidP="00EC6E0A">
      <w:pPr>
        <w:spacing w:after="0"/>
        <w:ind w:left="720"/>
      </w:pPr>
      <w:r>
        <w:t>1.  Water Quality-Based Effluent Limits</w:t>
      </w:r>
    </w:p>
    <w:p w:rsidR="00EC6E0A" w:rsidRDefault="00EC6E0A" w:rsidP="00EC6E0A">
      <w:pPr>
        <w:spacing w:after="0"/>
        <w:ind w:left="720"/>
      </w:pPr>
      <w:r>
        <w:t>2.  Technology based requirements</w:t>
      </w:r>
    </w:p>
    <w:p w:rsidR="00EC6E0A" w:rsidRDefault="00EC6E0A" w:rsidP="00EC6E0A">
      <w:pPr>
        <w:spacing w:after="0"/>
        <w:ind w:left="720"/>
      </w:pPr>
      <w:r>
        <w:t>3.  Compliance schedules</w:t>
      </w:r>
    </w:p>
    <w:p w:rsidR="00EC6E0A" w:rsidRDefault="00EC6E0A" w:rsidP="00EC6E0A">
      <w:pPr>
        <w:spacing w:after="0"/>
        <w:ind w:left="720"/>
      </w:pPr>
      <w:r>
        <w:t xml:space="preserve">4.  </w:t>
      </w:r>
      <w:proofErr w:type="spellStart"/>
      <w:r>
        <w:t>Quantitation</w:t>
      </w:r>
      <w:proofErr w:type="spellEnd"/>
      <w:r>
        <w:t xml:space="preserve"> limits and compliance</w:t>
      </w:r>
    </w:p>
    <w:p w:rsidR="00EC6E0A" w:rsidRPr="00EC6E0A" w:rsidRDefault="00EC6E0A" w:rsidP="00EC6E0A">
      <w:pPr>
        <w:spacing w:after="0"/>
        <w:rPr>
          <w:rFonts w:asciiTheme="minorHAnsi" w:hAnsiTheme="minorHAnsi"/>
        </w:rPr>
      </w:pPr>
    </w:p>
    <w:p w:rsidR="004B6647" w:rsidRDefault="004B6647" w:rsidP="00103CD7">
      <w:pPr>
        <w:pStyle w:val="Title"/>
        <w:rPr>
          <w:sz w:val="32"/>
          <w:szCs w:val="32"/>
        </w:rPr>
      </w:pPr>
    </w:p>
    <w:p w:rsidR="00D745AC" w:rsidRDefault="00D745AC" w:rsidP="00103CD7">
      <w:pPr>
        <w:pStyle w:val="Title"/>
        <w:rPr>
          <w:sz w:val="32"/>
          <w:szCs w:val="32"/>
        </w:rPr>
      </w:pPr>
    </w:p>
    <w:p w:rsidR="00D745AC" w:rsidRDefault="00D745AC" w:rsidP="00103CD7">
      <w:pPr>
        <w:pStyle w:val="Title"/>
        <w:rPr>
          <w:sz w:val="32"/>
          <w:szCs w:val="32"/>
        </w:rPr>
      </w:pPr>
    </w:p>
    <w:p w:rsidR="00AC4045" w:rsidRPr="00326494" w:rsidRDefault="00AC4045" w:rsidP="00103CD7">
      <w:pPr>
        <w:pStyle w:val="Title"/>
        <w:rPr>
          <w:sz w:val="32"/>
          <w:szCs w:val="32"/>
        </w:rPr>
      </w:pPr>
      <w:r w:rsidRPr="00326494">
        <w:rPr>
          <w:sz w:val="32"/>
          <w:szCs w:val="32"/>
        </w:rPr>
        <w:t>IV. Recommended New or Revised Permitting Implementation</w:t>
      </w:r>
      <w:r w:rsidR="00103CD7" w:rsidRPr="00326494">
        <w:rPr>
          <w:sz w:val="32"/>
          <w:szCs w:val="32"/>
        </w:rPr>
        <w:t xml:space="preserve"> </w:t>
      </w:r>
      <w:r w:rsidRPr="00326494">
        <w:rPr>
          <w:sz w:val="32"/>
          <w:szCs w:val="32"/>
        </w:rPr>
        <w:t>Tools</w:t>
      </w:r>
    </w:p>
    <w:p w:rsidR="00AC4045" w:rsidRPr="00547165" w:rsidRDefault="00AC4045">
      <w:pPr>
        <w:rPr>
          <w:rFonts w:asciiTheme="minorHAnsi" w:hAnsiTheme="minorHAnsi"/>
        </w:rPr>
      </w:pPr>
    </w:p>
    <w:p w:rsidR="00AC4045" w:rsidRPr="00547165" w:rsidRDefault="00AC4045" w:rsidP="00103CD7">
      <w:pPr>
        <w:pStyle w:val="Subtitle"/>
      </w:pPr>
      <w:r w:rsidRPr="00547165">
        <w:t>Tool Options to Address Background Pollutants</w:t>
      </w:r>
    </w:p>
    <w:p w:rsidR="0087226F" w:rsidRPr="00547165" w:rsidRDefault="0087226F" w:rsidP="0087226F">
      <w:pPr>
        <w:ind w:right="-720"/>
        <w:rPr>
          <w:rFonts w:asciiTheme="minorHAnsi" w:hAnsiTheme="minorHAnsi"/>
          <w:b/>
          <w:u w:val="single"/>
        </w:rPr>
      </w:pPr>
      <w:r w:rsidRPr="00547165">
        <w:rPr>
          <w:rFonts w:asciiTheme="minorHAnsi" w:hAnsiTheme="minorHAnsi"/>
          <w:b/>
          <w:u w:val="single"/>
        </w:rPr>
        <w:t>Issue Summary</w:t>
      </w:r>
    </w:p>
    <w:p w:rsidR="0087226F" w:rsidRPr="00547165" w:rsidRDefault="0087226F" w:rsidP="00EC6E0A">
      <w:pPr>
        <w:autoSpaceDE w:val="0"/>
        <w:autoSpaceDN w:val="0"/>
        <w:adjustRightInd w:val="0"/>
        <w:spacing w:after="0" w:line="240" w:lineRule="atLeast"/>
        <w:jc w:val="both"/>
        <w:rPr>
          <w:rFonts w:asciiTheme="minorHAnsi" w:hAnsiTheme="minorHAnsi"/>
        </w:rPr>
      </w:pPr>
      <w:r w:rsidRPr="00547165">
        <w:rPr>
          <w:rFonts w:asciiTheme="minorHAnsi" w:hAnsiTheme="minorHAnsi"/>
        </w:rPr>
        <w:t xml:space="preserve">Many pollutants are ubiquitous in the environment because they occur naturally or result from </w:t>
      </w:r>
      <w:r w:rsidRPr="00547165">
        <w:rPr>
          <w:rFonts w:asciiTheme="minorHAnsi" w:hAnsiTheme="minorHAnsi"/>
        </w:rPr>
        <w:tab/>
        <w:t>a diffuse variety of human activities. As such, they may conta</w:t>
      </w:r>
      <w:r w:rsidR="000910C4">
        <w:rPr>
          <w:rFonts w:asciiTheme="minorHAnsi" w:hAnsiTheme="minorHAnsi"/>
        </w:rPr>
        <w:t xml:space="preserve">minate a facility’s wastewater </w:t>
      </w:r>
      <w:r w:rsidRPr="00547165">
        <w:rPr>
          <w:rFonts w:asciiTheme="minorHAnsi" w:hAnsiTheme="minorHAnsi"/>
        </w:rPr>
        <w:t>through the facility’s intake water.  For purposes of this overview,</w:t>
      </w:r>
      <w:r w:rsidR="000910C4">
        <w:rPr>
          <w:rFonts w:asciiTheme="minorHAnsi" w:hAnsiTheme="minorHAnsi"/>
        </w:rPr>
        <w:t xml:space="preserve"> these pollutants are referred </w:t>
      </w:r>
      <w:r w:rsidRPr="00547165">
        <w:rPr>
          <w:rFonts w:asciiTheme="minorHAnsi" w:hAnsiTheme="minorHAnsi"/>
        </w:rPr>
        <w:t>to as “background pollutants” and potential background pollutants of concern</w:t>
      </w:r>
      <w:r w:rsidR="00653685" w:rsidRPr="00547165">
        <w:rPr>
          <w:rFonts w:asciiTheme="minorHAnsi" w:hAnsiTheme="minorHAnsi"/>
        </w:rPr>
        <w:t>. I</w:t>
      </w:r>
      <w:r w:rsidRPr="00547165">
        <w:rPr>
          <w:rFonts w:asciiTheme="minorHAnsi" w:hAnsiTheme="minorHAnsi"/>
        </w:rPr>
        <w:t>n Oregon</w:t>
      </w:r>
      <w:r w:rsidR="000910C4">
        <w:rPr>
          <w:rFonts w:asciiTheme="minorHAnsi" w:hAnsiTheme="minorHAnsi"/>
        </w:rPr>
        <w:t xml:space="preserve">, </w:t>
      </w:r>
      <w:r w:rsidR="00653685" w:rsidRPr="00547165">
        <w:rPr>
          <w:rFonts w:asciiTheme="minorHAnsi" w:hAnsiTheme="minorHAnsi"/>
        </w:rPr>
        <w:t>background pollutants</w:t>
      </w:r>
      <w:r w:rsidRPr="00547165">
        <w:rPr>
          <w:rFonts w:asciiTheme="minorHAnsi" w:hAnsiTheme="minorHAnsi"/>
        </w:rPr>
        <w:t xml:space="preserve"> include, but may not be limited to, the following: </w:t>
      </w:r>
    </w:p>
    <w:p w:rsidR="0087226F" w:rsidRPr="00547165" w:rsidRDefault="0087226F" w:rsidP="0087226F">
      <w:pPr>
        <w:spacing w:after="0" w:line="240" w:lineRule="auto"/>
        <w:ind w:left="-360" w:right="-720"/>
        <w:rPr>
          <w:rFonts w:asciiTheme="minorHAnsi" w:hAnsiTheme="minorHAnsi"/>
        </w:rPr>
      </w:pPr>
    </w:p>
    <w:p w:rsidR="0087226F" w:rsidRPr="00547165" w:rsidRDefault="0087226F" w:rsidP="00D951F8">
      <w:pPr>
        <w:numPr>
          <w:ilvl w:val="0"/>
          <w:numId w:val="4"/>
        </w:numPr>
        <w:spacing w:after="0" w:line="240" w:lineRule="auto"/>
        <w:ind w:left="1080"/>
        <w:rPr>
          <w:rFonts w:asciiTheme="minorHAnsi" w:hAnsiTheme="minorHAnsi"/>
        </w:rPr>
      </w:pPr>
      <w:r w:rsidRPr="00547165">
        <w:rPr>
          <w:rFonts w:asciiTheme="minorHAnsi" w:hAnsiTheme="minorHAnsi"/>
        </w:rPr>
        <w:t xml:space="preserve">Arsenic, iron and manganese - naturally occurring earth metals present in many Oregon waters at concentrations greater than the </w:t>
      </w:r>
      <w:r w:rsidR="000E3C94">
        <w:rPr>
          <w:rFonts w:asciiTheme="minorHAnsi" w:hAnsiTheme="minorHAnsi"/>
        </w:rPr>
        <w:t xml:space="preserve">currently effective </w:t>
      </w:r>
      <w:r w:rsidRPr="00547165">
        <w:rPr>
          <w:rFonts w:asciiTheme="minorHAnsi" w:hAnsiTheme="minorHAnsi"/>
        </w:rPr>
        <w:t>water quality criteria.</w:t>
      </w:r>
      <w:r w:rsidR="000E3C94">
        <w:rPr>
          <w:rFonts w:asciiTheme="minorHAnsi" w:hAnsiTheme="minorHAnsi"/>
        </w:rPr>
        <w:t xml:space="preserve"> </w:t>
      </w:r>
      <w:r w:rsidR="000E3C94">
        <w:rPr>
          <w:rStyle w:val="FootnoteReference"/>
          <w:rFonts w:asciiTheme="minorHAnsi" w:hAnsiTheme="minorHAnsi"/>
        </w:rPr>
        <w:footnoteReference w:id="2"/>
      </w:r>
    </w:p>
    <w:p w:rsidR="0087226F" w:rsidRPr="00547165" w:rsidRDefault="0087226F" w:rsidP="00EC6E0A">
      <w:pPr>
        <w:spacing w:after="0" w:line="240" w:lineRule="auto"/>
        <w:ind w:left="720"/>
        <w:rPr>
          <w:rFonts w:asciiTheme="minorHAnsi" w:hAnsiTheme="minorHAnsi"/>
        </w:rPr>
      </w:pPr>
    </w:p>
    <w:p w:rsidR="0087226F" w:rsidRPr="00547165" w:rsidRDefault="0087226F" w:rsidP="00D951F8">
      <w:pPr>
        <w:numPr>
          <w:ilvl w:val="0"/>
          <w:numId w:val="4"/>
        </w:numPr>
        <w:spacing w:after="0" w:line="240" w:lineRule="auto"/>
        <w:ind w:left="1080"/>
        <w:rPr>
          <w:rFonts w:asciiTheme="minorHAnsi" w:hAnsiTheme="minorHAnsi"/>
        </w:rPr>
      </w:pPr>
      <w:r w:rsidRPr="00547165">
        <w:rPr>
          <w:rFonts w:asciiTheme="minorHAnsi" w:hAnsiTheme="minorHAnsi"/>
        </w:rPr>
        <w:t xml:space="preserve">Mercury, PCBs and DDT - pollutants known to be in </w:t>
      </w:r>
      <w:smartTag w:uri="urn:schemas-microsoft-com:office:smarttags" w:element="place">
        <w:smartTag w:uri="urn:schemas-microsoft-com:office:smarttags" w:element="State">
          <w:r w:rsidRPr="00547165">
            <w:rPr>
              <w:rFonts w:asciiTheme="minorHAnsi" w:hAnsiTheme="minorHAnsi"/>
            </w:rPr>
            <w:t>Oregon</w:t>
          </w:r>
        </w:smartTag>
      </w:smartTag>
      <w:r w:rsidRPr="00547165">
        <w:rPr>
          <w:rFonts w:asciiTheme="minorHAnsi" w:hAnsiTheme="minorHAnsi"/>
        </w:rPr>
        <w:t xml:space="preserve"> waters at background concentrations above the criteria.  These pollutants may come from a variety of sources, including air deposition, nonpoint source</w:t>
      </w:r>
      <w:r w:rsidR="00653685" w:rsidRPr="00547165">
        <w:rPr>
          <w:rFonts w:asciiTheme="minorHAnsi" w:hAnsiTheme="minorHAnsi"/>
        </w:rPr>
        <w:t>s</w:t>
      </w:r>
      <w:r w:rsidRPr="00547165">
        <w:rPr>
          <w:rFonts w:asciiTheme="minorHAnsi" w:hAnsiTheme="minorHAnsi"/>
        </w:rPr>
        <w:t xml:space="preserve">, legacy sources and current discharges.  </w:t>
      </w:r>
    </w:p>
    <w:p w:rsidR="00653685" w:rsidRPr="00547165" w:rsidRDefault="00653685" w:rsidP="00653685">
      <w:pPr>
        <w:spacing w:after="0" w:line="240" w:lineRule="auto"/>
        <w:ind w:left="-360" w:right="-720"/>
        <w:rPr>
          <w:rFonts w:asciiTheme="minorHAnsi" w:hAnsiTheme="minorHAnsi"/>
        </w:rPr>
      </w:pPr>
    </w:p>
    <w:p w:rsidR="0087226F" w:rsidRDefault="0087226F" w:rsidP="00103CD7">
      <w:pPr>
        <w:spacing w:after="0" w:line="240" w:lineRule="auto"/>
        <w:rPr>
          <w:rFonts w:asciiTheme="minorHAnsi" w:hAnsiTheme="minorHAnsi"/>
        </w:rPr>
      </w:pPr>
      <w:r w:rsidRPr="00547165">
        <w:rPr>
          <w:rFonts w:asciiTheme="minorHAnsi" w:hAnsiTheme="minorHAnsi"/>
        </w:rPr>
        <w:t xml:space="preserve">Some point sources in Oregon take water in from and discharge back into water bodies that have background pollutant levels that already exceed the water quality criteria.  </w:t>
      </w:r>
    </w:p>
    <w:p w:rsidR="00103CD7" w:rsidRPr="00547165" w:rsidRDefault="00103CD7" w:rsidP="00103CD7">
      <w:pPr>
        <w:spacing w:after="0" w:line="240" w:lineRule="auto"/>
        <w:rPr>
          <w:rFonts w:asciiTheme="minorHAnsi" w:hAnsiTheme="minorHAnsi"/>
        </w:rPr>
      </w:pPr>
    </w:p>
    <w:p w:rsidR="0087226F" w:rsidRDefault="0087226F" w:rsidP="00EC6E0A">
      <w:pPr>
        <w:spacing w:after="0" w:line="240" w:lineRule="auto"/>
        <w:rPr>
          <w:rFonts w:asciiTheme="minorHAnsi" w:hAnsiTheme="minorHAnsi"/>
        </w:rPr>
      </w:pPr>
      <w:r w:rsidRPr="00547165">
        <w:rPr>
          <w:rFonts w:asciiTheme="minorHAnsi" w:hAnsiTheme="minorHAnsi"/>
        </w:rPr>
        <w:t>For those point sources</w:t>
      </w:r>
      <w:r w:rsidR="00653685" w:rsidRPr="00547165">
        <w:rPr>
          <w:rFonts w:asciiTheme="minorHAnsi" w:hAnsiTheme="minorHAnsi"/>
        </w:rPr>
        <w:t xml:space="preserve"> that do not increase the mass </w:t>
      </w:r>
      <w:r w:rsidRPr="00547165">
        <w:rPr>
          <w:rFonts w:asciiTheme="minorHAnsi" w:hAnsiTheme="minorHAnsi"/>
        </w:rPr>
        <w:t>or the concentration of a background pollutant above their intake water levels, an “intake credit” provision (</w:t>
      </w:r>
      <w:r w:rsidR="000E3C94">
        <w:rPr>
          <w:rFonts w:asciiTheme="minorHAnsi" w:hAnsiTheme="minorHAnsi"/>
        </w:rPr>
        <w:t>patterned</w:t>
      </w:r>
      <w:r w:rsidR="000E3C94" w:rsidRPr="00547165">
        <w:rPr>
          <w:rFonts w:asciiTheme="minorHAnsi" w:hAnsiTheme="minorHAnsi"/>
        </w:rPr>
        <w:t xml:space="preserve"> </w:t>
      </w:r>
      <w:r w:rsidRPr="00547165">
        <w:rPr>
          <w:rFonts w:asciiTheme="minorHAnsi" w:hAnsiTheme="minorHAnsi"/>
        </w:rPr>
        <w:t xml:space="preserve">after that used in the Great Lakes) could provide regulatory relief relative to NPDES permit requirements.  Such sources would not be responsible for removing the background pollutants they took in via their </w:t>
      </w:r>
      <w:r w:rsidR="00653685" w:rsidRPr="00547165">
        <w:rPr>
          <w:rFonts w:asciiTheme="minorHAnsi" w:hAnsiTheme="minorHAnsi"/>
        </w:rPr>
        <w:t>intake water</w:t>
      </w:r>
      <w:r w:rsidRPr="00547165">
        <w:rPr>
          <w:rFonts w:asciiTheme="minorHAnsi" w:hAnsiTheme="minorHAnsi"/>
        </w:rPr>
        <w:t>.</w:t>
      </w:r>
      <w:r w:rsidR="00653685" w:rsidRPr="00547165">
        <w:rPr>
          <w:rFonts w:asciiTheme="minorHAnsi" w:hAnsiTheme="minorHAnsi"/>
        </w:rPr>
        <w:t xml:space="preserve">  For more information on intake credits, see pgs. XX – XX.</w:t>
      </w:r>
      <w:r w:rsidRPr="00547165">
        <w:rPr>
          <w:rFonts w:asciiTheme="minorHAnsi" w:hAnsiTheme="minorHAnsi"/>
        </w:rPr>
        <w:t xml:space="preserve">  </w:t>
      </w:r>
    </w:p>
    <w:p w:rsidR="00103CD7" w:rsidRPr="00547165" w:rsidRDefault="00103CD7" w:rsidP="00EC6E0A">
      <w:pPr>
        <w:spacing w:after="0" w:line="240" w:lineRule="auto"/>
        <w:rPr>
          <w:rFonts w:asciiTheme="minorHAnsi" w:hAnsiTheme="minorHAnsi"/>
        </w:rPr>
      </w:pPr>
    </w:p>
    <w:p w:rsidR="00103CD7" w:rsidRDefault="003451DB" w:rsidP="00EC6E0A">
      <w:pPr>
        <w:spacing w:after="0" w:line="240" w:lineRule="auto"/>
        <w:rPr>
          <w:rFonts w:asciiTheme="minorHAnsi" w:hAnsiTheme="minorHAnsi"/>
        </w:rPr>
      </w:pPr>
      <w:r w:rsidRPr="00547165">
        <w:rPr>
          <w:rFonts w:asciiTheme="minorHAnsi" w:hAnsiTheme="minorHAnsi"/>
        </w:rPr>
        <w:t>Intake credits, however, are not available for facilities which c</w:t>
      </w:r>
      <w:r w:rsidR="000910C4">
        <w:rPr>
          <w:rFonts w:asciiTheme="minorHAnsi" w:hAnsiTheme="minorHAnsi"/>
        </w:rPr>
        <w:t xml:space="preserve">oncentrate pollutants in their </w:t>
      </w:r>
      <w:r w:rsidRPr="00547165">
        <w:rPr>
          <w:rFonts w:asciiTheme="minorHAnsi" w:hAnsiTheme="minorHAnsi"/>
        </w:rPr>
        <w:t>discharge</w:t>
      </w:r>
      <w:r w:rsidR="0087226F" w:rsidRPr="00547165">
        <w:rPr>
          <w:rFonts w:asciiTheme="minorHAnsi" w:hAnsiTheme="minorHAnsi"/>
        </w:rPr>
        <w:t xml:space="preserve"> above </w:t>
      </w:r>
      <w:r w:rsidRPr="00547165">
        <w:rPr>
          <w:rFonts w:asciiTheme="minorHAnsi" w:hAnsiTheme="minorHAnsi"/>
        </w:rPr>
        <w:t xml:space="preserve">that which is </w:t>
      </w:r>
      <w:r w:rsidR="0087226F" w:rsidRPr="00547165">
        <w:rPr>
          <w:rFonts w:asciiTheme="minorHAnsi" w:hAnsiTheme="minorHAnsi"/>
        </w:rPr>
        <w:t xml:space="preserve">found in the intake water.  This </w:t>
      </w:r>
      <w:r w:rsidRPr="00547165">
        <w:rPr>
          <w:rFonts w:asciiTheme="minorHAnsi" w:hAnsiTheme="minorHAnsi"/>
        </w:rPr>
        <w:t>increase i</w:t>
      </w:r>
      <w:r w:rsidR="000910C4">
        <w:rPr>
          <w:rFonts w:asciiTheme="minorHAnsi" w:hAnsiTheme="minorHAnsi"/>
        </w:rPr>
        <w:t xml:space="preserve">n concentration </w:t>
      </w:r>
      <w:r w:rsidRPr="00547165">
        <w:rPr>
          <w:rFonts w:asciiTheme="minorHAnsi" w:hAnsiTheme="minorHAnsi"/>
        </w:rPr>
        <w:t xml:space="preserve">occurs because </w:t>
      </w:r>
      <w:r w:rsidR="00412B8F" w:rsidRPr="00547165">
        <w:rPr>
          <w:rFonts w:asciiTheme="minorHAnsi" w:hAnsiTheme="minorHAnsi"/>
        </w:rPr>
        <w:t xml:space="preserve">some </w:t>
      </w:r>
      <w:r w:rsidRPr="00547165">
        <w:rPr>
          <w:rFonts w:asciiTheme="minorHAnsi" w:hAnsiTheme="minorHAnsi"/>
        </w:rPr>
        <w:t xml:space="preserve">facility processes </w:t>
      </w:r>
      <w:r w:rsidR="0087226F" w:rsidRPr="00547165">
        <w:rPr>
          <w:rFonts w:asciiTheme="minorHAnsi" w:hAnsiTheme="minorHAnsi"/>
        </w:rPr>
        <w:t>reduce the volume of water through evaporation</w:t>
      </w:r>
      <w:r w:rsidR="000910C4">
        <w:rPr>
          <w:rFonts w:asciiTheme="minorHAnsi" w:hAnsiTheme="minorHAnsi"/>
        </w:rPr>
        <w:t xml:space="preserve"> (e.g. non-</w:t>
      </w:r>
      <w:r w:rsidR="00412B8F" w:rsidRPr="00547165">
        <w:rPr>
          <w:rFonts w:asciiTheme="minorHAnsi" w:hAnsiTheme="minorHAnsi"/>
        </w:rPr>
        <w:t xml:space="preserve">contact cooling), and thus, </w:t>
      </w:r>
      <w:r w:rsidR="0087226F" w:rsidRPr="00547165">
        <w:rPr>
          <w:rFonts w:asciiTheme="minorHAnsi" w:hAnsiTheme="minorHAnsi"/>
        </w:rPr>
        <w:t>the same mass is mixed in a smaller volume of water</w:t>
      </w:r>
      <w:r w:rsidRPr="00547165">
        <w:rPr>
          <w:rFonts w:asciiTheme="minorHAnsi" w:hAnsiTheme="minorHAnsi"/>
        </w:rPr>
        <w:t>,</w:t>
      </w:r>
      <w:r w:rsidR="0087226F" w:rsidRPr="00547165">
        <w:rPr>
          <w:rFonts w:asciiTheme="minorHAnsi" w:hAnsiTheme="minorHAnsi"/>
        </w:rPr>
        <w:t xml:space="preserve"> thereby increasing concentration.  Due to this increase in concentration</w:t>
      </w:r>
      <w:r w:rsidRPr="00547165">
        <w:rPr>
          <w:rFonts w:asciiTheme="minorHAnsi" w:hAnsiTheme="minorHAnsi"/>
        </w:rPr>
        <w:t xml:space="preserve"> and because the background pollutant levels already exceed the water quality criteria (i.e., no dilution is available through mixing zones), </w:t>
      </w:r>
      <w:r w:rsidR="0087226F" w:rsidRPr="00547165">
        <w:rPr>
          <w:rFonts w:asciiTheme="minorHAnsi" w:hAnsiTheme="minorHAnsi"/>
        </w:rPr>
        <w:t>the point source would be required to</w:t>
      </w:r>
      <w:r w:rsidR="000910C4">
        <w:rPr>
          <w:rFonts w:asciiTheme="minorHAnsi" w:hAnsiTheme="minorHAnsi"/>
        </w:rPr>
        <w:t xml:space="preserve"> meet the water quality </w:t>
      </w:r>
      <w:r w:rsidR="00412B8F" w:rsidRPr="00547165">
        <w:rPr>
          <w:rFonts w:asciiTheme="minorHAnsi" w:hAnsiTheme="minorHAnsi"/>
        </w:rPr>
        <w:t>criterion</w:t>
      </w:r>
      <w:r w:rsidR="0087226F" w:rsidRPr="00547165">
        <w:rPr>
          <w:rFonts w:asciiTheme="minorHAnsi" w:hAnsiTheme="minorHAnsi"/>
        </w:rPr>
        <w:t xml:space="preserve"> for that pollutant at the “end-of-pipe.” </w:t>
      </w:r>
    </w:p>
    <w:p w:rsidR="00103CD7" w:rsidRDefault="00103CD7" w:rsidP="00EC6E0A">
      <w:pPr>
        <w:spacing w:after="0" w:line="240" w:lineRule="auto"/>
        <w:rPr>
          <w:rFonts w:asciiTheme="minorHAnsi" w:hAnsiTheme="minorHAnsi"/>
        </w:rPr>
      </w:pPr>
    </w:p>
    <w:p w:rsidR="00103CD7" w:rsidRDefault="0087226F" w:rsidP="00EC6E0A">
      <w:pPr>
        <w:spacing w:after="0" w:line="240" w:lineRule="auto"/>
        <w:rPr>
          <w:rFonts w:asciiTheme="minorHAnsi" w:hAnsiTheme="minorHAnsi"/>
        </w:rPr>
      </w:pPr>
      <w:r w:rsidRPr="00547165">
        <w:rPr>
          <w:rFonts w:asciiTheme="minorHAnsi" w:hAnsiTheme="minorHAnsi"/>
        </w:rPr>
        <w:t xml:space="preserve">In Oregon, most facilities recycle their cooling water, using it multiple times </w:t>
      </w:r>
      <w:r w:rsidR="00412B8F" w:rsidRPr="00547165">
        <w:rPr>
          <w:rFonts w:asciiTheme="minorHAnsi" w:hAnsiTheme="minorHAnsi"/>
        </w:rPr>
        <w:t xml:space="preserve">before discharging to the receiving stream.  Multiple </w:t>
      </w:r>
      <w:r w:rsidRPr="00547165">
        <w:rPr>
          <w:rFonts w:asciiTheme="minorHAnsi" w:hAnsiTheme="minorHAnsi"/>
        </w:rPr>
        <w:t>pass cooling allows the facility to withdraw less wat</w:t>
      </w:r>
      <w:r w:rsidR="00412B8F" w:rsidRPr="00547165">
        <w:rPr>
          <w:rFonts w:asciiTheme="minorHAnsi" w:hAnsiTheme="minorHAnsi"/>
        </w:rPr>
        <w:t xml:space="preserve">er from the river (and may conserve heat loss from the stream depending on </w:t>
      </w:r>
      <w:proofErr w:type="spellStart"/>
      <w:r w:rsidR="00412B8F" w:rsidRPr="00547165">
        <w:rPr>
          <w:rFonts w:asciiTheme="minorHAnsi" w:hAnsiTheme="minorHAnsi"/>
        </w:rPr>
        <w:t>waterbody</w:t>
      </w:r>
      <w:proofErr w:type="spellEnd"/>
      <w:r w:rsidR="00412B8F" w:rsidRPr="00547165">
        <w:rPr>
          <w:rFonts w:asciiTheme="minorHAnsi" w:hAnsiTheme="minorHAnsi"/>
        </w:rPr>
        <w:t xml:space="preserve"> characteristics)</w:t>
      </w:r>
      <w:r w:rsidRPr="00547165">
        <w:rPr>
          <w:rFonts w:asciiTheme="minorHAnsi" w:hAnsiTheme="minorHAnsi"/>
        </w:rPr>
        <w:t xml:space="preserve">, </w:t>
      </w:r>
      <w:r w:rsidR="00412B8F" w:rsidRPr="00547165">
        <w:rPr>
          <w:rFonts w:asciiTheme="minorHAnsi" w:hAnsiTheme="minorHAnsi"/>
        </w:rPr>
        <w:t xml:space="preserve">so </w:t>
      </w:r>
      <w:r w:rsidRPr="00547165">
        <w:rPr>
          <w:rFonts w:asciiTheme="minorHAnsi" w:hAnsiTheme="minorHAnsi"/>
        </w:rPr>
        <w:t>is environmentally preferable over single</w:t>
      </w:r>
      <w:r w:rsidR="00412B8F" w:rsidRPr="00547165">
        <w:rPr>
          <w:rFonts w:asciiTheme="minorHAnsi" w:hAnsiTheme="minorHAnsi"/>
        </w:rPr>
        <w:t xml:space="preserve"> pass cooling.  However, it can lead to </w:t>
      </w:r>
      <w:r w:rsidRPr="00547165">
        <w:rPr>
          <w:rFonts w:asciiTheme="minorHAnsi" w:hAnsiTheme="minorHAnsi"/>
        </w:rPr>
        <w:t>effluent concentration</w:t>
      </w:r>
      <w:r w:rsidR="00412B8F" w:rsidRPr="00547165">
        <w:rPr>
          <w:rFonts w:asciiTheme="minorHAnsi" w:hAnsiTheme="minorHAnsi"/>
        </w:rPr>
        <w:t xml:space="preserve">s that are higher than receiving stream background </w:t>
      </w:r>
      <w:r w:rsidRPr="00547165">
        <w:rPr>
          <w:rFonts w:asciiTheme="minorHAnsi" w:hAnsiTheme="minorHAnsi"/>
        </w:rPr>
        <w:t>concentration</w:t>
      </w:r>
      <w:r w:rsidR="00412B8F" w:rsidRPr="00547165">
        <w:rPr>
          <w:rFonts w:asciiTheme="minorHAnsi" w:hAnsiTheme="minorHAnsi"/>
        </w:rPr>
        <w:t>s for that pollutant</w:t>
      </w:r>
      <w:r w:rsidRPr="00547165">
        <w:rPr>
          <w:rFonts w:asciiTheme="minorHAnsi" w:hAnsiTheme="minorHAnsi"/>
        </w:rPr>
        <w:t xml:space="preserve">.  </w:t>
      </w:r>
    </w:p>
    <w:p w:rsidR="00103CD7" w:rsidRDefault="00103CD7" w:rsidP="00EC6E0A">
      <w:pPr>
        <w:spacing w:after="0" w:line="240" w:lineRule="auto"/>
        <w:rPr>
          <w:rFonts w:asciiTheme="minorHAnsi" w:hAnsiTheme="minorHAnsi"/>
        </w:rPr>
      </w:pPr>
    </w:p>
    <w:p w:rsidR="0093455D" w:rsidRDefault="0087226F" w:rsidP="00EC6E0A">
      <w:pPr>
        <w:spacing w:after="0" w:line="240" w:lineRule="auto"/>
        <w:rPr>
          <w:rFonts w:asciiTheme="minorHAnsi" w:hAnsiTheme="minorHAnsi"/>
        </w:rPr>
      </w:pPr>
      <w:r w:rsidRPr="00547165">
        <w:rPr>
          <w:rFonts w:asciiTheme="minorHAnsi" w:hAnsiTheme="minorHAnsi"/>
        </w:rPr>
        <w:t xml:space="preserve">In situations like this, the discharger cannot remedy the sources of these background pollutants that occur upstream of their discharge. Further, where the ultimate concentration increase in the receiving stream is small, there is concern that implementation of a remedy by the discharger to control the small increase in concentration (e.g., reducing the number of </w:t>
      </w:r>
      <w:r w:rsidR="001D57C8" w:rsidRPr="00547165">
        <w:rPr>
          <w:rFonts w:asciiTheme="minorHAnsi" w:hAnsiTheme="minorHAnsi"/>
        </w:rPr>
        <w:tab/>
      </w:r>
      <w:r w:rsidRPr="00547165">
        <w:rPr>
          <w:rFonts w:asciiTheme="minorHAnsi" w:hAnsiTheme="minorHAnsi"/>
        </w:rPr>
        <w:t xml:space="preserve">pass through cycles) would result in more environmental damage than leaving the current process in place. </w:t>
      </w:r>
      <w:r w:rsidR="001D57C8" w:rsidRPr="00547165">
        <w:rPr>
          <w:rFonts w:asciiTheme="minorHAnsi" w:hAnsiTheme="minorHAnsi"/>
        </w:rPr>
        <w:t xml:space="preserve"> </w:t>
      </w:r>
    </w:p>
    <w:p w:rsidR="0093455D" w:rsidRDefault="0093455D" w:rsidP="00EC6E0A">
      <w:pPr>
        <w:spacing w:after="0" w:line="240" w:lineRule="auto"/>
        <w:rPr>
          <w:rFonts w:asciiTheme="minorHAnsi" w:hAnsiTheme="minorHAnsi"/>
        </w:rPr>
      </w:pPr>
    </w:p>
    <w:p w:rsidR="0087226F" w:rsidRPr="00547165" w:rsidRDefault="001D57C8" w:rsidP="00EC6E0A">
      <w:pPr>
        <w:spacing w:after="0" w:line="240" w:lineRule="auto"/>
        <w:rPr>
          <w:rFonts w:asciiTheme="minorHAnsi" w:hAnsiTheme="minorHAnsi"/>
        </w:rPr>
      </w:pPr>
      <w:r w:rsidRPr="00547165">
        <w:rPr>
          <w:rFonts w:asciiTheme="minorHAnsi" w:hAnsiTheme="minorHAnsi"/>
        </w:rPr>
        <w:t>The following discussion describes three poten</w:t>
      </w:r>
      <w:r w:rsidR="0093455D">
        <w:rPr>
          <w:rFonts w:asciiTheme="minorHAnsi" w:hAnsiTheme="minorHAnsi"/>
        </w:rPr>
        <w:t xml:space="preserve">tial tools for addressing this </w:t>
      </w:r>
      <w:r w:rsidRPr="00547165">
        <w:rPr>
          <w:rFonts w:asciiTheme="minorHAnsi" w:hAnsiTheme="minorHAnsi"/>
        </w:rPr>
        <w:t>situation</w:t>
      </w:r>
      <w:r w:rsidR="0093455D">
        <w:rPr>
          <w:rFonts w:asciiTheme="minorHAnsi" w:hAnsiTheme="minorHAnsi"/>
        </w:rPr>
        <w:t xml:space="preserve">:  (1) general permits, (2) </w:t>
      </w:r>
      <w:r w:rsidR="009841C7">
        <w:rPr>
          <w:rFonts w:asciiTheme="minorHAnsi" w:hAnsiTheme="minorHAnsi"/>
        </w:rPr>
        <w:t xml:space="preserve">de </w:t>
      </w:r>
      <w:proofErr w:type="spellStart"/>
      <w:r w:rsidR="009841C7">
        <w:rPr>
          <w:rFonts w:asciiTheme="minorHAnsi" w:hAnsiTheme="minorHAnsi"/>
        </w:rPr>
        <w:t>minimus</w:t>
      </w:r>
      <w:proofErr w:type="spellEnd"/>
      <w:r w:rsidR="009841C7">
        <w:rPr>
          <w:rFonts w:asciiTheme="minorHAnsi" w:hAnsiTheme="minorHAnsi"/>
        </w:rPr>
        <w:t xml:space="preserve"> approach, and (3) </w:t>
      </w:r>
      <w:r w:rsidR="0093455D">
        <w:rPr>
          <w:rFonts w:asciiTheme="minorHAnsi" w:hAnsiTheme="minorHAnsi"/>
        </w:rPr>
        <w:t>multiple discharger variance</w:t>
      </w:r>
      <w:r w:rsidR="004A4541">
        <w:rPr>
          <w:rFonts w:asciiTheme="minorHAnsi" w:hAnsiTheme="minorHAnsi"/>
        </w:rPr>
        <w:t>s</w:t>
      </w:r>
      <w:r w:rsidRPr="00547165">
        <w:rPr>
          <w:rFonts w:asciiTheme="minorHAnsi" w:hAnsiTheme="minorHAnsi"/>
        </w:rPr>
        <w:t xml:space="preserve">. </w:t>
      </w:r>
      <w:r w:rsidR="0093455D">
        <w:rPr>
          <w:rFonts w:asciiTheme="minorHAnsi" w:hAnsiTheme="minorHAnsi"/>
        </w:rPr>
        <w:t xml:space="preserve"> All three tools would be applicable to industrial </w:t>
      </w:r>
      <w:proofErr w:type="gramStart"/>
      <w:r w:rsidR="0093455D">
        <w:rPr>
          <w:rFonts w:asciiTheme="minorHAnsi" w:hAnsiTheme="minorHAnsi"/>
        </w:rPr>
        <w:t>facilitie</w:t>
      </w:r>
      <w:r w:rsidR="00A705E4">
        <w:rPr>
          <w:rFonts w:asciiTheme="minorHAnsi" w:hAnsiTheme="minorHAnsi"/>
        </w:rPr>
        <w:t>s,</w:t>
      </w:r>
      <w:proofErr w:type="gramEnd"/>
      <w:r w:rsidR="00A705E4">
        <w:rPr>
          <w:rFonts w:asciiTheme="minorHAnsi" w:hAnsiTheme="minorHAnsi"/>
        </w:rPr>
        <w:t xml:space="preserve"> however, POTWs</w:t>
      </w:r>
      <w:r w:rsidR="004A4541">
        <w:rPr>
          <w:rFonts w:asciiTheme="minorHAnsi" w:hAnsiTheme="minorHAnsi"/>
        </w:rPr>
        <w:t xml:space="preserve"> would not be eligible to implement </w:t>
      </w:r>
      <w:r w:rsidR="009841C7">
        <w:rPr>
          <w:rFonts w:asciiTheme="minorHAnsi" w:hAnsiTheme="minorHAnsi"/>
        </w:rPr>
        <w:t xml:space="preserve">these tools </w:t>
      </w:r>
      <w:r w:rsidR="004A4541">
        <w:rPr>
          <w:rFonts w:asciiTheme="minorHAnsi" w:hAnsiTheme="minorHAnsi"/>
        </w:rPr>
        <w:t xml:space="preserve">given their unique situation.  For example, municipalities receive their intake water from a wide variety of sources, including regulated and non-regulated entities.  All three potential tools are limited to situations where the source water and discharge water are taken from and into the same </w:t>
      </w:r>
      <w:proofErr w:type="spellStart"/>
      <w:r w:rsidR="004A4541">
        <w:rPr>
          <w:rFonts w:asciiTheme="minorHAnsi" w:hAnsiTheme="minorHAnsi"/>
        </w:rPr>
        <w:t>waterbody</w:t>
      </w:r>
      <w:proofErr w:type="spellEnd"/>
      <w:r w:rsidR="004A4541">
        <w:rPr>
          <w:rFonts w:asciiTheme="minorHAnsi" w:hAnsiTheme="minorHAnsi"/>
        </w:rPr>
        <w:t xml:space="preserve">.  </w:t>
      </w:r>
      <w:r w:rsidR="00736A93">
        <w:rPr>
          <w:rFonts w:asciiTheme="minorHAnsi" w:hAnsiTheme="minorHAnsi"/>
        </w:rPr>
        <w:t>In addition, m</w:t>
      </w:r>
      <w:r w:rsidR="004A4541">
        <w:rPr>
          <w:rFonts w:asciiTheme="minorHAnsi" w:hAnsiTheme="minorHAnsi"/>
        </w:rPr>
        <w:t>unicipalities will most likely no</w:t>
      </w:r>
      <w:r w:rsidR="00736A93">
        <w:rPr>
          <w:rFonts w:asciiTheme="minorHAnsi" w:hAnsiTheme="minorHAnsi"/>
        </w:rPr>
        <w:t>t have issues with concentrating its</w:t>
      </w:r>
      <w:r w:rsidR="004A4541">
        <w:rPr>
          <w:rFonts w:asciiTheme="minorHAnsi" w:hAnsiTheme="minorHAnsi"/>
        </w:rPr>
        <w:t xml:space="preserve"> discharge water due to evaporative treatment processes such as non-contact cooling.  Municipal facilities may also be able to take advantage of pre-treatment programs, voluntary pollution prevention programs, or through city ordinances.</w:t>
      </w:r>
      <w:r w:rsidR="00736A93">
        <w:rPr>
          <w:rFonts w:asciiTheme="minorHAnsi" w:hAnsiTheme="minorHAnsi"/>
        </w:rPr>
        <w:t xml:space="preserve">  Although multiple discharge variances are not currently pro</w:t>
      </w:r>
      <w:r w:rsidR="00C12F93">
        <w:rPr>
          <w:rFonts w:asciiTheme="minorHAnsi" w:hAnsiTheme="minorHAnsi"/>
        </w:rPr>
        <w:t>posed to apply to POTWs</w:t>
      </w:r>
      <w:r w:rsidR="00736A93">
        <w:rPr>
          <w:rFonts w:asciiTheme="minorHAnsi" w:hAnsiTheme="minorHAnsi"/>
        </w:rPr>
        <w:t xml:space="preserve">, an individual variance may be sought </w:t>
      </w:r>
      <w:r w:rsidR="00A705E4">
        <w:rPr>
          <w:rFonts w:asciiTheme="minorHAnsi" w:hAnsiTheme="minorHAnsi"/>
        </w:rPr>
        <w:t xml:space="preserve">by POTWs </w:t>
      </w:r>
      <w:r w:rsidR="00736A93">
        <w:rPr>
          <w:rFonts w:asciiTheme="minorHAnsi" w:hAnsiTheme="minorHAnsi"/>
        </w:rPr>
        <w:t xml:space="preserve">for approval. </w:t>
      </w:r>
      <w:r w:rsidR="004A4541">
        <w:rPr>
          <w:rFonts w:asciiTheme="minorHAnsi" w:hAnsiTheme="minorHAnsi"/>
        </w:rPr>
        <w:t xml:space="preserve">  </w:t>
      </w:r>
    </w:p>
    <w:p w:rsidR="0087226F" w:rsidRDefault="0087226F">
      <w:pPr>
        <w:rPr>
          <w:rFonts w:asciiTheme="minorHAnsi" w:hAnsiTheme="minorHAnsi"/>
        </w:rPr>
      </w:pPr>
    </w:p>
    <w:p w:rsidR="00DB1EFF" w:rsidRPr="00C80AFE" w:rsidRDefault="00DB1EFF" w:rsidP="00C80AFE">
      <w:pPr>
        <w:rPr>
          <w:rStyle w:val="IntenseEmphasis"/>
          <w:rFonts w:asciiTheme="minorHAnsi" w:hAnsiTheme="minorHAnsi"/>
          <w:sz w:val="28"/>
          <w:szCs w:val="28"/>
        </w:rPr>
      </w:pPr>
      <w:r w:rsidRPr="00DB1EFF">
        <w:rPr>
          <w:rStyle w:val="IntenseEmphasis"/>
          <w:sz w:val="28"/>
          <w:szCs w:val="28"/>
        </w:rPr>
        <w:t>1.</w:t>
      </w:r>
      <w:r>
        <w:rPr>
          <w:rStyle w:val="IntenseEmphasis"/>
          <w:rFonts w:asciiTheme="minorHAnsi" w:hAnsiTheme="minorHAnsi"/>
          <w:sz w:val="28"/>
          <w:szCs w:val="28"/>
        </w:rPr>
        <w:t xml:space="preserve"> </w:t>
      </w:r>
      <w:r w:rsidRPr="00E41633">
        <w:rPr>
          <w:rStyle w:val="IntenseEmphasis"/>
          <w:rFonts w:asciiTheme="minorHAnsi" w:hAnsiTheme="minorHAnsi"/>
          <w:sz w:val="28"/>
          <w:szCs w:val="28"/>
        </w:rPr>
        <w:t>General Permits</w:t>
      </w:r>
    </w:p>
    <w:p w:rsidR="00DB1EFF" w:rsidRPr="00944B4F" w:rsidRDefault="00DB1EFF" w:rsidP="00DB1EFF">
      <w:pPr>
        <w:pStyle w:val="ListParagraph"/>
        <w:numPr>
          <w:ilvl w:val="0"/>
          <w:numId w:val="22"/>
        </w:numPr>
        <w:rPr>
          <w:rStyle w:val="BookTitle"/>
          <w:rFonts w:asciiTheme="minorHAnsi" w:hAnsiTheme="minorHAnsi"/>
          <w:sz w:val="28"/>
          <w:szCs w:val="28"/>
        </w:rPr>
      </w:pPr>
      <w:r w:rsidRPr="00944B4F">
        <w:rPr>
          <w:rStyle w:val="BookTitle"/>
          <w:rFonts w:asciiTheme="minorHAnsi" w:hAnsiTheme="minorHAnsi"/>
          <w:sz w:val="28"/>
          <w:szCs w:val="28"/>
        </w:rPr>
        <w:t>Description</w:t>
      </w:r>
    </w:p>
    <w:p w:rsidR="00DB1EFF" w:rsidRPr="00944B4F" w:rsidRDefault="00DB1EFF" w:rsidP="00DB1EFF">
      <w:pPr>
        <w:spacing w:line="240" w:lineRule="auto"/>
        <w:rPr>
          <w:rFonts w:asciiTheme="minorHAnsi" w:hAnsiTheme="minorHAnsi" w:cs="Arial"/>
        </w:rPr>
      </w:pPr>
      <w:r w:rsidRPr="00944B4F">
        <w:rPr>
          <w:rFonts w:asciiTheme="minorHAnsi" w:hAnsiTheme="minorHAnsi" w:cs="Arial"/>
        </w:rPr>
        <w:t xml:space="preserve">General permits (GPs) are written to </w:t>
      </w:r>
      <w:r w:rsidRPr="00CE26A5">
        <w:rPr>
          <w:rFonts w:asciiTheme="minorHAnsi" w:hAnsiTheme="minorHAnsi" w:cs="Arial"/>
        </w:rPr>
        <w:t>implement common effluent limit requirements</w:t>
      </w:r>
      <w:r w:rsidRPr="00944B4F">
        <w:rPr>
          <w:rFonts w:asciiTheme="minorHAnsi" w:hAnsiTheme="minorHAnsi" w:cs="Arial"/>
        </w:rPr>
        <w:t xml:space="preserve"> for specified categories of minor discharge sources</w:t>
      </w:r>
      <w:r w:rsidRPr="00944B4F">
        <w:rPr>
          <w:rFonts w:asciiTheme="minorHAnsi" w:hAnsiTheme="minorHAnsi" w:cs="Arial"/>
          <w:color w:val="0070C0"/>
        </w:rPr>
        <w:t>.</w:t>
      </w:r>
      <w:r w:rsidRPr="00944B4F">
        <w:rPr>
          <w:rFonts w:asciiTheme="minorHAnsi" w:hAnsiTheme="minorHAnsi" w:cs="Arial"/>
        </w:rPr>
        <w:t xml:space="preserve">  Pursuant to 40 CFR 122.21 (h), GPs have relaxed monitoring requirements compared to individual permits and may utilize a “net credit” to account for the presence of pollutants in intake water</w:t>
      </w:r>
      <w:r w:rsidRPr="00944B4F">
        <w:rPr>
          <w:rStyle w:val="FootnoteReference"/>
          <w:rFonts w:asciiTheme="minorHAnsi" w:hAnsiTheme="minorHAnsi" w:cs="Arial"/>
        </w:rPr>
        <w:footnoteReference w:id="3"/>
      </w:r>
      <w:r w:rsidRPr="00944B4F">
        <w:rPr>
          <w:rFonts w:asciiTheme="minorHAnsi" w:hAnsiTheme="minorHAnsi" w:cs="Arial"/>
        </w:rPr>
        <w:t>.</w:t>
      </w:r>
    </w:p>
    <w:p w:rsidR="00DB1EFF" w:rsidRPr="00944B4F" w:rsidRDefault="00DB1EFF" w:rsidP="00DB1EFF">
      <w:pPr>
        <w:spacing w:line="240" w:lineRule="auto"/>
        <w:rPr>
          <w:rFonts w:asciiTheme="minorHAnsi" w:hAnsiTheme="minorHAnsi" w:cs="Arial"/>
        </w:rPr>
      </w:pPr>
      <w:r w:rsidRPr="00944B4F">
        <w:rPr>
          <w:rFonts w:asciiTheme="minorHAnsi" w:hAnsiTheme="minorHAnsi" w:cs="Arial"/>
        </w:rPr>
        <w:t xml:space="preserve">In Oregon, a qualifying facility would apply for coverage under a general permit by submitting </w:t>
      </w:r>
      <w:r w:rsidRPr="00944B4F">
        <w:rPr>
          <w:rFonts w:asciiTheme="minorHAnsi" w:hAnsiTheme="minorHAnsi" w:cs="Arial"/>
          <w:b/>
        </w:rPr>
        <w:t>EPA Form 2E</w:t>
      </w:r>
      <w:r w:rsidRPr="00944B4F">
        <w:rPr>
          <w:rFonts w:asciiTheme="minorHAnsi" w:hAnsiTheme="minorHAnsi" w:cs="Arial"/>
        </w:rPr>
        <w:t xml:space="preserve"> which reflects the relaxed monitoring requirements</w:t>
      </w:r>
      <w:r w:rsidRPr="00944B4F">
        <w:rPr>
          <w:rStyle w:val="FootnoteReference"/>
          <w:rFonts w:asciiTheme="minorHAnsi" w:hAnsiTheme="minorHAnsi" w:cs="Arial"/>
        </w:rPr>
        <w:footnoteReference w:id="4"/>
      </w:r>
      <w:r w:rsidRPr="00944B4F">
        <w:rPr>
          <w:rFonts w:asciiTheme="minorHAnsi" w:hAnsiTheme="minorHAnsi" w:cs="Arial"/>
        </w:rPr>
        <w:t xml:space="preserve"> when compared to the individual permit application (</w:t>
      </w:r>
      <w:r w:rsidRPr="00944B4F">
        <w:rPr>
          <w:rFonts w:asciiTheme="minorHAnsi" w:hAnsiTheme="minorHAnsi" w:cs="Arial"/>
          <w:b/>
        </w:rPr>
        <w:t>EPA Form 2D</w:t>
      </w:r>
      <w:r w:rsidRPr="00944B4F">
        <w:rPr>
          <w:rFonts w:asciiTheme="minorHAnsi" w:hAnsiTheme="minorHAnsi" w:cs="Arial"/>
        </w:rPr>
        <w:t>/</w:t>
      </w:r>
      <w:r w:rsidRPr="00944B4F">
        <w:rPr>
          <w:rFonts w:asciiTheme="minorHAnsi" w:hAnsiTheme="minorHAnsi" w:cs="Arial"/>
          <w:b/>
        </w:rPr>
        <w:t>C)</w:t>
      </w:r>
      <w:r w:rsidRPr="00944B4F">
        <w:rPr>
          <w:rFonts w:asciiTheme="minorHAnsi" w:hAnsiTheme="minorHAnsi" w:cs="Arial"/>
        </w:rPr>
        <w:t xml:space="preserve">.  Oregon’s administrative rule limit general permits to </w:t>
      </w:r>
      <w:r w:rsidRPr="00944B4F">
        <w:rPr>
          <w:rFonts w:asciiTheme="minorHAnsi" w:hAnsiTheme="minorHAnsi" w:cs="Arial"/>
          <w:i/>
        </w:rPr>
        <w:t>minor</w:t>
      </w:r>
      <w:r w:rsidRPr="00944B4F">
        <w:rPr>
          <w:rFonts w:asciiTheme="minorHAnsi" w:hAnsiTheme="minorHAnsi" w:cs="Arial"/>
        </w:rPr>
        <w:t xml:space="preserve"> facilities or activities and currently uses EPA’s </w:t>
      </w:r>
      <w:r w:rsidRPr="00944B4F">
        <w:rPr>
          <w:rFonts w:asciiTheme="minorHAnsi" w:hAnsiTheme="minorHAnsi" w:cs="Arial"/>
          <w:i/>
        </w:rPr>
        <w:t>NPDES Non-municipal Permit Rating System</w:t>
      </w:r>
      <w:r w:rsidRPr="00944B4F">
        <w:rPr>
          <w:rFonts w:asciiTheme="minorHAnsi" w:hAnsiTheme="minorHAnsi" w:cs="Arial"/>
        </w:rPr>
        <w:t xml:space="preserve"> to determine status.  General permits may place limits on the quantity and concentration of pollutants allowed to be discharged.  To ensure compliance with these limits and conditions, general permits may require monitoring and reporting. In most cases, general permits have a term of five years.</w:t>
      </w:r>
    </w:p>
    <w:p w:rsidR="00DB1EFF" w:rsidRPr="00944B4F" w:rsidRDefault="00DB1EFF" w:rsidP="00DB1EFF">
      <w:pPr>
        <w:spacing w:line="240" w:lineRule="auto"/>
        <w:rPr>
          <w:rFonts w:asciiTheme="minorHAnsi" w:hAnsiTheme="minorHAnsi" w:cs="Arial"/>
        </w:rPr>
      </w:pPr>
      <w:r w:rsidRPr="00944B4F">
        <w:rPr>
          <w:rFonts w:asciiTheme="minorHAnsi" w:hAnsiTheme="minorHAnsi" w:cs="Arial"/>
        </w:rPr>
        <w:t>The Department currently allows general permits pursuant to the terms and conditions set forth in 40 CFR 122.28 and OAR 340-045-0033.  The following table describes the NPDES permits currently offered by the department that describe processes or activities that are also commonly covered in individual industrial permits.</w:t>
      </w:r>
    </w:p>
    <w:tbl>
      <w:tblPr>
        <w:tblW w:w="3114" w:type="pct"/>
        <w:jc w:val="center"/>
        <w:tblCellSpacing w:w="15" w:type="dxa"/>
        <w:tblCellMar>
          <w:top w:w="15" w:type="dxa"/>
          <w:left w:w="15" w:type="dxa"/>
          <w:bottom w:w="15" w:type="dxa"/>
          <w:right w:w="15" w:type="dxa"/>
        </w:tblCellMar>
        <w:tblLook w:val="04A0"/>
      </w:tblPr>
      <w:tblGrid>
        <w:gridCol w:w="1107"/>
        <w:gridCol w:w="4791"/>
      </w:tblGrid>
      <w:tr w:rsidR="00DB1EFF" w:rsidRPr="00944B4F" w:rsidTr="00DB1EFF">
        <w:trPr>
          <w:tblCellSpacing w:w="15" w:type="dxa"/>
          <w:jc w:val="center"/>
        </w:trPr>
        <w:tc>
          <w:tcPr>
            <w:tcW w:w="900" w:type="pct"/>
            <w:tcBorders>
              <w:top w:val="single" w:sz="4" w:space="0" w:color="auto"/>
              <w:left w:val="single" w:sz="4" w:space="0" w:color="auto"/>
              <w:bottom w:val="nil"/>
              <w:right w:val="nil"/>
            </w:tcBorders>
            <w:shd w:val="clear" w:color="auto" w:fill="E2E2E2"/>
            <w:hideMark/>
          </w:tcPr>
          <w:p w:rsidR="00DB1EFF" w:rsidRPr="00944B4F" w:rsidRDefault="00DB1EFF" w:rsidP="00DB1EFF">
            <w:pPr>
              <w:spacing w:after="0" w:line="240" w:lineRule="auto"/>
              <w:rPr>
                <w:rFonts w:asciiTheme="minorHAnsi" w:eastAsia="Times New Roman" w:hAnsiTheme="minorHAnsi"/>
                <w:b/>
                <w:color w:val="000000"/>
              </w:rPr>
            </w:pPr>
            <w:r w:rsidRPr="00944B4F">
              <w:rPr>
                <w:rFonts w:asciiTheme="minorHAnsi" w:eastAsia="Times New Roman" w:hAnsiTheme="minorHAnsi"/>
                <w:b/>
                <w:color w:val="000000"/>
              </w:rPr>
              <w:t>Permit</w:t>
            </w:r>
          </w:p>
        </w:tc>
        <w:tc>
          <w:tcPr>
            <w:tcW w:w="4024" w:type="pct"/>
            <w:tcBorders>
              <w:top w:val="single" w:sz="4" w:space="0" w:color="auto"/>
              <w:left w:val="nil"/>
              <w:bottom w:val="nil"/>
              <w:right w:val="single" w:sz="4" w:space="0" w:color="auto"/>
            </w:tcBorders>
            <w:shd w:val="clear" w:color="auto" w:fill="E2E2E2"/>
            <w:hideMark/>
          </w:tcPr>
          <w:p w:rsidR="00DB1EFF" w:rsidRPr="00944B4F" w:rsidRDefault="00DB1EFF" w:rsidP="00DB1EFF">
            <w:pPr>
              <w:spacing w:after="0" w:line="240" w:lineRule="auto"/>
              <w:rPr>
                <w:rFonts w:asciiTheme="minorHAnsi" w:eastAsia="Times New Roman" w:hAnsiTheme="minorHAnsi"/>
                <w:b/>
                <w:color w:val="000000"/>
              </w:rPr>
            </w:pPr>
            <w:r w:rsidRPr="00944B4F">
              <w:rPr>
                <w:rFonts w:asciiTheme="minorHAnsi" w:eastAsia="Times New Roman" w:hAnsiTheme="minorHAnsi"/>
                <w:b/>
                <w:color w:val="000000"/>
              </w:rPr>
              <w:t>Description</w:t>
            </w:r>
          </w:p>
        </w:tc>
      </w:tr>
      <w:tr w:rsidR="00DB1EFF" w:rsidRPr="00944B4F" w:rsidTr="00DB1EFF">
        <w:trPr>
          <w:tblCellSpacing w:w="15" w:type="dxa"/>
          <w:jc w:val="center"/>
        </w:trPr>
        <w:tc>
          <w:tcPr>
            <w:tcW w:w="900" w:type="pct"/>
            <w:tcBorders>
              <w:top w:val="nil"/>
              <w:left w:val="single" w:sz="4" w:space="0" w:color="auto"/>
              <w:bottom w:val="nil"/>
              <w:right w:val="nil"/>
            </w:tcBorders>
            <w:hideMark/>
          </w:tcPr>
          <w:p w:rsidR="00DB1EFF" w:rsidRPr="00944B4F" w:rsidRDefault="00DB1EFF" w:rsidP="00DB1EFF">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100-J</w:t>
            </w:r>
          </w:p>
        </w:tc>
        <w:tc>
          <w:tcPr>
            <w:tcW w:w="4024" w:type="pct"/>
            <w:tcBorders>
              <w:top w:val="nil"/>
              <w:left w:val="nil"/>
              <w:bottom w:val="nil"/>
              <w:right w:val="single" w:sz="4" w:space="0" w:color="auto"/>
            </w:tcBorders>
            <w:hideMark/>
          </w:tcPr>
          <w:p w:rsidR="00DB1EFF" w:rsidRPr="00944B4F" w:rsidRDefault="00DB1EFF" w:rsidP="00DB1EFF">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Cooling water/heat pumps</w:t>
            </w:r>
          </w:p>
        </w:tc>
      </w:tr>
      <w:tr w:rsidR="00DB1EFF" w:rsidRPr="00944B4F" w:rsidTr="00DB1EFF">
        <w:trPr>
          <w:tblCellSpacing w:w="15" w:type="dxa"/>
          <w:jc w:val="center"/>
        </w:trPr>
        <w:tc>
          <w:tcPr>
            <w:tcW w:w="900" w:type="pct"/>
            <w:tcBorders>
              <w:top w:val="nil"/>
              <w:left w:val="single" w:sz="4" w:space="0" w:color="auto"/>
              <w:bottom w:val="nil"/>
              <w:right w:val="nil"/>
            </w:tcBorders>
            <w:shd w:val="clear" w:color="auto" w:fill="EFEBDE"/>
            <w:hideMark/>
          </w:tcPr>
          <w:p w:rsidR="00DB1EFF" w:rsidRPr="00944B4F" w:rsidRDefault="00DB1EFF" w:rsidP="00DB1EFF">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200-J</w:t>
            </w:r>
          </w:p>
        </w:tc>
        <w:tc>
          <w:tcPr>
            <w:tcW w:w="4024" w:type="pct"/>
            <w:tcBorders>
              <w:top w:val="nil"/>
              <w:left w:val="nil"/>
              <w:bottom w:val="nil"/>
              <w:right w:val="single" w:sz="4" w:space="0" w:color="auto"/>
            </w:tcBorders>
            <w:shd w:val="clear" w:color="auto" w:fill="EFEBDE"/>
            <w:hideMark/>
          </w:tcPr>
          <w:p w:rsidR="00DB1EFF" w:rsidRPr="00944B4F" w:rsidRDefault="00DB1EFF" w:rsidP="00DB1EFF">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Filter backwash</w:t>
            </w:r>
          </w:p>
        </w:tc>
      </w:tr>
      <w:tr w:rsidR="00DB1EFF" w:rsidRPr="00944B4F" w:rsidTr="00DB1EFF">
        <w:trPr>
          <w:tblCellSpacing w:w="15" w:type="dxa"/>
          <w:jc w:val="center"/>
        </w:trPr>
        <w:tc>
          <w:tcPr>
            <w:tcW w:w="900" w:type="pct"/>
            <w:tcBorders>
              <w:top w:val="nil"/>
              <w:left w:val="single" w:sz="4" w:space="0" w:color="auto"/>
              <w:bottom w:val="nil"/>
              <w:right w:val="nil"/>
            </w:tcBorders>
            <w:hideMark/>
          </w:tcPr>
          <w:p w:rsidR="00DB1EFF" w:rsidRPr="00944B4F" w:rsidRDefault="00DB1EFF" w:rsidP="00DB1EFF">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300-J</w:t>
            </w:r>
          </w:p>
        </w:tc>
        <w:tc>
          <w:tcPr>
            <w:tcW w:w="4024" w:type="pct"/>
            <w:tcBorders>
              <w:top w:val="nil"/>
              <w:left w:val="nil"/>
              <w:bottom w:val="nil"/>
              <w:right w:val="single" w:sz="4" w:space="0" w:color="auto"/>
            </w:tcBorders>
            <w:hideMark/>
          </w:tcPr>
          <w:p w:rsidR="00DB1EFF" w:rsidRPr="00944B4F" w:rsidRDefault="00DB1EFF" w:rsidP="00DB1EFF">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Fish hatcheries</w:t>
            </w:r>
          </w:p>
        </w:tc>
      </w:tr>
      <w:tr w:rsidR="00DB1EFF" w:rsidRPr="00944B4F" w:rsidTr="00DB1EFF">
        <w:trPr>
          <w:tblCellSpacing w:w="15" w:type="dxa"/>
          <w:jc w:val="center"/>
        </w:trPr>
        <w:tc>
          <w:tcPr>
            <w:tcW w:w="900" w:type="pct"/>
            <w:tcBorders>
              <w:top w:val="nil"/>
              <w:left w:val="single" w:sz="4" w:space="0" w:color="auto"/>
              <w:bottom w:val="nil"/>
              <w:right w:val="nil"/>
            </w:tcBorders>
            <w:shd w:val="clear" w:color="auto" w:fill="EFEBDE"/>
            <w:hideMark/>
          </w:tcPr>
          <w:p w:rsidR="00DB1EFF" w:rsidRPr="00944B4F" w:rsidRDefault="00DB1EFF" w:rsidP="00DB1EFF">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400-J</w:t>
            </w:r>
          </w:p>
        </w:tc>
        <w:tc>
          <w:tcPr>
            <w:tcW w:w="4024" w:type="pct"/>
            <w:tcBorders>
              <w:top w:val="nil"/>
              <w:left w:val="nil"/>
              <w:bottom w:val="nil"/>
              <w:right w:val="single" w:sz="4" w:space="0" w:color="auto"/>
            </w:tcBorders>
            <w:shd w:val="clear" w:color="auto" w:fill="EFEBDE"/>
            <w:hideMark/>
          </w:tcPr>
          <w:p w:rsidR="00DB1EFF" w:rsidRPr="00944B4F" w:rsidRDefault="00DB1EFF" w:rsidP="00DB1EFF">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Log ponds</w:t>
            </w:r>
          </w:p>
        </w:tc>
      </w:tr>
      <w:tr w:rsidR="00DB1EFF" w:rsidRPr="00944B4F" w:rsidTr="00DB1EFF">
        <w:trPr>
          <w:tblCellSpacing w:w="15" w:type="dxa"/>
          <w:jc w:val="center"/>
        </w:trPr>
        <w:tc>
          <w:tcPr>
            <w:tcW w:w="900" w:type="pct"/>
            <w:tcBorders>
              <w:top w:val="nil"/>
              <w:left w:val="single" w:sz="4" w:space="0" w:color="auto"/>
              <w:bottom w:val="nil"/>
              <w:right w:val="nil"/>
            </w:tcBorders>
            <w:hideMark/>
          </w:tcPr>
          <w:p w:rsidR="00DB1EFF" w:rsidRPr="00944B4F" w:rsidRDefault="00DB1EFF" w:rsidP="00DB1EFF">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500-J</w:t>
            </w:r>
          </w:p>
        </w:tc>
        <w:tc>
          <w:tcPr>
            <w:tcW w:w="4024" w:type="pct"/>
            <w:tcBorders>
              <w:top w:val="nil"/>
              <w:left w:val="nil"/>
              <w:bottom w:val="nil"/>
              <w:right w:val="single" w:sz="4" w:space="0" w:color="auto"/>
            </w:tcBorders>
            <w:hideMark/>
          </w:tcPr>
          <w:p w:rsidR="00DB1EFF" w:rsidRPr="00944B4F" w:rsidRDefault="00DB1EFF" w:rsidP="00DB1EFF">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 xml:space="preserve">Boiler </w:t>
            </w:r>
            <w:proofErr w:type="spellStart"/>
            <w:r w:rsidRPr="00944B4F">
              <w:rPr>
                <w:rFonts w:asciiTheme="minorHAnsi" w:eastAsia="Times New Roman" w:hAnsiTheme="minorHAnsi"/>
                <w:color w:val="000000"/>
              </w:rPr>
              <w:t>blowdown</w:t>
            </w:r>
            <w:proofErr w:type="spellEnd"/>
          </w:p>
        </w:tc>
      </w:tr>
      <w:tr w:rsidR="00DB1EFF" w:rsidRPr="00944B4F" w:rsidTr="00DB1EFF">
        <w:trPr>
          <w:tblCellSpacing w:w="15" w:type="dxa"/>
          <w:jc w:val="center"/>
        </w:trPr>
        <w:tc>
          <w:tcPr>
            <w:tcW w:w="900" w:type="pct"/>
            <w:tcBorders>
              <w:top w:val="nil"/>
              <w:left w:val="single" w:sz="4" w:space="0" w:color="auto"/>
              <w:bottom w:val="nil"/>
              <w:right w:val="nil"/>
            </w:tcBorders>
            <w:shd w:val="clear" w:color="auto" w:fill="EFEBDE"/>
            <w:hideMark/>
          </w:tcPr>
          <w:p w:rsidR="00DB1EFF" w:rsidRPr="00944B4F" w:rsidRDefault="00DB1EFF" w:rsidP="00DB1EFF">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900-J</w:t>
            </w:r>
          </w:p>
        </w:tc>
        <w:tc>
          <w:tcPr>
            <w:tcW w:w="4024" w:type="pct"/>
            <w:tcBorders>
              <w:top w:val="nil"/>
              <w:left w:val="nil"/>
              <w:bottom w:val="nil"/>
              <w:right w:val="single" w:sz="4" w:space="0" w:color="auto"/>
            </w:tcBorders>
            <w:shd w:val="clear" w:color="auto" w:fill="EFEBDE"/>
            <w:hideMark/>
          </w:tcPr>
          <w:p w:rsidR="00DB1EFF" w:rsidRPr="00944B4F" w:rsidRDefault="00DB1EFF" w:rsidP="00DB1EFF">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Seafood processing</w:t>
            </w:r>
          </w:p>
        </w:tc>
      </w:tr>
      <w:tr w:rsidR="00DB1EFF" w:rsidRPr="00944B4F" w:rsidTr="00DB1EFF">
        <w:trPr>
          <w:tblCellSpacing w:w="15" w:type="dxa"/>
          <w:jc w:val="center"/>
        </w:trPr>
        <w:tc>
          <w:tcPr>
            <w:tcW w:w="900" w:type="pct"/>
            <w:tcBorders>
              <w:top w:val="nil"/>
              <w:left w:val="single" w:sz="4" w:space="0" w:color="auto"/>
              <w:bottom w:val="nil"/>
              <w:right w:val="nil"/>
            </w:tcBorders>
            <w:shd w:val="clear" w:color="auto" w:fill="EFEBDE"/>
            <w:hideMark/>
          </w:tcPr>
          <w:p w:rsidR="00DB1EFF" w:rsidRPr="00944B4F" w:rsidRDefault="00DB1EFF" w:rsidP="00DB1EFF">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1500-A</w:t>
            </w:r>
          </w:p>
        </w:tc>
        <w:tc>
          <w:tcPr>
            <w:tcW w:w="4024" w:type="pct"/>
            <w:tcBorders>
              <w:top w:val="nil"/>
              <w:left w:val="nil"/>
              <w:bottom w:val="nil"/>
              <w:right w:val="single" w:sz="4" w:space="0" w:color="auto"/>
            </w:tcBorders>
            <w:shd w:val="clear" w:color="auto" w:fill="EFEBDE"/>
            <w:hideMark/>
          </w:tcPr>
          <w:p w:rsidR="00DB1EFF" w:rsidRPr="00944B4F" w:rsidRDefault="00DB1EFF" w:rsidP="00DB1EFF">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Tanks cleanup and treatment of groundwater</w:t>
            </w:r>
          </w:p>
        </w:tc>
      </w:tr>
      <w:tr w:rsidR="00DB1EFF" w:rsidRPr="00944B4F" w:rsidTr="00DB1EFF">
        <w:trPr>
          <w:tblCellSpacing w:w="15" w:type="dxa"/>
          <w:jc w:val="center"/>
        </w:trPr>
        <w:tc>
          <w:tcPr>
            <w:tcW w:w="900" w:type="pct"/>
            <w:tcBorders>
              <w:top w:val="nil"/>
              <w:left w:val="single" w:sz="4" w:space="0" w:color="auto"/>
              <w:bottom w:val="nil"/>
              <w:right w:val="nil"/>
            </w:tcBorders>
            <w:shd w:val="clear" w:color="auto" w:fill="EFEBDE"/>
            <w:hideMark/>
          </w:tcPr>
          <w:p w:rsidR="00DB1EFF" w:rsidRPr="00944B4F" w:rsidRDefault="00DB1EFF" w:rsidP="00DB1EFF">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1700-A</w:t>
            </w:r>
          </w:p>
        </w:tc>
        <w:tc>
          <w:tcPr>
            <w:tcW w:w="4024" w:type="pct"/>
            <w:tcBorders>
              <w:top w:val="nil"/>
              <w:left w:val="nil"/>
              <w:bottom w:val="nil"/>
              <w:right w:val="single" w:sz="4" w:space="0" w:color="auto"/>
            </w:tcBorders>
            <w:shd w:val="clear" w:color="auto" w:fill="EFEBDE"/>
            <w:hideMark/>
          </w:tcPr>
          <w:p w:rsidR="00DB1EFF" w:rsidRPr="00944B4F" w:rsidRDefault="00DB1EFF" w:rsidP="00DB1EFF">
            <w:pPr>
              <w:spacing w:after="0" w:line="240" w:lineRule="auto"/>
              <w:rPr>
                <w:rFonts w:asciiTheme="minorHAnsi" w:eastAsia="Times New Roman" w:hAnsiTheme="minorHAnsi"/>
                <w:color w:val="000000"/>
              </w:rPr>
            </w:pPr>
            <w:proofErr w:type="spellStart"/>
            <w:r w:rsidRPr="00944B4F">
              <w:rPr>
                <w:rFonts w:asciiTheme="minorHAnsi" w:eastAsia="Times New Roman" w:hAnsiTheme="minorHAnsi"/>
                <w:color w:val="000000"/>
              </w:rPr>
              <w:t>Washwater</w:t>
            </w:r>
            <w:proofErr w:type="spellEnd"/>
          </w:p>
        </w:tc>
      </w:tr>
      <w:tr w:rsidR="00DB1EFF" w:rsidRPr="00944B4F" w:rsidTr="00DB1EFF">
        <w:trPr>
          <w:tblCellSpacing w:w="15" w:type="dxa"/>
          <w:jc w:val="center"/>
        </w:trPr>
        <w:tc>
          <w:tcPr>
            <w:tcW w:w="900" w:type="pct"/>
            <w:tcBorders>
              <w:top w:val="nil"/>
              <w:left w:val="single" w:sz="4" w:space="0" w:color="auto"/>
              <w:bottom w:val="single" w:sz="4" w:space="0" w:color="auto"/>
              <w:right w:val="nil"/>
            </w:tcBorders>
            <w:shd w:val="clear" w:color="auto" w:fill="EFEBDE"/>
            <w:hideMark/>
          </w:tcPr>
          <w:p w:rsidR="00DB1EFF" w:rsidRPr="00944B4F" w:rsidRDefault="00DB1EFF" w:rsidP="00DB1EFF">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1900-J</w:t>
            </w:r>
          </w:p>
        </w:tc>
        <w:tc>
          <w:tcPr>
            <w:tcW w:w="4024" w:type="pct"/>
            <w:tcBorders>
              <w:top w:val="nil"/>
              <w:left w:val="nil"/>
              <w:bottom w:val="single" w:sz="4" w:space="0" w:color="auto"/>
              <w:right w:val="single" w:sz="4" w:space="0" w:color="auto"/>
            </w:tcBorders>
            <w:shd w:val="clear" w:color="auto" w:fill="EFEBDE"/>
            <w:hideMark/>
          </w:tcPr>
          <w:p w:rsidR="00DB1EFF" w:rsidRPr="00944B4F" w:rsidRDefault="00DB1EFF" w:rsidP="00DB1EFF">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Non contact geothermal</w:t>
            </w:r>
          </w:p>
        </w:tc>
      </w:tr>
    </w:tbl>
    <w:p w:rsidR="00DB1EFF" w:rsidRPr="00944B4F" w:rsidRDefault="00DB1EFF" w:rsidP="00DB1EFF">
      <w:pPr>
        <w:spacing w:line="240" w:lineRule="auto"/>
        <w:rPr>
          <w:rFonts w:asciiTheme="minorHAnsi" w:hAnsiTheme="minorHAnsi" w:cs="Arial"/>
        </w:rPr>
      </w:pPr>
    </w:p>
    <w:p w:rsidR="00DB1EFF" w:rsidRDefault="00DB1EFF" w:rsidP="00DB1EFF">
      <w:pPr>
        <w:spacing w:line="240" w:lineRule="auto"/>
        <w:rPr>
          <w:rStyle w:val="BookTitle"/>
          <w:sz w:val="28"/>
          <w:szCs w:val="28"/>
        </w:rPr>
      </w:pPr>
      <w:r>
        <w:rPr>
          <w:rStyle w:val="BookTitle"/>
          <w:sz w:val="28"/>
          <w:szCs w:val="28"/>
        </w:rPr>
        <w:t>B.  Applicability/Scope</w:t>
      </w:r>
    </w:p>
    <w:p w:rsidR="00C80AFE" w:rsidRPr="00C80AFE" w:rsidRDefault="00C80AFE" w:rsidP="00C80AFE">
      <w:pPr>
        <w:pStyle w:val="Subtitle"/>
        <w:rPr>
          <w:rStyle w:val="BookTitle"/>
        </w:rPr>
      </w:pPr>
      <w:r>
        <w:rPr>
          <w:rStyle w:val="BookTitle"/>
        </w:rPr>
        <w:t>to be completed</w:t>
      </w:r>
    </w:p>
    <w:p w:rsidR="00DB1EFF" w:rsidRDefault="00DB1EFF" w:rsidP="00DB1EFF">
      <w:pPr>
        <w:spacing w:line="240" w:lineRule="auto"/>
        <w:rPr>
          <w:rStyle w:val="BookTitle"/>
          <w:sz w:val="28"/>
          <w:szCs w:val="28"/>
        </w:rPr>
      </w:pPr>
      <w:r w:rsidRPr="00E41633">
        <w:rPr>
          <w:rStyle w:val="BookTitle"/>
          <w:sz w:val="28"/>
          <w:szCs w:val="28"/>
        </w:rPr>
        <w:t>C.  DEQ Recommendation</w:t>
      </w:r>
    </w:p>
    <w:p w:rsidR="001154E9" w:rsidRPr="001154E9" w:rsidRDefault="001154E9" w:rsidP="00DB1EFF">
      <w:pPr>
        <w:spacing w:line="240" w:lineRule="auto"/>
        <w:rPr>
          <w:rStyle w:val="BookTitle"/>
          <w:rFonts w:asciiTheme="minorHAnsi" w:hAnsiTheme="minorHAnsi" w:cs="Arial"/>
          <w:b w:val="0"/>
          <w:bCs w:val="0"/>
          <w:smallCaps w:val="0"/>
          <w:spacing w:val="0"/>
        </w:rPr>
      </w:pPr>
      <w:r>
        <w:rPr>
          <w:rFonts w:asciiTheme="minorHAnsi" w:hAnsiTheme="minorHAnsi" w:cs="Arial"/>
        </w:rPr>
        <w:t xml:space="preserve">Current practice for many facilities is to co-mingle a variety of process and activities into one effluent stream and maintain a single, all encompassing discharge permit.   When addressing permitting issues associated with background pollutants, these facilities should evaluate their operations to determine if they possess processes or activities that could potentially be addressed by one of the Department’s general permits.  </w:t>
      </w:r>
      <w:r w:rsidRPr="00944B4F">
        <w:rPr>
          <w:rFonts w:asciiTheme="minorHAnsi" w:hAnsiTheme="minorHAnsi" w:cs="Arial"/>
        </w:rPr>
        <w:t xml:space="preserve">Where appropriate, facilities may consider physical separation of one of the aforementioned processes or activities and separately permit it under a general permit.  To facilitate this, the Department should streamline the process by developing guidance describing an administrative pathway and providing technical support.  </w:t>
      </w:r>
    </w:p>
    <w:p w:rsidR="00DB1EFF" w:rsidRPr="00C80AFE" w:rsidRDefault="00DB1EFF" w:rsidP="00DB1EFF">
      <w:pPr>
        <w:rPr>
          <w:rStyle w:val="BookTitle"/>
          <w:rFonts w:asciiTheme="minorHAnsi" w:hAnsiTheme="minorHAnsi" w:cs="Arial"/>
          <w:bCs w:val="0"/>
          <w:smallCaps w:val="0"/>
          <w:spacing w:val="0"/>
        </w:rPr>
      </w:pPr>
      <w:r w:rsidRPr="00944B4F">
        <w:rPr>
          <w:rStyle w:val="BookTitle"/>
          <w:sz w:val="28"/>
          <w:szCs w:val="28"/>
        </w:rPr>
        <w:t>D.  Policy Issues and Objectives</w:t>
      </w:r>
    </w:p>
    <w:p w:rsidR="00DB1EFF" w:rsidRPr="00944B4F" w:rsidRDefault="00DB1EFF" w:rsidP="00DB1EFF">
      <w:pPr>
        <w:autoSpaceDE w:val="0"/>
        <w:autoSpaceDN w:val="0"/>
        <w:adjustRightInd w:val="0"/>
        <w:spacing w:line="240" w:lineRule="auto"/>
        <w:rPr>
          <w:rFonts w:asciiTheme="minorHAnsi" w:hAnsiTheme="minorHAnsi" w:cs="Arial"/>
        </w:rPr>
      </w:pPr>
      <w:r w:rsidRPr="00944B4F">
        <w:rPr>
          <w:rFonts w:asciiTheme="minorHAnsi" w:hAnsiTheme="minorHAnsi" w:cs="Arial"/>
        </w:rPr>
        <w:t>As part of the development of the proposed fish-consumption based human health water quality criteria, it is necessary to develop a series of implementation tools to assist the regulators and regulated community in permitting new and existing facilities.  An indentified area of concern is the presence of naturally occurring and legacy pollutants in surface and ground waters used in municipal water systems and industrial non-production applications (e.g. non-contact cooling, boiler water, cooling tower blow down and filter backwash).  It has been suggested that a General Permit (GP) might be used to efficiently implement the new water quality criteria for specific categories of discharge, or specific geographic areas.</w:t>
      </w:r>
    </w:p>
    <w:p w:rsidR="00DB1EFF" w:rsidRPr="00944B4F" w:rsidRDefault="00DB1EFF" w:rsidP="00DB1EFF">
      <w:pPr>
        <w:autoSpaceDE w:val="0"/>
        <w:autoSpaceDN w:val="0"/>
        <w:adjustRightInd w:val="0"/>
        <w:spacing w:line="240" w:lineRule="auto"/>
        <w:rPr>
          <w:rFonts w:asciiTheme="minorHAnsi" w:hAnsiTheme="minorHAnsi" w:cs="Arial"/>
        </w:rPr>
      </w:pPr>
      <w:r w:rsidRPr="00944B4F">
        <w:rPr>
          <w:rFonts w:asciiTheme="minorHAnsi" w:hAnsiTheme="minorHAnsi" w:cs="Arial"/>
        </w:rPr>
        <w:t>General permits differ from individual permits in that they only cover one process or activity, where most individual permits cover multiple processes or activities.  Additionally, general permits do not have many of the pollutant monitoring and reasonable potential analysis requirements that individual permits have.  Often, individually permitted facilities may contain one or more of the processes covered under general permits.  This may lead to the instance where a facility with co-mingled processes and an individual permit would have more stringent effluent discharge limits than if the processes where separately permitted with a combination of an individual and general permit.</w:t>
      </w:r>
    </w:p>
    <w:p w:rsidR="00DB1EFF" w:rsidRPr="00944B4F" w:rsidRDefault="00DB1EFF" w:rsidP="00DB1EFF">
      <w:pPr>
        <w:autoSpaceDE w:val="0"/>
        <w:autoSpaceDN w:val="0"/>
        <w:adjustRightInd w:val="0"/>
        <w:spacing w:line="240" w:lineRule="auto"/>
        <w:rPr>
          <w:rFonts w:asciiTheme="minorHAnsi" w:hAnsiTheme="minorHAnsi" w:cs="Arial"/>
        </w:rPr>
      </w:pPr>
      <w:r w:rsidRPr="00944B4F">
        <w:rPr>
          <w:rFonts w:asciiTheme="minorHAnsi" w:hAnsiTheme="minorHAnsi" w:cs="Arial"/>
        </w:rPr>
        <w:t>The objective of this implementation tool is to develop a process to address the presence of pollutants in source waters by identifying opportunities where the use of a general permit might be more appropriate and result in a more process-specific hazard evaluation.</w:t>
      </w:r>
    </w:p>
    <w:p w:rsidR="00DB1EFF" w:rsidRDefault="00DB1EFF" w:rsidP="00DB1EFF">
      <w:pPr>
        <w:spacing w:after="120" w:line="240" w:lineRule="auto"/>
        <w:rPr>
          <w:rFonts w:asciiTheme="minorHAnsi" w:hAnsiTheme="minorHAnsi" w:cs="Arial"/>
          <w:b/>
        </w:rPr>
      </w:pPr>
      <w:r w:rsidRPr="00944B4F">
        <w:rPr>
          <w:rStyle w:val="BookTitle"/>
          <w:sz w:val="28"/>
          <w:szCs w:val="28"/>
        </w:rPr>
        <w:t>E.  Policy Evaluation</w:t>
      </w:r>
      <w:r w:rsidRPr="00944B4F">
        <w:rPr>
          <w:rFonts w:asciiTheme="minorHAnsi" w:hAnsiTheme="minorHAnsi" w:cs="Arial"/>
          <w:b/>
        </w:rPr>
        <w:t xml:space="preserve">  </w:t>
      </w:r>
    </w:p>
    <w:p w:rsidR="00DB1EFF" w:rsidRPr="00FB5286" w:rsidRDefault="00DB1EFF" w:rsidP="00DB1EFF">
      <w:pPr>
        <w:spacing w:after="120" w:line="240" w:lineRule="auto"/>
        <w:rPr>
          <w:rStyle w:val="IntenseEmphasis"/>
        </w:rPr>
      </w:pPr>
      <w:r w:rsidRPr="00FB5286">
        <w:rPr>
          <w:rStyle w:val="IntenseEmphasis"/>
        </w:rPr>
        <w:t>Advantages and Disadvantages</w:t>
      </w:r>
    </w:p>
    <w:p w:rsidR="00DB1EFF" w:rsidRPr="00944B4F" w:rsidRDefault="00DB1EFF" w:rsidP="00DB1EFF">
      <w:pPr>
        <w:spacing w:after="120" w:line="240" w:lineRule="auto"/>
        <w:rPr>
          <w:rFonts w:asciiTheme="minorHAnsi" w:hAnsiTheme="minorHAnsi" w:cs="Arial"/>
        </w:rPr>
      </w:pPr>
      <w:r>
        <w:rPr>
          <w:rFonts w:asciiTheme="minorHAnsi" w:hAnsiTheme="minorHAnsi" w:cs="Arial"/>
        </w:rPr>
        <w:t>As part of the rule</w:t>
      </w:r>
      <w:r w:rsidRPr="00944B4F">
        <w:rPr>
          <w:rFonts w:asciiTheme="minorHAnsi" w:hAnsiTheme="minorHAnsi" w:cs="Arial"/>
        </w:rPr>
        <w:t xml:space="preserve">making process to address the revised fish consumption values and corresponding human health criteria, a concern was raised by many of the stake holders concerning the effects of naturally occurring and legacy pollutants in source waters.  Accordingly, a number of implementation tools have been suggested including a variety of general permit based approaches.  </w:t>
      </w:r>
      <w:r w:rsidRPr="00C80AFE">
        <w:rPr>
          <w:rFonts w:asciiTheme="minorHAnsi" w:hAnsiTheme="minorHAnsi" w:cs="Arial"/>
        </w:rPr>
        <w:t>The Department selected the approach of using existing General Permit Rule language and permits to address background pollutants from source waters.</w:t>
      </w:r>
    </w:p>
    <w:p w:rsidR="00DB1EFF" w:rsidRPr="00944B4F" w:rsidRDefault="00DB1EFF" w:rsidP="00DB1EFF">
      <w:pPr>
        <w:spacing w:after="120" w:line="240" w:lineRule="auto"/>
        <w:rPr>
          <w:rFonts w:asciiTheme="minorHAnsi" w:hAnsiTheme="minorHAnsi" w:cs="Arial"/>
        </w:rPr>
      </w:pPr>
      <w:r w:rsidRPr="00944B4F">
        <w:rPr>
          <w:rFonts w:asciiTheme="minorHAnsi" w:hAnsiTheme="minorHAnsi" w:cs="Arial"/>
        </w:rPr>
        <w:t>Advantages of the selected option are:</w:t>
      </w:r>
    </w:p>
    <w:p w:rsidR="00DB1EFF" w:rsidRPr="00944B4F" w:rsidRDefault="00DB1EFF" w:rsidP="00DB1EFF">
      <w:pPr>
        <w:pStyle w:val="ListParagraph"/>
        <w:numPr>
          <w:ilvl w:val="0"/>
          <w:numId w:val="20"/>
        </w:numPr>
        <w:spacing w:after="120" w:line="240" w:lineRule="auto"/>
        <w:rPr>
          <w:rFonts w:asciiTheme="minorHAnsi" w:hAnsiTheme="minorHAnsi" w:cs="Arial"/>
        </w:rPr>
      </w:pPr>
      <w:r w:rsidRPr="00944B4F">
        <w:rPr>
          <w:rFonts w:asciiTheme="minorHAnsi" w:hAnsiTheme="minorHAnsi" w:cs="Arial"/>
        </w:rPr>
        <w:t>Option is currently authorized through existing rules</w:t>
      </w:r>
    </w:p>
    <w:p w:rsidR="00DB1EFF" w:rsidRPr="00944B4F" w:rsidRDefault="00DB1EFF" w:rsidP="00DB1EFF">
      <w:pPr>
        <w:pStyle w:val="ListParagraph"/>
        <w:numPr>
          <w:ilvl w:val="0"/>
          <w:numId w:val="20"/>
        </w:numPr>
        <w:spacing w:after="120" w:line="240" w:lineRule="auto"/>
        <w:rPr>
          <w:rFonts w:asciiTheme="minorHAnsi" w:hAnsiTheme="minorHAnsi" w:cs="Arial"/>
        </w:rPr>
      </w:pPr>
      <w:r w:rsidRPr="00944B4F">
        <w:rPr>
          <w:rFonts w:asciiTheme="minorHAnsi" w:hAnsiTheme="minorHAnsi" w:cs="Arial"/>
        </w:rPr>
        <w:t>Separate permits with separate effluent streams would simplify permit development and compliance processes</w:t>
      </w:r>
    </w:p>
    <w:p w:rsidR="00DB1EFF" w:rsidRPr="00944B4F" w:rsidRDefault="00DB1EFF" w:rsidP="00DB1EFF">
      <w:pPr>
        <w:pStyle w:val="ListParagraph"/>
        <w:numPr>
          <w:ilvl w:val="0"/>
          <w:numId w:val="20"/>
        </w:numPr>
        <w:spacing w:after="120" w:line="240" w:lineRule="auto"/>
        <w:rPr>
          <w:rFonts w:asciiTheme="minorHAnsi" w:hAnsiTheme="minorHAnsi" w:cs="Arial"/>
        </w:rPr>
      </w:pPr>
      <w:r w:rsidRPr="00944B4F">
        <w:rPr>
          <w:rFonts w:asciiTheme="minorHAnsi" w:hAnsiTheme="minorHAnsi" w:cs="Arial"/>
        </w:rPr>
        <w:t>Could work-in conjunction with other adopted implementation tools (e.g. intake credits)</w:t>
      </w:r>
    </w:p>
    <w:p w:rsidR="00DB1EFF" w:rsidRPr="00944B4F" w:rsidRDefault="00DB1EFF" w:rsidP="00DB1EFF">
      <w:pPr>
        <w:pStyle w:val="ListParagraph"/>
        <w:numPr>
          <w:ilvl w:val="0"/>
          <w:numId w:val="20"/>
        </w:numPr>
        <w:spacing w:after="120" w:line="240" w:lineRule="auto"/>
        <w:rPr>
          <w:rFonts w:asciiTheme="minorHAnsi" w:hAnsiTheme="minorHAnsi" w:cs="Arial"/>
        </w:rPr>
      </w:pPr>
      <w:r w:rsidRPr="00944B4F">
        <w:rPr>
          <w:rFonts w:asciiTheme="minorHAnsi" w:hAnsiTheme="minorHAnsi" w:cs="Arial"/>
        </w:rPr>
        <w:t>Would permit a more succinct evaluation of the environmental hazards of each effluent stream</w:t>
      </w:r>
    </w:p>
    <w:p w:rsidR="00DB1EFF" w:rsidRPr="00944B4F" w:rsidRDefault="00DB1EFF" w:rsidP="00DB1EFF">
      <w:pPr>
        <w:pStyle w:val="ListParagraph"/>
        <w:numPr>
          <w:ilvl w:val="0"/>
          <w:numId w:val="20"/>
        </w:numPr>
        <w:spacing w:after="120" w:line="240" w:lineRule="auto"/>
        <w:rPr>
          <w:rFonts w:asciiTheme="minorHAnsi" w:hAnsiTheme="minorHAnsi" w:cs="Arial"/>
        </w:rPr>
      </w:pPr>
      <w:r w:rsidRPr="00944B4F">
        <w:rPr>
          <w:rFonts w:asciiTheme="minorHAnsi" w:hAnsiTheme="minorHAnsi" w:cs="Arial"/>
        </w:rPr>
        <w:t xml:space="preserve">Might serve to minimize the degree to which a </w:t>
      </w:r>
      <w:proofErr w:type="spellStart"/>
      <w:r w:rsidRPr="00944B4F">
        <w:rPr>
          <w:rFonts w:asciiTheme="minorHAnsi" w:hAnsiTheme="minorHAnsi" w:cs="Arial"/>
        </w:rPr>
        <w:t>permittee</w:t>
      </w:r>
      <w:proofErr w:type="spellEnd"/>
      <w:r w:rsidRPr="00944B4F">
        <w:rPr>
          <w:rFonts w:asciiTheme="minorHAnsi" w:hAnsiTheme="minorHAnsi" w:cs="Arial"/>
        </w:rPr>
        <w:t xml:space="preserve"> would have to remove naturally occurring or legacy pollutants from source waters. </w:t>
      </w:r>
    </w:p>
    <w:p w:rsidR="00DB1EFF" w:rsidRPr="00944B4F" w:rsidRDefault="00DB1EFF" w:rsidP="00DB1EFF">
      <w:pPr>
        <w:pStyle w:val="ListParagraph"/>
        <w:numPr>
          <w:ilvl w:val="0"/>
          <w:numId w:val="20"/>
        </w:numPr>
        <w:spacing w:after="120" w:line="240" w:lineRule="auto"/>
        <w:rPr>
          <w:rFonts w:asciiTheme="minorHAnsi" w:hAnsiTheme="minorHAnsi" w:cs="Arial"/>
        </w:rPr>
      </w:pPr>
      <w:r w:rsidRPr="00944B4F">
        <w:rPr>
          <w:rFonts w:asciiTheme="minorHAnsi" w:hAnsiTheme="minorHAnsi" w:cs="Arial"/>
        </w:rPr>
        <w:t>The Department may develop new General Permit categories as long as they meet the requirements</w:t>
      </w:r>
      <w:r w:rsidRPr="00944B4F">
        <w:rPr>
          <w:rStyle w:val="FootnoteReference"/>
          <w:rFonts w:asciiTheme="minorHAnsi" w:hAnsiTheme="minorHAnsi" w:cs="Arial"/>
        </w:rPr>
        <w:footnoteReference w:id="5"/>
      </w:r>
      <w:r w:rsidRPr="00944B4F">
        <w:rPr>
          <w:rFonts w:asciiTheme="minorHAnsi" w:hAnsiTheme="minorHAnsi" w:cs="Arial"/>
        </w:rPr>
        <w:t xml:space="preserve"> set fort</w:t>
      </w:r>
      <w:r>
        <w:rPr>
          <w:rFonts w:asciiTheme="minorHAnsi" w:hAnsiTheme="minorHAnsi" w:cs="Arial"/>
        </w:rPr>
        <w:t>h in 40 CFR 122.21 and .28 with</w:t>
      </w:r>
      <w:r w:rsidRPr="00944B4F">
        <w:rPr>
          <w:rFonts w:asciiTheme="minorHAnsi" w:hAnsiTheme="minorHAnsi" w:cs="Arial"/>
        </w:rPr>
        <w:t>out formal rulemaking</w:t>
      </w:r>
    </w:p>
    <w:p w:rsidR="00DB1EFF" w:rsidRPr="00944B4F" w:rsidRDefault="00DB1EFF" w:rsidP="00DB1EFF">
      <w:pPr>
        <w:spacing w:after="120" w:line="240" w:lineRule="auto"/>
        <w:rPr>
          <w:rFonts w:asciiTheme="minorHAnsi" w:hAnsiTheme="minorHAnsi" w:cs="Arial"/>
        </w:rPr>
      </w:pPr>
      <w:r w:rsidRPr="00944B4F">
        <w:rPr>
          <w:rFonts w:asciiTheme="minorHAnsi" w:hAnsiTheme="minorHAnsi" w:cs="Arial"/>
        </w:rPr>
        <w:t>Disadvantages of the selected option are:</w:t>
      </w:r>
    </w:p>
    <w:p w:rsidR="00DB1EFF" w:rsidRPr="00944B4F" w:rsidRDefault="00DB1EFF" w:rsidP="00DB1EFF">
      <w:pPr>
        <w:pStyle w:val="ListParagraph"/>
        <w:numPr>
          <w:ilvl w:val="0"/>
          <w:numId w:val="21"/>
        </w:numPr>
        <w:spacing w:after="120" w:line="240" w:lineRule="auto"/>
        <w:rPr>
          <w:rFonts w:asciiTheme="minorHAnsi" w:hAnsiTheme="minorHAnsi" w:cs="Arial"/>
        </w:rPr>
      </w:pPr>
      <w:r w:rsidRPr="00944B4F">
        <w:rPr>
          <w:rFonts w:asciiTheme="minorHAnsi" w:hAnsiTheme="minorHAnsi" w:cs="Arial"/>
        </w:rPr>
        <w:t>Would require multiple permits, additional administrative time and permitting fees</w:t>
      </w:r>
    </w:p>
    <w:p w:rsidR="00DB1EFF" w:rsidRPr="00944B4F" w:rsidRDefault="00DB1EFF" w:rsidP="00DB1EFF">
      <w:pPr>
        <w:pStyle w:val="ListParagraph"/>
        <w:numPr>
          <w:ilvl w:val="0"/>
          <w:numId w:val="21"/>
        </w:numPr>
        <w:spacing w:after="120" w:line="240" w:lineRule="auto"/>
        <w:rPr>
          <w:rFonts w:asciiTheme="minorHAnsi" w:hAnsiTheme="minorHAnsi" w:cs="Arial"/>
        </w:rPr>
      </w:pPr>
      <w:r w:rsidRPr="00944B4F">
        <w:rPr>
          <w:rFonts w:asciiTheme="minorHAnsi" w:hAnsiTheme="minorHAnsi" w:cs="Arial"/>
        </w:rPr>
        <w:t>Limited in scope to minor facilities and/or activities</w:t>
      </w:r>
    </w:p>
    <w:p w:rsidR="00DB1EFF" w:rsidRDefault="00DB1EFF" w:rsidP="00DB1EFF">
      <w:pPr>
        <w:pStyle w:val="ListParagraph"/>
        <w:numPr>
          <w:ilvl w:val="0"/>
          <w:numId w:val="21"/>
        </w:numPr>
        <w:spacing w:after="120" w:line="240" w:lineRule="auto"/>
        <w:rPr>
          <w:rFonts w:asciiTheme="minorHAnsi" w:hAnsiTheme="minorHAnsi" w:cs="Arial"/>
        </w:rPr>
      </w:pPr>
      <w:r w:rsidRPr="00944B4F">
        <w:rPr>
          <w:rFonts w:asciiTheme="minorHAnsi" w:hAnsiTheme="minorHAnsi" w:cs="Arial"/>
        </w:rPr>
        <w:t>Might require a facility to physically separate effluent streams, although common outfall would be permitted.</w:t>
      </w:r>
    </w:p>
    <w:p w:rsidR="001154E9" w:rsidRPr="00944B4F" w:rsidRDefault="001154E9" w:rsidP="001154E9">
      <w:pPr>
        <w:pStyle w:val="ListParagraph"/>
        <w:numPr>
          <w:ilvl w:val="0"/>
          <w:numId w:val="21"/>
        </w:numPr>
        <w:spacing w:after="120" w:line="240" w:lineRule="auto"/>
        <w:rPr>
          <w:rFonts w:asciiTheme="minorHAnsi" w:hAnsiTheme="minorHAnsi" w:cs="Arial"/>
        </w:rPr>
      </w:pPr>
      <w:r>
        <w:rPr>
          <w:rFonts w:asciiTheme="minorHAnsi" w:hAnsiTheme="minorHAnsi" w:cs="Arial"/>
        </w:rPr>
        <w:t xml:space="preserve">Utility waters would not typically be treated in general effluent treatment systems, resulting in additional masses of pollutants being returned to the source water body. </w:t>
      </w:r>
    </w:p>
    <w:p w:rsidR="00DB1EFF" w:rsidRPr="00FB5286" w:rsidRDefault="00DB1EFF" w:rsidP="00DB1EFF">
      <w:pPr>
        <w:spacing w:after="120" w:line="240" w:lineRule="auto"/>
        <w:rPr>
          <w:rStyle w:val="IntenseEmphasis"/>
        </w:rPr>
      </w:pPr>
      <w:r w:rsidRPr="00FB5286">
        <w:rPr>
          <w:rStyle w:val="IntenseEmphasis"/>
        </w:rPr>
        <w:t>Alternatives Considered</w:t>
      </w:r>
    </w:p>
    <w:p w:rsidR="00DB1EFF" w:rsidRPr="00944B4F" w:rsidRDefault="00DB1EFF" w:rsidP="00DB1EFF">
      <w:pPr>
        <w:spacing w:before="240" w:after="120" w:line="240" w:lineRule="auto"/>
        <w:rPr>
          <w:rFonts w:asciiTheme="minorHAnsi" w:hAnsiTheme="minorHAnsi" w:cs="Arial"/>
        </w:rPr>
      </w:pPr>
      <w:r>
        <w:rPr>
          <w:rFonts w:asciiTheme="minorHAnsi" w:hAnsiTheme="minorHAnsi" w:cs="Arial"/>
        </w:rPr>
        <w:t>Through</w:t>
      </w:r>
      <w:r w:rsidRPr="00944B4F">
        <w:rPr>
          <w:rFonts w:asciiTheme="minorHAnsi" w:hAnsiTheme="minorHAnsi" w:cs="Arial"/>
        </w:rPr>
        <w:t>out the course of RWG discussions and departmental tool development the following alternatives were investigated and considered as prospective implementation tools:</w:t>
      </w:r>
    </w:p>
    <w:p w:rsidR="00DB1EFF" w:rsidRPr="00944B4F" w:rsidRDefault="00DB1EFF" w:rsidP="00DB1EFF">
      <w:pPr>
        <w:pStyle w:val="ListParagraph"/>
        <w:numPr>
          <w:ilvl w:val="0"/>
          <w:numId w:val="19"/>
        </w:numPr>
        <w:spacing w:before="240" w:after="120" w:line="240" w:lineRule="auto"/>
        <w:rPr>
          <w:rFonts w:asciiTheme="minorHAnsi" w:hAnsiTheme="minorHAnsi" w:cs="Arial"/>
        </w:rPr>
      </w:pPr>
      <w:r w:rsidRPr="00944B4F">
        <w:rPr>
          <w:rFonts w:asciiTheme="minorHAnsi" w:hAnsiTheme="minorHAnsi" w:cs="Arial"/>
        </w:rPr>
        <w:t xml:space="preserve">A Broad Spectrum General Permit modeled on the </w:t>
      </w:r>
      <w:hyperlink r:id="rId9" w:history="1">
        <w:r w:rsidRPr="00944B4F">
          <w:rPr>
            <w:rStyle w:val="Hyperlink"/>
            <w:rFonts w:asciiTheme="minorHAnsi" w:hAnsiTheme="minorHAnsi" w:cs="Arial"/>
          </w:rPr>
          <w:t>Long Island Sound General Nutrient Permit</w:t>
        </w:r>
      </w:hyperlink>
      <w:r w:rsidRPr="00944B4F">
        <w:rPr>
          <w:rFonts w:asciiTheme="minorHAnsi" w:hAnsiTheme="minorHAnsi" w:cs="Arial"/>
        </w:rPr>
        <w:t xml:space="preserve">.  This permit was issued by the State of Connecticut to implement a Long Island Sound General Permit.  Although the permit contained a couple of innovative features, the most interesting for department’s needs was the use of a general permit to collectively implement nutrient effluent limits and operational conditions into individual point source discharge permits.  The individual permits reference the nutrient permit conditions set forth in the GP, and had traditional effluent limits and permit conditions for </w:t>
      </w:r>
      <w:r>
        <w:rPr>
          <w:rFonts w:asciiTheme="minorHAnsi" w:hAnsiTheme="minorHAnsi" w:cs="Arial"/>
        </w:rPr>
        <w:t xml:space="preserve">the </w:t>
      </w:r>
      <w:r w:rsidRPr="00944B4F">
        <w:rPr>
          <w:rFonts w:asciiTheme="minorHAnsi" w:hAnsiTheme="minorHAnsi" w:cs="Arial"/>
        </w:rPr>
        <w:t>rest of the applicable pollutant parameters.</w:t>
      </w:r>
    </w:p>
    <w:p w:rsidR="00DB1EFF" w:rsidRPr="00944B4F" w:rsidRDefault="00DB1EFF" w:rsidP="00DB1EFF">
      <w:pPr>
        <w:spacing w:before="240" w:after="120" w:line="240" w:lineRule="auto"/>
        <w:ind w:left="1080"/>
        <w:rPr>
          <w:rFonts w:asciiTheme="minorHAnsi" w:hAnsiTheme="minorHAnsi" w:cs="Arial"/>
        </w:rPr>
      </w:pPr>
      <w:r w:rsidRPr="00944B4F">
        <w:rPr>
          <w:rFonts w:asciiTheme="minorHAnsi" w:hAnsiTheme="minorHAnsi" w:cs="Arial"/>
        </w:rPr>
        <w:t xml:space="preserve">The idea was to develop a single general permit to address background pollutants state wide or over a large geographic area and integrate them into a pollutant trading structure. </w:t>
      </w:r>
      <w:r>
        <w:rPr>
          <w:rFonts w:asciiTheme="minorHAnsi" w:hAnsiTheme="minorHAnsi" w:cs="Arial"/>
        </w:rPr>
        <w:t xml:space="preserve"> After consultation with EPA, it</w:t>
      </w:r>
      <w:r w:rsidRPr="00944B4F">
        <w:rPr>
          <w:rFonts w:asciiTheme="minorHAnsi" w:hAnsiTheme="minorHAnsi" w:cs="Arial"/>
        </w:rPr>
        <w:t xml:space="preserve"> became apparent that it was permissible to have a </w:t>
      </w:r>
      <w:r>
        <w:rPr>
          <w:rFonts w:asciiTheme="minorHAnsi" w:hAnsiTheme="minorHAnsi" w:cs="Arial"/>
        </w:rPr>
        <w:t>state wide general permit but it</w:t>
      </w:r>
      <w:r w:rsidRPr="00944B4F">
        <w:rPr>
          <w:rFonts w:asciiTheme="minorHAnsi" w:hAnsiTheme="minorHAnsi" w:cs="Arial"/>
        </w:rPr>
        <w:t xml:space="preserve"> was not permissible to utilize established pollutant trading guidance for toxic pollutants.</w:t>
      </w:r>
    </w:p>
    <w:p w:rsidR="00DB1EFF" w:rsidRPr="00944B4F" w:rsidRDefault="00DB1EFF" w:rsidP="00DB1EFF">
      <w:pPr>
        <w:pStyle w:val="ListParagraph"/>
        <w:numPr>
          <w:ilvl w:val="0"/>
          <w:numId w:val="19"/>
        </w:numPr>
        <w:spacing w:before="240" w:after="120" w:line="240" w:lineRule="auto"/>
        <w:rPr>
          <w:rFonts w:asciiTheme="minorHAnsi" w:hAnsiTheme="minorHAnsi" w:cs="Arial"/>
        </w:rPr>
      </w:pPr>
      <w:r w:rsidRPr="00944B4F">
        <w:rPr>
          <w:rFonts w:asciiTheme="minorHAnsi" w:hAnsiTheme="minorHAnsi" w:cs="Arial"/>
        </w:rPr>
        <w:t xml:space="preserve"> Develop a new GP entitled “Oregon Permitted Facilities Employing Surface or Ground Water as Utility Water” (Utility Water Permit).  The permit would cover all the “pass-through type of </w:t>
      </w:r>
      <w:r w:rsidRPr="00944B4F">
        <w:rPr>
          <w:rFonts w:asciiTheme="minorHAnsi" w:hAnsiTheme="minorHAnsi" w:cs="Arial"/>
          <w:u w:val="single"/>
        </w:rPr>
        <w:t>activities</w:t>
      </w:r>
      <w:r w:rsidRPr="00944B4F">
        <w:rPr>
          <w:rStyle w:val="FootnoteReference"/>
          <w:rFonts w:asciiTheme="minorHAnsi" w:hAnsiTheme="minorHAnsi" w:cs="Arial"/>
          <w:u w:val="single"/>
        </w:rPr>
        <w:footnoteReference w:id="6"/>
      </w:r>
      <w:r w:rsidRPr="00944B4F">
        <w:rPr>
          <w:rFonts w:asciiTheme="minorHAnsi" w:hAnsiTheme="minorHAnsi" w:cs="Arial"/>
        </w:rPr>
        <w:t>, such as non-contact cooling (single &amp; mul</w:t>
      </w:r>
      <w:r>
        <w:rPr>
          <w:rFonts w:asciiTheme="minorHAnsi" w:hAnsiTheme="minorHAnsi" w:cs="Arial"/>
        </w:rPr>
        <w:t>ti</w:t>
      </w:r>
      <w:r w:rsidRPr="00944B4F">
        <w:rPr>
          <w:rFonts w:asciiTheme="minorHAnsi" w:hAnsiTheme="minorHAnsi" w:cs="Arial"/>
        </w:rPr>
        <w:t>-pass), cooling tower blow down, boiler water blow down, pump testing, etc, with a single general permit.  The permit would provide a flow-based tiered structure of temperature controls and effluent limits.</w:t>
      </w:r>
    </w:p>
    <w:p w:rsidR="00DB1EFF" w:rsidRPr="00944B4F" w:rsidRDefault="00DB1EFF" w:rsidP="00DB1EFF">
      <w:pPr>
        <w:spacing w:before="240" w:after="120" w:line="240" w:lineRule="auto"/>
        <w:ind w:left="1080"/>
        <w:rPr>
          <w:rFonts w:asciiTheme="minorHAnsi" w:hAnsiTheme="minorHAnsi" w:cs="Arial"/>
        </w:rPr>
      </w:pPr>
      <w:r w:rsidRPr="00944B4F">
        <w:rPr>
          <w:rFonts w:asciiTheme="minorHAnsi" w:hAnsiTheme="minorHAnsi" w:cs="Arial"/>
        </w:rPr>
        <w:t>The advantage of this approach would be to pull more activities under coverage by general permits (e.g. pump testing) and potentially consolidate multiple general permits.  Based upon feedback from permit writers and analysis of the number of perspective facilities that could utilize this alternative, it was determined there would be very limited applicability relative to the amount of staff time requi</w:t>
      </w:r>
      <w:r>
        <w:rPr>
          <w:rFonts w:asciiTheme="minorHAnsi" w:hAnsiTheme="minorHAnsi" w:cs="Arial"/>
        </w:rPr>
        <w:t>red to develop the alternative.</w:t>
      </w:r>
      <w:r w:rsidRPr="00944B4F">
        <w:rPr>
          <w:rFonts w:asciiTheme="minorHAnsi" w:hAnsiTheme="minorHAnsi" w:cs="Arial"/>
        </w:rPr>
        <w:t xml:space="preserve">   </w:t>
      </w:r>
    </w:p>
    <w:p w:rsidR="00DB1EFF" w:rsidRPr="00944B4F" w:rsidRDefault="00DB1EFF" w:rsidP="00DB1EFF">
      <w:pPr>
        <w:pStyle w:val="ListParagraph"/>
        <w:numPr>
          <w:ilvl w:val="0"/>
          <w:numId w:val="19"/>
        </w:numPr>
        <w:spacing w:before="240" w:after="120" w:line="240" w:lineRule="auto"/>
        <w:rPr>
          <w:rFonts w:asciiTheme="minorHAnsi" w:hAnsiTheme="minorHAnsi" w:cs="Arial"/>
        </w:rPr>
      </w:pPr>
      <w:r w:rsidRPr="00944B4F">
        <w:rPr>
          <w:rFonts w:asciiTheme="minorHAnsi" w:hAnsiTheme="minorHAnsi" w:cs="Arial"/>
        </w:rPr>
        <w:t>Allow a facility with co-mingled process and no</w:t>
      </w:r>
      <w:r>
        <w:rPr>
          <w:rFonts w:asciiTheme="minorHAnsi" w:hAnsiTheme="minorHAnsi" w:cs="Arial"/>
        </w:rPr>
        <w:t>n-process waters to apply for a</w:t>
      </w:r>
      <w:r w:rsidRPr="00944B4F">
        <w:rPr>
          <w:rFonts w:asciiTheme="minorHAnsi" w:hAnsiTheme="minorHAnsi" w:cs="Arial"/>
        </w:rPr>
        <w:t xml:space="preserve"> general permit for the applicable non-</w:t>
      </w:r>
      <w:r>
        <w:rPr>
          <w:rFonts w:asciiTheme="minorHAnsi" w:hAnsiTheme="minorHAnsi" w:cs="Arial"/>
        </w:rPr>
        <w:t>process activities with</w:t>
      </w:r>
      <w:r w:rsidRPr="00944B4F">
        <w:rPr>
          <w:rFonts w:asciiTheme="minorHAnsi" w:hAnsiTheme="minorHAnsi" w:cs="Arial"/>
        </w:rPr>
        <w:t>out having to physically segregate them.  The concept of the “imbedded permit” would allow permit writers and facilities to general permit the non-process activities utilizing a system of mid process monitoring and pollutant accounting.</w:t>
      </w:r>
    </w:p>
    <w:p w:rsidR="00DB1EFF" w:rsidRPr="00944B4F" w:rsidRDefault="00DB1EFF" w:rsidP="00DB1EFF">
      <w:pPr>
        <w:spacing w:before="240" w:after="120" w:line="240" w:lineRule="auto"/>
        <w:ind w:left="1080"/>
        <w:rPr>
          <w:rFonts w:asciiTheme="minorHAnsi" w:hAnsiTheme="minorHAnsi" w:cs="Arial"/>
        </w:rPr>
      </w:pPr>
      <w:r w:rsidRPr="00944B4F">
        <w:rPr>
          <w:rFonts w:asciiTheme="minorHAnsi" w:hAnsiTheme="minorHAnsi" w:cs="Arial"/>
        </w:rPr>
        <w:t>The advantage of this approach would be to allow for issuance of both a general permit and ind</w:t>
      </w:r>
      <w:r>
        <w:rPr>
          <w:rFonts w:asciiTheme="minorHAnsi" w:hAnsiTheme="minorHAnsi" w:cs="Arial"/>
        </w:rPr>
        <w:t xml:space="preserve">ividual permit without </w:t>
      </w:r>
      <w:r w:rsidRPr="00944B4F">
        <w:rPr>
          <w:rFonts w:asciiTheme="minorHAnsi" w:hAnsiTheme="minorHAnsi" w:cs="Arial"/>
        </w:rPr>
        <w:t>req</w:t>
      </w:r>
      <w:r>
        <w:rPr>
          <w:rFonts w:asciiTheme="minorHAnsi" w:hAnsiTheme="minorHAnsi" w:cs="Arial"/>
        </w:rPr>
        <w:t>uiring a facility to make capita</w:t>
      </w:r>
      <w:r w:rsidRPr="00944B4F">
        <w:rPr>
          <w:rFonts w:asciiTheme="minorHAnsi" w:hAnsiTheme="minorHAnsi" w:cs="Arial"/>
        </w:rPr>
        <w:t>l expenditures to separate the processes.  Based upon feedback from permit writers, it was determined that the complexity of the effort to monitor mid process effluent streams and to account for pollutant loading would increase facility operational costs and overly complicate the Department’s compliance monitoring role.</w:t>
      </w:r>
    </w:p>
    <w:p w:rsidR="00DB1EFF" w:rsidRDefault="00DB1EFF" w:rsidP="00DB1EFF">
      <w:pPr>
        <w:spacing w:after="120" w:line="240" w:lineRule="auto"/>
        <w:rPr>
          <w:rFonts w:asciiTheme="minorHAnsi" w:hAnsiTheme="minorHAnsi" w:cs="Arial"/>
          <w:b/>
        </w:rPr>
      </w:pPr>
    </w:p>
    <w:p w:rsidR="00DB1EFF" w:rsidRPr="00FB5286" w:rsidRDefault="00DB1EFF" w:rsidP="00DB1EFF">
      <w:pPr>
        <w:spacing w:after="120" w:line="240" w:lineRule="auto"/>
        <w:rPr>
          <w:rStyle w:val="IntenseEmphasis"/>
        </w:rPr>
      </w:pPr>
      <w:r w:rsidRPr="00FB5286">
        <w:rPr>
          <w:rStyle w:val="IntenseEmphasis"/>
        </w:rPr>
        <w:t>Summary of RWG discussion and views</w:t>
      </w:r>
    </w:p>
    <w:p w:rsidR="00DB1EFF" w:rsidRPr="00944B4F" w:rsidRDefault="00DB1EFF" w:rsidP="00DB1EFF">
      <w:pPr>
        <w:spacing w:after="120" w:line="240" w:lineRule="auto"/>
        <w:rPr>
          <w:rFonts w:asciiTheme="minorHAnsi" w:hAnsiTheme="minorHAnsi" w:cs="Arial"/>
        </w:rPr>
      </w:pPr>
      <w:proofErr w:type="gramStart"/>
      <w:r w:rsidRPr="00944B4F">
        <w:rPr>
          <w:rFonts w:asciiTheme="minorHAnsi" w:hAnsiTheme="minorHAnsi" w:cs="Arial"/>
          <w:highlight w:val="yellow"/>
        </w:rPr>
        <w:t>To be developed after April 27</w:t>
      </w:r>
      <w:r w:rsidRPr="00944B4F">
        <w:rPr>
          <w:rFonts w:asciiTheme="minorHAnsi" w:hAnsiTheme="minorHAnsi" w:cs="Arial"/>
          <w:highlight w:val="yellow"/>
          <w:vertAlign w:val="superscript"/>
        </w:rPr>
        <w:t>th</w:t>
      </w:r>
      <w:r w:rsidRPr="00944B4F">
        <w:rPr>
          <w:rFonts w:asciiTheme="minorHAnsi" w:hAnsiTheme="minorHAnsi" w:cs="Arial"/>
          <w:highlight w:val="yellow"/>
        </w:rPr>
        <w:t xml:space="preserve"> meeting.</w:t>
      </w:r>
      <w:proofErr w:type="gramEnd"/>
    </w:p>
    <w:p w:rsidR="00417A9F" w:rsidRDefault="00417A9F" w:rsidP="00417A9F">
      <w:pPr>
        <w:ind w:firstLine="360"/>
        <w:rPr>
          <w:b/>
          <w:bCs/>
        </w:rPr>
      </w:pPr>
    </w:p>
    <w:p w:rsidR="00417A9F" w:rsidRDefault="00417A9F" w:rsidP="00417A9F">
      <w:pPr>
        <w:ind w:firstLine="360"/>
        <w:rPr>
          <w:b/>
          <w:bCs/>
        </w:rPr>
      </w:pPr>
      <w:r>
        <w:rPr>
          <w:b/>
          <w:bCs/>
        </w:rPr>
        <w:t>How is a General Permit Different from a Traditional Water Quality Based Permit?</w:t>
      </w:r>
    </w:p>
    <w:p w:rsidR="00417A9F" w:rsidRDefault="00417A9F" w:rsidP="00417A9F">
      <w:pPr>
        <w:spacing w:before="240" w:after="120" w:line="240" w:lineRule="auto"/>
      </w:pPr>
      <w:r>
        <w:t xml:space="preserve">General permits are typically designed to simplify the permitting process for a class of dischargers by focusing on a small set of water quality indicators (e.g. TSS, pH, etc.) and using them as metrics to limit the permitted process to a specified amount of concentration increase.  Additionally, the GP conditions focus on ensuring that additional pollutants (e.g. chemical additives or incidental pollutants) are not introduced into the effluent stream in significant concentrations.  This minimizes the cost of regulatory oversight to both the regulator and </w:t>
      </w:r>
      <w:proofErr w:type="spellStart"/>
      <w:r>
        <w:t>permittee</w:t>
      </w:r>
      <w:proofErr w:type="spellEnd"/>
      <w:r>
        <w:t xml:space="preserve"> while applying effluent limits that are generally protective of water quality and reflect standard treatment technology and/or best management practices.</w:t>
      </w:r>
    </w:p>
    <w:p w:rsidR="00417A9F" w:rsidRDefault="00417A9F" w:rsidP="00417A9F">
      <w:pPr>
        <w:spacing w:before="240" w:after="120" w:line="240" w:lineRule="auto"/>
      </w:pPr>
      <w:r>
        <w:t xml:space="preserve"> The federal rules that describe the general permit process acknowledge the presence of intake pollutants and </w:t>
      </w:r>
      <w:proofErr w:type="gramStart"/>
      <w:r>
        <w:t>exempts</w:t>
      </w:r>
      <w:proofErr w:type="gramEnd"/>
      <w:r>
        <w:t xml:space="preserve"> them from individual monitoring.  This is reflected in 40 CFR 122.21 (g</w:t>
      </w:r>
      <w:proofErr w:type="gramStart"/>
      <w:r>
        <w:t>)(</w:t>
      </w:r>
      <w:proofErr w:type="gramEnd"/>
      <w:r>
        <w:t>7) presented below:</w:t>
      </w:r>
    </w:p>
    <w:p w:rsidR="00417A9F" w:rsidRDefault="00417A9F" w:rsidP="00417A9F">
      <w:pPr>
        <w:spacing w:before="240" w:after="120" w:line="240" w:lineRule="auto"/>
        <w:ind w:left="720"/>
        <w:rPr>
          <w:i/>
          <w:iCs/>
        </w:rPr>
      </w:pPr>
      <w:r>
        <w:rPr>
          <w:i/>
          <w:iCs/>
        </w:rPr>
        <w:t xml:space="preserve">Effluent Characterization:  The requirements in paragraphs </w:t>
      </w:r>
      <w:r>
        <w:rPr>
          <w:i/>
          <w:iCs/>
          <w:u w:val="single"/>
        </w:rPr>
        <w:t>(g)(7)(vi)</w:t>
      </w:r>
      <w:r>
        <w:rPr>
          <w:i/>
          <w:iCs/>
        </w:rPr>
        <w:t xml:space="preserve"> and </w:t>
      </w:r>
      <w:r>
        <w:rPr>
          <w:i/>
          <w:iCs/>
          <w:u w:val="single"/>
        </w:rPr>
        <w:t>(vii)</w:t>
      </w:r>
      <w:r>
        <w:rPr>
          <w:i/>
          <w:iCs/>
        </w:rPr>
        <w:t xml:space="preserve"> of this section state that an applicant must provide quantitative data for certain pollutants known or believed to be present </w:t>
      </w:r>
      <w:r>
        <w:rPr>
          <w:i/>
          <w:iCs/>
          <w:u w:val="single"/>
        </w:rPr>
        <w:t>do not apply to pollutants present in a discharge solely as the result of their presence in intake water</w:t>
      </w:r>
      <w:r>
        <w:rPr>
          <w:i/>
          <w:iCs/>
        </w:rPr>
        <w:t>; however, an applicant must report such pollutants as present.  Net credits may be provided for the presence of pollutants in intake water if the requirements of 122.45(g) are met.</w:t>
      </w:r>
    </w:p>
    <w:p w:rsidR="00417A9F" w:rsidRDefault="00417A9F" w:rsidP="00417A9F">
      <w:pPr>
        <w:spacing w:before="240" w:after="120" w:line="240" w:lineRule="auto"/>
      </w:pPr>
      <w:r>
        <w:t xml:space="preserve">Part </w:t>
      </w:r>
      <w:r>
        <w:rPr>
          <w:i/>
          <w:iCs/>
        </w:rPr>
        <w:t>(g</w:t>
      </w:r>
      <w:proofErr w:type="gramStart"/>
      <w:r>
        <w:rPr>
          <w:i/>
          <w:iCs/>
        </w:rPr>
        <w:t>)(</w:t>
      </w:r>
      <w:proofErr w:type="gramEnd"/>
      <w:r>
        <w:rPr>
          <w:i/>
          <w:iCs/>
        </w:rPr>
        <w:t>7)(vi) and (vii)</w:t>
      </w:r>
      <w:r>
        <w:t xml:space="preserve"> refer to the portion of the application process that requires the monitoring of toxic pollutants in a sources effluent.  In effect, since there is no requirement to monitor for toxics, there can be no assessment of reasonable potential and no water quality based effluent limits.  </w:t>
      </w:r>
    </w:p>
    <w:p w:rsidR="00DB1EFF" w:rsidRPr="00944B4F" w:rsidRDefault="00DB1EFF" w:rsidP="00DB1EFF">
      <w:pPr>
        <w:rPr>
          <w:rFonts w:asciiTheme="minorHAnsi" w:hAnsiTheme="minorHAnsi" w:cs="Arial"/>
          <w:b/>
          <w:color w:val="0070C0"/>
        </w:rPr>
      </w:pPr>
    </w:p>
    <w:p w:rsidR="00C80AFE" w:rsidRDefault="00C80AFE" w:rsidP="00C80AFE">
      <w:pPr>
        <w:spacing w:after="120" w:line="240" w:lineRule="auto"/>
        <w:rPr>
          <w:rFonts w:asciiTheme="minorHAnsi" w:hAnsiTheme="minorHAnsi" w:cs="Arial"/>
          <w:b/>
        </w:rPr>
      </w:pPr>
      <w:r w:rsidRPr="00944B4F">
        <w:rPr>
          <w:rStyle w:val="BookTitle"/>
          <w:sz w:val="28"/>
          <w:szCs w:val="28"/>
        </w:rPr>
        <w:t>E.  Policy Evaluation</w:t>
      </w:r>
      <w:r w:rsidRPr="00944B4F">
        <w:rPr>
          <w:rFonts w:asciiTheme="minorHAnsi" w:hAnsiTheme="minorHAnsi" w:cs="Arial"/>
          <w:b/>
        </w:rPr>
        <w:t xml:space="preserve">  </w:t>
      </w:r>
    </w:p>
    <w:p w:rsidR="00DB1EFF" w:rsidRDefault="00096F81" w:rsidP="00096F81">
      <w:pPr>
        <w:pStyle w:val="Subtitle"/>
      </w:pPr>
      <w:r>
        <w:t>To be completed</w:t>
      </w:r>
    </w:p>
    <w:p w:rsidR="00096F81" w:rsidRDefault="00C80AFE" w:rsidP="00C80AFE">
      <w:pPr>
        <w:spacing w:after="120" w:line="240" w:lineRule="auto"/>
        <w:rPr>
          <w:rStyle w:val="BookTitle"/>
          <w:sz w:val="28"/>
          <w:szCs w:val="28"/>
        </w:rPr>
      </w:pPr>
      <w:r>
        <w:rPr>
          <w:rStyle w:val="BookTitle"/>
          <w:sz w:val="28"/>
          <w:szCs w:val="28"/>
        </w:rPr>
        <w:t>F</w:t>
      </w:r>
      <w:r w:rsidRPr="00944B4F">
        <w:rPr>
          <w:rStyle w:val="BookTitle"/>
          <w:sz w:val="28"/>
          <w:szCs w:val="28"/>
        </w:rPr>
        <w:t xml:space="preserve">.  </w:t>
      </w:r>
      <w:r w:rsidR="00096F81">
        <w:rPr>
          <w:rStyle w:val="BookTitle"/>
          <w:sz w:val="28"/>
          <w:szCs w:val="28"/>
        </w:rPr>
        <w:t>Proposed Rule Language</w:t>
      </w:r>
    </w:p>
    <w:p w:rsidR="00096F81" w:rsidRPr="00096F81" w:rsidRDefault="00096F81" w:rsidP="00096F81">
      <w:pPr>
        <w:rPr>
          <w:rStyle w:val="Emphasis"/>
        </w:rPr>
      </w:pPr>
      <w:r w:rsidRPr="00096F81">
        <w:rPr>
          <w:rStyle w:val="Emphasis"/>
        </w:rPr>
        <w:t>Not applicable</w:t>
      </w:r>
    </w:p>
    <w:p w:rsidR="00096F81" w:rsidRDefault="00096F81" w:rsidP="00C80AFE">
      <w:pPr>
        <w:spacing w:after="120" w:line="240" w:lineRule="auto"/>
        <w:rPr>
          <w:rStyle w:val="BookTitle"/>
          <w:sz w:val="28"/>
          <w:szCs w:val="28"/>
        </w:rPr>
      </w:pPr>
      <w:r>
        <w:rPr>
          <w:rStyle w:val="BookTitle"/>
          <w:sz w:val="28"/>
          <w:szCs w:val="28"/>
        </w:rPr>
        <w:t>G. Authority and precedence</w:t>
      </w:r>
    </w:p>
    <w:p w:rsidR="00096F81" w:rsidRPr="00096F81" w:rsidRDefault="00096F81" w:rsidP="00096F81">
      <w:pPr>
        <w:pStyle w:val="Subtitle"/>
        <w:rPr>
          <w:rStyle w:val="BookTitle"/>
          <w:b w:val="0"/>
          <w:bCs w:val="0"/>
          <w:smallCaps w:val="0"/>
          <w:spacing w:val="15"/>
        </w:rPr>
      </w:pPr>
      <w:r>
        <w:t>To be completed</w:t>
      </w:r>
    </w:p>
    <w:p w:rsidR="00096F81" w:rsidRDefault="00096F81" w:rsidP="00C80AFE">
      <w:pPr>
        <w:spacing w:after="120" w:line="240" w:lineRule="auto"/>
        <w:rPr>
          <w:rStyle w:val="BookTitle"/>
          <w:sz w:val="28"/>
          <w:szCs w:val="28"/>
        </w:rPr>
      </w:pPr>
      <w:r>
        <w:rPr>
          <w:rStyle w:val="BookTitle"/>
          <w:sz w:val="28"/>
          <w:szCs w:val="28"/>
        </w:rPr>
        <w:t>H. other supporting information</w:t>
      </w:r>
    </w:p>
    <w:p w:rsidR="00096F81" w:rsidRPr="00096F81" w:rsidRDefault="00096F81" w:rsidP="00096F81">
      <w:pPr>
        <w:pStyle w:val="Subtitle"/>
        <w:rPr>
          <w:rStyle w:val="BookTitle"/>
          <w:b w:val="0"/>
          <w:bCs w:val="0"/>
          <w:smallCaps w:val="0"/>
          <w:spacing w:val="15"/>
        </w:rPr>
      </w:pPr>
      <w:r>
        <w:t>To be completed</w:t>
      </w:r>
    </w:p>
    <w:p w:rsidR="00096F81" w:rsidRDefault="00096F81" w:rsidP="00C80AFE">
      <w:pPr>
        <w:spacing w:after="120" w:line="240" w:lineRule="auto"/>
        <w:rPr>
          <w:rStyle w:val="BookTitle"/>
          <w:sz w:val="28"/>
          <w:szCs w:val="28"/>
        </w:rPr>
      </w:pPr>
      <w:r>
        <w:rPr>
          <w:rStyle w:val="BookTitle"/>
          <w:sz w:val="28"/>
          <w:szCs w:val="28"/>
        </w:rPr>
        <w:t>I.  Implementation information</w:t>
      </w:r>
    </w:p>
    <w:p w:rsidR="00096F81" w:rsidRDefault="00096F81" w:rsidP="00096F81">
      <w:pPr>
        <w:pStyle w:val="Subtitle"/>
      </w:pPr>
      <w:r>
        <w:t>To be completed</w:t>
      </w:r>
    </w:p>
    <w:p w:rsidR="00C80AFE" w:rsidRDefault="00C80AFE" w:rsidP="00C80AFE">
      <w:pPr>
        <w:spacing w:after="120" w:line="240" w:lineRule="auto"/>
        <w:rPr>
          <w:rFonts w:asciiTheme="minorHAnsi" w:hAnsiTheme="minorHAnsi" w:cs="Arial"/>
          <w:b/>
        </w:rPr>
      </w:pPr>
      <w:r w:rsidRPr="00944B4F">
        <w:rPr>
          <w:rFonts w:asciiTheme="minorHAnsi" w:hAnsiTheme="minorHAnsi" w:cs="Arial"/>
          <w:b/>
        </w:rPr>
        <w:t xml:space="preserve">  </w:t>
      </w:r>
    </w:p>
    <w:p w:rsidR="00C80AFE" w:rsidRDefault="00C80AFE">
      <w:pPr>
        <w:rPr>
          <w:rFonts w:asciiTheme="minorHAnsi" w:hAnsiTheme="minorHAnsi"/>
        </w:rPr>
      </w:pPr>
    </w:p>
    <w:p w:rsidR="00DB1EFF" w:rsidRPr="00E41633" w:rsidRDefault="00DB1EFF" w:rsidP="00DB1EFF">
      <w:pPr>
        <w:spacing w:after="0" w:line="240" w:lineRule="auto"/>
        <w:rPr>
          <w:rStyle w:val="IntenseEmphasis"/>
          <w:sz w:val="28"/>
          <w:szCs w:val="28"/>
        </w:rPr>
      </w:pPr>
      <w:r>
        <w:rPr>
          <w:rStyle w:val="IntenseEmphasis"/>
          <w:sz w:val="28"/>
          <w:szCs w:val="28"/>
        </w:rPr>
        <w:t xml:space="preserve">2.  </w:t>
      </w:r>
      <w:r w:rsidRPr="00E41633">
        <w:rPr>
          <w:rStyle w:val="IntenseEmphasis"/>
          <w:sz w:val="28"/>
          <w:szCs w:val="28"/>
        </w:rPr>
        <w:t>De-</w:t>
      </w:r>
      <w:proofErr w:type="spellStart"/>
      <w:r w:rsidRPr="00E41633">
        <w:rPr>
          <w:rStyle w:val="IntenseEmphasis"/>
          <w:sz w:val="28"/>
          <w:szCs w:val="28"/>
        </w:rPr>
        <w:t>Minimus</w:t>
      </w:r>
      <w:proofErr w:type="spellEnd"/>
    </w:p>
    <w:p w:rsidR="00DB1EFF" w:rsidRDefault="00DB1EFF" w:rsidP="00DB1EFF">
      <w:pPr>
        <w:spacing w:after="0"/>
      </w:pPr>
    </w:p>
    <w:p w:rsidR="00DB1EFF" w:rsidRDefault="00DB1EFF" w:rsidP="00DB1EFF">
      <w:pPr>
        <w:spacing w:after="0"/>
        <w:rPr>
          <w:rStyle w:val="BookTitle"/>
          <w:sz w:val="28"/>
          <w:szCs w:val="28"/>
        </w:rPr>
      </w:pPr>
      <w:r w:rsidRPr="00D951F8">
        <w:rPr>
          <w:rStyle w:val="BookTitle"/>
          <w:sz w:val="28"/>
          <w:szCs w:val="28"/>
        </w:rPr>
        <w:t>A.</w:t>
      </w:r>
      <w:r>
        <w:rPr>
          <w:rStyle w:val="BookTitle"/>
          <w:sz w:val="28"/>
          <w:szCs w:val="28"/>
        </w:rPr>
        <w:t xml:space="preserve"> </w:t>
      </w:r>
      <w:r w:rsidRPr="00D951F8">
        <w:rPr>
          <w:rStyle w:val="BookTitle"/>
          <w:sz w:val="28"/>
          <w:szCs w:val="28"/>
        </w:rPr>
        <w:t>Description of Tool</w:t>
      </w:r>
    </w:p>
    <w:p w:rsidR="00096F81" w:rsidRPr="00D951F8" w:rsidRDefault="00096F81" w:rsidP="00DB1EFF">
      <w:pPr>
        <w:spacing w:after="0"/>
        <w:rPr>
          <w:rStyle w:val="BookTitle"/>
          <w:sz w:val="28"/>
          <w:szCs w:val="28"/>
        </w:rPr>
      </w:pPr>
    </w:p>
    <w:p w:rsidR="00197992" w:rsidRPr="005D4F1F" w:rsidRDefault="00197992" w:rsidP="00197992">
      <w:pPr>
        <w:spacing w:after="0"/>
      </w:pPr>
      <w:r w:rsidRPr="005D4F1F">
        <w:t xml:space="preserve">The “background pollutants allowance” would be a water quality standard provision contained in the toxics standard rule (see below for draft rule language).   This rule would provide DEQ the flexibility to allow certain </w:t>
      </w:r>
      <w:proofErr w:type="spellStart"/>
      <w:r w:rsidRPr="005D4F1F">
        <w:t>permittees</w:t>
      </w:r>
      <w:proofErr w:type="spellEnd"/>
      <w:r w:rsidRPr="005D4F1F">
        <w:t xml:space="preserve"> to discharge effluent at concentrations above the numeric criterion under the following limited circumstances:</w:t>
      </w:r>
    </w:p>
    <w:p w:rsidR="00197992" w:rsidRPr="005D4F1F" w:rsidRDefault="00197992" w:rsidP="00197992">
      <w:pPr>
        <w:pStyle w:val="ListParagraph"/>
        <w:numPr>
          <w:ilvl w:val="0"/>
          <w:numId w:val="24"/>
        </w:numPr>
        <w:spacing w:after="0"/>
      </w:pPr>
      <w:r w:rsidRPr="005D4F1F">
        <w:t xml:space="preserve">The facility is an industrial source that obtains its water from the same water body or a </w:t>
      </w:r>
      <w:proofErr w:type="spellStart"/>
      <w:r w:rsidRPr="005D4F1F">
        <w:t>hydrologically</w:t>
      </w:r>
      <w:proofErr w:type="spellEnd"/>
      <w:r w:rsidRPr="005D4F1F">
        <w:t xml:space="preserve"> connected water (see the intake credit rule definition) that it discharges to;</w:t>
      </w:r>
    </w:p>
    <w:p w:rsidR="00197992" w:rsidRPr="005D4F1F" w:rsidRDefault="00197992" w:rsidP="00197992">
      <w:pPr>
        <w:pStyle w:val="ListParagraph"/>
        <w:numPr>
          <w:ilvl w:val="0"/>
          <w:numId w:val="24"/>
        </w:numPr>
        <w:spacing w:after="0"/>
      </w:pPr>
      <w:r w:rsidRPr="005D4F1F">
        <w:t>The provision would only apply to human health criteria;</w:t>
      </w:r>
    </w:p>
    <w:p w:rsidR="00197992" w:rsidRPr="005D4F1F" w:rsidRDefault="00197992" w:rsidP="00197992">
      <w:pPr>
        <w:pStyle w:val="ListParagraph"/>
        <w:numPr>
          <w:ilvl w:val="0"/>
          <w:numId w:val="24"/>
        </w:numPr>
        <w:spacing w:after="0"/>
      </w:pPr>
      <w:r w:rsidRPr="005D4F1F">
        <w:t>The criteri</w:t>
      </w:r>
      <w:r>
        <w:t>on</w:t>
      </w:r>
      <w:r w:rsidRPr="005D4F1F">
        <w:t xml:space="preserve"> is exceeded in the water body upstream of the discharge;</w:t>
      </w:r>
    </w:p>
    <w:p w:rsidR="00197992" w:rsidRPr="005D4F1F" w:rsidRDefault="00197992" w:rsidP="00197992">
      <w:pPr>
        <w:pStyle w:val="ListParagraph"/>
        <w:numPr>
          <w:ilvl w:val="0"/>
          <w:numId w:val="24"/>
        </w:numPr>
        <w:spacing w:after="0"/>
      </w:pPr>
      <w:r w:rsidRPr="005D4F1F">
        <w:t>The source of the pollutant is the facility’s intake water;</w:t>
      </w:r>
    </w:p>
    <w:p w:rsidR="00197992" w:rsidRPr="005D4F1F" w:rsidRDefault="00197992" w:rsidP="00197992">
      <w:pPr>
        <w:pStyle w:val="ListParagraph"/>
        <w:numPr>
          <w:ilvl w:val="0"/>
          <w:numId w:val="24"/>
        </w:numPr>
        <w:spacing w:after="0"/>
      </w:pPr>
      <w:r w:rsidRPr="005D4F1F">
        <w:t>The pollutant is not added by the facility through their process (i.e. there is no increase in the mass load of the pollutant in the receiving water);</w:t>
      </w:r>
    </w:p>
    <w:p w:rsidR="00197992" w:rsidRPr="005D4F1F" w:rsidRDefault="00197992" w:rsidP="00197992">
      <w:pPr>
        <w:pStyle w:val="ListParagraph"/>
        <w:numPr>
          <w:ilvl w:val="0"/>
          <w:numId w:val="24"/>
        </w:numPr>
        <w:spacing w:after="0"/>
      </w:pPr>
      <w:r w:rsidRPr="005D4F1F">
        <w:t>The increase in concentration in the receiving water from the upstream ambient concentration is not greater than:</w:t>
      </w:r>
    </w:p>
    <w:p w:rsidR="00197992" w:rsidRPr="005D4F1F" w:rsidRDefault="00197992" w:rsidP="00197992">
      <w:pPr>
        <w:pStyle w:val="ListParagraph"/>
        <w:numPr>
          <w:ilvl w:val="1"/>
          <w:numId w:val="24"/>
        </w:numPr>
        <w:spacing w:after="0"/>
      </w:pPr>
      <w:r w:rsidRPr="005D4F1F">
        <w:t>1% assuming instantaneous complete mixing with the 30Q</w:t>
      </w:r>
      <w:r>
        <w:t>5</w:t>
      </w:r>
      <w:r w:rsidRPr="005D4F1F">
        <w:t xml:space="preserve"> flow of the receiving stream; or</w:t>
      </w:r>
    </w:p>
    <w:p w:rsidR="00197992" w:rsidRPr="005D4F1F" w:rsidRDefault="00197992" w:rsidP="00197992">
      <w:pPr>
        <w:pStyle w:val="ListParagraph"/>
        <w:numPr>
          <w:ilvl w:val="1"/>
          <w:numId w:val="24"/>
        </w:numPr>
        <w:spacing w:after="0"/>
      </w:pPr>
      <w:r w:rsidRPr="005D4F1F">
        <w:t>1% for the Willamette and Columbia Rivers assuming instantaneous complete mixing with 25% of the 30Q</w:t>
      </w:r>
      <w:r>
        <w:t>5</w:t>
      </w:r>
      <w:r w:rsidRPr="005D4F1F">
        <w:t xml:space="preserve"> flow of the river.</w:t>
      </w:r>
    </w:p>
    <w:p w:rsidR="00197992" w:rsidRPr="005D4F1F" w:rsidRDefault="00197992" w:rsidP="00197992">
      <w:pPr>
        <w:pStyle w:val="ListParagraph"/>
        <w:numPr>
          <w:ilvl w:val="0"/>
          <w:numId w:val="24"/>
        </w:numPr>
        <w:spacing w:after="0"/>
      </w:pPr>
      <w:r w:rsidRPr="005D4F1F">
        <w:t>All aquatic life criteria and technology based effluent limits must be met.</w:t>
      </w:r>
    </w:p>
    <w:p w:rsidR="00DB1EFF" w:rsidRPr="005D4F1F" w:rsidRDefault="00DB1EFF" w:rsidP="00DB1EFF">
      <w:pPr>
        <w:spacing w:after="0"/>
      </w:pPr>
    </w:p>
    <w:p w:rsidR="00DB1EFF" w:rsidRPr="00D951F8" w:rsidRDefault="00DB1EFF" w:rsidP="00DB1EFF">
      <w:pPr>
        <w:pStyle w:val="ListParagraph"/>
        <w:numPr>
          <w:ilvl w:val="0"/>
          <w:numId w:val="22"/>
        </w:numPr>
        <w:spacing w:after="0"/>
        <w:rPr>
          <w:rStyle w:val="BookTitle"/>
          <w:sz w:val="28"/>
          <w:szCs w:val="28"/>
        </w:rPr>
      </w:pPr>
      <w:r w:rsidRPr="00D951F8">
        <w:rPr>
          <w:rStyle w:val="BookTitle"/>
          <w:sz w:val="28"/>
          <w:szCs w:val="28"/>
        </w:rPr>
        <w:t>Applicability/Scope</w:t>
      </w:r>
    </w:p>
    <w:p w:rsidR="00096F81" w:rsidRDefault="00096F81" w:rsidP="00096F81">
      <w:pPr>
        <w:spacing w:after="0"/>
      </w:pPr>
    </w:p>
    <w:p w:rsidR="00197992" w:rsidRPr="005D4F1F" w:rsidRDefault="00197992" w:rsidP="00197992">
      <w:pPr>
        <w:spacing w:after="0"/>
      </w:pPr>
      <w:r w:rsidRPr="005D4F1F">
        <w:t xml:space="preserve">This tool would apply only to </w:t>
      </w:r>
      <w:r>
        <w:t xml:space="preserve">industrial </w:t>
      </w:r>
      <w:r w:rsidRPr="005D4F1F">
        <w:t xml:space="preserve">facilities </w:t>
      </w:r>
      <w:r>
        <w:t>that</w:t>
      </w:r>
      <w:r w:rsidRPr="005D4F1F">
        <w:t xml:space="preserve"> discharge to water bodies currently exceed</w:t>
      </w:r>
      <w:r>
        <w:t>ing</w:t>
      </w:r>
      <w:r w:rsidRPr="005D4F1F">
        <w:t xml:space="preserve"> the water quality criterion and meet the conditions listed above.   This means that the provision would apply to facilities that take water in that contains the pollutant and concentrate it through one of their processes, even though they do not add the pollutant to the wastewater.  This would primarily include non-contact cooling facilities, but could also include other processes that cause a decrease in water volume but leave the mass of the pollutant constant, thereby concentrating the pollutant.</w:t>
      </w:r>
    </w:p>
    <w:p w:rsidR="00197992" w:rsidRPr="005D4F1F" w:rsidRDefault="00197992" w:rsidP="00197992">
      <w:pPr>
        <w:spacing w:after="0"/>
      </w:pPr>
    </w:p>
    <w:p w:rsidR="00197992" w:rsidRPr="005D4F1F" w:rsidRDefault="00197992" w:rsidP="00197992">
      <w:pPr>
        <w:spacing w:after="0"/>
      </w:pPr>
      <w:r>
        <w:t>As drafted,</w:t>
      </w:r>
      <w:r w:rsidRPr="005D4F1F">
        <w:t xml:space="preserve"> this provision would </w:t>
      </w:r>
      <w:r>
        <w:t>not apply</w:t>
      </w:r>
      <w:r w:rsidRPr="005D4F1F">
        <w:t xml:space="preserve"> to municipal wastewater treatment plants</w:t>
      </w:r>
      <w:r>
        <w:t>. Municipal wastewater treatment plants receive their inflow from a variety of sources (e.g., households, industry). Frequently, municipal water supply is from variety of original sources as well, possibly including both groundwater and surface water sources.  As a result, the applicable circumstances do not apply.</w:t>
      </w:r>
    </w:p>
    <w:p w:rsidR="00DB1EFF" w:rsidRPr="005D4F1F" w:rsidRDefault="00DB1EFF" w:rsidP="00DB1EFF">
      <w:pPr>
        <w:spacing w:after="0"/>
      </w:pPr>
    </w:p>
    <w:p w:rsidR="00DB1EFF" w:rsidRPr="005D4F1F" w:rsidRDefault="00DB1EFF" w:rsidP="00DB1EFF">
      <w:pPr>
        <w:spacing w:after="0"/>
      </w:pPr>
    </w:p>
    <w:p w:rsidR="00DB1EFF" w:rsidRPr="00D951F8" w:rsidRDefault="00DB1EFF" w:rsidP="00DB1EFF">
      <w:pPr>
        <w:pStyle w:val="ListParagraph"/>
        <w:numPr>
          <w:ilvl w:val="0"/>
          <w:numId w:val="22"/>
        </w:numPr>
        <w:spacing w:after="0"/>
        <w:rPr>
          <w:rStyle w:val="BookTitle"/>
          <w:sz w:val="28"/>
          <w:szCs w:val="28"/>
        </w:rPr>
      </w:pPr>
      <w:r w:rsidRPr="00D951F8">
        <w:rPr>
          <w:rStyle w:val="BookTitle"/>
          <w:sz w:val="28"/>
          <w:szCs w:val="28"/>
        </w:rPr>
        <w:t>DEQ Recommendation</w:t>
      </w:r>
    </w:p>
    <w:p w:rsidR="00096F81" w:rsidRDefault="00096F81" w:rsidP="009429B1">
      <w:pPr>
        <w:spacing w:after="0"/>
      </w:pPr>
    </w:p>
    <w:p w:rsidR="00197992" w:rsidRDefault="00197992" w:rsidP="00197992">
      <w:pPr>
        <w:spacing w:after="0"/>
      </w:pPr>
      <w:r w:rsidRPr="005D4F1F">
        <w:t xml:space="preserve">DEQ recommends that we pursue this approach if there is general support from the Rulemaking Workgroup.  </w:t>
      </w:r>
      <w:r>
        <w:t xml:space="preserve"> At this time, DEQ finds this alternative to the background pollutant issue preferable to adopting a multiple discharger variance for reason discussed further below.</w:t>
      </w:r>
    </w:p>
    <w:p w:rsidR="00197992" w:rsidRDefault="00197992" w:rsidP="00197992">
      <w:pPr>
        <w:spacing w:after="0"/>
      </w:pPr>
    </w:p>
    <w:p w:rsidR="00197992" w:rsidRPr="005D4F1F" w:rsidRDefault="00197992" w:rsidP="00197992">
      <w:pPr>
        <w:spacing w:after="0"/>
      </w:pPr>
      <w:r w:rsidRPr="005D4F1F">
        <w:t>The next steps are to:</w:t>
      </w:r>
    </w:p>
    <w:p w:rsidR="00197992" w:rsidRPr="005D4F1F" w:rsidRDefault="00197992" w:rsidP="00197992">
      <w:pPr>
        <w:pStyle w:val="ListParagraph"/>
        <w:numPr>
          <w:ilvl w:val="0"/>
          <w:numId w:val="25"/>
        </w:numPr>
        <w:spacing w:after="0"/>
      </w:pPr>
      <w:r w:rsidRPr="005D4F1F">
        <w:t xml:space="preserve">Finalize what amount of increase would be considered to be insignificant from a human health risk perspective and therefore still protect the beneficial use of fish consumption and drinking water, where it is a designated use. </w:t>
      </w:r>
    </w:p>
    <w:p w:rsidR="00197992" w:rsidRPr="005D4F1F" w:rsidRDefault="00197992" w:rsidP="00197992">
      <w:pPr>
        <w:pStyle w:val="ListParagraph"/>
        <w:numPr>
          <w:ilvl w:val="0"/>
          <w:numId w:val="25"/>
        </w:numPr>
        <w:spacing w:after="0"/>
      </w:pPr>
      <w:r w:rsidRPr="005D4F1F">
        <w:t xml:space="preserve">Develop DEQ’s rationale </w:t>
      </w:r>
      <w:r>
        <w:t xml:space="preserve">to support a conclusion that </w:t>
      </w:r>
      <w:r w:rsidRPr="005D4F1F">
        <w:t>this provision</w:t>
      </w:r>
      <w:r>
        <w:t>,</w:t>
      </w:r>
      <w:r w:rsidRPr="005D4F1F">
        <w:t xml:space="preserve"> together with </w:t>
      </w:r>
      <w:r>
        <w:t xml:space="preserve">the </w:t>
      </w:r>
      <w:proofErr w:type="gramStart"/>
      <w:r>
        <w:t xml:space="preserve">numeric </w:t>
      </w:r>
      <w:r w:rsidRPr="005D4F1F">
        <w:t xml:space="preserve"> toxics</w:t>
      </w:r>
      <w:proofErr w:type="gramEnd"/>
      <w:r w:rsidRPr="005D4F1F">
        <w:t xml:space="preserve"> criteria</w:t>
      </w:r>
      <w:r>
        <w:t>,</w:t>
      </w:r>
      <w:r w:rsidRPr="005D4F1F">
        <w:t xml:space="preserve"> protects beneficial uses and human health.</w:t>
      </w:r>
    </w:p>
    <w:p w:rsidR="00197992" w:rsidRPr="005D4F1F" w:rsidRDefault="00197992" w:rsidP="00197992">
      <w:pPr>
        <w:pStyle w:val="ListParagraph"/>
        <w:numPr>
          <w:ilvl w:val="0"/>
          <w:numId w:val="25"/>
        </w:numPr>
        <w:spacing w:after="0"/>
      </w:pPr>
      <w:r w:rsidRPr="005D4F1F">
        <w:t>Discuss the proposal with EPA to determine if they identify major flaws or think it is not approvable under the Clean Water Act.</w:t>
      </w:r>
    </w:p>
    <w:p w:rsidR="00DB1EFF" w:rsidRPr="005D4F1F" w:rsidRDefault="00DB1EFF" w:rsidP="00DB1EFF">
      <w:pPr>
        <w:spacing w:after="0"/>
      </w:pPr>
    </w:p>
    <w:p w:rsidR="00DB1EFF" w:rsidRPr="00D951F8" w:rsidRDefault="00DB1EFF" w:rsidP="00DB1EFF">
      <w:pPr>
        <w:pStyle w:val="ListParagraph"/>
        <w:numPr>
          <w:ilvl w:val="0"/>
          <w:numId w:val="22"/>
        </w:numPr>
        <w:spacing w:after="0"/>
        <w:rPr>
          <w:rStyle w:val="BookTitle"/>
          <w:sz w:val="28"/>
          <w:szCs w:val="28"/>
        </w:rPr>
      </w:pPr>
      <w:r w:rsidRPr="00D951F8">
        <w:rPr>
          <w:rStyle w:val="BookTitle"/>
          <w:sz w:val="28"/>
          <w:szCs w:val="28"/>
        </w:rPr>
        <w:t>Policy issues and objectives</w:t>
      </w:r>
    </w:p>
    <w:p w:rsidR="00096F81" w:rsidRDefault="00096F81" w:rsidP="00096F81">
      <w:pPr>
        <w:spacing w:after="0"/>
      </w:pPr>
    </w:p>
    <w:p w:rsidR="00197992" w:rsidRPr="005D4F1F" w:rsidRDefault="00197992" w:rsidP="00197992">
      <w:pPr>
        <w:spacing w:after="0"/>
      </w:pPr>
      <w:r>
        <w:t>This provision has been drafted</w:t>
      </w:r>
      <w:r w:rsidRPr="005D4F1F">
        <w:t xml:space="preserve"> to address </w:t>
      </w:r>
      <w:r>
        <w:t xml:space="preserve">situations where </w:t>
      </w:r>
      <w:r w:rsidRPr="005D4F1F">
        <w:t>a facility receive</w:t>
      </w:r>
      <w:r>
        <w:t xml:space="preserve">s pollutants with </w:t>
      </w:r>
      <w:r w:rsidRPr="005D4F1F">
        <w:t>their intake water</w:t>
      </w:r>
      <w:r>
        <w:t xml:space="preserve"> that become</w:t>
      </w:r>
      <w:r w:rsidRPr="005D4F1F">
        <w:t xml:space="preserve"> </w:t>
      </w:r>
      <w:r>
        <w:t xml:space="preserve">concentrated </w:t>
      </w:r>
      <w:r w:rsidRPr="005D4F1F">
        <w:t>before the</w:t>
      </w:r>
      <w:r>
        <w:t xml:space="preserve"> facility</w:t>
      </w:r>
      <w:r w:rsidRPr="005D4F1F">
        <w:t xml:space="preserve"> discharge</w:t>
      </w:r>
      <w:r>
        <w:t>s the</w:t>
      </w:r>
      <w:r w:rsidRPr="005D4F1F">
        <w:t xml:space="preserve"> water back into the same water body.  The water body contains pollutants that are natural or that originated from other upstream sources</w:t>
      </w:r>
      <w:r>
        <w:t>,</w:t>
      </w:r>
      <w:r w:rsidRPr="005D4F1F">
        <w:t xml:space="preserve"> and the facility contributes no additional mass to the pollutant load in the water body.  To require a facility that uses the water for non-contact cooling, for example, to remove those pollutants is essentially requiring them to clean up pollutants generated by other sources.  In some cases, this could make it infeasible for the facility to use the water, yet industrial water supply is a designated beneficial use of the waters of the state.</w:t>
      </w:r>
    </w:p>
    <w:p w:rsidR="00197992" w:rsidRPr="005D4F1F" w:rsidRDefault="00197992" w:rsidP="00197992">
      <w:pPr>
        <w:spacing w:after="0"/>
      </w:pPr>
    </w:p>
    <w:p w:rsidR="00197992" w:rsidRPr="005D4F1F" w:rsidRDefault="00197992" w:rsidP="00197992">
      <w:pPr>
        <w:spacing w:after="0"/>
      </w:pPr>
      <w:r w:rsidRPr="005D4F1F">
        <w:t>Without this provision, facilities that discharge to water bodies that exceed the water quality criterion for the discharged pollutant are required to meet the criterion in their effluent at the “end of pipe,” before it enters the receiving water.  Because the intake water already exceeds the criterion, they would not be able to meet the criterion in their discharge</w:t>
      </w:r>
      <w:r>
        <w:t xml:space="preserve"> without treatment</w:t>
      </w:r>
      <w:r w:rsidRPr="005D4F1F">
        <w:t>, even though they add no mass of the pollutant through their process or activity.  The intake credit rule is a solution for facilities that take the water in and discharge it back to the river with no increase in mass or concentration.  However, the intake credit rule may not be used if facility increases the concentration of the pollutant.  Therefore, facilities that reduce the water volume through evaporative cooling or other processes</w:t>
      </w:r>
      <w:r>
        <w:t xml:space="preserve"> and thereby</w:t>
      </w:r>
      <w:r w:rsidRPr="005D4F1F">
        <w:t xml:space="preserve"> leave a constant pollutant mass load in a smaller volume of water</w:t>
      </w:r>
      <w:r>
        <w:t>,</w:t>
      </w:r>
      <w:r w:rsidRPr="005D4F1F">
        <w:t xml:space="preserve"> may not take advantage of the intake credit provision.</w:t>
      </w:r>
    </w:p>
    <w:p w:rsidR="00197992" w:rsidRPr="005D4F1F" w:rsidRDefault="00197992" w:rsidP="00197992">
      <w:pPr>
        <w:spacing w:after="0"/>
      </w:pPr>
    </w:p>
    <w:p w:rsidR="00197992" w:rsidRPr="005D4F1F" w:rsidRDefault="00197992" w:rsidP="00197992">
      <w:pPr>
        <w:spacing w:after="0"/>
      </w:pPr>
      <w:r w:rsidRPr="005D4F1F">
        <w:t xml:space="preserve">The objective of this policy is to provide a solution that: </w:t>
      </w:r>
    </w:p>
    <w:p w:rsidR="00197992" w:rsidRPr="005D4F1F" w:rsidRDefault="00197992" w:rsidP="00197992">
      <w:pPr>
        <w:spacing w:after="0"/>
      </w:pPr>
      <w:r w:rsidRPr="005D4F1F">
        <w:tab/>
        <w:t>1. protects human health</w:t>
      </w:r>
      <w:r>
        <w:t>,</w:t>
      </w:r>
      <w:r w:rsidRPr="005D4F1F">
        <w:t xml:space="preserve"> </w:t>
      </w:r>
    </w:p>
    <w:p w:rsidR="00197992" w:rsidRPr="005D4F1F" w:rsidRDefault="00197992" w:rsidP="00197992">
      <w:pPr>
        <w:spacing w:after="0"/>
      </w:pPr>
      <w:r w:rsidRPr="005D4F1F">
        <w:tab/>
        <w:t>2. is fair to facilities in the predicament described above, and</w:t>
      </w:r>
    </w:p>
    <w:p w:rsidR="00197992" w:rsidRPr="005D4F1F" w:rsidRDefault="00197992" w:rsidP="00197992">
      <w:pPr>
        <w:spacing w:after="0"/>
      </w:pPr>
      <w:r w:rsidRPr="005D4F1F">
        <w:tab/>
        <w:t>3. is not overly burdensome to the Department or the facilities to administer.</w:t>
      </w:r>
    </w:p>
    <w:p w:rsidR="00197992" w:rsidRPr="005D4F1F" w:rsidRDefault="00197992" w:rsidP="00197992">
      <w:pPr>
        <w:spacing w:after="0"/>
      </w:pPr>
    </w:p>
    <w:p w:rsidR="00197992" w:rsidRPr="005D4F1F" w:rsidRDefault="00197992" w:rsidP="00197992">
      <w:pPr>
        <w:spacing w:after="0"/>
      </w:pPr>
      <w:r w:rsidRPr="005D4F1F">
        <w:t>Streams that exceed water quality criteria</w:t>
      </w:r>
      <w:r>
        <w:t xml:space="preserve">, once listed as impaired, </w:t>
      </w:r>
      <w:r w:rsidRPr="005D4F1F">
        <w:t xml:space="preserve">are subject to a TMDL, which will identify the sources of the pollutants and assign </w:t>
      </w:r>
      <w:proofErr w:type="spellStart"/>
      <w:r w:rsidRPr="005D4F1F">
        <w:t>wasteload</w:t>
      </w:r>
      <w:proofErr w:type="spellEnd"/>
      <w:r w:rsidRPr="005D4F1F">
        <w:t xml:space="preserve"> and load allocations to reduce the pollutant loads and meet the water quality standards.  Through this process, the pollutant load in the water body will be reduced</w:t>
      </w:r>
      <w:r>
        <w:t>.</w:t>
      </w:r>
      <w:r w:rsidRPr="005D4F1F">
        <w:t xml:space="preserve"> </w:t>
      </w:r>
      <w:r>
        <w:t xml:space="preserve"> As the ambient load is reduced, </w:t>
      </w:r>
      <w:r w:rsidRPr="005D4F1F">
        <w:t xml:space="preserve">the concentration </w:t>
      </w:r>
      <w:r>
        <w:t xml:space="preserve">in </w:t>
      </w:r>
      <w:r w:rsidRPr="005D4F1F">
        <w:t>the discharge of facilities using the stream for intake water will also be reduced.</w:t>
      </w:r>
    </w:p>
    <w:p w:rsidR="00DB1EFF" w:rsidRPr="005D4F1F" w:rsidRDefault="00DB1EFF" w:rsidP="00DB1EFF">
      <w:pPr>
        <w:spacing w:after="0"/>
      </w:pPr>
    </w:p>
    <w:p w:rsidR="00DB1EFF" w:rsidRPr="00D951F8" w:rsidRDefault="00DB1EFF" w:rsidP="00DB1EFF">
      <w:pPr>
        <w:pStyle w:val="ListParagraph"/>
        <w:numPr>
          <w:ilvl w:val="0"/>
          <w:numId w:val="22"/>
        </w:numPr>
        <w:spacing w:after="0"/>
        <w:rPr>
          <w:rStyle w:val="BookTitle"/>
          <w:sz w:val="28"/>
          <w:szCs w:val="28"/>
        </w:rPr>
      </w:pPr>
      <w:r w:rsidRPr="00D951F8">
        <w:rPr>
          <w:rStyle w:val="BookTitle"/>
          <w:sz w:val="28"/>
          <w:szCs w:val="28"/>
        </w:rPr>
        <w:t>Policy evaluation</w:t>
      </w:r>
    </w:p>
    <w:p w:rsidR="00DB1EFF" w:rsidRPr="005D4F1F" w:rsidRDefault="00DB1EFF" w:rsidP="00DB1EFF">
      <w:pPr>
        <w:spacing w:after="0"/>
        <w:rPr>
          <w:u w:val="single"/>
        </w:rPr>
      </w:pPr>
    </w:p>
    <w:p w:rsidR="00DB1EFF" w:rsidRPr="00D951F8" w:rsidRDefault="00DB1EFF" w:rsidP="00DB1EFF">
      <w:pPr>
        <w:spacing w:after="0"/>
        <w:rPr>
          <w:rStyle w:val="IntenseEmphasis"/>
        </w:rPr>
      </w:pPr>
      <w:r>
        <w:rPr>
          <w:rStyle w:val="IntenseEmphasis"/>
        </w:rPr>
        <w:t>Advantages and disadvantages</w:t>
      </w:r>
      <w:r w:rsidRPr="00D951F8">
        <w:rPr>
          <w:rStyle w:val="IntenseEmphasis"/>
        </w:rPr>
        <w:tab/>
        <w:t xml:space="preserve">  </w:t>
      </w:r>
    </w:p>
    <w:p w:rsidR="00197992" w:rsidRDefault="00197992" w:rsidP="00197992">
      <w:pPr>
        <w:spacing w:after="0"/>
      </w:pPr>
    </w:p>
    <w:p w:rsidR="00197992" w:rsidRPr="005D4F1F" w:rsidRDefault="00197992" w:rsidP="00197992">
      <w:pPr>
        <w:spacing w:after="0"/>
        <w:rPr>
          <w:b/>
          <w:u w:val="single"/>
        </w:rPr>
      </w:pPr>
      <w:r w:rsidRPr="005D4F1F">
        <w:t>The advantages of this tool include:</w:t>
      </w:r>
    </w:p>
    <w:p w:rsidR="00197992" w:rsidRPr="005D4F1F" w:rsidRDefault="00197992" w:rsidP="00197992">
      <w:pPr>
        <w:spacing w:after="0"/>
        <w:ind w:left="720"/>
      </w:pPr>
      <w:r w:rsidRPr="005D4F1F">
        <w:t xml:space="preserve">1. It provides a fair and reasonable implementation tool.  Facilities who do not contribute a pollutant will not be required to clean up the pollution generated by other sources as long as their activity of concentrating that pollutant does not represent a significant </w:t>
      </w:r>
      <w:r>
        <w:t xml:space="preserve">added </w:t>
      </w:r>
      <w:r w:rsidRPr="005D4F1F">
        <w:t>human health risk.</w:t>
      </w:r>
    </w:p>
    <w:p w:rsidR="00197992" w:rsidRPr="005D4F1F" w:rsidRDefault="00197992" w:rsidP="00197992">
      <w:pPr>
        <w:spacing w:after="0"/>
        <w:ind w:left="720"/>
      </w:pPr>
      <w:r w:rsidRPr="005D4F1F">
        <w:t xml:space="preserve">2.  Once adopted, this tool would be a more administratively efficient means to accomplish the policy objective for this particular circumstance than having to issue variances.  Therefore it would be less costly for the Department, for the </w:t>
      </w:r>
      <w:proofErr w:type="spellStart"/>
      <w:r w:rsidRPr="005D4F1F">
        <w:t>permittee</w:t>
      </w:r>
      <w:proofErr w:type="spellEnd"/>
      <w:r w:rsidRPr="005D4F1F">
        <w:t xml:space="preserve"> and for EPA.</w:t>
      </w:r>
    </w:p>
    <w:p w:rsidR="00197992" w:rsidRPr="005D4F1F" w:rsidRDefault="00197992" w:rsidP="00197992">
      <w:pPr>
        <w:spacing w:after="0"/>
        <w:ind w:left="720"/>
      </w:pPr>
      <w:r w:rsidRPr="005D4F1F">
        <w:t>3.  This provision would provide more regulatory certainty for sources than a variance approach, at least at this time when DEQ and EPA Region 10 experience with variances is very limited.</w:t>
      </w:r>
    </w:p>
    <w:p w:rsidR="00197992" w:rsidRDefault="00197992" w:rsidP="00197992">
      <w:pPr>
        <w:spacing w:after="0"/>
        <w:ind w:left="720"/>
      </w:pPr>
      <w:r w:rsidRPr="005D4F1F">
        <w:t>4.  This meets the EQC policy objective of an environmentally meaningful and cost effective implementation tool for permitted sources.</w:t>
      </w:r>
    </w:p>
    <w:p w:rsidR="009429B1" w:rsidRDefault="009429B1" w:rsidP="009429B1">
      <w:pPr>
        <w:spacing w:after="0"/>
      </w:pPr>
    </w:p>
    <w:p w:rsidR="00197992" w:rsidRDefault="00197992" w:rsidP="00197992">
      <w:pPr>
        <w:spacing w:after="0"/>
      </w:pPr>
      <w:r>
        <w:t>Disadvantages of this tool include:</w:t>
      </w:r>
    </w:p>
    <w:p w:rsidR="00197992" w:rsidRPr="005D4F1F" w:rsidRDefault="00197992" w:rsidP="00197992">
      <w:pPr>
        <w:spacing w:after="0"/>
        <w:ind w:left="720"/>
      </w:pPr>
      <w:r>
        <w:t>1.  There is no precedence for this type of standards provision elsewhere.</w:t>
      </w:r>
    </w:p>
    <w:p w:rsidR="00DB1EFF" w:rsidRDefault="00DB1EFF" w:rsidP="00DB1EFF">
      <w:pPr>
        <w:spacing w:after="0"/>
      </w:pPr>
    </w:p>
    <w:p w:rsidR="00DB1EFF" w:rsidRPr="005D4F1F" w:rsidRDefault="00DB1EFF" w:rsidP="00DB1EFF">
      <w:pPr>
        <w:spacing w:after="0"/>
      </w:pPr>
    </w:p>
    <w:p w:rsidR="00DB1EFF" w:rsidRDefault="00DB1EFF" w:rsidP="00DB1EFF">
      <w:pPr>
        <w:spacing w:after="0"/>
        <w:rPr>
          <w:rStyle w:val="IntenseEmphasis"/>
        </w:rPr>
      </w:pPr>
      <w:r w:rsidRPr="00D951F8">
        <w:rPr>
          <w:rStyle w:val="IntenseEmphasis"/>
        </w:rPr>
        <w:t>Alternatives considered</w:t>
      </w:r>
    </w:p>
    <w:p w:rsidR="009429B1" w:rsidRPr="00D951F8" w:rsidRDefault="009429B1" w:rsidP="00DB1EFF">
      <w:pPr>
        <w:spacing w:after="0"/>
        <w:rPr>
          <w:rStyle w:val="IntenseEmphasis"/>
        </w:rPr>
      </w:pPr>
    </w:p>
    <w:p w:rsidR="00197992" w:rsidRPr="005D4F1F" w:rsidRDefault="00197992" w:rsidP="00197992">
      <w:pPr>
        <w:spacing w:after="0"/>
      </w:pPr>
      <w:r w:rsidRPr="005D4F1F">
        <w:t>The following tools are alternative means to address this situation:</w:t>
      </w:r>
    </w:p>
    <w:p w:rsidR="00197992" w:rsidRPr="005D4F1F" w:rsidRDefault="00197992" w:rsidP="00197992">
      <w:pPr>
        <w:spacing w:after="0"/>
      </w:pPr>
      <w:r w:rsidRPr="005D4F1F">
        <w:tab/>
        <w:t xml:space="preserve">1. </w:t>
      </w:r>
      <w:proofErr w:type="gramStart"/>
      <w:r w:rsidRPr="005D4F1F">
        <w:t>a</w:t>
      </w:r>
      <w:proofErr w:type="gramEnd"/>
      <w:r w:rsidRPr="005D4F1F">
        <w:t xml:space="preserve"> multiple discharger variance for non-contact cooling water facilities</w:t>
      </w:r>
    </w:p>
    <w:p w:rsidR="00197992" w:rsidRPr="005D4F1F" w:rsidRDefault="00197992" w:rsidP="00197992">
      <w:pPr>
        <w:spacing w:after="0"/>
      </w:pPr>
      <w:r w:rsidRPr="005D4F1F">
        <w:tab/>
        <w:t xml:space="preserve">2. </w:t>
      </w:r>
      <w:proofErr w:type="gramStart"/>
      <w:r w:rsidRPr="005D4F1F">
        <w:t>individual</w:t>
      </w:r>
      <w:proofErr w:type="gramEnd"/>
      <w:r w:rsidRPr="005D4F1F">
        <w:t xml:space="preserve"> variances, and</w:t>
      </w:r>
    </w:p>
    <w:p w:rsidR="00197992" w:rsidRPr="005D4F1F" w:rsidRDefault="00197992" w:rsidP="00197992">
      <w:pPr>
        <w:spacing w:after="0"/>
      </w:pPr>
      <w:r w:rsidRPr="005D4F1F">
        <w:tab/>
        <w:t xml:space="preserve">3. </w:t>
      </w:r>
      <w:proofErr w:type="gramStart"/>
      <w:r w:rsidRPr="005D4F1F">
        <w:t>general</w:t>
      </w:r>
      <w:proofErr w:type="gramEnd"/>
      <w:r w:rsidRPr="005D4F1F">
        <w:t xml:space="preserve"> permits.</w:t>
      </w:r>
    </w:p>
    <w:p w:rsidR="00197992" w:rsidRDefault="00197992" w:rsidP="00197992">
      <w:pPr>
        <w:spacing w:after="0"/>
      </w:pPr>
    </w:p>
    <w:p w:rsidR="00197992" w:rsidRPr="005D4F1F" w:rsidRDefault="00197992" w:rsidP="00197992">
      <w:pPr>
        <w:spacing w:after="0"/>
      </w:pPr>
      <w:r w:rsidRPr="005D4F1F">
        <w:t>A discussion of these implementation tools is included in this issue paper.</w:t>
      </w:r>
    </w:p>
    <w:p w:rsidR="00197992" w:rsidRPr="005D4F1F" w:rsidRDefault="00197992" w:rsidP="00197992">
      <w:pPr>
        <w:spacing w:after="0"/>
      </w:pPr>
    </w:p>
    <w:p w:rsidR="00197992" w:rsidRDefault="00197992" w:rsidP="00197992">
      <w:pPr>
        <w:spacing w:after="0"/>
      </w:pPr>
      <w:r w:rsidRPr="005D4F1F">
        <w:t xml:space="preserve">A variation to the proposal is that it would apply to pollutants in any intake water and not be limited to intake water from the receiving water body.  For example, if the source water included groundwater that would not otherwise enter the water body within a reasonable time frame.  Proponents of this variation would argue that if the increase is truly insignificant from a human health perspective it should not matter where the intake pollutants are from.  Opponents would </w:t>
      </w:r>
      <w:r>
        <w:t>suggest</w:t>
      </w:r>
      <w:r w:rsidRPr="005D4F1F">
        <w:t xml:space="preserve"> that in the latter case, additional mass of the pollutant is being added to the water body and </w:t>
      </w:r>
      <w:r>
        <w:t xml:space="preserve">that </w:t>
      </w:r>
      <w:r w:rsidRPr="005D4F1F">
        <w:t xml:space="preserve">for persistent pollutants this should not be </w:t>
      </w:r>
      <w:r>
        <w:t>allowed</w:t>
      </w:r>
      <w:r w:rsidRPr="005D4F1F">
        <w:t>, particularly when the water body already exceeds the criterion.</w:t>
      </w:r>
    </w:p>
    <w:p w:rsidR="00197992" w:rsidRDefault="00197992" w:rsidP="00197992">
      <w:pPr>
        <w:spacing w:after="0"/>
      </w:pPr>
    </w:p>
    <w:p w:rsidR="00197992" w:rsidRPr="005D4F1F" w:rsidRDefault="00197992" w:rsidP="00197992">
      <w:pPr>
        <w:spacing w:after="0"/>
      </w:pPr>
      <w:r>
        <w:t>DEQ does not recommend this variant. Based on discussions of the RWG regarding the need for this provision and uncertainty regarding its use, DEQ recommends keeping the provision focused on the specific circumstances described above and included in the proposed language below.</w:t>
      </w:r>
    </w:p>
    <w:p w:rsidR="00DB1EFF" w:rsidRDefault="00DB1EFF" w:rsidP="00DB1EFF">
      <w:pPr>
        <w:spacing w:after="0"/>
        <w:rPr>
          <w:b/>
        </w:rPr>
      </w:pPr>
    </w:p>
    <w:p w:rsidR="00DB1EFF" w:rsidRPr="00D951F8" w:rsidRDefault="00DB1EFF" w:rsidP="00DB1EFF">
      <w:pPr>
        <w:spacing w:after="0"/>
        <w:rPr>
          <w:rStyle w:val="IntenseEmphasis"/>
        </w:rPr>
      </w:pPr>
      <w:r w:rsidRPr="00D951F8">
        <w:rPr>
          <w:rStyle w:val="IntenseEmphasis"/>
        </w:rPr>
        <w:t>Summ</w:t>
      </w:r>
      <w:r>
        <w:rPr>
          <w:rStyle w:val="IntenseEmphasis"/>
        </w:rPr>
        <w:t>ary of RWG Discussion and V</w:t>
      </w:r>
      <w:r w:rsidRPr="00D951F8">
        <w:rPr>
          <w:rStyle w:val="IntenseEmphasis"/>
        </w:rPr>
        <w:t>iews</w:t>
      </w:r>
    </w:p>
    <w:p w:rsidR="009429B1" w:rsidRDefault="009429B1" w:rsidP="009429B1">
      <w:pPr>
        <w:spacing w:after="0"/>
      </w:pPr>
    </w:p>
    <w:p w:rsidR="00197992" w:rsidRPr="005D4F1F" w:rsidRDefault="00197992" w:rsidP="00197992">
      <w:pPr>
        <w:spacing w:after="0"/>
      </w:pPr>
      <w:r w:rsidRPr="005D4F1F">
        <w:t xml:space="preserve">There is general agreement amongst Rulemaking Workgroup members with the policy objective </w:t>
      </w:r>
      <w:r>
        <w:t>sta</w:t>
      </w:r>
      <w:r w:rsidRPr="005D4F1F">
        <w:t xml:space="preserve">ted above.  </w:t>
      </w:r>
    </w:p>
    <w:p w:rsidR="00197992" w:rsidRPr="005D4F1F" w:rsidRDefault="00197992" w:rsidP="00197992">
      <w:pPr>
        <w:spacing w:after="0"/>
      </w:pPr>
    </w:p>
    <w:p w:rsidR="00197992" w:rsidRPr="005D4F1F" w:rsidRDefault="00197992" w:rsidP="00197992">
      <w:pPr>
        <w:spacing w:after="0"/>
      </w:pPr>
      <w:r w:rsidRPr="005D4F1F">
        <w:t>The permitted facility representatives emphasize the need for the implementation solution to be fair, provide regulatory certainty and be cost-effective.  Their view is that in this situation the facility is not contributing to the human health risk because there is already a problem in the river and the effect of their facility is relatively negligible or “</w:t>
      </w:r>
      <w:r w:rsidRPr="005D4F1F">
        <w:rPr>
          <w:i/>
        </w:rPr>
        <w:t xml:space="preserve">de </w:t>
      </w:r>
      <w:proofErr w:type="spellStart"/>
      <w:r w:rsidRPr="005D4F1F">
        <w:rPr>
          <w:i/>
        </w:rPr>
        <w:t>minimis</w:t>
      </w:r>
      <w:proofErr w:type="spellEnd"/>
      <w:r w:rsidRPr="005D4F1F">
        <w:t>.”</w:t>
      </w:r>
    </w:p>
    <w:p w:rsidR="00197992" w:rsidRPr="005D4F1F" w:rsidRDefault="00197992" w:rsidP="00197992">
      <w:pPr>
        <w:spacing w:after="0"/>
      </w:pPr>
    </w:p>
    <w:p w:rsidR="00197992" w:rsidRPr="005D4F1F" w:rsidRDefault="00197992" w:rsidP="00197992">
      <w:pPr>
        <w:spacing w:after="0"/>
      </w:pPr>
      <w:r w:rsidRPr="005D4F1F">
        <w:t xml:space="preserve">The environmental organizations </w:t>
      </w:r>
      <w:r>
        <w:t xml:space="preserve">on the Rulemaking workgroup </w:t>
      </w:r>
      <w:r w:rsidRPr="005D4F1F">
        <w:t>emphasize the need to ensure that the huma</w:t>
      </w:r>
      <w:r>
        <w:t>n</w:t>
      </w:r>
      <w:r w:rsidRPr="005D4F1F">
        <w:t xml:space="preserve"> health impact is negligible, perhaps even within the margin of error or certainty that there would be any change in human health risk due to the facility at all.   Some of the environmental organizations </w:t>
      </w:r>
      <w:r>
        <w:t xml:space="preserve">have the </w:t>
      </w:r>
      <w:r w:rsidRPr="005D4F1F">
        <w:t>view that even though a facility does not contribute a pol</w:t>
      </w:r>
      <w:r>
        <w:t>lutant, if they concentrate the</w:t>
      </w:r>
      <w:r w:rsidRPr="005D4F1F">
        <w:t xml:space="preserve"> pollutant through their activity they are contributing to the prob</w:t>
      </w:r>
      <w:r>
        <w:t>lem and the standards violation, because s</w:t>
      </w:r>
      <w:r w:rsidRPr="005D4F1F">
        <w:t xml:space="preserve">tandards are written as </w:t>
      </w:r>
      <w:proofErr w:type="spellStart"/>
      <w:r w:rsidRPr="005D4F1F">
        <w:t>instream</w:t>
      </w:r>
      <w:proofErr w:type="spellEnd"/>
      <w:r w:rsidRPr="005D4F1F">
        <w:t xml:space="preserve"> concentration</w:t>
      </w:r>
      <w:r>
        <w:t>s</w:t>
      </w:r>
      <w:r w:rsidRPr="005D4F1F">
        <w:t>.</w:t>
      </w:r>
    </w:p>
    <w:p w:rsidR="00DB1EFF" w:rsidRPr="005D4F1F" w:rsidRDefault="00DB1EFF" w:rsidP="00DB1EFF">
      <w:pPr>
        <w:spacing w:after="0"/>
      </w:pPr>
    </w:p>
    <w:p w:rsidR="00DB1EFF" w:rsidRPr="00D951F8" w:rsidRDefault="00DB1EFF" w:rsidP="00DB1EFF">
      <w:pPr>
        <w:pStyle w:val="ListParagraph"/>
        <w:numPr>
          <w:ilvl w:val="0"/>
          <w:numId w:val="22"/>
        </w:numPr>
        <w:spacing w:after="0"/>
        <w:rPr>
          <w:rStyle w:val="BookTitle"/>
          <w:sz w:val="28"/>
          <w:szCs w:val="28"/>
        </w:rPr>
      </w:pPr>
      <w:r w:rsidRPr="00D951F8">
        <w:rPr>
          <w:rStyle w:val="BookTitle"/>
          <w:sz w:val="28"/>
          <w:szCs w:val="28"/>
        </w:rPr>
        <w:t>Proposed rule language</w:t>
      </w:r>
    </w:p>
    <w:p w:rsidR="00197992" w:rsidRPr="005D4F1F" w:rsidRDefault="00197992" w:rsidP="00197992">
      <w:pPr>
        <w:pStyle w:val="NormalWeb"/>
        <w:spacing w:after="0"/>
        <w:rPr>
          <w:rFonts w:asciiTheme="minorHAnsi" w:hAnsiTheme="minorHAnsi"/>
          <w:sz w:val="22"/>
          <w:szCs w:val="22"/>
        </w:rPr>
      </w:pPr>
      <w:r w:rsidRPr="005D4F1F">
        <w:rPr>
          <w:rFonts w:asciiTheme="minorHAnsi" w:hAnsiTheme="minorHAnsi"/>
          <w:sz w:val="22"/>
          <w:szCs w:val="22"/>
        </w:rPr>
        <w:t>OAR 340-041-0033</w:t>
      </w:r>
      <w:r>
        <w:rPr>
          <w:rFonts w:asciiTheme="minorHAnsi" w:hAnsiTheme="minorHAnsi"/>
          <w:sz w:val="22"/>
          <w:szCs w:val="22"/>
        </w:rPr>
        <w:t xml:space="preserve"> </w:t>
      </w:r>
      <w:r w:rsidRPr="005D4F1F">
        <w:rPr>
          <w:rFonts w:asciiTheme="minorHAnsi" w:hAnsiTheme="minorHAnsi"/>
          <w:sz w:val="22"/>
          <w:szCs w:val="22"/>
        </w:rPr>
        <w:t>(3)</w:t>
      </w:r>
      <w:r>
        <w:rPr>
          <w:rFonts w:asciiTheme="minorHAnsi" w:hAnsiTheme="minorHAnsi"/>
          <w:sz w:val="22"/>
          <w:szCs w:val="22"/>
        </w:rPr>
        <w:t xml:space="preserve">. </w:t>
      </w:r>
      <w:r w:rsidRPr="005D4F1F">
        <w:rPr>
          <w:rFonts w:asciiTheme="minorHAnsi" w:hAnsiTheme="minorHAnsi"/>
          <w:sz w:val="22"/>
          <w:szCs w:val="22"/>
        </w:rPr>
        <w:t xml:space="preserve"> If the background pollutant concentration in a water body exceeds an applicable human health criterion, </w:t>
      </w:r>
      <w:r>
        <w:rPr>
          <w:rFonts w:asciiTheme="minorHAnsi" w:hAnsiTheme="minorHAnsi"/>
          <w:sz w:val="22"/>
          <w:szCs w:val="22"/>
        </w:rPr>
        <w:t xml:space="preserve">a limited increase from the ambient concentration immediately upstream of a discharge may be allowed by </w:t>
      </w:r>
      <w:r w:rsidRPr="005D4F1F">
        <w:rPr>
          <w:rFonts w:asciiTheme="minorHAnsi" w:hAnsiTheme="minorHAnsi"/>
          <w:sz w:val="22"/>
          <w:szCs w:val="22"/>
        </w:rPr>
        <w:t>the Department if all of the following conditions are true:</w:t>
      </w:r>
    </w:p>
    <w:p w:rsidR="00197992" w:rsidRPr="005D4F1F" w:rsidRDefault="00197992" w:rsidP="00197992">
      <w:pPr>
        <w:pStyle w:val="NormalWeb"/>
        <w:numPr>
          <w:ilvl w:val="0"/>
          <w:numId w:val="26"/>
        </w:numPr>
        <w:spacing w:before="0" w:beforeAutospacing="0" w:after="0" w:afterAutospacing="0"/>
        <w:rPr>
          <w:rFonts w:asciiTheme="minorHAnsi" w:hAnsiTheme="minorHAnsi"/>
          <w:sz w:val="22"/>
          <w:szCs w:val="22"/>
        </w:rPr>
      </w:pPr>
      <w:r w:rsidRPr="005D4F1F">
        <w:rPr>
          <w:rFonts w:asciiTheme="minorHAnsi" w:hAnsiTheme="minorHAnsi"/>
          <w:sz w:val="22"/>
          <w:szCs w:val="22"/>
        </w:rPr>
        <w:t xml:space="preserve">The </w:t>
      </w:r>
      <w:r>
        <w:rPr>
          <w:rFonts w:asciiTheme="minorHAnsi" w:hAnsiTheme="minorHAnsi"/>
          <w:sz w:val="22"/>
          <w:szCs w:val="22"/>
        </w:rPr>
        <w:t xml:space="preserve">increase is caused by the existing discharge of a permitted </w:t>
      </w:r>
      <w:r w:rsidRPr="005D4F1F">
        <w:rPr>
          <w:rFonts w:asciiTheme="minorHAnsi" w:hAnsiTheme="minorHAnsi"/>
          <w:sz w:val="22"/>
          <w:szCs w:val="22"/>
        </w:rPr>
        <w:t>industrial</w:t>
      </w:r>
      <w:r>
        <w:rPr>
          <w:rFonts w:asciiTheme="minorHAnsi" w:hAnsiTheme="minorHAnsi"/>
          <w:sz w:val="22"/>
          <w:szCs w:val="22"/>
        </w:rPr>
        <w:t xml:space="preserve"> facility</w:t>
      </w:r>
      <w:r w:rsidRPr="005D4F1F">
        <w:rPr>
          <w:rFonts w:asciiTheme="minorHAnsi" w:hAnsiTheme="minorHAnsi"/>
          <w:sz w:val="22"/>
          <w:szCs w:val="22"/>
        </w:rPr>
        <w:t>.</w:t>
      </w:r>
    </w:p>
    <w:p w:rsidR="00197992" w:rsidRPr="005D4F1F" w:rsidRDefault="00197992" w:rsidP="00197992">
      <w:pPr>
        <w:pStyle w:val="NormalWeb"/>
        <w:spacing w:before="0" w:beforeAutospacing="0" w:after="0"/>
        <w:ind w:left="720"/>
        <w:rPr>
          <w:rFonts w:asciiTheme="minorHAnsi" w:hAnsiTheme="minorHAnsi"/>
          <w:sz w:val="22"/>
          <w:szCs w:val="22"/>
        </w:rPr>
      </w:pPr>
    </w:p>
    <w:p w:rsidR="00197992" w:rsidRPr="005D4F1F" w:rsidRDefault="00197992" w:rsidP="00197992">
      <w:pPr>
        <w:pStyle w:val="NormalWeb"/>
        <w:numPr>
          <w:ilvl w:val="0"/>
          <w:numId w:val="26"/>
        </w:numPr>
        <w:spacing w:before="0" w:beforeAutospacing="0" w:after="0" w:afterAutospacing="0"/>
        <w:rPr>
          <w:rFonts w:asciiTheme="minorHAnsi" w:hAnsiTheme="minorHAnsi"/>
          <w:sz w:val="22"/>
          <w:szCs w:val="22"/>
        </w:rPr>
      </w:pPr>
      <w:r w:rsidRPr="005D4F1F">
        <w:rPr>
          <w:rFonts w:asciiTheme="minorHAnsi" w:hAnsiTheme="minorHAnsi"/>
          <w:sz w:val="22"/>
          <w:szCs w:val="22"/>
        </w:rPr>
        <w:t>The mass of the pollutant in the discharge does not exceed the mass that is attributable to the pollutant in the facility's intake water.</w:t>
      </w:r>
    </w:p>
    <w:p w:rsidR="00197992" w:rsidRPr="005D4F1F" w:rsidRDefault="00197992" w:rsidP="00197992">
      <w:pPr>
        <w:pStyle w:val="NormalWeb"/>
        <w:spacing w:before="0" w:beforeAutospacing="0" w:after="0"/>
        <w:ind w:left="720"/>
        <w:rPr>
          <w:rFonts w:asciiTheme="minorHAnsi" w:hAnsiTheme="minorHAnsi"/>
          <w:sz w:val="22"/>
          <w:szCs w:val="22"/>
        </w:rPr>
      </w:pPr>
    </w:p>
    <w:p w:rsidR="00197992" w:rsidRPr="005D4F1F" w:rsidRDefault="00197992" w:rsidP="00197992">
      <w:pPr>
        <w:pStyle w:val="NormalWeb"/>
        <w:numPr>
          <w:ilvl w:val="0"/>
          <w:numId w:val="26"/>
        </w:numPr>
        <w:spacing w:before="0" w:beforeAutospacing="0" w:after="0" w:afterAutospacing="0"/>
        <w:rPr>
          <w:rFonts w:asciiTheme="minorHAnsi" w:hAnsiTheme="minorHAnsi"/>
          <w:sz w:val="22"/>
          <w:szCs w:val="22"/>
        </w:rPr>
      </w:pPr>
      <w:r w:rsidRPr="005D4F1F">
        <w:rPr>
          <w:rFonts w:asciiTheme="minorHAnsi" w:hAnsiTheme="minorHAnsi"/>
          <w:sz w:val="22"/>
          <w:szCs w:val="22"/>
        </w:rPr>
        <w:t>The pollutant concentration is not increased more than 1% above the upstream ambient concentration:</w:t>
      </w:r>
    </w:p>
    <w:p w:rsidR="00197992" w:rsidRPr="005D4F1F" w:rsidRDefault="00197992" w:rsidP="00197992">
      <w:pPr>
        <w:pStyle w:val="NormalWeb"/>
        <w:numPr>
          <w:ilvl w:val="1"/>
          <w:numId w:val="26"/>
        </w:numPr>
        <w:spacing w:before="0" w:beforeAutospacing="0" w:after="0" w:afterAutospacing="0"/>
        <w:rPr>
          <w:rFonts w:asciiTheme="minorHAnsi" w:hAnsiTheme="minorHAnsi"/>
          <w:sz w:val="22"/>
          <w:szCs w:val="22"/>
        </w:rPr>
      </w:pPr>
      <w:r w:rsidRPr="005D4F1F">
        <w:rPr>
          <w:rFonts w:asciiTheme="minorHAnsi" w:hAnsiTheme="minorHAnsi"/>
          <w:sz w:val="22"/>
          <w:szCs w:val="22"/>
        </w:rPr>
        <w:t xml:space="preserve">For the Willamette and Columbia Rivers, assuming instantaneous complete mixing of the effluent with the 25% of the 30Q2 flow of the water body; </w:t>
      </w:r>
    </w:p>
    <w:p w:rsidR="00197992" w:rsidRPr="005D4F1F" w:rsidRDefault="00197992" w:rsidP="00197992">
      <w:pPr>
        <w:pStyle w:val="NormalWeb"/>
        <w:numPr>
          <w:ilvl w:val="1"/>
          <w:numId w:val="26"/>
        </w:numPr>
        <w:spacing w:before="0" w:beforeAutospacing="0" w:after="0" w:afterAutospacing="0"/>
        <w:rPr>
          <w:rFonts w:asciiTheme="minorHAnsi" w:hAnsiTheme="minorHAnsi"/>
          <w:sz w:val="22"/>
          <w:szCs w:val="22"/>
        </w:rPr>
      </w:pPr>
      <w:r w:rsidRPr="005D4F1F">
        <w:rPr>
          <w:rFonts w:asciiTheme="minorHAnsi" w:hAnsiTheme="minorHAnsi"/>
          <w:sz w:val="22"/>
          <w:szCs w:val="22"/>
        </w:rPr>
        <w:t>For all other waters, assuming instantaneous complete mixing of the effluent with the 100% of the 30Q2 flow of the water body.</w:t>
      </w:r>
    </w:p>
    <w:p w:rsidR="00197992" w:rsidRPr="005D4F1F" w:rsidRDefault="00197992" w:rsidP="00197992">
      <w:pPr>
        <w:pStyle w:val="NormalWeb"/>
        <w:spacing w:before="0" w:beforeAutospacing="0" w:after="0"/>
        <w:ind w:left="1440"/>
        <w:rPr>
          <w:rFonts w:asciiTheme="minorHAnsi" w:hAnsiTheme="minorHAnsi"/>
          <w:sz w:val="22"/>
          <w:szCs w:val="22"/>
        </w:rPr>
      </w:pPr>
    </w:p>
    <w:p w:rsidR="00197992" w:rsidRPr="005D4F1F" w:rsidRDefault="00197992" w:rsidP="00197992">
      <w:pPr>
        <w:pStyle w:val="NormalWeb"/>
        <w:numPr>
          <w:ilvl w:val="0"/>
          <w:numId w:val="26"/>
        </w:numPr>
        <w:spacing w:before="0" w:beforeAutospacing="0" w:after="0" w:afterAutospacing="0"/>
        <w:rPr>
          <w:rFonts w:asciiTheme="minorHAnsi" w:hAnsiTheme="minorHAnsi"/>
          <w:sz w:val="22"/>
          <w:szCs w:val="22"/>
        </w:rPr>
      </w:pPr>
      <w:r w:rsidRPr="005D4F1F">
        <w:rPr>
          <w:rFonts w:asciiTheme="minorHAnsi" w:hAnsiTheme="minorHAnsi"/>
          <w:sz w:val="22"/>
          <w:szCs w:val="22"/>
        </w:rPr>
        <w:t>The discharge complies with all applicable technology-based effluent limits, other applicable water quality standards, and the provisions of any applicable total maximum daily load.</w:t>
      </w:r>
    </w:p>
    <w:p w:rsidR="00197992" w:rsidRPr="005D4F1F" w:rsidRDefault="00197992" w:rsidP="00197992">
      <w:pPr>
        <w:pStyle w:val="NormalWeb"/>
        <w:spacing w:before="0" w:beforeAutospacing="0" w:after="0"/>
        <w:ind w:left="720"/>
        <w:rPr>
          <w:rFonts w:asciiTheme="minorHAnsi" w:hAnsiTheme="minorHAnsi"/>
          <w:sz w:val="22"/>
          <w:szCs w:val="22"/>
        </w:rPr>
      </w:pPr>
    </w:p>
    <w:p w:rsidR="00197992" w:rsidRPr="005D4F1F" w:rsidRDefault="00197992" w:rsidP="00197992">
      <w:pPr>
        <w:pStyle w:val="NormalWeb"/>
        <w:numPr>
          <w:ilvl w:val="0"/>
          <w:numId w:val="26"/>
        </w:numPr>
        <w:spacing w:before="0" w:beforeAutospacing="0" w:after="0" w:afterAutospacing="0"/>
        <w:rPr>
          <w:rFonts w:asciiTheme="minorHAnsi" w:hAnsiTheme="minorHAnsi"/>
          <w:sz w:val="22"/>
          <w:szCs w:val="22"/>
        </w:rPr>
      </w:pPr>
      <w:r w:rsidRPr="005D4F1F">
        <w:rPr>
          <w:rFonts w:asciiTheme="minorHAnsi" w:hAnsiTheme="minorHAnsi"/>
          <w:sz w:val="22"/>
          <w:szCs w:val="22"/>
        </w:rPr>
        <w:t>No other technologically and economically feasible means that would not have significant adverse environmental consequences are available to reduce the pollutant concentration in the discharge to the applicable water quality criterion.</w:t>
      </w:r>
    </w:p>
    <w:p w:rsidR="00197992" w:rsidRPr="005D4F1F" w:rsidRDefault="00197992" w:rsidP="00197992">
      <w:pPr>
        <w:spacing w:after="0"/>
      </w:pPr>
    </w:p>
    <w:p w:rsidR="00197992" w:rsidRPr="005D4F1F" w:rsidRDefault="00197992" w:rsidP="00197992">
      <w:pPr>
        <w:spacing w:after="0"/>
      </w:pPr>
      <w:r w:rsidRPr="005D4F1F">
        <w:t>Definitions:</w:t>
      </w:r>
    </w:p>
    <w:p w:rsidR="00197992" w:rsidRPr="005D4F1F" w:rsidRDefault="00197992" w:rsidP="00197992">
      <w:pPr>
        <w:spacing w:after="0"/>
      </w:pPr>
      <w:r w:rsidRPr="005D4F1F">
        <w:t>“Background</w:t>
      </w:r>
      <w:r>
        <w:t xml:space="preserve"> pollutant concentration”</w:t>
      </w:r>
      <w:r w:rsidRPr="005D4F1F">
        <w:t xml:space="preserve"> means upstream ambient concentration, whether due to natural or anthropogenic upstream sources.</w:t>
      </w:r>
    </w:p>
    <w:p w:rsidR="00DB1EFF" w:rsidRPr="005D4F1F" w:rsidRDefault="00DB1EFF" w:rsidP="00DB1EFF">
      <w:pPr>
        <w:spacing w:after="0"/>
      </w:pPr>
    </w:p>
    <w:p w:rsidR="00DB1EFF" w:rsidRPr="00D951F8" w:rsidRDefault="00DB1EFF" w:rsidP="00DB1EFF">
      <w:pPr>
        <w:pStyle w:val="ListParagraph"/>
        <w:numPr>
          <w:ilvl w:val="0"/>
          <w:numId w:val="22"/>
        </w:numPr>
        <w:spacing w:after="0"/>
        <w:rPr>
          <w:rStyle w:val="BookTitle"/>
          <w:sz w:val="28"/>
          <w:szCs w:val="28"/>
        </w:rPr>
      </w:pPr>
      <w:r w:rsidRPr="00D951F8">
        <w:rPr>
          <w:rStyle w:val="BookTitle"/>
          <w:sz w:val="28"/>
          <w:szCs w:val="28"/>
        </w:rPr>
        <w:t>Authority and precedence</w:t>
      </w:r>
    </w:p>
    <w:p w:rsidR="009429B1" w:rsidRDefault="009429B1" w:rsidP="009429B1">
      <w:pPr>
        <w:spacing w:after="0"/>
      </w:pPr>
    </w:p>
    <w:p w:rsidR="00197992" w:rsidRPr="005D4F1F" w:rsidRDefault="00197992" w:rsidP="00197992">
      <w:pPr>
        <w:spacing w:after="0"/>
      </w:pPr>
      <w:r w:rsidRPr="005D4F1F">
        <w:t>DEQ believes that this provision is within the state’s authority to establish water quality standards under the Clean Water Act and under State statutory authority for the EQC to adopt rules and implement the CWA in Oregon.  DEQ must provide supporting documentation to EPA that demonstrates that “101a” uses (swimming and fishing, for human health) and other beneficial uses designated by the state are protected by the proposed criteria.  EPA must approve or disapprove the criteri</w:t>
      </w:r>
      <w:r>
        <w:t>on</w:t>
      </w:r>
      <w:r w:rsidRPr="005D4F1F">
        <w:t xml:space="preserve"> based on whether they conclude that </w:t>
      </w:r>
      <w:r>
        <w:t>it</w:t>
      </w:r>
      <w:r w:rsidRPr="005D4F1F">
        <w:t xml:space="preserve"> will protect uses and meet the requirements of the CWA.</w:t>
      </w:r>
    </w:p>
    <w:p w:rsidR="00197992" w:rsidRPr="005D4F1F" w:rsidRDefault="00197992" w:rsidP="00197992">
      <w:pPr>
        <w:spacing w:after="0"/>
      </w:pPr>
    </w:p>
    <w:p w:rsidR="00197992" w:rsidRPr="005D4F1F" w:rsidRDefault="00197992" w:rsidP="00197992">
      <w:pPr>
        <w:spacing w:after="0"/>
      </w:pPr>
      <w:r w:rsidRPr="005D4F1F">
        <w:t>DEQ is not aware of any precedence for this approach being explicitly used for toxics criteria.  The general approach of allowing a minimal</w:t>
      </w:r>
      <w:r>
        <w:t xml:space="preserve"> relative</w:t>
      </w:r>
      <w:r w:rsidRPr="005D4F1F">
        <w:t xml:space="preserve"> increase of a pollutant such that it does not impact the beneficial uses has been used for other parameters, such as temperature and turbidity, though the circumstances of each of these is different.</w:t>
      </w:r>
      <w:r>
        <w:t xml:space="preserve">  For example, both temperature and turbidity include provisions that allow a limited increase from ambient conditions.  These criteria are based on effects to aquatic life, they are pollutants that are part of the natural environment and have a high degree of variability, and the criteria are not derived from calculations that take into account exposure and risk.</w:t>
      </w:r>
    </w:p>
    <w:p w:rsidR="00DB1EFF" w:rsidRPr="005D4F1F" w:rsidRDefault="00DB1EFF" w:rsidP="00DB1EFF">
      <w:pPr>
        <w:spacing w:after="0"/>
      </w:pPr>
    </w:p>
    <w:p w:rsidR="00DB1EFF" w:rsidRPr="00D951F8" w:rsidRDefault="00DB1EFF" w:rsidP="00DB1EFF">
      <w:pPr>
        <w:pStyle w:val="ListParagraph"/>
        <w:numPr>
          <w:ilvl w:val="0"/>
          <w:numId w:val="22"/>
        </w:numPr>
        <w:spacing w:after="0"/>
        <w:rPr>
          <w:rStyle w:val="BookTitle"/>
          <w:sz w:val="28"/>
          <w:szCs w:val="28"/>
        </w:rPr>
      </w:pPr>
      <w:r w:rsidRPr="00D951F8">
        <w:rPr>
          <w:rStyle w:val="BookTitle"/>
          <w:sz w:val="28"/>
          <w:szCs w:val="28"/>
        </w:rPr>
        <w:t>Other supporting information</w:t>
      </w:r>
    </w:p>
    <w:p w:rsidR="00DB1EFF" w:rsidRPr="005D4F1F" w:rsidRDefault="00DB1EFF" w:rsidP="00DB1EFF">
      <w:pPr>
        <w:spacing w:after="0"/>
        <w:ind w:left="720"/>
      </w:pPr>
    </w:p>
    <w:p w:rsidR="00DB1EFF" w:rsidRPr="00D951F8" w:rsidRDefault="00DB1EFF" w:rsidP="00DB1EFF">
      <w:pPr>
        <w:spacing w:after="0"/>
        <w:rPr>
          <w:rStyle w:val="SubtleEmphasis"/>
        </w:rPr>
      </w:pPr>
      <w:r w:rsidRPr="00D951F8">
        <w:rPr>
          <w:rStyle w:val="SubtleEmphasis"/>
        </w:rPr>
        <w:t>Rational</w:t>
      </w:r>
      <w:r>
        <w:rPr>
          <w:rStyle w:val="SubtleEmphasis"/>
        </w:rPr>
        <w:t>e for Beneficial Use P</w:t>
      </w:r>
      <w:r w:rsidRPr="00D951F8">
        <w:rPr>
          <w:rStyle w:val="SubtleEmphasis"/>
        </w:rPr>
        <w:t>rotection</w:t>
      </w:r>
    </w:p>
    <w:p w:rsidR="00197992" w:rsidRDefault="00197992" w:rsidP="00197992">
      <w:pPr>
        <w:spacing w:after="0"/>
      </w:pPr>
      <w:r w:rsidRPr="005D4F1F">
        <w:t xml:space="preserve">Where a water body is already water quality limited for a human health criterion, DEQ believes that a 1% or less additional increase in concentration for a very limited section of river </w:t>
      </w:r>
      <w:r>
        <w:t>where there is</w:t>
      </w:r>
      <w:r w:rsidRPr="005D4F1F">
        <w:t xml:space="preserve"> no increase in </w:t>
      </w:r>
      <w:r>
        <w:t xml:space="preserve">the </w:t>
      </w:r>
      <w:r w:rsidRPr="005D4F1F">
        <w:t xml:space="preserve">mass </w:t>
      </w:r>
      <w:r>
        <w:t xml:space="preserve">load of the pollutant in the water body </w:t>
      </w:r>
      <w:r w:rsidRPr="005D4F1F">
        <w:t xml:space="preserve">would not be reasonably likely to increase human health risk.  The human health criteria for fish consumption are based on eating 175 grams per day of fish.  People who eat that quantity of fish are obtaining them from multiple </w:t>
      </w:r>
      <w:r>
        <w:t>water bodies</w:t>
      </w:r>
      <w:r w:rsidRPr="005D4F1F">
        <w:t xml:space="preserve">, often including marine waters.  </w:t>
      </w:r>
      <w:r>
        <w:t>Only</w:t>
      </w:r>
      <w:r w:rsidRPr="005D4F1F">
        <w:t xml:space="preserve"> a very</w:t>
      </w:r>
      <w:r>
        <w:t xml:space="preserve"> small portion of the fish eaten, if any,</w:t>
      </w:r>
      <w:r w:rsidRPr="005D4F1F">
        <w:t xml:space="preserve"> would be affected by </w:t>
      </w:r>
      <w:r>
        <w:t xml:space="preserve">such a </w:t>
      </w:r>
      <w:r w:rsidRPr="005D4F1F">
        <w:t xml:space="preserve">small increase </w:t>
      </w:r>
      <w:r>
        <w:t xml:space="preserve">in concentration </w:t>
      </w:r>
      <w:r w:rsidRPr="005D4F1F">
        <w:t xml:space="preserve">that is </w:t>
      </w:r>
      <w:r>
        <w:t xml:space="preserve">very </w:t>
      </w:r>
      <w:r w:rsidRPr="005D4F1F">
        <w:t xml:space="preserve">limited in extent within the water body.  For carcinogens, the risk is based on exposure over a life time, and even for non-carcinogens, the cumulative exposure to attain a level where effects occur could occur over a long period of time.  Therefore, we would not expect the </w:t>
      </w:r>
      <w:r>
        <w:t xml:space="preserve">1% incremental </w:t>
      </w:r>
      <w:r w:rsidRPr="005D4F1F">
        <w:t>increase allow</w:t>
      </w:r>
      <w:r>
        <w:t>ed</w:t>
      </w:r>
      <w:r w:rsidRPr="005D4F1F">
        <w:t xml:space="preserve"> through this provision in very limited stream reaches to measurably change the exposure received by people eating fish.</w:t>
      </w:r>
    </w:p>
    <w:p w:rsidR="00197992" w:rsidRPr="005D4F1F" w:rsidRDefault="00197992" w:rsidP="00197992">
      <w:pPr>
        <w:spacing w:after="0"/>
      </w:pPr>
    </w:p>
    <w:p w:rsidR="00197992" w:rsidRPr="005D4F1F" w:rsidRDefault="00197992" w:rsidP="00197992">
      <w:pPr>
        <w:spacing w:after="0"/>
      </w:pPr>
      <w:r w:rsidRPr="005D4F1F">
        <w:t xml:space="preserve">The human health risk that is present due to the fact that the river exceeds the criteria and the sources of the pollutant should be addressed.  If a community water supply intake is present in the reach of the stream that exceeds the criteria, they should take appropriate action.  Again, the insignificant </w:t>
      </w:r>
      <w:r>
        <w:t xml:space="preserve">incremental increase </w:t>
      </w:r>
      <w:r w:rsidRPr="005D4F1F">
        <w:t>that would be allowed under this provision would not change the need for the water source to address the issue.</w:t>
      </w:r>
      <w:r>
        <w:t xml:space="preserve"> </w:t>
      </w:r>
    </w:p>
    <w:p w:rsidR="00DB1EFF" w:rsidRPr="005D4F1F" w:rsidRDefault="00DB1EFF" w:rsidP="00DB1EFF">
      <w:pPr>
        <w:spacing w:after="0"/>
      </w:pPr>
    </w:p>
    <w:p w:rsidR="00DB1EFF" w:rsidRPr="00D951F8" w:rsidRDefault="00DB1EFF" w:rsidP="00DB1EFF">
      <w:pPr>
        <w:pStyle w:val="ListParagraph"/>
        <w:numPr>
          <w:ilvl w:val="0"/>
          <w:numId w:val="22"/>
        </w:numPr>
        <w:spacing w:after="0"/>
        <w:rPr>
          <w:rStyle w:val="BookTitle"/>
          <w:sz w:val="28"/>
          <w:szCs w:val="28"/>
        </w:rPr>
      </w:pPr>
      <w:r w:rsidRPr="00D951F8">
        <w:rPr>
          <w:rStyle w:val="BookTitle"/>
          <w:sz w:val="28"/>
          <w:szCs w:val="28"/>
        </w:rPr>
        <w:t>Implementation information</w:t>
      </w:r>
    </w:p>
    <w:p w:rsidR="00DB1EFF" w:rsidRDefault="00096F81" w:rsidP="00096F81">
      <w:pPr>
        <w:pStyle w:val="Heading4"/>
      </w:pPr>
      <w:r>
        <w:t>To be completed</w:t>
      </w:r>
    </w:p>
    <w:p w:rsidR="00096F81" w:rsidRPr="00096F81" w:rsidRDefault="00096F81" w:rsidP="00096F81"/>
    <w:p w:rsidR="00E54F5D" w:rsidRPr="00AA7A42" w:rsidRDefault="009429B1" w:rsidP="00E54F5D">
      <w:pPr>
        <w:rPr>
          <w:rStyle w:val="IntenseEmphasis"/>
          <w:sz w:val="28"/>
          <w:szCs w:val="28"/>
        </w:rPr>
      </w:pPr>
      <w:r>
        <w:rPr>
          <w:rStyle w:val="IntenseEmphasis"/>
          <w:sz w:val="28"/>
          <w:szCs w:val="28"/>
        </w:rPr>
        <w:t>3</w:t>
      </w:r>
      <w:r w:rsidR="00E41633">
        <w:rPr>
          <w:rStyle w:val="IntenseEmphasis"/>
          <w:sz w:val="28"/>
          <w:szCs w:val="28"/>
        </w:rPr>
        <w:t xml:space="preserve">. </w:t>
      </w:r>
      <w:r w:rsidR="006F6684" w:rsidRPr="00AA7A42">
        <w:rPr>
          <w:rStyle w:val="IntenseEmphasis"/>
          <w:sz w:val="28"/>
          <w:szCs w:val="28"/>
        </w:rPr>
        <w:t xml:space="preserve">  </w:t>
      </w:r>
      <w:r w:rsidR="00C86014" w:rsidRPr="00AA7A42">
        <w:rPr>
          <w:rStyle w:val="IntenseEmphasis"/>
          <w:sz w:val="28"/>
          <w:szCs w:val="28"/>
        </w:rPr>
        <w:t xml:space="preserve">Multiple Discharger </w:t>
      </w:r>
      <w:proofErr w:type="gramStart"/>
      <w:r w:rsidR="00C86014" w:rsidRPr="00AA7A42">
        <w:rPr>
          <w:rStyle w:val="IntenseEmphasis"/>
          <w:sz w:val="28"/>
          <w:szCs w:val="28"/>
        </w:rPr>
        <w:t>Variance</w:t>
      </w:r>
      <w:proofErr w:type="gramEnd"/>
    </w:p>
    <w:p w:rsidR="00AD012D" w:rsidRPr="00AA7A42" w:rsidRDefault="00E54F5D" w:rsidP="00EC6E0A">
      <w:pPr>
        <w:rPr>
          <w:rStyle w:val="BookTitle"/>
          <w:sz w:val="28"/>
          <w:szCs w:val="28"/>
        </w:rPr>
      </w:pPr>
      <w:r w:rsidRPr="00AA7A42">
        <w:rPr>
          <w:rStyle w:val="BookTitle"/>
          <w:sz w:val="28"/>
          <w:szCs w:val="28"/>
        </w:rPr>
        <w:t xml:space="preserve">A.  </w:t>
      </w:r>
      <w:r w:rsidR="00AD012D" w:rsidRPr="00AA7A42">
        <w:rPr>
          <w:rStyle w:val="BookTitle"/>
          <w:sz w:val="28"/>
          <w:szCs w:val="28"/>
        </w:rPr>
        <w:t>Description of Tool</w:t>
      </w:r>
    </w:p>
    <w:p w:rsidR="00AD012D" w:rsidRPr="00547165" w:rsidRDefault="00AD012D" w:rsidP="00EC6E0A">
      <w:pPr>
        <w:spacing w:after="0" w:line="240" w:lineRule="auto"/>
        <w:rPr>
          <w:rFonts w:asciiTheme="minorHAnsi" w:hAnsiTheme="minorHAnsi"/>
        </w:rPr>
      </w:pPr>
      <w:r w:rsidRPr="00547165">
        <w:rPr>
          <w:rFonts w:asciiTheme="minorHAnsi" w:hAnsiTheme="minorHAnsi" w:cs="Courier New"/>
          <w:color w:val="000000"/>
        </w:rPr>
        <w:t xml:space="preserve">A variance is a </w:t>
      </w:r>
      <w:r w:rsidR="00C86014" w:rsidRPr="00547165">
        <w:rPr>
          <w:rFonts w:asciiTheme="minorHAnsi" w:hAnsiTheme="minorHAnsi" w:cs="Courier New"/>
          <w:color w:val="000000"/>
        </w:rPr>
        <w:t xml:space="preserve">standards provision which allows a discharger a </w:t>
      </w:r>
      <w:r w:rsidRPr="00547165">
        <w:rPr>
          <w:rFonts w:asciiTheme="minorHAnsi" w:hAnsiTheme="minorHAnsi" w:cs="Courier New"/>
          <w:color w:val="000000"/>
        </w:rPr>
        <w:t>temporary exemption</w:t>
      </w:r>
      <w:r w:rsidR="00C86014" w:rsidRPr="00547165">
        <w:rPr>
          <w:rFonts w:asciiTheme="minorHAnsi" w:hAnsiTheme="minorHAnsi" w:cs="Courier New"/>
          <w:color w:val="000000"/>
        </w:rPr>
        <w:t xml:space="preserve"> from meeting </w:t>
      </w:r>
      <w:r w:rsidRPr="00547165">
        <w:rPr>
          <w:rFonts w:asciiTheme="minorHAnsi" w:hAnsiTheme="minorHAnsi" w:cs="Courier New"/>
          <w:color w:val="000000"/>
        </w:rPr>
        <w:t>applicable water quality standards</w:t>
      </w:r>
      <w:r w:rsidR="00C86014" w:rsidRPr="00547165">
        <w:rPr>
          <w:rFonts w:asciiTheme="minorHAnsi" w:hAnsiTheme="minorHAnsi" w:cs="Courier New"/>
          <w:color w:val="000000"/>
        </w:rPr>
        <w:t xml:space="preserve">.  Variances </w:t>
      </w:r>
      <w:r w:rsidRPr="00547165">
        <w:rPr>
          <w:rFonts w:asciiTheme="minorHAnsi" w:hAnsiTheme="minorHAnsi" w:cs="Courier New"/>
          <w:color w:val="000000"/>
        </w:rPr>
        <w:t xml:space="preserve">must </w:t>
      </w:r>
      <w:r w:rsidR="0057420F" w:rsidRPr="00547165">
        <w:rPr>
          <w:rFonts w:asciiTheme="minorHAnsi" w:hAnsiTheme="minorHAnsi"/>
        </w:rPr>
        <w:t>be supported with a demonstration based on at least one of the factors found at 40 CFR 131.10(g)</w:t>
      </w:r>
      <w:r w:rsidRPr="00547165">
        <w:rPr>
          <w:rFonts w:asciiTheme="minorHAnsi" w:hAnsiTheme="minorHAnsi"/>
        </w:rPr>
        <w:t>.</w:t>
      </w:r>
      <w:r w:rsidR="00C86014" w:rsidRPr="00547165">
        <w:rPr>
          <w:rFonts w:asciiTheme="minorHAnsi" w:hAnsiTheme="minorHAnsi"/>
        </w:rPr>
        <w:t xml:space="preserve">  For more detailed information on variances, see pgs. XX – XX.</w:t>
      </w:r>
    </w:p>
    <w:p w:rsidR="00ED2A2E" w:rsidRDefault="00ED2A2E" w:rsidP="00EC6E0A">
      <w:pPr>
        <w:pStyle w:val="ListParagraph"/>
        <w:spacing w:after="0"/>
        <w:ind w:left="0"/>
        <w:rPr>
          <w:rFonts w:asciiTheme="minorHAnsi" w:hAnsiTheme="minorHAnsi"/>
        </w:rPr>
      </w:pPr>
    </w:p>
    <w:p w:rsidR="00ED2A2E" w:rsidRDefault="000E3C94" w:rsidP="00ED2A2E">
      <w:pPr>
        <w:spacing w:after="0" w:line="240" w:lineRule="auto"/>
        <w:rPr>
          <w:rFonts w:asciiTheme="minorHAnsi" w:hAnsiTheme="minorHAnsi"/>
        </w:rPr>
      </w:pPr>
      <w:r>
        <w:rPr>
          <w:rFonts w:asciiTheme="minorHAnsi" w:hAnsiTheme="minorHAnsi"/>
        </w:rPr>
        <w:t>Rather than issuing one variance per discharger, a</w:t>
      </w:r>
      <w:r w:rsidR="00C86014" w:rsidRPr="00547165">
        <w:rPr>
          <w:rFonts w:asciiTheme="minorHAnsi" w:hAnsiTheme="minorHAnsi"/>
        </w:rPr>
        <w:t xml:space="preserve"> multiple discharger variance</w:t>
      </w:r>
      <w:r w:rsidR="00416FFD" w:rsidRPr="00547165">
        <w:rPr>
          <w:rFonts w:asciiTheme="minorHAnsi" w:hAnsiTheme="minorHAnsi"/>
        </w:rPr>
        <w:t xml:space="preserve"> </w:t>
      </w:r>
      <w:r w:rsidR="00E47080" w:rsidRPr="00547165">
        <w:rPr>
          <w:rFonts w:asciiTheme="minorHAnsi" w:hAnsiTheme="minorHAnsi"/>
        </w:rPr>
        <w:t xml:space="preserve">(MDV) </w:t>
      </w:r>
      <w:r w:rsidR="00416FFD" w:rsidRPr="00547165">
        <w:rPr>
          <w:rFonts w:asciiTheme="minorHAnsi" w:hAnsiTheme="minorHAnsi"/>
        </w:rPr>
        <w:t>is a variance that applies to more than one discharger</w:t>
      </w:r>
      <w:r w:rsidR="003277B7" w:rsidRPr="00547165">
        <w:rPr>
          <w:rFonts w:asciiTheme="minorHAnsi" w:hAnsiTheme="minorHAnsi"/>
        </w:rPr>
        <w:t xml:space="preserve"> who cannot </w:t>
      </w:r>
      <w:r>
        <w:rPr>
          <w:rFonts w:asciiTheme="minorHAnsi" w:hAnsiTheme="minorHAnsi"/>
        </w:rPr>
        <w:t>meet limits for</w:t>
      </w:r>
      <w:r w:rsidR="000E2DDC">
        <w:rPr>
          <w:rFonts w:asciiTheme="minorHAnsi" w:hAnsiTheme="minorHAnsi"/>
        </w:rPr>
        <w:t xml:space="preserve"> certain limits. I</w:t>
      </w:r>
      <w:r w:rsidR="009F6C3E">
        <w:rPr>
          <w:rFonts w:asciiTheme="minorHAnsi" w:hAnsiTheme="minorHAnsi"/>
        </w:rPr>
        <w:t>n the case of Oregon,</w:t>
      </w:r>
      <w:r w:rsidR="003277B7" w:rsidRPr="00547165">
        <w:rPr>
          <w:rFonts w:asciiTheme="minorHAnsi" w:hAnsiTheme="minorHAnsi"/>
        </w:rPr>
        <w:t xml:space="preserve"> </w:t>
      </w:r>
      <w:r w:rsidR="000E2DDC">
        <w:rPr>
          <w:rFonts w:asciiTheme="minorHAnsi" w:hAnsiTheme="minorHAnsi"/>
        </w:rPr>
        <w:t xml:space="preserve">DEQ is considering adopting a MDV into its water quality standards regulation to address facilities with non-contact cooling water that cannot meet </w:t>
      </w:r>
      <w:r w:rsidR="00F7772B">
        <w:rPr>
          <w:rFonts w:asciiTheme="minorHAnsi" w:hAnsiTheme="minorHAnsi"/>
        </w:rPr>
        <w:t xml:space="preserve">specific </w:t>
      </w:r>
      <w:r w:rsidR="003277B7" w:rsidRPr="00547165">
        <w:rPr>
          <w:rFonts w:asciiTheme="minorHAnsi" w:hAnsiTheme="minorHAnsi"/>
        </w:rPr>
        <w:t>human health criteria for toxics pollutants</w:t>
      </w:r>
      <w:r w:rsidR="000E2DDC">
        <w:rPr>
          <w:rFonts w:asciiTheme="minorHAnsi" w:hAnsiTheme="minorHAnsi"/>
        </w:rPr>
        <w:t xml:space="preserve"> due to </w:t>
      </w:r>
      <w:r w:rsidR="007745B9">
        <w:rPr>
          <w:rFonts w:asciiTheme="minorHAnsi" w:hAnsiTheme="minorHAnsi"/>
        </w:rPr>
        <w:t>concentrating those pollutants</w:t>
      </w:r>
      <w:r w:rsidR="00416FFD" w:rsidRPr="00547165">
        <w:rPr>
          <w:rFonts w:asciiTheme="minorHAnsi" w:hAnsiTheme="minorHAnsi"/>
        </w:rPr>
        <w:t xml:space="preserve">.  </w:t>
      </w:r>
      <w:r w:rsidR="00ED2A2E">
        <w:rPr>
          <w:rFonts w:asciiTheme="minorHAnsi" w:hAnsiTheme="minorHAnsi"/>
        </w:rPr>
        <w:t>M</w:t>
      </w:r>
      <w:r w:rsidR="00ED2A2E" w:rsidRPr="00547165">
        <w:rPr>
          <w:rFonts w:asciiTheme="minorHAnsi" w:hAnsiTheme="minorHAnsi"/>
        </w:rPr>
        <w:t xml:space="preserve">ultiple discharger variance </w:t>
      </w:r>
      <w:r w:rsidR="00ED2A2E" w:rsidRPr="00ED2A2E">
        <w:rPr>
          <w:rFonts w:asciiTheme="minorHAnsi" w:hAnsiTheme="minorHAnsi"/>
        </w:rPr>
        <w:t xml:space="preserve">provisions and procedures </w:t>
      </w:r>
      <w:r w:rsidR="00ED2A2E">
        <w:rPr>
          <w:rFonts w:asciiTheme="minorHAnsi" w:hAnsiTheme="minorHAnsi"/>
        </w:rPr>
        <w:t>have historically been</w:t>
      </w:r>
      <w:r w:rsidR="00ED2A2E" w:rsidRPr="00ED2A2E">
        <w:rPr>
          <w:rFonts w:asciiTheme="minorHAnsi" w:hAnsiTheme="minorHAnsi"/>
        </w:rPr>
        <w:t xml:space="preserve"> established </w:t>
      </w:r>
      <w:r w:rsidR="00F7772B">
        <w:rPr>
          <w:rFonts w:asciiTheme="minorHAnsi" w:hAnsiTheme="minorHAnsi"/>
        </w:rPr>
        <w:t xml:space="preserve">in other states </w:t>
      </w:r>
      <w:r w:rsidR="00ED2A2E" w:rsidRPr="00ED2A2E">
        <w:rPr>
          <w:rFonts w:asciiTheme="minorHAnsi" w:hAnsiTheme="minorHAnsi"/>
        </w:rPr>
        <w:t>for a particular type or class</w:t>
      </w:r>
      <w:r w:rsidR="009F6C3E">
        <w:rPr>
          <w:rFonts w:asciiTheme="minorHAnsi" w:hAnsiTheme="minorHAnsi"/>
        </w:rPr>
        <w:t xml:space="preserve"> of discharger</w:t>
      </w:r>
      <w:r w:rsidR="00ED2A2E" w:rsidRPr="00ED2A2E">
        <w:rPr>
          <w:rFonts w:asciiTheme="minorHAnsi" w:hAnsiTheme="minorHAnsi"/>
        </w:rPr>
        <w:t xml:space="preserve"> (e.g., POTWs) a</w:t>
      </w:r>
      <w:r w:rsidR="00221F47">
        <w:rPr>
          <w:rFonts w:asciiTheme="minorHAnsi" w:hAnsiTheme="minorHAnsi"/>
        </w:rPr>
        <w:t>nd a particular pollutant (i.e.</w:t>
      </w:r>
      <w:r w:rsidR="00ED2A2E" w:rsidRPr="00ED2A2E">
        <w:rPr>
          <w:rFonts w:asciiTheme="minorHAnsi" w:hAnsiTheme="minorHAnsi"/>
        </w:rPr>
        <w:t xml:space="preserve"> mercury).  While multiple dischargers may apply for coverage under a MDV</w:t>
      </w:r>
      <w:r w:rsidR="00F7772B">
        <w:rPr>
          <w:rFonts w:asciiTheme="minorHAnsi" w:hAnsiTheme="minorHAnsi"/>
        </w:rPr>
        <w:t xml:space="preserve"> once it has been established (by adoption into water quality standards) and approved by EPA</w:t>
      </w:r>
      <w:r w:rsidR="00ED2A2E" w:rsidRPr="00ED2A2E">
        <w:rPr>
          <w:rFonts w:asciiTheme="minorHAnsi" w:hAnsiTheme="minorHAnsi"/>
        </w:rPr>
        <w:t xml:space="preserve">, each discharger must submit an application </w:t>
      </w:r>
      <w:r w:rsidR="009F6C3E">
        <w:rPr>
          <w:rFonts w:asciiTheme="minorHAnsi" w:hAnsiTheme="minorHAnsi"/>
        </w:rPr>
        <w:t xml:space="preserve">to DEQ </w:t>
      </w:r>
      <w:r w:rsidR="00ED2A2E" w:rsidRPr="00ED2A2E">
        <w:rPr>
          <w:rFonts w:asciiTheme="minorHAnsi" w:hAnsiTheme="minorHAnsi"/>
        </w:rPr>
        <w:t xml:space="preserve">for coverage. </w:t>
      </w:r>
      <w:r w:rsidR="00ED2A2E">
        <w:rPr>
          <w:rFonts w:asciiTheme="minorHAnsi" w:hAnsiTheme="minorHAnsi"/>
        </w:rPr>
        <w:t xml:space="preserve"> </w:t>
      </w:r>
      <w:r w:rsidR="00ED2A2E" w:rsidRPr="00ED2A2E">
        <w:rPr>
          <w:rFonts w:asciiTheme="minorHAnsi" w:hAnsiTheme="minorHAnsi"/>
        </w:rPr>
        <w:t>Application requirements are described in the procedures associated with the MDV provision.</w:t>
      </w:r>
    </w:p>
    <w:p w:rsidR="00ED2A2E" w:rsidRDefault="00ED2A2E" w:rsidP="00ED2A2E">
      <w:pPr>
        <w:spacing w:after="0" w:line="240" w:lineRule="auto"/>
        <w:rPr>
          <w:rFonts w:asciiTheme="minorHAnsi" w:hAnsiTheme="minorHAnsi"/>
        </w:rPr>
      </w:pPr>
    </w:p>
    <w:p w:rsidR="00ED2A2E" w:rsidRDefault="00ED2A2E" w:rsidP="00ED2A2E">
      <w:pPr>
        <w:spacing w:after="0" w:line="240" w:lineRule="auto"/>
        <w:rPr>
          <w:rFonts w:asciiTheme="minorHAnsi" w:hAnsiTheme="minorHAnsi"/>
        </w:rPr>
      </w:pPr>
      <w:r w:rsidRPr="00ED2A2E">
        <w:rPr>
          <w:rFonts w:asciiTheme="minorHAnsi" w:hAnsiTheme="minorHAnsi"/>
        </w:rPr>
        <w:t xml:space="preserve">The </w:t>
      </w:r>
      <w:r w:rsidR="00F7772B" w:rsidRPr="00ED2A2E">
        <w:rPr>
          <w:rFonts w:asciiTheme="minorHAnsi" w:hAnsiTheme="minorHAnsi"/>
        </w:rPr>
        <w:t xml:space="preserve">MDV </w:t>
      </w:r>
      <w:r w:rsidRPr="00ED2A2E">
        <w:rPr>
          <w:rFonts w:asciiTheme="minorHAnsi" w:hAnsiTheme="minorHAnsi"/>
        </w:rPr>
        <w:t xml:space="preserve">provision </w:t>
      </w:r>
      <w:r w:rsidR="000E2DDC">
        <w:rPr>
          <w:rFonts w:asciiTheme="minorHAnsi" w:hAnsiTheme="minorHAnsi"/>
        </w:rPr>
        <w:t>would</w:t>
      </w:r>
      <w:r w:rsidRPr="00ED2A2E">
        <w:rPr>
          <w:rFonts w:asciiTheme="minorHAnsi" w:hAnsiTheme="minorHAnsi"/>
        </w:rPr>
        <w:t xml:space="preserve"> </w:t>
      </w:r>
      <w:r w:rsidR="00A169A6">
        <w:rPr>
          <w:rFonts w:asciiTheme="minorHAnsi" w:hAnsiTheme="minorHAnsi"/>
        </w:rPr>
        <w:t xml:space="preserve">be </w:t>
      </w:r>
      <w:r w:rsidRPr="00ED2A2E">
        <w:rPr>
          <w:rFonts w:asciiTheme="minorHAnsi" w:hAnsiTheme="minorHAnsi"/>
        </w:rPr>
        <w:t>adopte</w:t>
      </w:r>
      <w:r w:rsidR="009F6C3E">
        <w:rPr>
          <w:rFonts w:asciiTheme="minorHAnsi" w:hAnsiTheme="minorHAnsi"/>
        </w:rPr>
        <w:t>d by the Commission</w:t>
      </w:r>
      <w:r w:rsidRPr="00ED2A2E">
        <w:rPr>
          <w:rFonts w:asciiTheme="minorHAnsi" w:hAnsiTheme="minorHAnsi"/>
        </w:rPr>
        <w:t xml:space="preserve"> into </w:t>
      </w:r>
      <w:r w:rsidR="000E2DDC">
        <w:rPr>
          <w:rFonts w:asciiTheme="minorHAnsi" w:hAnsiTheme="minorHAnsi"/>
        </w:rPr>
        <w:t>Oregon’s</w:t>
      </w:r>
      <w:r w:rsidR="000E2DDC" w:rsidRPr="00ED2A2E">
        <w:rPr>
          <w:rFonts w:asciiTheme="minorHAnsi" w:hAnsiTheme="minorHAnsi"/>
        </w:rPr>
        <w:t xml:space="preserve"> </w:t>
      </w:r>
      <w:r w:rsidRPr="00ED2A2E">
        <w:rPr>
          <w:rFonts w:asciiTheme="minorHAnsi" w:hAnsiTheme="minorHAnsi"/>
        </w:rPr>
        <w:t xml:space="preserve">WQS regulation.  However, </w:t>
      </w:r>
      <w:r w:rsidR="009F6C3E">
        <w:rPr>
          <w:rFonts w:asciiTheme="minorHAnsi" w:hAnsiTheme="minorHAnsi"/>
        </w:rPr>
        <w:t xml:space="preserve">each </w:t>
      </w:r>
      <w:r w:rsidRPr="00ED2A2E">
        <w:rPr>
          <w:rFonts w:asciiTheme="minorHAnsi" w:hAnsiTheme="minorHAnsi"/>
        </w:rPr>
        <w:t>application of the v</w:t>
      </w:r>
      <w:r w:rsidR="009F6C3E">
        <w:rPr>
          <w:rFonts w:asciiTheme="minorHAnsi" w:hAnsiTheme="minorHAnsi"/>
        </w:rPr>
        <w:t xml:space="preserve">ariance in individual permits would be granted by </w:t>
      </w:r>
      <w:r w:rsidR="00F7772B">
        <w:rPr>
          <w:rFonts w:asciiTheme="minorHAnsi" w:hAnsiTheme="minorHAnsi"/>
        </w:rPr>
        <w:t>DEQ</w:t>
      </w:r>
      <w:r w:rsidR="009F6C3E">
        <w:rPr>
          <w:rFonts w:asciiTheme="minorHAnsi" w:hAnsiTheme="minorHAnsi"/>
        </w:rPr>
        <w:t xml:space="preserve">, </w:t>
      </w:r>
      <w:r w:rsidRPr="00ED2A2E">
        <w:rPr>
          <w:rFonts w:asciiTheme="minorHAnsi" w:hAnsiTheme="minorHAnsi"/>
        </w:rPr>
        <w:t xml:space="preserve">and </w:t>
      </w:r>
      <w:r w:rsidR="00F7772B">
        <w:rPr>
          <w:rFonts w:asciiTheme="minorHAnsi" w:hAnsiTheme="minorHAnsi"/>
        </w:rPr>
        <w:t xml:space="preserve">would be granted </w:t>
      </w:r>
      <w:r w:rsidR="000E2DDC">
        <w:rPr>
          <w:rFonts w:asciiTheme="minorHAnsi" w:hAnsiTheme="minorHAnsi"/>
        </w:rPr>
        <w:t>in conjunction with</w:t>
      </w:r>
      <w:r w:rsidRPr="00ED2A2E">
        <w:rPr>
          <w:rFonts w:asciiTheme="minorHAnsi" w:hAnsiTheme="minorHAnsi"/>
        </w:rPr>
        <w:t xml:space="preserve"> the NPDES permitting process.</w:t>
      </w:r>
    </w:p>
    <w:p w:rsidR="009F6C3E" w:rsidRDefault="009F6C3E" w:rsidP="00ED2A2E">
      <w:pPr>
        <w:spacing w:after="0" w:line="240" w:lineRule="auto"/>
        <w:rPr>
          <w:rFonts w:asciiTheme="minorHAnsi" w:hAnsiTheme="minorHAnsi"/>
        </w:rPr>
      </w:pPr>
    </w:p>
    <w:p w:rsidR="009F6C3E" w:rsidRDefault="009F6C3E" w:rsidP="009F6C3E">
      <w:pPr>
        <w:spacing w:after="0" w:line="240" w:lineRule="auto"/>
        <w:rPr>
          <w:rFonts w:asciiTheme="minorHAnsi" w:hAnsiTheme="minorHAnsi"/>
        </w:rPr>
      </w:pPr>
      <w:r w:rsidRPr="009F6C3E">
        <w:rPr>
          <w:rFonts w:asciiTheme="minorHAnsi" w:hAnsiTheme="minorHAnsi"/>
        </w:rPr>
        <w:t xml:space="preserve">The </w:t>
      </w:r>
      <w:r w:rsidR="00F7772B" w:rsidRPr="009F6C3E">
        <w:rPr>
          <w:rFonts w:asciiTheme="minorHAnsi" w:hAnsiTheme="minorHAnsi"/>
        </w:rPr>
        <w:t xml:space="preserve">MDV </w:t>
      </w:r>
      <w:r w:rsidRPr="009F6C3E">
        <w:rPr>
          <w:rFonts w:asciiTheme="minorHAnsi" w:hAnsiTheme="minorHAnsi"/>
        </w:rPr>
        <w:t xml:space="preserve">provision </w:t>
      </w:r>
      <w:r w:rsidR="00F7772B">
        <w:rPr>
          <w:rFonts w:asciiTheme="minorHAnsi" w:hAnsiTheme="minorHAnsi"/>
        </w:rPr>
        <w:t>is</w:t>
      </w:r>
      <w:r w:rsidRPr="009F6C3E">
        <w:rPr>
          <w:rFonts w:asciiTheme="minorHAnsi" w:hAnsiTheme="minorHAnsi"/>
        </w:rPr>
        <w:t xml:space="preserve"> submitted to EPA for review and approval under CWA § 303(c), with </w:t>
      </w:r>
      <w:r>
        <w:rPr>
          <w:rFonts w:asciiTheme="minorHAnsi" w:hAnsiTheme="minorHAnsi"/>
        </w:rPr>
        <w:t xml:space="preserve">an </w:t>
      </w:r>
      <w:r w:rsidRPr="009F6C3E">
        <w:rPr>
          <w:rFonts w:asciiTheme="minorHAnsi" w:hAnsiTheme="minorHAnsi"/>
        </w:rPr>
        <w:t xml:space="preserve">accompanying feasibility demonstration.  </w:t>
      </w:r>
      <w:r w:rsidR="000E2DDC">
        <w:rPr>
          <w:rFonts w:asciiTheme="minorHAnsi" w:hAnsiTheme="minorHAnsi"/>
        </w:rPr>
        <w:t>The subsequent</w:t>
      </w:r>
      <w:r w:rsidRPr="009F6C3E">
        <w:rPr>
          <w:rFonts w:asciiTheme="minorHAnsi" w:hAnsiTheme="minorHAnsi"/>
        </w:rPr>
        <w:t xml:space="preserve"> application of the variance in individual NPDES permits is </w:t>
      </w:r>
      <w:r w:rsidR="000E2DDC">
        <w:rPr>
          <w:rFonts w:asciiTheme="minorHAnsi" w:hAnsiTheme="minorHAnsi"/>
        </w:rPr>
        <w:t xml:space="preserve">carried out by DEQ and is </w:t>
      </w:r>
      <w:r w:rsidRPr="009F6C3E">
        <w:rPr>
          <w:rFonts w:asciiTheme="minorHAnsi" w:hAnsiTheme="minorHAnsi"/>
        </w:rPr>
        <w:t xml:space="preserve">not submitted to EPA for review and approval under CWA § 303(c). </w:t>
      </w:r>
    </w:p>
    <w:p w:rsidR="009F6C3E" w:rsidRDefault="009F6C3E" w:rsidP="009F6C3E">
      <w:pPr>
        <w:spacing w:after="0" w:line="240" w:lineRule="auto"/>
        <w:rPr>
          <w:rFonts w:asciiTheme="minorHAnsi" w:hAnsiTheme="minorHAnsi"/>
        </w:rPr>
      </w:pPr>
    </w:p>
    <w:p w:rsidR="009F6C3E" w:rsidRPr="009F6C3E" w:rsidRDefault="009F6C3E" w:rsidP="009F6C3E">
      <w:pPr>
        <w:spacing w:after="0" w:line="240" w:lineRule="auto"/>
        <w:rPr>
          <w:rFonts w:asciiTheme="minorHAnsi" w:hAnsiTheme="minorHAnsi"/>
        </w:rPr>
      </w:pPr>
      <w:r>
        <w:rPr>
          <w:rFonts w:asciiTheme="minorHAnsi" w:hAnsiTheme="minorHAnsi"/>
        </w:rPr>
        <w:t>The p</w:t>
      </w:r>
      <w:r w:rsidRPr="009F6C3E">
        <w:rPr>
          <w:rFonts w:asciiTheme="minorHAnsi" w:hAnsiTheme="minorHAnsi"/>
        </w:rPr>
        <w:t xml:space="preserve">ublic notice and comment period for </w:t>
      </w:r>
      <w:r w:rsidR="000E2DDC">
        <w:rPr>
          <w:rFonts w:asciiTheme="minorHAnsi" w:hAnsiTheme="minorHAnsi"/>
        </w:rPr>
        <w:t>the</w:t>
      </w:r>
      <w:r>
        <w:rPr>
          <w:rFonts w:asciiTheme="minorHAnsi" w:hAnsiTheme="minorHAnsi"/>
        </w:rPr>
        <w:t xml:space="preserve"> </w:t>
      </w:r>
      <w:r w:rsidRPr="009F6C3E">
        <w:rPr>
          <w:rFonts w:asciiTheme="minorHAnsi" w:hAnsiTheme="minorHAnsi"/>
        </w:rPr>
        <w:t xml:space="preserve">MDV provision </w:t>
      </w:r>
      <w:r w:rsidR="000E2DDC">
        <w:rPr>
          <w:rFonts w:asciiTheme="minorHAnsi" w:hAnsiTheme="minorHAnsi"/>
        </w:rPr>
        <w:t xml:space="preserve">occurs at the time of its adoption into the WQS regulation. Implementation of the MDV conditions in a discharger’s permit does not require any additional </w:t>
      </w:r>
      <w:r w:rsidRPr="009F6C3E">
        <w:rPr>
          <w:rFonts w:asciiTheme="minorHAnsi" w:hAnsiTheme="minorHAnsi"/>
        </w:rPr>
        <w:t xml:space="preserve">public notice and comment </w:t>
      </w:r>
      <w:r w:rsidR="000E2DDC">
        <w:rPr>
          <w:rFonts w:asciiTheme="minorHAnsi" w:hAnsiTheme="minorHAnsi"/>
        </w:rPr>
        <w:t xml:space="preserve">requirements other than what is already required </w:t>
      </w:r>
      <w:r w:rsidRPr="009F6C3E">
        <w:rPr>
          <w:rFonts w:asciiTheme="minorHAnsi" w:hAnsiTheme="minorHAnsi"/>
        </w:rPr>
        <w:t xml:space="preserve">for a discharger’s draft NPDES permit.    </w:t>
      </w:r>
    </w:p>
    <w:p w:rsidR="001D47E8" w:rsidRPr="00547165" w:rsidRDefault="009F6C3E" w:rsidP="00EC6E0A">
      <w:pPr>
        <w:spacing w:after="0" w:line="240" w:lineRule="auto"/>
        <w:rPr>
          <w:rFonts w:asciiTheme="minorHAnsi" w:hAnsiTheme="minorHAnsi"/>
        </w:rPr>
      </w:pPr>
      <w:r w:rsidRPr="009F6C3E">
        <w:rPr>
          <w:rFonts w:asciiTheme="minorHAnsi" w:hAnsiTheme="minorHAnsi"/>
        </w:rPr>
        <w:t xml:space="preserve"> </w:t>
      </w:r>
    </w:p>
    <w:p w:rsidR="00A74AA4" w:rsidRPr="00547165" w:rsidRDefault="00A74AA4" w:rsidP="00EC6E0A">
      <w:pPr>
        <w:spacing w:after="0" w:line="240" w:lineRule="auto"/>
        <w:rPr>
          <w:rFonts w:asciiTheme="minorHAnsi" w:hAnsiTheme="minorHAnsi"/>
        </w:rPr>
      </w:pPr>
      <w:r w:rsidRPr="00547165">
        <w:rPr>
          <w:rFonts w:asciiTheme="minorHAnsi" w:hAnsiTheme="minorHAnsi"/>
        </w:rPr>
        <w:t>As part of each NPDES permi</w:t>
      </w:r>
      <w:r w:rsidR="001D57C8" w:rsidRPr="00547165">
        <w:rPr>
          <w:rFonts w:asciiTheme="minorHAnsi" w:hAnsiTheme="minorHAnsi"/>
        </w:rPr>
        <w:t>t renewal, the discharger would</w:t>
      </w:r>
      <w:r w:rsidRPr="00547165">
        <w:rPr>
          <w:rFonts w:asciiTheme="minorHAnsi" w:hAnsiTheme="minorHAnsi"/>
        </w:rPr>
        <w:t xml:space="preserve"> request </w:t>
      </w:r>
      <w:r w:rsidR="000E2DDC">
        <w:rPr>
          <w:rFonts w:asciiTheme="minorHAnsi" w:hAnsiTheme="minorHAnsi"/>
        </w:rPr>
        <w:t xml:space="preserve">continued </w:t>
      </w:r>
      <w:r w:rsidRPr="00547165">
        <w:rPr>
          <w:rFonts w:asciiTheme="minorHAnsi" w:hAnsiTheme="minorHAnsi"/>
        </w:rPr>
        <w:t>coverage under this rule and</w:t>
      </w:r>
      <w:r w:rsidR="0087226F" w:rsidRPr="00547165">
        <w:rPr>
          <w:rFonts w:asciiTheme="minorHAnsi" w:hAnsiTheme="minorHAnsi"/>
        </w:rPr>
        <w:t xml:space="preserve"> </w:t>
      </w:r>
      <w:r w:rsidRPr="00547165">
        <w:rPr>
          <w:rFonts w:asciiTheme="minorHAnsi" w:hAnsiTheme="minorHAnsi"/>
        </w:rPr>
        <w:t>provide information and water quality data to show that it meets each of the applicability criteria described below</w:t>
      </w:r>
      <w:r w:rsidR="009F6C3E">
        <w:rPr>
          <w:rFonts w:asciiTheme="minorHAnsi" w:hAnsiTheme="minorHAnsi"/>
        </w:rPr>
        <w:t xml:space="preserve"> in section B</w:t>
      </w:r>
      <w:r w:rsidRPr="00547165">
        <w:rPr>
          <w:rFonts w:asciiTheme="minorHAnsi" w:hAnsiTheme="minorHAnsi"/>
        </w:rPr>
        <w:t xml:space="preserve">. </w:t>
      </w:r>
    </w:p>
    <w:p w:rsidR="00D745AC" w:rsidRPr="00547165" w:rsidRDefault="00416FFD" w:rsidP="0087226F">
      <w:pPr>
        <w:pStyle w:val="ListParagraph"/>
        <w:spacing w:after="0"/>
        <w:ind w:left="0"/>
        <w:rPr>
          <w:rFonts w:asciiTheme="minorHAnsi" w:hAnsiTheme="minorHAnsi"/>
        </w:rPr>
      </w:pPr>
      <w:r w:rsidRPr="00547165">
        <w:rPr>
          <w:rFonts w:asciiTheme="minorHAnsi" w:hAnsiTheme="minorHAnsi"/>
        </w:rPr>
        <w:t xml:space="preserve"> </w:t>
      </w:r>
    </w:p>
    <w:p w:rsidR="00AD012D" w:rsidRPr="00AA7A42" w:rsidRDefault="00E54F5D" w:rsidP="00EC6E0A">
      <w:pPr>
        <w:pStyle w:val="ListParagraph"/>
        <w:spacing w:after="0"/>
        <w:ind w:left="0"/>
        <w:rPr>
          <w:rStyle w:val="BookTitle"/>
          <w:sz w:val="28"/>
          <w:szCs w:val="28"/>
        </w:rPr>
      </w:pPr>
      <w:r w:rsidRPr="00AA7A42">
        <w:rPr>
          <w:rStyle w:val="BookTitle"/>
          <w:sz w:val="28"/>
          <w:szCs w:val="28"/>
        </w:rPr>
        <w:t xml:space="preserve">B. </w:t>
      </w:r>
      <w:r w:rsidR="00AD012D" w:rsidRPr="00AA7A42">
        <w:rPr>
          <w:rStyle w:val="BookTitle"/>
          <w:sz w:val="28"/>
          <w:szCs w:val="28"/>
        </w:rPr>
        <w:t>Applicability/Scope</w:t>
      </w:r>
    </w:p>
    <w:p w:rsidR="0057420F" w:rsidRPr="00547165" w:rsidRDefault="0057420F" w:rsidP="00EC6E0A">
      <w:pPr>
        <w:pStyle w:val="ListParagraph"/>
        <w:spacing w:after="0"/>
        <w:ind w:left="0"/>
        <w:rPr>
          <w:rFonts w:asciiTheme="minorHAnsi" w:hAnsiTheme="minorHAnsi"/>
          <w:i/>
        </w:rPr>
      </w:pPr>
    </w:p>
    <w:p w:rsidR="005956E7" w:rsidRPr="00BE1793" w:rsidRDefault="005001AC" w:rsidP="00BE1793">
      <w:pPr>
        <w:rPr>
          <w:rFonts w:eastAsia="Times New Roman"/>
        </w:rPr>
      </w:pPr>
      <w:r>
        <w:rPr>
          <w:rFonts w:eastAsia="Times New Roman"/>
        </w:rPr>
        <w:t xml:space="preserve">Multiple </w:t>
      </w:r>
      <w:r w:rsidR="00BE1793">
        <w:rPr>
          <w:rFonts w:eastAsia="Times New Roman"/>
        </w:rPr>
        <w:t>discharger variances allow the D</w:t>
      </w:r>
      <w:r>
        <w:rPr>
          <w:rFonts w:eastAsia="Times New Roman"/>
        </w:rPr>
        <w:t>epartment to address reoccurring issues faced by numerous dischargers.  In this instance, facilities with non-contact cooling waters that are unable to meet the human health criteria for specific toxic pollutants will likely have similar justifications for their inability to meet the criteria.  A MDV that covers this scenario would allow facilities to simply demonstrate that they meet the prerequisites to be covered by the MDV, rather than going through a more rigorous individual variance process.  A narrowly tailored MDV provision applying equally to any discharger fitting within the boundaries of the provision would save resources for facilities and the Department.  </w:t>
      </w:r>
      <w:r>
        <w:rPr>
          <w:rFonts w:asciiTheme="minorHAnsi" w:hAnsiTheme="minorHAnsi"/>
        </w:rPr>
        <w:t>T</w:t>
      </w:r>
      <w:r>
        <w:t xml:space="preserve">he provision, as described, would only apply to industries with non-contact cooling waters meeting certain specified conditions.  Municipal wastewater treatment facilities would not be eligible for a MDV because the same fact pattern would not exist.     </w:t>
      </w:r>
    </w:p>
    <w:p w:rsidR="00E47080" w:rsidRPr="00547165" w:rsidRDefault="00E47080" w:rsidP="00EC6E0A">
      <w:pPr>
        <w:pStyle w:val="ListParagraph"/>
        <w:spacing w:after="0"/>
        <w:ind w:left="0"/>
        <w:rPr>
          <w:rFonts w:asciiTheme="minorHAnsi" w:hAnsiTheme="minorHAnsi"/>
        </w:rPr>
      </w:pPr>
      <w:r w:rsidRPr="00547165">
        <w:rPr>
          <w:rFonts w:asciiTheme="minorHAnsi" w:hAnsiTheme="minorHAnsi"/>
        </w:rPr>
        <w:t xml:space="preserve">Specifically, </w:t>
      </w:r>
      <w:r w:rsidR="000E2DDC">
        <w:rPr>
          <w:rFonts w:asciiTheme="minorHAnsi" w:hAnsiTheme="minorHAnsi"/>
        </w:rPr>
        <w:t>the</w:t>
      </w:r>
      <w:r w:rsidRPr="00547165">
        <w:rPr>
          <w:rFonts w:asciiTheme="minorHAnsi" w:hAnsiTheme="minorHAnsi"/>
        </w:rPr>
        <w:t xml:space="preserve"> MDV </w:t>
      </w:r>
      <w:r w:rsidR="000E2DDC">
        <w:rPr>
          <w:rFonts w:asciiTheme="minorHAnsi" w:hAnsiTheme="minorHAnsi"/>
        </w:rPr>
        <w:t xml:space="preserve">would </w:t>
      </w:r>
      <w:r w:rsidRPr="00547165">
        <w:rPr>
          <w:rFonts w:asciiTheme="minorHAnsi" w:hAnsiTheme="minorHAnsi"/>
        </w:rPr>
        <w:t>appl</w:t>
      </w:r>
      <w:r w:rsidR="000E2DDC">
        <w:rPr>
          <w:rFonts w:asciiTheme="minorHAnsi" w:hAnsiTheme="minorHAnsi"/>
        </w:rPr>
        <w:t>y</w:t>
      </w:r>
      <w:r w:rsidRPr="00547165">
        <w:rPr>
          <w:rFonts w:asciiTheme="minorHAnsi" w:hAnsiTheme="minorHAnsi"/>
        </w:rPr>
        <w:t xml:space="preserve"> to </w:t>
      </w:r>
      <w:r w:rsidR="00BE1793">
        <w:rPr>
          <w:rFonts w:asciiTheme="minorHAnsi" w:hAnsiTheme="minorHAnsi"/>
        </w:rPr>
        <w:t xml:space="preserve">industrial </w:t>
      </w:r>
      <w:r w:rsidRPr="00547165">
        <w:rPr>
          <w:rFonts w:asciiTheme="minorHAnsi" w:hAnsiTheme="minorHAnsi"/>
        </w:rPr>
        <w:t>dischargers who:</w:t>
      </w:r>
    </w:p>
    <w:p w:rsidR="00E47080" w:rsidRPr="00547165" w:rsidRDefault="00E47080" w:rsidP="00EC6E0A">
      <w:pPr>
        <w:pStyle w:val="ListParagraph"/>
        <w:spacing w:after="0"/>
        <w:ind w:left="0"/>
        <w:rPr>
          <w:rFonts w:asciiTheme="minorHAnsi" w:hAnsiTheme="minorHAnsi"/>
        </w:rPr>
      </w:pPr>
    </w:p>
    <w:p w:rsidR="00E47080" w:rsidRPr="00547165" w:rsidRDefault="008A6C69" w:rsidP="00D951F8">
      <w:pPr>
        <w:pStyle w:val="ListParagraph"/>
        <w:numPr>
          <w:ilvl w:val="0"/>
          <w:numId w:val="1"/>
        </w:numPr>
        <w:spacing w:after="0"/>
        <w:rPr>
          <w:rFonts w:asciiTheme="minorHAnsi" w:hAnsiTheme="minorHAnsi"/>
        </w:rPr>
      </w:pPr>
      <w:r>
        <w:rPr>
          <w:rFonts w:asciiTheme="minorHAnsi" w:hAnsiTheme="minorHAnsi"/>
        </w:rPr>
        <w:t>w</w:t>
      </w:r>
      <w:r w:rsidR="00E47080" w:rsidRPr="00547165">
        <w:rPr>
          <w:rFonts w:asciiTheme="minorHAnsi" w:hAnsiTheme="minorHAnsi"/>
        </w:rPr>
        <w:t>ithdraw intake water containing a pollutant concentration that already exceeds the applicable human health water quality criterion, and</w:t>
      </w:r>
    </w:p>
    <w:p w:rsidR="00E47080" w:rsidRPr="00547165" w:rsidRDefault="00E47080" w:rsidP="00D951F8">
      <w:pPr>
        <w:pStyle w:val="ListParagraph"/>
        <w:numPr>
          <w:ilvl w:val="0"/>
          <w:numId w:val="1"/>
        </w:numPr>
        <w:spacing w:after="0"/>
        <w:rPr>
          <w:rFonts w:asciiTheme="minorHAnsi" w:hAnsiTheme="minorHAnsi"/>
        </w:rPr>
      </w:pPr>
      <w:r w:rsidRPr="00547165">
        <w:rPr>
          <w:rFonts w:asciiTheme="minorHAnsi" w:hAnsiTheme="minorHAnsi"/>
        </w:rPr>
        <w:t>use this water for non-contact multiple pass cooling purposes, and :</w:t>
      </w:r>
    </w:p>
    <w:p w:rsidR="00E47080" w:rsidRPr="00547165" w:rsidRDefault="00E40549" w:rsidP="00D951F8">
      <w:pPr>
        <w:pStyle w:val="ListParagraph"/>
        <w:numPr>
          <w:ilvl w:val="0"/>
          <w:numId w:val="2"/>
        </w:numPr>
        <w:spacing w:after="0"/>
        <w:rPr>
          <w:rFonts w:asciiTheme="minorHAnsi" w:hAnsiTheme="minorHAnsi"/>
        </w:rPr>
      </w:pPr>
      <w:r w:rsidRPr="00547165">
        <w:rPr>
          <w:rFonts w:asciiTheme="minorHAnsi" w:hAnsiTheme="minorHAnsi"/>
        </w:rPr>
        <w:t xml:space="preserve"> </w:t>
      </w:r>
      <w:r w:rsidR="00E47080" w:rsidRPr="00547165">
        <w:rPr>
          <w:rFonts w:asciiTheme="minorHAnsi" w:hAnsiTheme="minorHAnsi"/>
        </w:rPr>
        <w:t>the discharge is to the same body of water</w:t>
      </w:r>
      <w:r w:rsidRPr="00547165">
        <w:rPr>
          <w:rFonts w:asciiTheme="minorHAnsi" w:hAnsiTheme="minorHAnsi"/>
        </w:rPr>
        <w:t xml:space="preserve"> from which the intake water is </w:t>
      </w:r>
      <w:r w:rsidR="00E47080" w:rsidRPr="00547165">
        <w:rPr>
          <w:rFonts w:asciiTheme="minorHAnsi" w:hAnsiTheme="minorHAnsi"/>
        </w:rPr>
        <w:t>withdrawn</w:t>
      </w:r>
    </w:p>
    <w:p w:rsidR="00E40549" w:rsidRPr="00547165" w:rsidRDefault="00E40549" w:rsidP="00D951F8">
      <w:pPr>
        <w:numPr>
          <w:ilvl w:val="0"/>
          <w:numId w:val="2"/>
        </w:numPr>
        <w:spacing w:after="0" w:line="240" w:lineRule="auto"/>
        <w:rPr>
          <w:rFonts w:asciiTheme="minorHAnsi" w:hAnsiTheme="minorHAnsi"/>
          <w:b/>
        </w:rPr>
      </w:pPr>
      <w:r w:rsidRPr="00547165">
        <w:rPr>
          <w:rFonts w:asciiTheme="minorHAnsi" w:hAnsiTheme="minorHAnsi"/>
        </w:rPr>
        <w:t xml:space="preserve"> the mass of the pollutant in the discharge does not exceed the mass that is attributable to the pollutant in the facility’s intake water, and</w:t>
      </w:r>
    </w:p>
    <w:p w:rsidR="00E47080" w:rsidRPr="00547165" w:rsidRDefault="00E40549" w:rsidP="00D951F8">
      <w:pPr>
        <w:pStyle w:val="ListParagraph"/>
        <w:numPr>
          <w:ilvl w:val="0"/>
          <w:numId w:val="2"/>
        </w:numPr>
        <w:spacing w:after="0"/>
        <w:rPr>
          <w:rFonts w:asciiTheme="minorHAnsi" w:hAnsiTheme="minorHAnsi"/>
        </w:rPr>
      </w:pPr>
      <w:r w:rsidRPr="00547165">
        <w:rPr>
          <w:rFonts w:asciiTheme="minorHAnsi" w:hAnsiTheme="minorHAnsi"/>
        </w:rPr>
        <w:t xml:space="preserve"> </w:t>
      </w:r>
      <w:proofErr w:type="gramStart"/>
      <w:r w:rsidRPr="00547165">
        <w:rPr>
          <w:rFonts w:asciiTheme="minorHAnsi" w:hAnsiTheme="minorHAnsi"/>
        </w:rPr>
        <w:t>the</w:t>
      </w:r>
      <w:proofErr w:type="gramEnd"/>
      <w:r w:rsidRPr="00547165">
        <w:rPr>
          <w:rFonts w:asciiTheme="minorHAnsi" w:hAnsiTheme="minorHAnsi"/>
        </w:rPr>
        <w:t xml:space="preserve"> increase in the pollutant’s concentration after complete mixing with the </w:t>
      </w:r>
      <w:proofErr w:type="spellStart"/>
      <w:r w:rsidRPr="00547165">
        <w:rPr>
          <w:rFonts w:asciiTheme="minorHAnsi" w:hAnsiTheme="minorHAnsi"/>
        </w:rPr>
        <w:t>waterbody</w:t>
      </w:r>
      <w:proofErr w:type="spellEnd"/>
      <w:r w:rsidRPr="00547165">
        <w:rPr>
          <w:rFonts w:asciiTheme="minorHAnsi" w:hAnsiTheme="minorHAnsi"/>
        </w:rPr>
        <w:t xml:space="preserve"> does not significantly increase the concentration in the </w:t>
      </w:r>
      <w:proofErr w:type="spellStart"/>
      <w:r w:rsidRPr="00547165">
        <w:rPr>
          <w:rFonts w:asciiTheme="minorHAnsi" w:hAnsiTheme="minorHAnsi"/>
        </w:rPr>
        <w:t>waterbody</w:t>
      </w:r>
      <w:proofErr w:type="spellEnd"/>
      <w:r w:rsidRPr="00547165">
        <w:rPr>
          <w:rFonts w:asciiTheme="minorHAnsi" w:hAnsiTheme="minorHAnsi"/>
        </w:rPr>
        <w:t>, nor pose an unreasonable risk to human health.</w:t>
      </w:r>
    </w:p>
    <w:p w:rsidR="00E47080" w:rsidRPr="00547165" w:rsidRDefault="00E47080" w:rsidP="00E54F5D">
      <w:pPr>
        <w:pStyle w:val="ListParagraph"/>
        <w:spacing w:after="0"/>
        <w:ind w:left="0"/>
        <w:rPr>
          <w:rFonts w:asciiTheme="minorHAnsi" w:hAnsiTheme="minorHAnsi"/>
        </w:rPr>
      </w:pPr>
    </w:p>
    <w:p w:rsidR="00D63E55" w:rsidRPr="00547165" w:rsidRDefault="00E40549" w:rsidP="00D63E55">
      <w:pPr>
        <w:pStyle w:val="ListParagraph"/>
        <w:spacing w:after="0"/>
        <w:ind w:left="0"/>
        <w:rPr>
          <w:rFonts w:asciiTheme="minorHAnsi" w:hAnsiTheme="minorHAnsi"/>
        </w:rPr>
      </w:pPr>
      <w:r w:rsidRPr="00547165">
        <w:rPr>
          <w:rFonts w:asciiTheme="minorHAnsi" w:hAnsiTheme="minorHAnsi"/>
        </w:rPr>
        <w:t xml:space="preserve">In addition to meeting the applicability criteria above, the Commission must determine that </w:t>
      </w:r>
      <w:r w:rsidR="008A6C69">
        <w:rPr>
          <w:rFonts w:asciiTheme="minorHAnsi" w:hAnsiTheme="minorHAnsi"/>
        </w:rPr>
        <w:t xml:space="preserve">it </w:t>
      </w:r>
      <w:r w:rsidRPr="00547165">
        <w:rPr>
          <w:rFonts w:asciiTheme="minorHAnsi" w:hAnsiTheme="minorHAnsi"/>
        </w:rPr>
        <w:t>is infeasible for such dischargers to meet human health criteri</w:t>
      </w:r>
      <w:r w:rsidR="00DD21A5">
        <w:rPr>
          <w:rFonts w:asciiTheme="minorHAnsi" w:hAnsiTheme="minorHAnsi"/>
        </w:rPr>
        <w:t>a for toxics pollutants for one</w:t>
      </w:r>
      <w:r w:rsidRPr="00547165">
        <w:rPr>
          <w:rFonts w:asciiTheme="minorHAnsi" w:hAnsiTheme="minorHAnsi"/>
        </w:rPr>
        <w:t xml:space="preserve"> of the reasons identified below</w:t>
      </w:r>
      <w:r w:rsidR="00D63E55" w:rsidRPr="00547165">
        <w:rPr>
          <w:rFonts w:asciiTheme="minorHAnsi" w:hAnsiTheme="minorHAnsi"/>
        </w:rPr>
        <w:t xml:space="preserve"> (per 40 CFR 131.10(g)</w:t>
      </w:r>
      <w:r w:rsidR="00D44740" w:rsidRPr="00547165">
        <w:rPr>
          <w:rFonts w:asciiTheme="minorHAnsi" w:hAnsiTheme="minorHAnsi"/>
        </w:rPr>
        <w:t>(</w:t>
      </w:r>
      <w:r w:rsidR="00D44740" w:rsidRPr="001A2C8E">
        <w:rPr>
          <w:rFonts w:asciiTheme="minorHAnsi" w:hAnsiTheme="minorHAnsi"/>
        </w:rPr>
        <w:t>1) and (3)</w:t>
      </w:r>
      <w:r w:rsidR="001D57C8" w:rsidRPr="001A2C8E">
        <w:rPr>
          <w:rFonts w:asciiTheme="minorHAnsi" w:hAnsiTheme="minorHAnsi"/>
        </w:rPr>
        <w:t xml:space="preserve"> demonstration factors</w:t>
      </w:r>
      <w:r w:rsidR="00D63E55" w:rsidRPr="001A2C8E">
        <w:rPr>
          <w:rFonts w:asciiTheme="minorHAnsi" w:hAnsiTheme="minorHAnsi"/>
        </w:rPr>
        <w:t>)</w:t>
      </w:r>
      <w:r w:rsidRPr="001A2C8E">
        <w:rPr>
          <w:rFonts w:asciiTheme="minorHAnsi" w:hAnsiTheme="minorHAnsi"/>
        </w:rPr>
        <w:t>:</w:t>
      </w:r>
    </w:p>
    <w:p w:rsidR="003277B7" w:rsidRPr="00547165" w:rsidRDefault="003277B7" w:rsidP="00D63E55">
      <w:pPr>
        <w:pStyle w:val="ListParagraph"/>
        <w:spacing w:after="0"/>
        <w:ind w:left="0"/>
        <w:rPr>
          <w:rFonts w:asciiTheme="minorHAnsi" w:hAnsiTheme="minorHAnsi"/>
        </w:rPr>
      </w:pPr>
    </w:p>
    <w:p w:rsidR="00D63E55" w:rsidRPr="00DD21A5" w:rsidRDefault="00DD21A5" w:rsidP="00D951F8">
      <w:pPr>
        <w:pStyle w:val="ListParagraph"/>
        <w:numPr>
          <w:ilvl w:val="0"/>
          <w:numId w:val="3"/>
        </w:numPr>
        <w:spacing w:before="100" w:beforeAutospacing="1" w:after="100" w:afterAutospacing="1" w:line="240" w:lineRule="auto"/>
        <w:rPr>
          <w:rFonts w:asciiTheme="minorHAnsi" w:hAnsiTheme="minorHAnsi"/>
        </w:rPr>
      </w:pPr>
      <w:r w:rsidRPr="00DD21A5">
        <w:rPr>
          <w:rFonts w:asciiTheme="minorHAnsi" w:hAnsiTheme="minorHAnsi"/>
        </w:rPr>
        <w:t>N</w:t>
      </w:r>
      <w:r w:rsidR="00D63E55" w:rsidRPr="00DD21A5">
        <w:rPr>
          <w:rFonts w:asciiTheme="minorHAnsi" w:hAnsiTheme="minorHAnsi"/>
        </w:rPr>
        <w:t>aturally occurring</w:t>
      </w:r>
      <w:r w:rsidRPr="00DD21A5">
        <w:rPr>
          <w:rFonts w:asciiTheme="minorHAnsi" w:hAnsiTheme="minorHAnsi"/>
        </w:rPr>
        <w:t xml:space="preserve"> pollutant concentration</w:t>
      </w:r>
      <w:r>
        <w:rPr>
          <w:rFonts w:asciiTheme="minorHAnsi" w:hAnsiTheme="minorHAnsi"/>
        </w:rPr>
        <w:t>s</w:t>
      </w:r>
      <w:r w:rsidRPr="00DD21A5">
        <w:rPr>
          <w:rFonts w:asciiTheme="minorHAnsi" w:hAnsiTheme="minorHAnsi"/>
        </w:rPr>
        <w:t xml:space="preserve"> prevent the attainment of the use; or</w:t>
      </w:r>
      <w:r w:rsidR="00D63E55" w:rsidRPr="00DD21A5">
        <w:rPr>
          <w:rFonts w:asciiTheme="minorHAnsi" w:hAnsiTheme="minorHAnsi"/>
        </w:rPr>
        <w:t xml:space="preserve">  </w:t>
      </w:r>
    </w:p>
    <w:p w:rsidR="00D44740" w:rsidRPr="00547165" w:rsidRDefault="00DD21A5" w:rsidP="00DD21A5">
      <w:pPr>
        <w:pStyle w:val="ListParagraph"/>
        <w:numPr>
          <w:ilvl w:val="0"/>
          <w:numId w:val="3"/>
        </w:numPr>
        <w:spacing w:before="100" w:beforeAutospacing="1" w:after="100" w:afterAutospacing="1" w:line="240" w:lineRule="auto"/>
        <w:rPr>
          <w:rFonts w:asciiTheme="minorHAnsi" w:hAnsiTheme="minorHAnsi"/>
          <w:b/>
        </w:rPr>
      </w:pPr>
      <w:r>
        <w:rPr>
          <w:rFonts w:asciiTheme="minorHAnsi" w:hAnsiTheme="minorHAnsi"/>
        </w:rPr>
        <w:t xml:space="preserve">Human caused conditions or sources of pollution prevent the attainment of the use and cannot be remedied or would cause more environmental damage to correct than to leave in place.  </w:t>
      </w:r>
    </w:p>
    <w:p w:rsidR="00C11DD2" w:rsidRPr="00C11DD2" w:rsidRDefault="00C11DD2" w:rsidP="00C11DD2">
      <w:pPr>
        <w:rPr>
          <w:rStyle w:val="SubtleEmphasis"/>
        </w:rPr>
      </w:pPr>
      <w:r w:rsidRPr="00C11DD2">
        <w:rPr>
          <w:rStyle w:val="SubtleEmphasis"/>
        </w:rPr>
        <w:t>Industrial permits</w:t>
      </w:r>
    </w:p>
    <w:p w:rsidR="00AD34C5" w:rsidRDefault="00855168" w:rsidP="00AB7CF7">
      <w:r w:rsidRPr="00C12F93">
        <w:t xml:space="preserve"> </w:t>
      </w:r>
      <w:r w:rsidR="00AB7CF7" w:rsidRPr="00C12F93">
        <w:t xml:space="preserve">Based upon knowledge of process and </w:t>
      </w:r>
      <w:r w:rsidR="00C12F93" w:rsidRPr="00C12F93">
        <w:t xml:space="preserve">DEQ </w:t>
      </w:r>
      <w:r w:rsidR="00AB7CF7" w:rsidRPr="00C12F93">
        <w:t xml:space="preserve">permit writer input, the primary industrial categories with a potential to significantly increase </w:t>
      </w:r>
      <w:r w:rsidR="00C12F93" w:rsidRPr="00C12F93">
        <w:t xml:space="preserve">discharge </w:t>
      </w:r>
      <w:r w:rsidR="00AB7CF7" w:rsidRPr="00C12F93">
        <w:t>concentration</w:t>
      </w:r>
      <w:r w:rsidR="00C12F93" w:rsidRPr="00C12F93">
        <w:t>s</w:t>
      </w:r>
      <w:r w:rsidR="00AB7CF7" w:rsidRPr="00C12F93">
        <w:t xml:space="preserve"> are power generation, timber and wood produc</w:t>
      </w:r>
      <w:r w:rsidR="00F454AA">
        <w:t xml:space="preserve">t manufacturing and, metal working </w:t>
      </w:r>
      <w:r w:rsidR="00AB7CF7" w:rsidRPr="00C12F93">
        <w:t xml:space="preserve">and smelting activities.  The most significant process responsible for the increase in concentration is the use of multi-pass non-contact cooling waters.  Out of a current pool of 110 individual NPDES </w:t>
      </w:r>
      <w:r w:rsidR="008908D8">
        <w:t>ind</w:t>
      </w:r>
      <w:r w:rsidR="008E7D57">
        <w:t>ustrial permits in Oregon, 39 (7 major and 32</w:t>
      </w:r>
      <w:r w:rsidR="00AB7CF7" w:rsidRPr="00C12F93">
        <w:t xml:space="preserve"> minor) were identified</w:t>
      </w:r>
      <w:r w:rsidR="00C12F93" w:rsidRPr="00C12F93">
        <w:t xml:space="preserve"> by</w:t>
      </w:r>
      <w:r w:rsidR="00AB7CF7" w:rsidRPr="00C12F93">
        <w:t xml:space="preserve"> using this information as having the potential to possess non-contact utility water activities that might significantly increase the concentration of the pollutants in their source waters.    The locations of these facilities are relatively well distributed throughout the state with the largest number of facilities (6) discharging to the Columbia and (5) Willamette Rivers.  </w:t>
      </w:r>
    </w:p>
    <w:p w:rsidR="00855168" w:rsidRDefault="00855168" w:rsidP="00AB7CF7">
      <w:r>
        <w:t xml:space="preserve"> </w:t>
      </w:r>
      <w:r w:rsidR="00BB0BB5">
        <w:t xml:space="preserve">The Willamette River has 11 303(d) listings for toxic pollutants, while the Columbia River has 4 listings for toxics.  </w:t>
      </w:r>
      <w:r w:rsidR="00096F81">
        <w:t>There are 9</w:t>
      </w:r>
      <w:r w:rsidR="00AD34C5">
        <w:t xml:space="preserve"> </w:t>
      </w:r>
      <w:proofErr w:type="spellStart"/>
      <w:r w:rsidR="00AD34C5">
        <w:t>waterb</w:t>
      </w:r>
      <w:r w:rsidR="00096F81">
        <w:t>odies</w:t>
      </w:r>
      <w:proofErr w:type="spellEnd"/>
      <w:r w:rsidR="00096F81">
        <w:t xml:space="preserve"> listed for iron, </w:t>
      </w:r>
      <w:r w:rsidR="00AD34C5">
        <w:t>manganese,</w:t>
      </w:r>
      <w:r w:rsidR="00096F81">
        <w:t xml:space="preserve"> or arsenic,</w:t>
      </w:r>
      <w:r w:rsidR="00AD34C5">
        <w:t xml:space="preserve"> howeve</w:t>
      </w:r>
      <w:r w:rsidR="00096F81">
        <w:t>r, DEQ does not expect these three pollutants to have</w:t>
      </w:r>
      <w:r w:rsidR="00AD34C5">
        <w:t xml:space="preserve"> a compliance issue once the revised proposed criteria are effective.  Fourteen other </w:t>
      </w:r>
      <w:proofErr w:type="spellStart"/>
      <w:r w:rsidR="00AD34C5">
        <w:t>waterbodies</w:t>
      </w:r>
      <w:proofErr w:type="spellEnd"/>
      <w:r w:rsidR="00AD34C5">
        <w:t xml:space="preserve"> where these potential non-contact cooling facilities discharge to are </w:t>
      </w:r>
      <w:r w:rsidR="00061201">
        <w:t>not currently listed for toxics (See Table 3).</w:t>
      </w:r>
      <w:r w:rsidR="00193B31">
        <w:t xml:space="preserve">  In effect, there are </w:t>
      </w:r>
      <w:r w:rsidR="00E0659A" w:rsidRPr="00E0659A">
        <w:t>approximately 15</w:t>
      </w:r>
      <w:r w:rsidR="00193B31">
        <w:t xml:space="preserve"> potential non-contact cooling facilities which discharge to 6 </w:t>
      </w:r>
      <w:proofErr w:type="spellStart"/>
      <w:r w:rsidR="00193B31">
        <w:t>waterbodies</w:t>
      </w:r>
      <w:proofErr w:type="spellEnd"/>
      <w:r w:rsidR="00193B31">
        <w:t xml:space="preserve"> currently listed for toxics (does not include</w:t>
      </w:r>
      <w:r w:rsidR="00E0659A">
        <w:t xml:space="preserve"> facilities where the receiving stream is only listed for</w:t>
      </w:r>
      <w:r w:rsidR="00193B31">
        <w:t xml:space="preserve"> arsenic, iron, manganese, or ammonia). </w:t>
      </w:r>
    </w:p>
    <w:p w:rsidR="00061201" w:rsidRPr="00C12F93" w:rsidRDefault="00061201" w:rsidP="00061201">
      <w:r w:rsidRPr="00C12F93">
        <w:t xml:space="preserve">Most industrial facilities in Oregon are required to monitor for toxics “known” to be in their processes, although those facilities with a greater potential for toxicity are required to monitor for larger blocks of pollutants typically associated with their industrial categories.  </w:t>
      </w:r>
      <w:r w:rsidRPr="00BB0BB5">
        <w:t>The result is that most larger and “major” facilities have the requirement</w:t>
      </w:r>
      <w:r>
        <w:rPr>
          <w:color w:val="31849B"/>
        </w:rPr>
        <w:t xml:space="preserve"> </w:t>
      </w:r>
      <w:r w:rsidRPr="00C12F93">
        <w:t>to monitor for a larger pool of pollutant parameters, many of which are typically seen in Oregon’s surface and ground waters.  Consequently, if a facility does not use a particular pollutant in their process, there may still be the requirement to monitor for it in their intake/effluent</w:t>
      </w:r>
      <w:r>
        <w:t xml:space="preserve"> depending on their specific circumstances</w:t>
      </w:r>
      <w:r w:rsidRPr="00C12F93">
        <w:t>.</w:t>
      </w:r>
    </w:p>
    <w:p w:rsidR="00061201" w:rsidRDefault="00061201" w:rsidP="00AB7CF7"/>
    <w:p w:rsidR="00061201" w:rsidRPr="00061201" w:rsidRDefault="00061201" w:rsidP="00AB7CF7">
      <w:pPr>
        <w:rPr>
          <w:b/>
        </w:rPr>
      </w:pPr>
      <w:r w:rsidRPr="00061201">
        <w:rPr>
          <w:b/>
        </w:rPr>
        <w:t xml:space="preserve">Table 3:  </w:t>
      </w:r>
      <w:r w:rsidR="000574D1">
        <w:rPr>
          <w:b/>
        </w:rPr>
        <w:t xml:space="preserve">Toxics Listing Status for </w:t>
      </w:r>
      <w:r>
        <w:rPr>
          <w:b/>
        </w:rPr>
        <w:t xml:space="preserve">Receiving </w:t>
      </w:r>
      <w:proofErr w:type="spellStart"/>
      <w:r>
        <w:rPr>
          <w:b/>
        </w:rPr>
        <w:t>Waterbodies</w:t>
      </w:r>
      <w:proofErr w:type="spellEnd"/>
      <w:r>
        <w:rPr>
          <w:b/>
        </w:rPr>
        <w:t xml:space="preserve"> of Industrial Facilities Which Have a Potential to Use Non-Contact Cooling Processes</w:t>
      </w:r>
    </w:p>
    <w:tbl>
      <w:tblPr>
        <w:tblW w:w="6560" w:type="dxa"/>
        <w:tblLook w:val="04A0"/>
      </w:tblPr>
      <w:tblGrid>
        <w:gridCol w:w="3640"/>
        <w:gridCol w:w="2920"/>
      </w:tblGrid>
      <w:tr w:rsidR="00061201" w:rsidRPr="00061201" w:rsidTr="00206153">
        <w:trPr>
          <w:trHeight w:val="945"/>
        </w:trPr>
        <w:tc>
          <w:tcPr>
            <w:tcW w:w="3640" w:type="dxa"/>
            <w:tcBorders>
              <w:top w:val="single" w:sz="4" w:space="0" w:color="auto"/>
              <w:left w:val="single" w:sz="4" w:space="0" w:color="auto"/>
              <w:bottom w:val="double" w:sz="6" w:space="0" w:color="auto"/>
              <w:right w:val="single" w:sz="4" w:space="0" w:color="auto"/>
            </w:tcBorders>
            <w:shd w:val="clear" w:color="000000" w:fill="376091"/>
            <w:vAlign w:val="center"/>
            <w:hideMark/>
          </w:tcPr>
          <w:p w:rsidR="00061201" w:rsidRPr="00061201" w:rsidRDefault="00061201" w:rsidP="00061201">
            <w:pPr>
              <w:spacing w:after="0" w:line="240" w:lineRule="auto"/>
              <w:jc w:val="center"/>
              <w:rPr>
                <w:rFonts w:eastAsia="Times New Roman"/>
                <w:b/>
                <w:bCs/>
                <w:color w:val="FFFFFF"/>
                <w:sz w:val="20"/>
                <w:szCs w:val="20"/>
              </w:rPr>
            </w:pPr>
            <w:r w:rsidRPr="00061201">
              <w:rPr>
                <w:rFonts w:eastAsia="Times New Roman"/>
                <w:b/>
                <w:bCs/>
                <w:color w:val="FFFFFF"/>
                <w:sz w:val="20"/>
                <w:szCs w:val="20"/>
              </w:rPr>
              <w:t xml:space="preserve">Potential Non-Contact Cooling Facility Receiving </w:t>
            </w:r>
            <w:proofErr w:type="spellStart"/>
            <w:r w:rsidRPr="00061201">
              <w:rPr>
                <w:rFonts w:eastAsia="Times New Roman"/>
                <w:b/>
                <w:bCs/>
                <w:color w:val="FFFFFF"/>
                <w:sz w:val="20"/>
                <w:szCs w:val="20"/>
              </w:rPr>
              <w:t>Waterbodies</w:t>
            </w:r>
            <w:proofErr w:type="spellEnd"/>
            <w:r w:rsidR="00193B31">
              <w:rPr>
                <w:rFonts w:eastAsia="Times New Roman"/>
                <w:b/>
                <w:bCs/>
                <w:color w:val="FFFFFF"/>
                <w:sz w:val="20"/>
                <w:szCs w:val="20"/>
              </w:rPr>
              <w:t xml:space="preserve"> (# of facilities)</w:t>
            </w:r>
          </w:p>
        </w:tc>
        <w:tc>
          <w:tcPr>
            <w:tcW w:w="2920" w:type="dxa"/>
            <w:tcBorders>
              <w:top w:val="single" w:sz="4" w:space="0" w:color="auto"/>
              <w:left w:val="nil"/>
              <w:bottom w:val="double" w:sz="6" w:space="0" w:color="auto"/>
              <w:right w:val="single" w:sz="4" w:space="0" w:color="auto"/>
            </w:tcBorders>
            <w:shd w:val="clear" w:color="000000" w:fill="376091"/>
            <w:vAlign w:val="center"/>
            <w:hideMark/>
          </w:tcPr>
          <w:p w:rsidR="00061201" w:rsidRPr="00061201" w:rsidRDefault="00061201" w:rsidP="00061201">
            <w:pPr>
              <w:spacing w:after="0" w:line="240" w:lineRule="auto"/>
              <w:jc w:val="center"/>
              <w:rPr>
                <w:rFonts w:eastAsia="Times New Roman"/>
                <w:b/>
                <w:bCs/>
                <w:color w:val="FFFFFF"/>
                <w:sz w:val="20"/>
                <w:szCs w:val="20"/>
              </w:rPr>
            </w:pPr>
            <w:r w:rsidRPr="00061201">
              <w:rPr>
                <w:rFonts w:eastAsia="Times New Roman"/>
                <w:b/>
                <w:bCs/>
                <w:color w:val="FFFFFF"/>
                <w:sz w:val="20"/>
                <w:szCs w:val="20"/>
              </w:rPr>
              <w:t>Toxics 303(d) Listing</w:t>
            </w:r>
          </w:p>
        </w:tc>
      </w:tr>
      <w:tr w:rsidR="00061201" w:rsidRPr="00061201" w:rsidTr="00206153">
        <w:trPr>
          <w:trHeight w:val="315"/>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061201" w:rsidRPr="00061201" w:rsidRDefault="00061201" w:rsidP="00061201">
            <w:pPr>
              <w:spacing w:after="0" w:line="240" w:lineRule="auto"/>
              <w:rPr>
                <w:rFonts w:eastAsia="Times New Roman"/>
                <w:color w:val="000000"/>
                <w:sz w:val="16"/>
                <w:szCs w:val="16"/>
              </w:rPr>
            </w:pPr>
            <w:r w:rsidRPr="00061201">
              <w:rPr>
                <w:rFonts w:eastAsia="Times New Roman"/>
                <w:color w:val="000000"/>
                <w:sz w:val="16"/>
                <w:szCs w:val="16"/>
              </w:rPr>
              <w:t>Bear Creek</w:t>
            </w:r>
            <w:r w:rsidR="00243114">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061201" w:rsidRPr="00061201" w:rsidRDefault="00061201" w:rsidP="00061201">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061201" w:rsidRPr="00061201" w:rsidTr="00206153">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061201" w:rsidRPr="00061201" w:rsidRDefault="00061201" w:rsidP="00061201">
            <w:pPr>
              <w:spacing w:after="0" w:line="240" w:lineRule="auto"/>
              <w:rPr>
                <w:rFonts w:eastAsia="Times New Roman"/>
                <w:color w:val="000000"/>
                <w:sz w:val="16"/>
                <w:szCs w:val="16"/>
              </w:rPr>
            </w:pPr>
            <w:r w:rsidRPr="00061201">
              <w:rPr>
                <w:rFonts w:eastAsia="Times New Roman"/>
                <w:color w:val="000000"/>
                <w:sz w:val="16"/>
                <w:szCs w:val="16"/>
              </w:rPr>
              <w:t>Columbia River</w:t>
            </w:r>
            <w:r w:rsidR="00193B31">
              <w:rPr>
                <w:rFonts w:eastAsia="Times New Roman"/>
                <w:color w:val="000000"/>
                <w:sz w:val="16"/>
                <w:szCs w:val="16"/>
              </w:rPr>
              <w:t xml:space="preserve"> (6)</w:t>
            </w:r>
          </w:p>
        </w:tc>
        <w:tc>
          <w:tcPr>
            <w:tcW w:w="2920" w:type="dxa"/>
            <w:tcBorders>
              <w:top w:val="nil"/>
              <w:left w:val="nil"/>
              <w:bottom w:val="single" w:sz="4" w:space="0" w:color="auto"/>
              <w:right w:val="single" w:sz="4" w:space="0" w:color="auto"/>
            </w:tcBorders>
            <w:shd w:val="clear" w:color="auto" w:fill="auto"/>
            <w:vAlign w:val="bottom"/>
            <w:hideMark/>
          </w:tcPr>
          <w:p w:rsidR="00061201" w:rsidRPr="00061201" w:rsidRDefault="00061201" w:rsidP="00061201">
            <w:pPr>
              <w:spacing w:after="0" w:line="240" w:lineRule="auto"/>
              <w:jc w:val="center"/>
              <w:rPr>
                <w:rFonts w:eastAsia="Times New Roman"/>
                <w:color w:val="000000"/>
                <w:sz w:val="16"/>
                <w:szCs w:val="16"/>
              </w:rPr>
            </w:pPr>
            <w:r w:rsidRPr="00061201">
              <w:rPr>
                <w:rFonts w:eastAsia="Times New Roman"/>
                <w:color w:val="000000"/>
                <w:sz w:val="16"/>
                <w:szCs w:val="16"/>
              </w:rPr>
              <w:t>Arsenic, DDE, PCB, PAH</w:t>
            </w:r>
          </w:p>
        </w:tc>
      </w:tr>
      <w:tr w:rsidR="00061201" w:rsidRPr="00061201" w:rsidTr="00206153">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061201" w:rsidRPr="00061201" w:rsidRDefault="00061201" w:rsidP="00061201">
            <w:pPr>
              <w:spacing w:after="0" w:line="240" w:lineRule="auto"/>
              <w:rPr>
                <w:rFonts w:eastAsia="Times New Roman"/>
                <w:color w:val="000000"/>
                <w:sz w:val="16"/>
                <w:szCs w:val="16"/>
              </w:rPr>
            </w:pPr>
            <w:r w:rsidRPr="00061201">
              <w:rPr>
                <w:rFonts w:eastAsia="Times New Roman"/>
                <w:color w:val="000000"/>
                <w:sz w:val="16"/>
                <w:szCs w:val="16"/>
              </w:rPr>
              <w:t>Columbia Slough</w:t>
            </w:r>
            <w:r w:rsidR="00193B31">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auto" w:fill="auto"/>
            <w:vAlign w:val="bottom"/>
            <w:hideMark/>
          </w:tcPr>
          <w:p w:rsidR="00061201" w:rsidRPr="00061201" w:rsidRDefault="00061201" w:rsidP="00061201">
            <w:pPr>
              <w:spacing w:after="0" w:line="240" w:lineRule="auto"/>
              <w:jc w:val="center"/>
              <w:rPr>
                <w:rFonts w:eastAsia="Times New Roman"/>
                <w:color w:val="000000"/>
                <w:sz w:val="16"/>
                <w:szCs w:val="16"/>
              </w:rPr>
            </w:pPr>
            <w:r w:rsidRPr="00061201">
              <w:rPr>
                <w:rFonts w:eastAsia="Times New Roman"/>
                <w:color w:val="000000"/>
                <w:sz w:val="16"/>
                <w:szCs w:val="16"/>
              </w:rPr>
              <w:t>Iron, Manganese</w:t>
            </w:r>
          </w:p>
        </w:tc>
      </w:tr>
      <w:tr w:rsidR="00061201" w:rsidRPr="00061201" w:rsidTr="00206153">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061201" w:rsidRPr="00061201" w:rsidRDefault="00061201" w:rsidP="00061201">
            <w:pPr>
              <w:spacing w:after="0" w:line="240" w:lineRule="auto"/>
              <w:rPr>
                <w:rFonts w:eastAsia="Times New Roman"/>
                <w:color w:val="000000"/>
                <w:sz w:val="16"/>
                <w:szCs w:val="16"/>
              </w:rPr>
            </w:pPr>
            <w:r w:rsidRPr="00061201">
              <w:rPr>
                <w:rFonts w:eastAsia="Times New Roman"/>
                <w:color w:val="000000"/>
                <w:sz w:val="16"/>
                <w:szCs w:val="16"/>
              </w:rPr>
              <w:t xml:space="preserve">Grande </w:t>
            </w:r>
            <w:proofErr w:type="spellStart"/>
            <w:r w:rsidRPr="00061201">
              <w:rPr>
                <w:rFonts w:eastAsia="Times New Roman"/>
                <w:color w:val="000000"/>
                <w:sz w:val="16"/>
                <w:szCs w:val="16"/>
              </w:rPr>
              <w:t>Ronde</w:t>
            </w:r>
            <w:proofErr w:type="spellEnd"/>
            <w:r w:rsidRPr="00061201">
              <w:rPr>
                <w:rFonts w:eastAsia="Times New Roman"/>
                <w:color w:val="000000"/>
                <w:sz w:val="16"/>
                <w:szCs w:val="16"/>
              </w:rPr>
              <w:t xml:space="preserve"> River</w:t>
            </w:r>
            <w:r w:rsidR="00243114">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061201" w:rsidRPr="00061201" w:rsidRDefault="00061201" w:rsidP="00061201">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061201" w:rsidRPr="00061201" w:rsidTr="00206153">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061201" w:rsidRPr="00061201" w:rsidRDefault="00061201" w:rsidP="00061201">
            <w:pPr>
              <w:spacing w:after="0" w:line="240" w:lineRule="auto"/>
              <w:rPr>
                <w:rFonts w:eastAsia="Times New Roman"/>
                <w:color w:val="000000"/>
                <w:sz w:val="16"/>
                <w:szCs w:val="16"/>
              </w:rPr>
            </w:pPr>
            <w:r w:rsidRPr="00061201">
              <w:rPr>
                <w:rFonts w:eastAsia="Times New Roman"/>
                <w:color w:val="000000"/>
                <w:sz w:val="16"/>
                <w:szCs w:val="16"/>
              </w:rPr>
              <w:t>Klamath River</w:t>
            </w:r>
            <w:r w:rsidR="00243114">
              <w:rPr>
                <w:rFonts w:eastAsia="Times New Roman"/>
                <w:color w:val="000000"/>
                <w:sz w:val="16"/>
                <w:szCs w:val="16"/>
              </w:rPr>
              <w:t xml:space="preserve"> (2)</w:t>
            </w:r>
          </w:p>
        </w:tc>
        <w:tc>
          <w:tcPr>
            <w:tcW w:w="2920" w:type="dxa"/>
            <w:tcBorders>
              <w:top w:val="nil"/>
              <w:left w:val="nil"/>
              <w:bottom w:val="single" w:sz="4" w:space="0" w:color="auto"/>
              <w:right w:val="single" w:sz="4" w:space="0" w:color="auto"/>
            </w:tcBorders>
            <w:shd w:val="clear" w:color="auto" w:fill="auto"/>
            <w:vAlign w:val="bottom"/>
            <w:hideMark/>
          </w:tcPr>
          <w:p w:rsidR="00061201" w:rsidRPr="00061201" w:rsidRDefault="00061201" w:rsidP="00061201">
            <w:pPr>
              <w:spacing w:after="0" w:line="240" w:lineRule="auto"/>
              <w:jc w:val="center"/>
              <w:rPr>
                <w:rFonts w:eastAsia="Times New Roman"/>
                <w:color w:val="000000"/>
                <w:sz w:val="16"/>
                <w:szCs w:val="16"/>
              </w:rPr>
            </w:pPr>
            <w:r w:rsidRPr="00061201">
              <w:rPr>
                <w:rFonts w:eastAsia="Times New Roman"/>
                <w:color w:val="000000"/>
                <w:sz w:val="16"/>
                <w:szCs w:val="16"/>
              </w:rPr>
              <w:t>Ammonia</w:t>
            </w:r>
          </w:p>
        </w:tc>
      </w:tr>
      <w:tr w:rsidR="00061201" w:rsidRPr="00061201" w:rsidTr="00206153">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061201" w:rsidRPr="00061201" w:rsidRDefault="00061201" w:rsidP="00061201">
            <w:pPr>
              <w:spacing w:after="0" w:line="240" w:lineRule="auto"/>
              <w:rPr>
                <w:rFonts w:eastAsia="Times New Roman"/>
                <w:color w:val="000000"/>
                <w:sz w:val="16"/>
                <w:szCs w:val="16"/>
              </w:rPr>
            </w:pPr>
            <w:r w:rsidRPr="00061201">
              <w:rPr>
                <w:rFonts w:eastAsia="Times New Roman"/>
                <w:color w:val="000000"/>
                <w:sz w:val="16"/>
                <w:szCs w:val="16"/>
              </w:rPr>
              <w:t>Little Deschutes River</w:t>
            </w:r>
            <w:r w:rsidR="00243114">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061201" w:rsidRPr="00061201" w:rsidRDefault="00061201" w:rsidP="00061201">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061201" w:rsidRPr="00061201" w:rsidTr="00206153">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061201" w:rsidRPr="00061201" w:rsidRDefault="00061201" w:rsidP="00061201">
            <w:pPr>
              <w:spacing w:after="0" w:line="240" w:lineRule="auto"/>
              <w:rPr>
                <w:rFonts w:eastAsia="Times New Roman"/>
                <w:color w:val="000000"/>
                <w:sz w:val="16"/>
                <w:szCs w:val="16"/>
              </w:rPr>
            </w:pPr>
            <w:r w:rsidRPr="00061201">
              <w:rPr>
                <w:rFonts w:eastAsia="Times New Roman"/>
                <w:color w:val="000000"/>
                <w:sz w:val="16"/>
                <w:szCs w:val="16"/>
              </w:rPr>
              <w:t>McKay Creek</w:t>
            </w:r>
            <w:r w:rsidR="00243114">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auto" w:fill="auto"/>
            <w:vAlign w:val="bottom"/>
            <w:hideMark/>
          </w:tcPr>
          <w:p w:rsidR="00061201" w:rsidRPr="00061201" w:rsidRDefault="00061201" w:rsidP="00061201">
            <w:pPr>
              <w:spacing w:after="0" w:line="240" w:lineRule="auto"/>
              <w:jc w:val="center"/>
              <w:rPr>
                <w:rFonts w:eastAsia="Times New Roman"/>
                <w:color w:val="000000"/>
                <w:sz w:val="16"/>
                <w:szCs w:val="16"/>
              </w:rPr>
            </w:pPr>
            <w:r w:rsidRPr="00061201">
              <w:rPr>
                <w:rFonts w:eastAsia="Times New Roman"/>
                <w:color w:val="000000"/>
                <w:sz w:val="16"/>
                <w:szCs w:val="16"/>
              </w:rPr>
              <w:t>Iron</w:t>
            </w:r>
          </w:p>
        </w:tc>
      </w:tr>
      <w:tr w:rsidR="008E7D57" w:rsidRPr="00061201" w:rsidTr="00206153">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8E7D57" w:rsidRPr="00061201" w:rsidRDefault="008E7D57" w:rsidP="00061201">
            <w:pPr>
              <w:spacing w:after="0" w:line="240" w:lineRule="auto"/>
              <w:rPr>
                <w:rFonts w:eastAsia="Times New Roman"/>
                <w:color w:val="000000"/>
                <w:sz w:val="16"/>
                <w:szCs w:val="16"/>
              </w:rPr>
            </w:pPr>
            <w:r>
              <w:rPr>
                <w:rFonts w:eastAsia="Times New Roman"/>
                <w:color w:val="000000"/>
                <w:sz w:val="16"/>
                <w:szCs w:val="16"/>
              </w:rPr>
              <w:t>McKenzie River (1)</w:t>
            </w:r>
          </w:p>
        </w:tc>
        <w:tc>
          <w:tcPr>
            <w:tcW w:w="2920" w:type="dxa"/>
            <w:tcBorders>
              <w:top w:val="nil"/>
              <w:left w:val="nil"/>
              <w:bottom w:val="single" w:sz="4" w:space="0" w:color="auto"/>
              <w:right w:val="single" w:sz="4" w:space="0" w:color="auto"/>
            </w:tcBorders>
            <w:shd w:val="clear" w:color="000000" w:fill="DBEEF3"/>
            <w:vAlign w:val="bottom"/>
            <w:hideMark/>
          </w:tcPr>
          <w:p w:rsidR="008E7D57" w:rsidRPr="00061201" w:rsidRDefault="008E7D57" w:rsidP="00061201">
            <w:pPr>
              <w:spacing w:after="0" w:line="240" w:lineRule="auto"/>
              <w:jc w:val="center"/>
              <w:rPr>
                <w:rFonts w:eastAsia="Times New Roman"/>
                <w:color w:val="000000"/>
                <w:sz w:val="16"/>
                <w:szCs w:val="16"/>
              </w:rPr>
            </w:pPr>
          </w:p>
        </w:tc>
      </w:tr>
      <w:tr w:rsidR="00061201" w:rsidRPr="00061201" w:rsidTr="00206153">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061201" w:rsidRPr="00061201" w:rsidRDefault="00061201" w:rsidP="00061201">
            <w:pPr>
              <w:spacing w:after="0" w:line="240" w:lineRule="auto"/>
              <w:rPr>
                <w:rFonts w:eastAsia="Times New Roman"/>
                <w:color w:val="000000"/>
                <w:sz w:val="16"/>
                <w:szCs w:val="16"/>
              </w:rPr>
            </w:pPr>
            <w:r w:rsidRPr="00061201">
              <w:rPr>
                <w:rFonts w:eastAsia="Times New Roman"/>
                <w:color w:val="000000"/>
                <w:sz w:val="16"/>
                <w:szCs w:val="16"/>
              </w:rPr>
              <w:t>Molalla River</w:t>
            </w:r>
            <w:r w:rsidR="00243114">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061201" w:rsidRPr="00061201" w:rsidRDefault="00061201" w:rsidP="00061201">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061201" w:rsidRPr="00061201" w:rsidTr="00206153">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061201" w:rsidRPr="00061201" w:rsidRDefault="00061201" w:rsidP="00061201">
            <w:pPr>
              <w:spacing w:after="0" w:line="240" w:lineRule="auto"/>
              <w:rPr>
                <w:rFonts w:eastAsia="Times New Roman"/>
                <w:color w:val="000000"/>
                <w:sz w:val="16"/>
                <w:szCs w:val="16"/>
              </w:rPr>
            </w:pPr>
            <w:r w:rsidRPr="00061201">
              <w:rPr>
                <w:rFonts w:eastAsia="Times New Roman"/>
                <w:color w:val="000000"/>
                <w:sz w:val="16"/>
                <w:szCs w:val="16"/>
              </w:rPr>
              <w:t>Nehalem River</w:t>
            </w:r>
            <w:r w:rsidR="00243114">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061201" w:rsidRPr="00061201" w:rsidRDefault="00061201" w:rsidP="00061201">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061201" w:rsidRPr="00061201" w:rsidTr="00206153">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061201" w:rsidRPr="00061201" w:rsidRDefault="00061201" w:rsidP="00061201">
            <w:pPr>
              <w:spacing w:after="0" w:line="240" w:lineRule="auto"/>
              <w:rPr>
                <w:rFonts w:eastAsia="Times New Roman"/>
                <w:color w:val="000000"/>
                <w:sz w:val="16"/>
                <w:szCs w:val="16"/>
              </w:rPr>
            </w:pPr>
            <w:r w:rsidRPr="00061201">
              <w:rPr>
                <w:rFonts w:eastAsia="Times New Roman"/>
                <w:color w:val="000000"/>
                <w:sz w:val="16"/>
                <w:szCs w:val="16"/>
              </w:rPr>
              <w:t>North Slough</w:t>
            </w:r>
            <w:r w:rsidR="00243114">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061201" w:rsidRPr="00061201" w:rsidRDefault="00061201" w:rsidP="00061201">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061201" w:rsidRPr="00061201" w:rsidTr="00206153">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061201" w:rsidRPr="00061201" w:rsidRDefault="00061201" w:rsidP="00061201">
            <w:pPr>
              <w:spacing w:after="0" w:line="240" w:lineRule="auto"/>
              <w:rPr>
                <w:rFonts w:eastAsia="Times New Roman"/>
                <w:color w:val="000000"/>
                <w:sz w:val="16"/>
                <w:szCs w:val="16"/>
              </w:rPr>
            </w:pPr>
            <w:proofErr w:type="spellStart"/>
            <w:r w:rsidRPr="00061201">
              <w:rPr>
                <w:rFonts w:eastAsia="Times New Roman"/>
                <w:color w:val="000000"/>
                <w:sz w:val="16"/>
                <w:szCs w:val="16"/>
              </w:rPr>
              <w:t>Noti</w:t>
            </w:r>
            <w:proofErr w:type="spellEnd"/>
            <w:r w:rsidRPr="00061201">
              <w:rPr>
                <w:rFonts w:eastAsia="Times New Roman"/>
                <w:color w:val="000000"/>
                <w:sz w:val="16"/>
                <w:szCs w:val="16"/>
              </w:rPr>
              <w:t xml:space="preserve"> Creek</w:t>
            </w:r>
            <w:r w:rsidR="00243114">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061201" w:rsidRPr="00061201" w:rsidRDefault="00061201" w:rsidP="00061201">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061201" w:rsidRPr="00061201" w:rsidTr="00206153">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061201" w:rsidRPr="00061201" w:rsidRDefault="00061201" w:rsidP="00061201">
            <w:pPr>
              <w:spacing w:after="0" w:line="240" w:lineRule="auto"/>
              <w:rPr>
                <w:rFonts w:eastAsia="Times New Roman"/>
                <w:color w:val="000000"/>
                <w:sz w:val="16"/>
                <w:szCs w:val="16"/>
              </w:rPr>
            </w:pPr>
            <w:r w:rsidRPr="00061201">
              <w:rPr>
                <w:rFonts w:eastAsia="Times New Roman"/>
                <w:color w:val="000000"/>
                <w:sz w:val="16"/>
                <w:szCs w:val="16"/>
              </w:rPr>
              <w:t>Oak Creek (</w:t>
            </w:r>
            <w:proofErr w:type="spellStart"/>
            <w:r w:rsidRPr="00061201">
              <w:rPr>
                <w:rFonts w:eastAsia="Times New Roman"/>
                <w:color w:val="000000"/>
                <w:sz w:val="16"/>
                <w:szCs w:val="16"/>
              </w:rPr>
              <w:t>Calapooia</w:t>
            </w:r>
            <w:proofErr w:type="spellEnd"/>
            <w:r w:rsidRPr="00061201">
              <w:rPr>
                <w:rFonts w:eastAsia="Times New Roman"/>
                <w:color w:val="000000"/>
                <w:sz w:val="16"/>
                <w:szCs w:val="16"/>
              </w:rPr>
              <w:t xml:space="preserve"> Drainage)</w:t>
            </w:r>
            <w:r w:rsidR="00243114">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061201" w:rsidRPr="00061201" w:rsidRDefault="00061201" w:rsidP="00061201">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8E7D57" w:rsidRPr="00061201" w:rsidTr="00206153">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8E7D57" w:rsidRPr="00061201" w:rsidRDefault="008E7D57" w:rsidP="00061201">
            <w:pPr>
              <w:spacing w:after="0" w:line="240" w:lineRule="auto"/>
              <w:rPr>
                <w:rFonts w:eastAsia="Times New Roman"/>
                <w:color w:val="000000"/>
                <w:sz w:val="16"/>
                <w:szCs w:val="16"/>
              </w:rPr>
            </w:pPr>
            <w:r>
              <w:rPr>
                <w:rFonts w:eastAsia="Times New Roman"/>
                <w:color w:val="000000"/>
                <w:sz w:val="16"/>
                <w:szCs w:val="16"/>
              </w:rPr>
              <w:t>Pacific Ocean (1)</w:t>
            </w:r>
          </w:p>
        </w:tc>
        <w:tc>
          <w:tcPr>
            <w:tcW w:w="2920" w:type="dxa"/>
            <w:tcBorders>
              <w:top w:val="nil"/>
              <w:left w:val="nil"/>
              <w:bottom w:val="single" w:sz="4" w:space="0" w:color="auto"/>
              <w:right w:val="single" w:sz="4" w:space="0" w:color="auto"/>
            </w:tcBorders>
            <w:shd w:val="clear" w:color="000000" w:fill="DBEEF3"/>
            <w:vAlign w:val="bottom"/>
            <w:hideMark/>
          </w:tcPr>
          <w:p w:rsidR="008E7D57" w:rsidRPr="00061201" w:rsidRDefault="008E7D57" w:rsidP="00061201">
            <w:pPr>
              <w:spacing w:after="0" w:line="240" w:lineRule="auto"/>
              <w:jc w:val="center"/>
              <w:rPr>
                <w:rFonts w:eastAsia="Times New Roman"/>
                <w:color w:val="000000"/>
                <w:sz w:val="16"/>
                <w:szCs w:val="16"/>
              </w:rPr>
            </w:pPr>
          </w:p>
        </w:tc>
      </w:tr>
      <w:tr w:rsidR="00061201" w:rsidRPr="00061201" w:rsidTr="00206153">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061201" w:rsidRPr="00061201" w:rsidRDefault="00061201" w:rsidP="00061201">
            <w:pPr>
              <w:spacing w:after="0" w:line="240" w:lineRule="auto"/>
              <w:rPr>
                <w:rFonts w:eastAsia="Times New Roman"/>
                <w:color w:val="000000"/>
                <w:sz w:val="16"/>
                <w:szCs w:val="16"/>
              </w:rPr>
            </w:pPr>
            <w:r w:rsidRPr="00061201">
              <w:rPr>
                <w:rFonts w:eastAsia="Times New Roman"/>
                <w:color w:val="000000"/>
                <w:sz w:val="16"/>
                <w:szCs w:val="16"/>
              </w:rPr>
              <w:t>Phillips Creek</w:t>
            </w:r>
            <w:r w:rsidR="00243114">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061201" w:rsidRPr="00061201" w:rsidRDefault="00061201" w:rsidP="00061201">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061201" w:rsidRPr="00061201" w:rsidTr="00206153">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061201" w:rsidRPr="00061201" w:rsidRDefault="00061201" w:rsidP="00061201">
            <w:pPr>
              <w:spacing w:after="0" w:line="240" w:lineRule="auto"/>
              <w:rPr>
                <w:rFonts w:eastAsia="Times New Roman"/>
                <w:color w:val="000000"/>
                <w:sz w:val="16"/>
                <w:szCs w:val="16"/>
              </w:rPr>
            </w:pPr>
            <w:r w:rsidRPr="00061201">
              <w:rPr>
                <w:rFonts w:eastAsia="Times New Roman"/>
                <w:color w:val="000000"/>
                <w:sz w:val="16"/>
                <w:szCs w:val="16"/>
              </w:rPr>
              <w:t>Pudding River</w:t>
            </w:r>
            <w:r w:rsidR="00193B31">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auto" w:fill="auto"/>
            <w:vAlign w:val="bottom"/>
            <w:hideMark/>
          </w:tcPr>
          <w:p w:rsidR="00061201" w:rsidRPr="00061201" w:rsidRDefault="00061201" w:rsidP="00061201">
            <w:pPr>
              <w:spacing w:after="0" w:line="240" w:lineRule="auto"/>
              <w:jc w:val="center"/>
              <w:rPr>
                <w:rFonts w:eastAsia="Times New Roman"/>
                <w:color w:val="000000"/>
                <w:sz w:val="16"/>
                <w:szCs w:val="16"/>
              </w:rPr>
            </w:pPr>
            <w:r w:rsidRPr="00061201">
              <w:rPr>
                <w:rFonts w:eastAsia="Times New Roman"/>
                <w:color w:val="000000"/>
                <w:sz w:val="16"/>
                <w:szCs w:val="16"/>
              </w:rPr>
              <w:t>DDT, Iron, Manganese</w:t>
            </w:r>
          </w:p>
        </w:tc>
      </w:tr>
      <w:tr w:rsidR="00061201" w:rsidRPr="00061201" w:rsidTr="00206153">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061201" w:rsidRPr="00061201" w:rsidRDefault="00061201" w:rsidP="00061201">
            <w:pPr>
              <w:spacing w:after="0" w:line="240" w:lineRule="auto"/>
              <w:rPr>
                <w:rFonts w:eastAsia="Times New Roman"/>
                <w:color w:val="000000"/>
                <w:sz w:val="16"/>
                <w:szCs w:val="16"/>
              </w:rPr>
            </w:pPr>
            <w:r w:rsidRPr="00061201">
              <w:rPr>
                <w:rFonts w:eastAsia="Times New Roman"/>
                <w:color w:val="000000"/>
                <w:sz w:val="16"/>
                <w:szCs w:val="16"/>
              </w:rPr>
              <w:t>Rock Creek</w:t>
            </w:r>
            <w:r w:rsidR="00243114">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061201" w:rsidRPr="00061201" w:rsidRDefault="00061201" w:rsidP="00061201">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061201" w:rsidRPr="00061201" w:rsidTr="00206153">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061201" w:rsidRPr="00061201" w:rsidRDefault="00061201" w:rsidP="00061201">
            <w:pPr>
              <w:spacing w:after="0" w:line="240" w:lineRule="auto"/>
              <w:rPr>
                <w:rFonts w:eastAsia="Times New Roman"/>
                <w:color w:val="000000"/>
                <w:sz w:val="16"/>
                <w:szCs w:val="16"/>
              </w:rPr>
            </w:pPr>
            <w:r w:rsidRPr="00061201">
              <w:rPr>
                <w:rFonts w:eastAsia="Times New Roman"/>
                <w:color w:val="000000"/>
                <w:sz w:val="16"/>
                <w:szCs w:val="16"/>
              </w:rPr>
              <w:t>Santiam River, North</w:t>
            </w:r>
            <w:r w:rsidR="00243114">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061201" w:rsidRPr="00061201" w:rsidRDefault="00061201" w:rsidP="00061201">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061201" w:rsidRPr="00061201" w:rsidTr="00206153">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061201" w:rsidRPr="00061201" w:rsidRDefault="00061201" w:rsidP="00061201">
            <w:pPr>
              <w:spacing w:after="0" w:line="240" w:lineRule="auto"/>
              <w:rPr>
                <w:rFonts w:eastAsia="Times New Roman"/>
                <w:color w:val="000000"/>
                <w:sz w:val="16"/>
                <w:szCs w:val="16"/>
              </w:rPr>
            </w:pPr>
            <w:r w:rsidRPr="00061201">
              <w:rPr>
                <w:rFonts w:eastAsia="Times New Roman"/>
                <w:color w:val="000000"/>
                <w:sz w:val="16"/>
                <w:szCs w:val="16"/>
              </w:rPr>
              <w:t>Scoggins Creek</w:t>
            </w:r>
            <w:r w:rsidR="00243114">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061201" w:rsidRPr="00061201" w:rsidRDefault="00061201" w:rsidP="00061201">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061201" w:rsidRPr="00061201" w:rsidTr="00206153">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061201" w:rsidRPr="00061201" w:rsidRDefault="00061201" w:rsidP="00061201">
            <w:pPr>
              <w:spacing w:after="0" w:line="240" w:lineRule="auto"/>
              <w:rPr>
                <w:rFonts w:eastAsia="Times New Roman"/>
                <w:color w:val="000000"/>
                <w:sz w:val="16"/>
                <w:szCs w:val="16"/>
              </w:rPr>
            </w:pPr>
            <w:r w:rsidRPr="00061201">
              <w:rPr>
                <w:rFonts w:eastAsia="Times New Roman"/>
                <w:color w:val="000000"/>
                <w:sz w:val="16"/>
                <w:szCs w:val="16"/>
              </w:rPr>
              <w:t>Snake River</w:t>
            </w:r>
            <w:r w:rsidR="00193B31">
              <w:rPr>
                <w:rFonts w:eastAsia="Times New Roman"/>
                <w:color w:val="000000"/>
                <w:sz w:val="16"/>
                <w:szCs w:val="16"/>
              </w:rPr>
              <w:t xml:space="preserve"> (2)</w:t>
            </w:r>
          </w:p>
        </w:tc>
        <w:tc>
          <w:tcPr>
            <w:tcW w:w="2920" w:type="dxa"/>
            <w:tcBorders>
              <w:top w:val="nil"/>
              <w:left w:val="nil"/>
              <w:bottom w:val="single" w:sz="4" w:space="0" w:color="auto"/>
              <w:right w:val="single" w:sz="4" w:space="0" w:color="auto"/>
            </w:tcBorders>
            <w:shd w:val="clear" w:color="auto" w:fill="auto"/>
            <w:vAlign w:val="bottom"/>
            <w:hideMark/>
          </w:tcPr>
          <w:p w:rsidR="00061201" w:rsidRPr="00061201" w:rsidRDefault="00061201" w:rsidP="00061201">
            <w:pPr>
              <w:spacing w:after="0" w:line="240" w:lineRule="auto"/>
              <w:jc w:val="center"/>
              <w:rPr>
                <w:rFonts w:eastAsia="Times New Roman"/>
                <w:color w:val="000000"/>
                <w:sz w:val="16"/>
                <w:szCs w:val="16"/>
              </w:rPr>
            </w:pPr>
            <w:r w:rsidRPr="00061201">
              <w:rPr>
                <w:rFonts w:eastAsia="Times New Roman"/>
                <w:color w:val="000000"/>
                <w:sz w:val="16"/>
                <w:szCs w:val="16"/>
              </w:rPr>
              <w:t>Mercury</w:t>
            </w:r>
          </w:p>
        </w:tc>
      </w:tr>
      <w:tr w:rsidR="00061201" w:rsidRPr="00061201" w:rsidTr="00206153">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061201" w:rsidRPr="00061201" w:rsidRDefault="00061201" w:rsidP="00061201">
            <w:pPr>
              <w:spacing w:after="0" w:line="240" w:lineRule="auto"/>
              <w:rPr>
                <w:rFonts w:eastAsia="Times New Roman"/>
                <w:color w:val="000000"/>
                <w:sz w:val="16"/>
                <w:szCs w:val="16"/>
              </w:rPr>
            </w:pPr>
            <w:r w:rsidRPr="00061201">
              <w:rPr>
                <w:rFonts w:eastAsia="Times New Roman"/>
                <w:color w:val="000000"/>
                <w:sz w:val="16"/>
                <w:szCs w:val="16"/>
              </w:rPr>
              <w:t>Umpqua River, South</w:t>
            </w:r>
            <w:r w:rsidR="00193B31">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auto" w:fill="auto"/>
            <w:vAlign w:val="bottom"/>
            <w:hideMark/>
          </w:tcPr>
          <w:p w:rsidR="00061201" w:rsidRPr="00061201" w:rsidRDefault="00061201" w:rsidP="00061201">
            <w:pPr>
              <w:spacing w:after="0" w:line="240" w:lineRule="auto"/>
              <w:jc w:val="center"/>
              <w:rPr>
                <w:rFonts w:eastAsia="Times New Roman"/>
                <w:color w:val="000000"/>
                <w:sz w:val="16"/>
                <w:szCs w:val="16"/>
              </w:rPr>
            </w:pPr>
            <w:r w:rsidRPr="00061201">
              <w:rPr>
                <w:rFonts w:eastAsia="Times New Roman"/>
                <w:color w:val="000000"/>
                <w:sz w:val="16"/>
                <w:szCs w:val="16"/>
              </w:rPr>
              <w:t>Arsenic, Cadmium</w:t>
            </w:r>
          </w:p>
        </w:tc>
      </w:tr>
      <w:tr w:rsidR="00061201" w:rsidRPr="00061201" w:rsidTr="00206153">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061201" w:rsidRPr="00061201" w:rsidRDefault="00061201" w:rsidP="00061201">
            <w:pPr>
              <w:spacing w:after="0" w:line="240" w:lineRule="auto"/>
              <w:rPr>
                <w:rFonts w:eastAsia="Times New Roman"/>
                <w:color w:val="000000"/>
                <w:sz w:val="16"/>
                <w:szCs w:val="16"/>
              </w:rPr>
            </w:pPr>
            <w:r w:rsidRPr="00061201">
              <w:rPr>
                <w:rFonts w:eastAsia="Times New Roman"/>
                <w:color w:val="000000"/>
                <w:sz w:val="16"/>
                <w:szCs w:val="16"/>
              </w:rPr>
              <w:t>Wiley Creek</w:t>
            </w:r>
            <w:r w:rsidR="00243114">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061201" w:rsidRPr="00061201" w:rsidRDefault="00061201" w:rsidP="00061201">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061201" w:rsidRPr="00061201" w:rsidTr="00206153">
        <w:trPr>
          <w:trHeight w:val="69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061201" w:rsidRPr="00061201" w:rsidRDefault="00061201" w:rsidP="00061201">
            <w:pPr>
              <w:spacing w:after="0" w:line="240" w:lineRule="auto"/>
              <w:rPr>
                <w:rFonts w:eastAsia="Times New Roman"/>
                <w:color w:val="000000"/>
                <w:sz w:val="16"/>
                <w:szCs w:val="16"/>
              </w:rPr>
            </w:pPr>
            <w:r w:rsidRPr="00061201">
              <w:rPr>
                <w:rFonts w:eastAsia="Times New Roman"/>
                <w:color w:val="000000"/>
                <w:sz w:val="16"/>
                <w:szCs w:val="16"/>
              </w:rPr>
              <w:t>Willamette River</w:t>
            </w:r>
            <w:r w:rsidR="008E7D57">
              <w:rPr>
                <w:rFonts w:eastAsia="Times New Roman"/>
                <w:color w:val="000000"/>
                <w:sz w:val="16"/>
                <w:szCs w:val="16"/>
              </w:rPr>
              <w:t xml:space="preserve"> (4</w:t>
            </w:r>
            <w:r w:rsidR="00193B31">
              <w:rPr>
                <w:rFonts w:eastAsia="Times New Roman"/>
                <w:color w:val="000000"/>
                <w:sz w:val="16"/>
                <w:szCs w:val="16"/>
              </w:rPr>
              <w:t>)</w:t>
            </w:r>
          </w:p>
        </w:tc>
        <w:tc>
          <w:tcPr>
            <w:tcW w:w="2920" w:type="dxa"/>
            <w:tcBorders>
              <w:top w:val="nil"/>
              <w:left w:val="nil"/>
              <w:bottom w:val="single" w:sz="4" w:space="0" w:color="auto"/>
              <w:right w:val="single" w:sz="4" w:space="0" w:color="auto"/>
            </w:tcBorders>
            <w:shd w:val="clear" w:color="auto" w:fill="auto"/>
            <w:vAlign w:val="bottom"/>
            <w:hideMark/>
          </w:tcPr>
          <w:p w:rsidR="00061201" w:rsidRPr="00061201" w:rsidRDefault="00061201" w:rsidP="00061201">
            <w:pPr>
              <w:spacing w:after="0" w:line="240" w:lineRule="auto"/>
              <w:jc w:val="center"/>
              <w:rPr>
                <w:rFonts w:eastAsia="Times New Roman"/>
                <w:color w:val="000000"/>
                <w:sz w:val="16"/>
                <w:szCs w:val="16"/>
              </w:rPr>
            </w:pPr>
            <w:proofErr w:type="spellStart"/>
            <w:r w:rsidRPr="00061201">
              <w:rPr>
                <w:rFonts w:eastAsia="Times New Roman"/>
                <w:color w:val="000000"/>
                <w:sz w:val="16"/>
                <w:szCs w:val="16"/>
              </w:rPr>
              <w:t>Aldrin</w:t>
            </w:r>
            <w:proofErr w:type="spellEnd"/>
            <w:r w:rsidRPr="00061201">
              <w:rPr>
                <w:rFonts w:eastAsia="Times New Roman"/>
                <w:color w:val="000000"/>
                <w:sz w:val="16"/>
                <w:szCs w:val="16"/>
              </w:rPr>
              <w:t xml:space="preserve">, Arsenic, DDT, DDE, </w:t>
            </w:r>
            <w:proofErr w:type="spellStart"/>
            <w:r w:rsidRPr="00061201">
              <w:rPr>
                <w:rFonts w:eastAsia="Times New Roman"/>
                <w:color w:val="000000"/>
                <w:sz w:val="16"/>
                <w:szCs w:val="16"/>
              </w:rPr>
              <w:t>Dieldrin</w:t>
            </w:r>
            <w:proofErr w:type="spellEnd"/>
            <w:r w:rsidRPr="00061201">
              <w:rPr>
                <w:rFonts w:eastAsia="Times New Roman"/>
                <w:color w:val="000000"/>
                <w:sz w:val="16"/>
                <w:szCs w:val="16"/>
              </w:rPr>
              <w:t>, Iron, Manganese, Mercury, PCB, Pentachlorophenol, PAH,</w:t>
            </w:r>
          </w:p>
        </w:tc>
      </w:tr>
      <w:tr w:rsidR="00061201" w:rsidRPr="00061201" w:rsidTr="00206153">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061201" w:rsidRPr="00061201" w:rsidRDefault="00061201" w:rsidP="00061201">
            <w:pPr>
              <w:spacing w:after="0" w:line="240" w:lineRule="auto"/>
              <w:rPr>
                <w:rFonts w:eastAsia="Times New Roman"/>
                <w:color w:val="000000"/>
                <w:sz w:val="16"/>
                <w:szCs w:val="16"/>
              </w:rPr>
            </w:pPr>
            <w:r w:rsidRPr="00061201">
              <w:rPr>
                <w:rFonts w:eastAsia="Times New Roman"/>
                <w:color w:val="000000"/>
                <w:sz w:val="16"/>
                <w:szCs w:val="16"/>
              </w:rPr>
              <w:t>Willamette River, Coast Fork</w:t>
            </w:r>
            <w:r w:rsidR="00193B31">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auto" w:fill="auto"/>
            <w:noWrap/>
            <w:vAlign w:val="bottom"/>
            <w:hideMark/>
          </w:tcPr>
          <w:p w:rsidR="00061201" w:rsidRPr="00061201" w:rsidRDefault="00061201" w:rsidP="00061201">
            <w:pPr>
              <w:spacing w:after="0" w:line="240" w:lineRule="auto"/>
              <w:jc w:val="center"/>
              <w:rPr>
                <w:rFonts w:eastAsia="Times New Roman"/>
                <w:color w:val="000000"/>
                <w:sz w:val="16"/>
                <w:szCs w:val="16"/>
              </w:rPr>
            </w:pPr>
            <w:r w:rsidRPr="00061201">
              <w:rPr>
                <w:rFonts w:eastAsia="Times New Roman"/>
                <w:color w:val="000000"/>
                <w:sz w:val="16"/>
                <w:szCs w:val="16"/>
              </w:rPr>
              <w:t>Iron, Mercury</w:t>
            </w:r>
          </w:p>
        </w:tc>
      </w:tr>
      <w:tr w:rsidR="00061201" w:rsidRPr="00061201" w:rsidTr="00206153">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061201" w:rsidRPr="00061201" w:rsidRDefault="00061201" w:rsidP="00061201">
            <w:pPr>
              <w:spacing w:after="0" w:line="240" w:lineRule="auto"/>
              <w:rPr>
                <w:rFonts w:eastAsia="Times New Roman"/>
                <w:color w:val="000000"/>
                <w:sz w:val="16"/>
                <w:szCs w:val="16"/>
              </w:rPr>
            </w:pPr>
            <w:r w:rsidRPr="00061201">
              <w:rPr>
                <w:rFonts w:eastAsia="Times New Roman"/>
                <w:color w:val="000000"/>
                <w:sz w:val="16"/>
                <w:szCs w:val="16"/>
              </w:rPr>
              <w:t>Willamette River, Middle Fork</w:t>
            </w:r>
            <w:r w:rsidR="00243114">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061201" w:rsidRPr="00061201" w:rsidRDefault="00061201" w:rsidP="00061201">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061201" w:rsidRPr="00061201" w:rsidTr="00206153">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061201" w:rsidRPr="00061201" w:rsidRDefault="00061201" w:rsidP="00061201">
            <w:pPr>
              <w:spacing w:after="0" w:line="240" w:lineRule="auto"/>
              <w:rPr>
                <w:rFonts w:eastAsia="Times New Roman"/>
                <w:color w:val="000000"/>
                <w:sz w:val="16"/>
                <w:szCs w:val="16"/>
              </w:rPr>
            </w:pPr>
            <w:r w:rsidRPr="00061201">
              <w:rPr>
                <w:rFonts w:eastAsia="Times New Roman"/>
                <w:color w:val="000000"/>
                <w:sz w:val="16"/>
                <w:szCs w:val="16"/>
              </w:rPr>
              <w:t>Willow Creek</w:t>
            </w:r>
            <w:r w:rsidR="00243114">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auto" w:fill="auto"/>
            <w:noWrap/>
            <w:vAlign w:val="bottom"/>
            <w:hideMark/>
          </w:tcPr>
          <w:p w:rsidR="00061201" w:rsidRPr="00061201" w:rsidRDefault="00061201" w:rsidP="00061201">
            <w:pPr>
              <w:spacing w:after="0" w:line="240" w:lineRule="auto"/>
              <w:jc w:val="center"/>
              <w:rPr>
                <w:rFonts w:eastAsia="Times New Roman"/>
                <w:color w:val="000000"/>
                <w:sz w:val="16"/>
                <w:szCs w:val="16"/>
              </w:rPr>
            </w:pPr>
            <w:r w:rsidRPr="00061201">
              <w:rPr>
                <w:rFonts w:eastAsia="Times New Roman"/>
                <w:color w:val="000000"/>
                <w:sz w:val="16"/>
                <w:szCs w:val="16"/>
              </w:rPr>
              <w:t>Arsenic</w:t>
            </w:r>
          </w:p>
        </w:tc>
      </w:tr>
      <w:tr w:rsidR="00061201" w:rsidRPr="00061201" w:rsidTr="00206153">
        <w:trPr>
          <w:trHeight w:val="300"/>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201" w:rsidRPr="00061201" w:rsidRDefault="00061201" w:rsidP="00061201">
            <w:pPr>
              <w:spacing w:after="0" w:line="240" w:lineRule="auto"/>
              <w:rPr>
                <w:rFonts w:eastAsia="Times New Roman"/>
                <w:color w:val="000000"/>
                <w:sz w:val="16"/>
                <w:szCs w:val="16"/>
              </w:rPr>
            </w:pPr>
            <w:r w:rsidRPr="00061201">
              <w:rPr>
                <w:rFonts w:eastAsia="Times New Roman"/>
                <w:color w:val="000000"/>
                <w:sz w:val="16"/>
                <w:szCs w:val="16"/>
              </w:rPr>
              <w:t>Yamhill River, North</w:t>
            </w:r>
            <w:r w:rsidR="00243114">
              <w:rPr>
                <w:rFonts w:eastAsia="Times New Roman"/>
                <w:color w:val="000000"/>
                <w:sz w:val="16"/>
                <w:szCs w:val="16"/>
              </w:rPr>
              <w:t xml:space="preserve"> (1)</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061201" w:rsidRPr="00061201" w:rsidRDefault="00061201" w:rsidP="00061201">
            <w:pPr>
              <w:spacing w:after="0" w:line="240" w:lineRule="auto"/>
              <w:jc w:val="center"/>
              <w:rPr>
                <w:rFonts w:eastAsia="Times New Roman"/>
                <w:color w:val="000000"/>
                <w:sz w:val="16"/>
                <w:szCs w:val="16"/>
              </w:rPr>
            </w:pPr>
            <w:r w:rsidRPr="00061201">
              <w:rPr>
                <w:rFonts w:eastAsia="Times New Roman"/>
                <w:color w:val="000000"/>
                <w:sz w:val="16"/>
                <w:szCs w:val="16"/>
              </w:rPr>
              <w:t>Iron, Manganese</w:t>
            </w:r>
          </w:p>
        </w:tc>
      </w:tr>
      <w:tr w:rsidR="00061201" w:rsidRPr="00061201" w:rsidTr="00206153">
        <w:trPr>
          <w:trHeight w:val="300"/>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201" w:rsidRPr="00061201" w:rsidRDefault="00061201" w:rsidP="00061201">
            <w:pPr>
              <w:spacing w:after="0" w:line="240" w:lineRule="auto"/>
              <w:rPr>
                <w:rFonts w:eastAsia="Times New Roman"/>
                <w:color w:val="000000"/>
                <w:sz w:val="16"/>
                <w:szCs w:val="16"/>
              </w:rPr>
            </w:pPr>
            <w:r w:rsidRPr="00061201">
              <w:rPr>
                <w:rFonts w:eastAsia="Times New Roman"/>
                <w:color w:val="000000"/>
                <w:sz w:val="16"/>
                <w:szCs w:val="16"/>
              </w:rPr>
              <w:t>Yamhill River, South</w:t>
            </w:r>
            <w:r w:rsidR="00243114">
              <w:rPr>
                <w:rFonts w:eastAsia="Times New Roman"/>
                <w:color w:val="000000"/>
                <w:sz w:val="16"/>
                <w:szCs w:val="16"/>
              </w:rPr>
              <w:t xml:space="preserve"> (2)</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061201" w:rsidRPr="00061201" w:rsidRDefault="00061201" w:rsidP="00061201">
            <w:pPr>
              <w:spacing w:after="0" w:line="240" w:lineRule="auto"/>
              <w:jc w:val="center"/>
              <w:rPr>
                <w:rFonts w:eastAsia="Times New Roman"/>
                <w:color w:val="000000"/>
                <w:sz w:val="16"/>
                <w:szCs w:val="16"/>
              </w:rPr>
            </w:pPr>
            <w:r w:rsidRPr="00061201">
              <w:rPr>
                <w:rFonts w:eastAsia="Times New Roman"/>
                <w:color w:val="000000"/>
                <w:sz w:val="16"/>
                <w:szCs w:val="16"/>
              </w:rPr>
              <w:t>Iron</w:t>
            </w:r>
          </w:p>
        </w:tc>
      </w:tr>
    </w:tbl>
    <w:p w:rsidR="00061201" w:rsidRPr="00C12F93" w:rsidRDefault="00061201" w:rsidP="00AB7CF7"/>
    <w:p w:rsidR="00AB7CF7" w:rsidRPr="00C12F93" w:rsidRDefault="00AB7CF7" w:rsidP="00AB7CF7"/>
    <w:p w:rsidR="005632BA" w:rsidRDefault="005632BA" w:rsidP="00D44740">
      <w:pPr>
        <w:pStyle w:val="ListParagraph"/>
        <w:spacing w:after="0"/>
        <w:ind w:left="0"/>
        <w:rPr>
          <w:rFonts w:asciiTheme="minorHAnsi" w:hAnsiTheme="minorHAnsi"/>
          <w:b/>
        </w:rPr>
      </w:pPr>
    </w:p>
    <w:p w:rsidR="000574D1" w:rsidRDefault="000574D1" w:rsidP="00D44740">
      <w:pPr>
        <w:pStyle w:val="ListParagraph"/>
        <w:spacing w:after="0"/>
        <w:ind w:left="0"/>
        <w:rPr>
          <w:rFonts w:asciiTheme="minorHAnsi" w:hAnsiTheme="minorHAnsi"/>
          <w:b/>
        </w:rPr>
      </w:pPr>
    </w:p>
    <w:p w:rsidR="00AD012D" w:rsidRPr="006F6684" w:rsidRDefault="00D44740" w:rsidP="00D44740">
      <w:pPr>
        <w:pStyle w:val="ListParagraph"/>
        <w:spacing w:after="0"/>
        <w:ind w:left="0"/>
        <w:rPr>
          <w:rStyle w:val="BookTitle"/>
          <w:sz w:val="28"/>
          <w:szCs w:val="28"/>
        </w:rPr>
      </w:pPr>
      <w:r w:rsidRPr="006F6684">
        <w:rPr>
          <w:rStyle w:val="BookTitle"/>
          <w:sz w:val="28"/>
          <w:szCs w:val="28"/>
        </w:rPr>
        <w:t xml:space="preserve">C.  </w:t>
      </w:r>
      <w:r w:rsidR="00AD012D" w:rsidRPr="006F6684">
        <w:rPr>
          <w:rStyle w:val="BookTitle"/>
          <w:sz w:val="28"/>
          <w:szCs w:val="28"/>
        </w:rPr>
        <w:t>DEQ Recommendation</w:t>
      </w:r>
    </w:p>
    <w:p w:rsidR="00844515" w:rsidRPr="00547165" w:rsidRDefault="00844515" w:rsidP="00D44740">
      <w:pPr>
        <w:pStyle w:val="ListParagraph"/>
        <w:spacing w:after="0"/>
        <w:ind w:left="0"/>
        <w:rPr>
          <w:rFonts w:asciiTheme="minorHAnsi" w:hAnsiTheme="minorHAnsi"/>
          <w:b/>
        </w:rPr>
      </w:pPr>
    </w:p>
    <w:p w:rsidR="00844515" w:rsidRDefault="007745B9" w:rsidP="001D47E8">
      <w:pPr>
        <w:pStyle w:val="ListParagraph"/>
        <w:ind w:left="0"/>
        <w:rPr>
          <w:rFonts w:asciiTheme="minorHAnsi" w:hAnsiTheme="minorHAnsi"/>
        </w:rPr>
      </w:pPr>
      <w:r>
        <w:rPr>
          <w:rFonts w:asciiTheme="minorHAnsi" w:hAnsiTheme="minorHAnsi"/>
        </w:rPr>
        <w:t>Based on the information compiled regarding the potentially affected entities, and the other tools being pursued as part of this rulemaking package, DEQ does not see a compelling case to include a MDV provision within this package</w:t>
      </w:r>
    </w:p>
    <w:p w:rsidR="00844515" w:rsidRDefault="00844515" w:rsidP="001D47E8">
      <w:pPr>
        <w:pStyle w:val="ListParagraph"/>
        <w:ind w:left="0"/>
        <w:rPr>
          <w:rFonts w:asciiTheme="minorHAnsi" w:hAnsiTheme="minorHAnsi"/>
        </w:rPr>
      </w:pPr>
    </w:p>
    <w:p w:rsidR="001A3896" w:rsidRDefault="00D87B28" w:rsidP="001D47E8">
      <w:pPr>
        <w:pStyle w:val="ListParagraph"/>
        <w:ind w:left="0"/>
        <w:rPr>
          <w:rFonts w:asciiTheme="minorHAnsi" w:hAnsiTheme="minorHAnsi"/>
        </w:rPr>
      </w:pPr>
      <w:r>
        <w:rPr>
          <w:rFonts w:asciiTheme="minorHAnsi" w:hAnsiTheme="minorHAnsi"/>
        </w:rPr>
        <w:t xml:space="preserve">Preliminary research by DEQ staff reveals that relatively few facilities </w:t>
      </w:r>
      <w:r w:rsidR="00B04CE1">
        <w:rPr>
          <w:rFonts w:asciiTheme="minorHAnsi" w:hAnsiTheme="minorHAnsi"/>
        </w:rPr>
        <w:t>(</w:t>
      </w:r>
      <w:r w:rsidR="00E0659A" w:rsidRPr="00E0659A">
        <w:rPr>
          <w:rFonts w:asciiTheme="minorHAnsi" w:hAnsiTheme="minorHAnsi"/>
        </w:rPr>
        <w:t>approximately 15</w:t>
      </w:r>
      <w:r w:rsidR="00B04CE1">
        <w:rPr>
          <w:rFonts w:asciiTheme="minorHAnsi" w:hAnsiTheme="minorHAnsi"/>
        </w:rPr>
        <w:t xml:space="preserve">) that discharge to an impaired </w:t>
      </w:r>
      <w:proofErr w:type="spellStart"/>
      <w:r w:rsidR="00B04CE1">
        <w:rPr>
          <w:rFonts w:asciiTheme="minorHAnsi" w:hAnsiTheme="minorHAnsi"/>
        </w:rPr>
        <w:t>waterbody</w:t>
      </w:r>
      <w:proofErr w:type="spellEnd"/>
      <w:r w:rsidR="00B04CE1">
        <w:rPr>
          <w:rFonts w:asciiTheme="minorHAnsi" w:hAnsiTheme="minorHAnsi"/>
        </w:rPr>
        <w:t xml:space="preserve"> for toxics </w:t>
      </w:r>
      <w:r>
        <w:rPr>
          <w:rFonts w:asciiTheme="minorHAnsi" w:hAnsiTheme="minorHAnsi"/>
        </w:rPr>
        <w:t xml:space="preserve">would meet the </w:t>
      </w:r>
      <w:r w:rsidR="00B04CE1">
        <w:rPr>
          <w:rFonts w:asciiTheme="minorHAnsi" w:hAnsiTheme="minorHAnsi"/>
        </w:rPr>
        <w:t xml:space="preserve">MDV </w:t>
      </w:r>
      <w:r>
        <w:rPr>
          <w:rFonts w:asciiTheme="minorHAnsi" w:hAnsiTheme="minorHAnsi"/>
        </w:rPr>
        <w:t xml:space="preserve">criteria as currently drafted.  </w:t>
      </w:r>
      <w:r w:rsidR="00E0659A">
        <w:rPr>
          <w:rFonts w:asciiTheme="minorHAnsi" w:hAnsiTheme="minorHAnsi"/>
        </w:rPr>
        <w:t>Of the 15</w:t>
      </w:r>
      <w:r w:rsidR="00366D0C">
        <w:rPr>
          <w:rFonts w:asciiTheme="minorHAnsi" w:hAnsiTheme="minorHAnsi"/>
        </w:rPr>
        <w:t xml:space="preserve"> facilities, there are 3 industries categorized as major facilities.  The other 12</w:t>
      </w:r>
      <w:r w:rsidR="00E023F7">
        <w:rPr>
          <w:rFonts w:asciiTheme="minorHAnsi" w:hAnsiTheme="minorHAnsi"/>
        </w:rPr>
        <w:t xml:space="preserve"> facilities are categorized as minor facilities </w:t>
      </w:r>
      <w:r w:rsidR="00690E09">
        <w:rPr>
          <w:rFonts w:asciiTheme="minorHAnsi" w:hAnsiTheme="minorHAnsi"/>
        </w:rPr>
        <w:t>which typically have a lower regulatory burden to monitor for toxics, subsequently reducing their potential to detect toxics in the effluent.</w:t>
      </w:r>
    </w:p>
    <w:p w:rsidR="00E023F7" w:rsidRDefault="00E023F7" w:rsidP="001D47E8">
      <w:pPr>
        <w:pStyle w:val="ListParagraph"/>
        <w:ind w:left="0"/>
      </w:pPr>
    </w:p>
    <w:p w:rsidR="009D562B" w:rsidRDefault="00205201" w:rsidP="001D47E8">
      <w:pPr>
        <w:pStyle w:val="ListParagraph"/>
        <w:ind w:left="0"/>
      </w:pPr>
      <w:r>
        <w:t>To date, EPA has only approved MDVs for a single pollutant (i.e. mercury)</w:t>
      </w:r>
      <w:r w:rsidR="000609D4">
        <w:t xml:space="preserve"> in the states of Michigan, Indiana, and Ohio</w:t>
      </w:r>
      <w:r>
        <w:t xml:space="preserve">.  </w:t>
      </w:r>
      <w:r w:rsidR="00A90E9B">
        <w:t>In order for a MDV to be useful</w:t>
      </w:r>
      <w:r w:rsidR="00844515">
        <w:t xml:space="preserve"> as a tool for addressing background concentrations of pollutants in O</w:t>
      </w:r>
      <w:r w:rsidR="00806E03">
        <w:t>regon</w:t>
      </w:r>
      <w:r w:rsidR="00844515">
        <w:t xml:space="preserve">, the provision would need to include </w:t>
      </w:r>
      <w:r w:rsidR="00A90E9B">
        <w:t xml:space="preserve">more than one </w:t>
      </w:r>
      <w:r w:rsidR="006420BE">
        <w:t>pollutant</w:t>
      </w:r>
      <w:r w:rsidR="00844515">
        <w:t xml:space="preserve">.  </w:t>
      </w:r>
      <w:r w:rsidR="00A90E9B">
        <w:t xml:space="preserve"> Although </w:t>
      </w:r>
      <w:r w:rsidR="009D562B">
        <w:t xml:space="preserve">some </w:t>
      </w:r>
      <w:r w:rsidR="00A90E9B">
        <w:t>ambient data have been collected on toxic chemicals, there are not definitive studies to indicate which pollutants should be included within a MDV</w:t>
      </w:r>
      <w:r w:rsidR="009D562B">
        <w:t xml:space="preserve">.  </w:t>
      </w:r>
      <w:r w:rsidR="00806E03">
        <w:t xml:space="preserve">DEQ would need to identify the pollutants that, based on the information available, are most likely to present issues for facilities in this context. </w:t>
      </w:r>
      <w:r>
        <w:t>The most basic analysis co</w:t>
      </w:r>
      <w:r w:rsidR="0095713E">
        <w:t xml:space="preserve">uld identify toxics on the </w:t>
      </w:r>
      <w:r>
        <w:t>current 303(d) list</w:t>
      </w:r>
      <w:r w:rsidR="00A90E9B">
        <w:t xml:space="preserve">, </w:t>
      </w:r>
      <w:r w:rsidR="00806E03">
        <w:t>recognizing this approach may</w:t>
      </w:r>
      <w:r w:rsidR="00A90E9B">
        <w:t xml:space="preserve"> unintentionally exclude future pollutants of concern</w:t>
      </w:r>
      <w:r>
        <w:t xml:space="preserve">.   </w:t>
      </w:r>
    </w:p>
    <w:p w:rsidR="009D562B" w:rsidRDefault="009D562B" w:rsidP="001D47E8">
      <w:pPr>
        <w:pStyle w:val="ListParagraph"/>
        <w:ind w:left="0"/>
      </w:pPr>
    </w:p>
    <w:p w:rsidR="004B6F64" w:rsidRDefault="0095713E" w:rsidP="001D47E8">
      <w:pPr>
        <w:pStyle w:val="ListParagraph"/>
        <w:ind w:left="0"/>
      </w:pPr>
      <w:r>
        <w:t>Discussions to date with EPA</w:t>
      </w:r>
      <w:r w:rsidR="009D562B">
        <w:t xml:space="preserve"> </w:t>
      </w:r>
      <w:r w:rsidR="004B6F64">
        <w:t>indicate that DEQ would need to pro</w:t>
      </w:r>
      <w:r w:rsidR="009D562B">
        <w:t>vide a more robust justification (per 131.10(g</w:t>
      </w:r>
      <w:proofErr w:type="gramStart"/>
      <w:r w:rsidR="009D562B">
        <w:t>)(</w:t>
      </w:r>
      <w:proofErr w:type="gramEnd"/>
      <w:r w:rsidR="009D562B">
        <w:t xml:space="preserve">1) or (3)) that would be equally applicable to any discharger/pollutant combination for which a variance could be issued under this MDV.  </w:t>
      </w:r>
      <w:r w:rsidR="004B6F64">
        <w:t xml:space="preserve"> </w:t>
      </w:r>
      <w:r w:rsidR="00956D18">
        <w:t xml:space="preserve">Other specific details will need to be developed as well. </w:t>
      </w:r>
    </w:p>
    <w:p w:rsidR="008D1388" w:rsidRDefault="008D1388" w:rsidP="001D47E8">
      <w:pPr>
        <w:pStyle w:val="ListParagraph"/>
        <w:ind w:left="0"/>
      </w:pPr>
    </w:p>
    <w:p w:rsidR="008D1388" w:rsidRPr="008D1388" w:rsidRDefault="00806E03" w:rsidP="008D1388">
      <w:pPr>
        <w:pStyle w:val="ListParagraph"/>
        <w:ind w:left="0"/>
      </w:pPr>
      <w:r>
        <w:rPr>
          <w:rFonts w:asciiTheme="minorHAnsi" w:hAnsiTheme="minorHAnsi"/>
        </w:rPr>
        <w:t xml:space="preserve">While DEQ does not recommend incorporating </w:t>
      </w:r>
      <w:r w:rsidR="008D1388" w:rsidRPr="008D1388">
        <w:rPr>
          <w:rFonts w:asciiTheme="minorHAnsi" w:hAnsiTheme="minorHAnsi"/>
        </w:rPr>
        <w:t>a multi</w:t>
      </w:r>
      <w:r w:rsidR="008D1388">
        <w:rPr>
          <w:rFonts w:asciiTheme="minorHAnsi" w:hAnsiTheme="minorHAnsi"/>
        </w:rPr>
        <w:t xml:space="preserve">ple discharger variance </w:t>
      </w:r>
      <w:r>
        <w:rPr>
          <w:rFonts w:asciiTheme="minorHAnsi" w:hAnsiTheme="minorHAnsi"/>
        </w:rPr>
        <w:t xml:space="preserve">to address background pollutants as part of this rulemaking package, DEQ does not rule out exploring this approach further as part of future rulemakings. Over time, </w:t>
      </w:r>
      <w:r w:rsidR="008D1388" w:rsidRPr="008D1388">
        <w:rPr>
          <w:rFonts w:asciiTheme="minorHAnsi" w:hAnsiTheme="minorHAnsi"/>
        </w:rPr>
        <w:t xml:space="preserve">DEQ </w:t>
      </w:r>
      <w:r>
        <w:rPr>
          <w:rFonts w:asciiTheme="minorHAnsi" w:hAnsiTheme="minorHAnsi"/>
        </w:rPr>
        <w:t>will gain knowledge and experience relative to</w:t>
      </w:r>
      <w:r w:rsidR="008D1388" w:rsidRPr="008D1388">
        <w:rPr>
          <w:rFonts w:asciiTheme="minorHAnsi" w:hAnsiTheme="minorHAnsi"/>
        </w:rPr>
        <w:t xml:space="preserve"> ambient and facility data and develop a better understanding of the types and numbers of facilities that could request variances, the pollutants of concern, and the review and approval process.</w:t>
      </w:r>
      <w:r w:rsidR="008D1388">
        <w:rPr>
          <w:rFonts w:asciiTheme="minorHAnsi" w:hAnsiTheme="minorHAnsi"/>
        </w:rPr>
        <w:t xml:space="preserve">  </w:t>
      </w:r>
      <w:r>
        <w:rPr>
          <w:rFonts w:asciiTheme="minorHAnsi" w:hAnsiTheme="minorHAnsi"/>
        </w:rPr>
        <w:t>If warranted, DEQ could develop a</w:t>
      </w:r>
      <w:r w:rsidR="008D1388">
        <w:rPr>
          <w:rFonts w:asciiTheme="minorHAnsi" w:hAnsiTheme="minorHAnsi"/>
        </w:rPr>
        <w:t xml:space="preserve"> MDV based on more specific information</w:t>
      </w:r>
      <w:r w:rsidR="0076790F">
        <w:rPr>
          <w:rFonts w:asciiTheme="minorHAnsi" w:hAnsiTheme="minorHAnsi"/>
        </w:rPr>
        <w:t xml:space="preserve"> at a later date.</w:t>
      </w:r>
      <w:r w:rsidR="008D1388">
        <w:rPr>
          <w:rFonts w:asciiTheme="minorHAnsi" w:hAnsiTheme="minorHAnsi"/>
        </w:rPr>
        <w:t xml:space="preserve">   </w:t>
      </w:r>
    </w:p>
    <w:p w:rsidR="00D44740" w:rsidRPr="00547165" w:rsidRDefault="00D44740" w:rsidP="00D44740">
      <w:pPr>
        <w:pStyle w:val="ListParagraph"/>
        <w:spacing w:after="0"/>
        <w:ind w:left="0"/>
        <w:rPr>
          <w:rFonts w:asciiTheme="minorHAnsi" w:hAnsiTheme="minorHAnsi"/>
          <w:b/>
        </w:rPr>
      </w:pPr>
    </w:p>
    <w:p w:rsidR="00AD012D" w:rsidRPr="006F6684" w:rsidRDefault="00A74AA4" w:rsidP="00AD012D">
      <w:pPr>
        <w:spacing w:after="0"/>
        <w:rPr>
          <w:rStyle w:val="BookTitle"/>
          <w:sz w:val="28"/>
          <w:szCs w:val="28"/>
        </w:rPr>
      </w:pPr>
      <w:r w:rsidRPr="006F6684">
        <w:rPr>
          <w:rStyle w:val="BookTitle"/>
          <w:sz w:val="28"/>
          <w:szCs w:val="28"/>
        </w:rPr>
        <w:t>D.</w:t>
      </w:r>
      <w:r w:rsidR="00AD012D" w:rsidRPr="006F6684">
        <w:rPr>
          <w:rStyle w:val="BookTitle"/>
          <w:sz w:val="28"/>
          <w:szCs w:val="28"/>
        </w:rPr>
        <w:t xml:space="preserve">   </w:t>
      </w:r>
      <w:r w:rsidRPr="006F6684">
        <w:rPr>
          <w:rStyle w:val="BookTitle"/>
          <w:sz w:val="28"/>
          <w:szCs w:val="28"/>
        </w:rPr>
        <w:t>Policy Issues and O</w:t>
      </w:r>
      <w:r w:rsidR="00AD012D" w:rsidRPr="006F6684">
        <w:rPr>
          <w:rStyle w:val="BookTitle"/>
          <w:sz w:val="28"/>
          <w:szCs w:val="28"/>
        </w:rPr>
        <w:t>bjectives</w:t>
      </w:r>
    </w:p>
    <w:p w:rsidR="001D57C8" w:rsidRPr="00547165" w:rsidRDefault="001D57C8" w:rsidP="00AD012D">
      <w:pPr>
        <w:spacing w:after="0"/>
        <w:rPr>
          <w:rFonts w:asciiTheme="minorHAnsi" w:hAnsiTheme="minorHAnsi"/>
        </w:rPr>
      </w:pPr>
    </w:p>
    <w:p w:rsidR="00642603" w:rsidRPr="00547165" w:rsidRDefault="00806E03" w:rsidP="00AD012D">
      <w:pPr>
        <w:spacing w:after="0"/>
        <w:rPr>
          <w:rFonts w:asciiTheme="minorHAnsi" w:hAnsiTheme="minorHAnsi"/>
        </w:rPr>
      </w:pPr>
      <w:r>
        <w:rPr>
          <w:rFonts w:asciiTheme="minorHAnsi" w:hAnsiTheme="minorHAnsi"/>
        </w:rPr>
        <w:t>S</w:t>
      </w:r>
      <w:r w:rsidR="001D57C8" w:rsidRPr="00547165">
        <w:rPr>
          <w:rFonts w:asciiTheme="minorHAnsi" w:hAnsiTheme="minorHAnsi"/>
        </w:rPr>
        <w:t xml:space="preserve">ome dischargers in Oregon will </w:t>
      </w:r>
      <w:r>
        <w:rPr>
          <w:rFonts w:asciiTheme="minorHAnsi" w:hAnsiTheme="minorHAnsi"/>
        </w:rPr>
        <w:t xml:space="preserve">likely </w:t>
      </w:r>
      <w:r w:rsidR="001D57C8" w:rsidRPr="00547165">
        <w:rPr>
          <w:rFonts w:asciiTheme="minorHAnsi" w:hAnsiTheme="minorHAnsi"/>
        </w:rPr>
        <w:t xml:space="preserve">find it difficult to meet more stringent human health criteria and </w:t>
      </w:r>
      <w:r>
        <w:rPr>
          <w:rFonts w:asciiTheme="minorHAnsi" w:hAnsiTheme="minorHAnsi"/>
        </w:rPr>
        <w:t>may</w:t>
      </w:r>
      <w:r w:rsidRPr="00547165">
        <w:rPr>
          <w:rFonts w:asciiTheme="minorHAnsi" w:hAnsiTheme="minorHAnsi"/>
        </w:rPr>
        <w:t xml:space="preserve"> </w:t>
      </w:r>
      <w:r w:rsidR="001D57C8" w:rsidRPr="00547165">
        <w:rPr>
          <w:rFonts w:asciiTheme="minorHAnsi" w:hAnsiTheme="minorHAnsi"/>
        </w:rPr>
        <w:t xml:space="preserve">request variances from meeting water quality standards.  </w:t>
      </w:r>
      <w:r w:rsidR="00642603" w:rsidRPr="00547165">
        <w:rPr>
          <w:rFonts w:asciiTheme="minorHAnsi" w:hAnsiTheme="minorHAnsi"/>
        </w:rPr>
        <w:t xml:space="preserve">Further, </w:t>
      </w:r>
      <w:r w:rsidR="001D57C8" w:rsidRPr="00547165">
        <w:rPr>
          <w:rFonts w:asciiTheme="minorHAnsi" w:hAnsiTheme="minorHAnsi"/>
        </w:rPr>
        <w:t xml:space="preserve">DEQ has identified a situation where a number of facilities may request a variance based on the same applicability factors, as described </w:t>
      </w:r>
      <w:r w:rsidR="003B00FC">
        <w:rPr>
          <w:rFonts w:asciiTheme="minorHAnsi" w:hAnsiTheme="minorHAnsi"/>
        </w:rPr>
        <w:t xml:space="preserve">in section B </w:t>
      </w:r>
      <w:r w:rsidR="001D57C8" w:rsidRPr="00547165">
        <w:rPr>
          <w:rFonts w:asciiTheme="minorHAnsi" w:hAnsiTheme="minorHAnsi"/>
        </w:rPr>
        <w:t xml:space="preserve">above for non-contact cooling facilities.  </w:t>
      </w:r>
      <w:r w:rsidR="00642603" w:rsidRPr="00547165">
        <w:rPr>
          <w:rFonts w:asciiTheme="minorHAnsi" w:hAnsiTheme="minorHAnsi"/>
        </w:rPr>
        <w:t xml:space="preserve">No other scenarios were identified by work group members.   </w:t>
      </w:r>
      <w:r w:rsidR="001D57C8" w:rsidRPr="00547165">
        <w:rPr>
          <w:rFonts w:asciiTheme="minorHAnsi" w:hAnsiTheme="minorHAnsi"/>
        </w:rPr>
        <w:t>DEQ consider</w:t>
      </w:r>
      <w:r>
        <w:rPr>
          <w:rFonts w:asciiTheme="minorHAnsi" w:hAnsiTheme="minorHAnsi"/>
        </w:rPr>
        <w:t>ed</w:t>
      </w:r>
      <w:r w:rsidR="001D57C8" w:rsidRPr="00547165">
        <w:rPr>
          <w:rFonts w:asciiTheme="minorHAnsi" w:hAnsiTheme="minorHAnsi"/>
        </w:rPr>
        <w:t xml:space="preserve"> the inclusion of a MDV as part of its 2011 rulemaking proposal as a way to streamline the variance approval process </w:t>
      </w:r>
      <w:r w:rsidR="0084243E">
        <w:rPr>
          <w:rFonts w:asciiTheme="minorHAnsi" w:hAnsiTheme="minorHAnsi"/>
        </w:rPr>
        <w:t xml:space="preserve">by grouping </w:t>
      </w:r>
      <w:r w:rsidR="001D57C8" w:rsidRPr="00547165">
        <w:rPr>
          <w:rFonts w:asciiTheme="minorHAnsi" w:hAnsiTheme="minorHAnsi"/>
        </w:rPr>
        <w:t>facilities with similar circumstances and rationales</w:t>
      </w:r>
      <w:r w:rsidR="0084243E">
        <w:rPr>
          <w:rFonts w:asciiTheme="minorHAnsi" w:hAnsiTheme="minorHAnsi"/>
        </w:rPr>
        <w:t xml:space="preserve"> under one variance approval process, so that staff would not need to replicate the analysis and process on an individual basis</w:t>
      </w:r>
      <w:r w:rsidR="001D57C8" w:rsidRPr="00547165">
        <w:rPr>
          <w:rFonts w:asciiTheme="minorHAnsi" w:hAnsiTheme="minorHAnsi"/>
        </w:rPr>
        <w:t>.</w:t>
      </w:r>
    </w:p>
    <w:p w:rsidR="00642603" w:rsidRPr="00547165" w:rsidRDefault="00642603" w:rsidP="00AD012D">
      <w:pPr>
        <w:spacing w:after="0"/>
        <w:rPr>
          <w:rFonts w:asciiTheme="minorHAnsi" w:hAnsiTheme="minorHAnsi"/>
        </w:rPr>
      </w:pPr>
    </w:p>
    <w:p w:rsidR="000F690B" w:rsidRPr="00547165" w:rsidRDefault="000F690B" w:rsidP="00AD012D">
      <w:pPr>
        <w:spacing w:after="0"/>
        <w:rPr>
          <w:rFonts w:asciiTheme="minorHAnsi" w:hAnsiTheme="minorHAnsi"/>
        </w:rPr>
      </w:pPr>
      <w:r w:rsidRPr="00547165">
        <w:rPr>
          <w:rFonts w:asciiTheme="minorHAnsi" w:hAnsiTheme="minorHAnsi"/>
        </w:rPr>
        <w:t>There are few states which</w:t>
      </w:r>
      <w:r w:rsidR="00642603" w:rsidRPr="00547165">
        <w:rPr>
          <w:rFonts w:asciiTheme="minorHAnsi" w:hAnsiTheme="minorHAnsi"/>
        </w:rPr>
        <w:t xml:space="preserve"> have </w:t>
      </w:r>
      <w:r w:rsidR="00806E03">
        <w:rPr>
          <w:rFonts w:asciiTheme="minorHAnsi" w:hAnsiTheme="minorHAnsi"/>
        </w:rPr>
        <w:t xml:space="preserve">adopted </w:t>
      </w:r>
      <w:r w:rsidR="003B00FC">
        <w:rPr>
          <w:rFonts w:asciiTheme="minorHAnsi" w:hAnsiTheme="minorHAnsi"/>
        </w:rPr>
        <w:t>provisions for</w:t>
      </w:r>
      <w:r w:rsidR="00642603" w:rsidRPr="00547165">
        <w:rPr>
          <w:rFonts w:asciiTheme="minorHAnsi" w:hAnsiTheme="minorHAnsi"/>
        </w:rPr>
        <w:t xml:space="preserve"> multiple discharger variances</w:t>
      </w:r>
      <w:r w:rsidRPr="00547165">
        <w:rPr>
          <w:rFonts w:asciiTheme="minorHAnsi" w:hAnsiTheme="minorHAnsi"/>
        </w:rPr>
        <w:t xml:space="preserve"> (i.e. </w:t>
      </w:r>
      <w:r w:rsidR="008529EA">
        <w:rPr>
          <w:rFonts w:asciiTheme="minorHAnsi" w:hAnsiTheme="minorHAnsi"/>
        </w:rPr>
        <w:t>MI, OH, and IN</w:t>
      </w:r>
      <w:r w:rsidRPr="00547165">
        <w:rPr>
          <w:rFonts w:asciiTheme="minorHAnsi" w:hAnsiTheme="minorHAnsi"/>
        </w:rPr>
        <w:t>)</w:t>
      </w:r>
      <w:r w:rsidR="00642603" w:rsidRPr="00547165">
        <w:rPr>
          <w:rFonts w:asciiTheme="minorHAnsi" w:hAnsiTheme="minorHAnsi"/>
        </w:rPr>
        <w:t xml:space="preserve">.  States that have </w:t>
      </w:r>
      <w:r w:rsidR="00806E03">
        <w:rPr>
          <w:rFonts w:asciiTheme="minorHAnsi" w:hAnsiTheme="minorHAnsi"/>
        </w:rPr>
        <w:t>adopted</w:t>
      </w:r>
      <w:r w:rsidR="00806E03" w:rsidRPr="00547165">
        <w:rPr>
          <w:rFonts w:asciiTheme="minorHAnsi" w:hAnsiTheme="minorHAnsi"/>
        </w:rPr>
        <w:t xml:space="preserve"> </w:t>
      </w:r>
      <w:proofErr w:type="gramStart"/>
      <w:r w:rsidR="00642603" w:rsidRPr="00547165">
        <w:rPr>
          <w:rFonts w:asciiTheme="minorHAnsi" w:hAnsiTheme="minorHAnsi"/>
        </w:rPr>
        <w:t>MDVs,</w:t>
      </w:r>
      <w:proofErr w:type="gramEnd"/>
      <w:r w:rsidR="00642603" w:rsidRPr="00547165">
        <w:rPr>
          <w:rFonts w:asciiTheme="minorHAnsi" w:hAnsiTheme="minorHAnsi"/>
        </w:rPr>
        <w:t xml:space="preserve"> have</w:t>
      </w:r>
      <w:r w:rsidRPr="00547165">
        <w:rPr>
          <w:rFonts w:asciiTheme="minorHAnsi" w:hAnsiTheme="minorHAnsi"/>
        </w:rPr>
        <w:t xml:space="preserve"> been approved for a single pollutant (e.g. mercury).  Given the wide occurrence of background pollutants and the lack of toxic ambient monitoring data in O</w:t>
      </w:r>
      <w:r w:rsidR="00806E03">
        <w:rPr>
          <w:rFonts w:asciiTheme="minorHAnsi" w:hAnsiTheme="minorHAnsi"/>
        </w:rPr>
        <w:t>regon</w:t>
      </w:r>
      <w:r w:rsidRPr="00547165">
        <w:rPr>
          <w:rFonts w:asciiTheme="minorHAnsi" w:hAnsiTheme="minorHAnsi"/>
        </w:rPr>
        <w:t xml:space="preserve">, the MDV would need to include multiple background pollutants in order to capture potential toxics of future concern and be a useful tool for facilities. </w:t>
      </w:r>
      <w:r w:rsidR="008529EA">
        <w:t>More discussions with EPA are necessary to explore how the inclusion of more than one pollutant could be accomplished within a MDV context.</w:t>
      </w:r>
      <w:r w:rsidRPr="00547165">
        <w:rPr>
          <w:rFonts w:asciiTheme="minorHAnsi" w:hAnsiTheme="minorHAnsi"/>
        </w:rPr>
        <w:t xml:space="preserve"> </w:t>
      </w:r>
    </w:p>
    <w:p w:rsidR="003825B7" w:rsidRPr="00547165" w:rsidRDefault="003825B7" w:rsidP="00AD012D">
      <w:pPr>
        <w:spacing w:after="0"/>
        <w:rPr>
          <w:rFonts w:asciiTheme="minorHAnsi" w:hAnsiTheme="minorHAnsi"/>
        </w:rPr>
      </w:pPr>
    </w:p>
    <w:p w:rsidR="003825B7" w:rsidRPr="00547165" w:rsidRDefault="003825B7" w:rsidP="003825B7">
      <w:pPr>
        <w:rPr>
          <w:rFonts w:asciiTheme="minorHAnsi" w:hAnsiTheme="minorHAnsi"/>
        </w:rPr>
      </w:pPr>
      <w:r w:rsidRPr="00547165">
        <w:rPr>
          <w:rFonts w:asciiTheme="minorHAnsi" w:hAnsiTheme="minorHAnsi"/>
          <w:color w:val="000000"/>
        </w:rPr>
        <w:t xml:space="preserve">A variance may only be granted where there is a demonstration that one of the use removal factors (40 CFR 131.10(g)) has been satisfied.  </w:t>
      </w:r>
      <w:r w:rsidRPr="00547165">
        <w:rPr>
          <w:rFonts w:asciiTheme="minorHAnsi" w:hAnsiTheme="minorHAnsi"/>
        </w:rPr>
        <w:t>The 131.10(g) demonstration for the MDV would rely on either, or a combination, of the following two factors:</w:t>
      </w:r>
    </w:p>
    <w:p w:rsidR="003825B7" w:rsidRPr="00547165" w:rsidRDefault="003825B7" w:rsidP="003825B7">
      <w:pPr>
        <w:ind w:left="360"/>
        <w:rPr>
          <w:rFonts w:asciiTheme="minorHAnsi" w:hAnsiTheme="minorHAnsi"/>
        </w:rPr>
      </w:pPr>
      <w:r w:rsidRPr="00547165">
        <w:rPr>
          <w:rFonts w:asciiTheme="minorHAnsi" w:hAnsiTheme="minorHAnsi"/>
        </w:rPr>
        <w:t xml:space="preserve">(1) </w:t>
      </w:r>
      <w:proofErr w:type="gramStart"/>
      <w:r w:rsidRPr="00547165">
        <w:rPr>
          <w:rFonts w:asciiTheme="minorHAnsi" w:hAnsiTheme="minorHAnsi"/>
        </w:rPr>
        <w:t>naturally</w:t>
      </w:r>
      <w:proofErr w:type="gramEnd"/>
      <w:r w:rsidRPr="00547165">
        <w:rPr>
          <w:rFonts w:asciiTheme="minorHAnsi" w:hAnsiTheme="minorHAnsi"/>
        </w:rPr>
        <w:t xml:space="preserve"> occurring pollutant concentrations prevent the use, and/or </w:t>
      </w:r>
    </w:p>
    <w:p w:rsidR="003825B7" w:rsidRPr="00547165" w:rsidRDefault="003825B7" w:rsidP="003825B7">
      <w:pPr>
        <w:ind w:left="360"/>
        <w:rPr>
          <w:rFonts w:asciiTheme="minorHAnsi" w:hAnsiTheme="minorHAnsi"/>
        </w:rPr>
      </w:pPr>
      <w:r w:rsidRPr="00547165">
        <w:rPr>
          <w:rFonts w:asciiTheme="minorHAnsi" w:hAnsiTheme="minorHAnsi"/>
        </w:rPr>
        <w:t xml:space="preserve">(3) </w:t>
      </w:r>
      <w:proofErr w:type="gramStart"/>
      <w:r w:rsidRPr="00547165">
        <w:rPr>
          <w:rFonts w:asciiTheme="minorHAnsi" w:hAnsiTheme="minorHAnsi"/>
        </w:rPr>
        <w:t>human</w:t>
      </w:r>
      <w:proofErr w:type="gramEnd"/>
      <w:r w:rsidRPr="00547165">
        <w:rPr>
          <w:rFonts w:asciiTheme="minorHAnsi" w:hAnsiTheme="minorHAnsi"/>
        </w:rPr>
        <w:t xml:space="preserve"> caused conditions or sources of pollution prevent the attainment of the  use and cannot be remedied or would cause more environmental damage to correct than to leave in place</w:t>
      </w:r>
    </w:p>
    <w:p w:rsidR="003825B7" w:rsidRPr="00547165" w:rsidRDefault="00D02865" w:rsidP="003825B7">
      <w:pPr>
        <w:rPr>
          <w:rFonts w:asciiTheme="minorHAnsi" w:hAnsiTheme="minorHAnsi"/>
        </w:rPr>
      </w:pPr>
      <w:r w:rsidRPr="00547165">
        <w:rPr>
          <w:rFonts w:asciiTheme="minorHAnsi" w:hAnsiTheme="minorHAnsi"/>
        </w:rPr>
        <w:t>Further discussions with EPA are necessary to determine w</w:t>
      </w:r>
      <w:r w:rsidR="003825B7" w:rsidRPr="00547165">
        <w:rPr>
          <w:rFonts w:asciiTheme="minorHAnsi" w:hAnsiTheme="minorHAnsi"/>
        </w:rPr>
        <w:t>h</w:t>
      </w:r>
      <w:r w:rsidRPr="00547165">
        <w:rPr>
          <w:rFonts w:asciiTheme="minorHAnsi" w:hAnsiTheme="minorHAnsi"/>
        </w:rPr>
        <w:t xml:space="preserve">at supporting information </w:t>
      </w:r>
      <w:r w:rsidR="003825B7" w:rsidRPr="00547165">
        <w:rPr>
          <w:rFonts w:asciiTheme="minorHAnsi" w:hAnsiTheme="minorHAnsi"/>
        </w:rPr>
        <w:t xml:space="preserve">DEQ </w:t>
      </w:r>
      <w:r w:rsidRPr="00547165">
        <w:rPr>
          <w:rFonts w:asciiTheme="minorHAnsi" w:hAnsiTheme="minorHAnsi"/>
        </w:rPr>
        <w:t xml:space="preserve">would </w:t>
      </w:r>
      <w:r w:rsidR="003825B7" w:rsidRPr="00547165">
        <w:rPr>
          <w:rFonts w:asciiTheme="minorHAnsi" w:hAnsiTheme="minorHAnsi"/>
        </w:rPr>
        <w:t xml:space="preserve">need to provide to EPA </w:t>
      </w:r>
      <w:r w:rsidRPr="00547165">
        <w:rPr>
          <w:rFonts w:asciiTheme="minorHAnsi" w:hAnsiTheme="minorHAnsi"/>
        </w:rPr>
        <w:t xml:space="preserve">in order </w:t>
      </w:r>
      <w:r w:rsidR="003825B7" w:rsidRPr="00547165">
        <w:rPr>
          <w:rFonts w:asciiTheme="minorHAnsi" w:hAnsiTheme="minorHAnsi"/>
        </w:rPr>
        <w:t>to support a sin</w:t>
      </w:r>
      <w:r w:rsidRPr="00547165">
        <w:rPr>
          <w:rFonts w:asciiTheme="minorHAnsi" w:hAnsiTheme="minorHAnsi"/>
        </w:rPr>
        <w:t>gle up-front approval action.  For example:</w:t>
      </w:r>
      <w:r w:rsidR="003825B7" w:rsidRPr="00547165">
        <w:rPr>
          <w:rFonts w:asciiTheme="minorHAnsi" w:hAnsiTheme="minorHAnsi"/>
        </w:rPr>
        <w:t xml:space="preserve">  </w:t>
      </w:r>
    </w:p>
    <w:p w:rsidR="00806E03" w:rsidRDefault="00806E03" w:rsidP="00D951F8">
      <w:pPr>
        <w:numPr>
          <w:ilvl w:val="0"/>
          <w:numId w:val="5"/>
        </w:numPr>
        <w:spacing w:after="0" w:line="240" w:lineRule="auto"/>
        <w:rPr>
          <w:rFonts w:asciiTheme="minorHAnsi" w:hAnsiTheme="minorHAnsi"/>
        </w:rPr>
      </w:pPr>
      <w:r>
        <w:rPr>
          <w:rFonts w:asciiTheme="minorHAnsi" w:hAnsiTheme="minorHAnsi"/>
        </w:rPr>
        <w:t>Selection of specific criteria for which the MDV would be applicable</w:t>
      </w:r>
    </w:p>
    <w:p w:rsidR="00D02865" w:rsidRPr="00547165" w:rsidRDefault="003825B7" w:rsidP="00D951F8">
      <w:pPr>
        <w:numPr>
          <w:ilvl w:val="0"/>
          <w:numId w:val="5"/>
        </w:numPr>
        <w:spacing w:after="0" w:line="240" w:lineRule="auto"/>
        <w:rPr>
          <w:rFonts w:asciiTheme="minorHAnsi" w:hAnsiTheme="minorHAnsi"/>
        </w:rPr>
      </w:pPr>
      <w:r w:rsidRPr="00547165">
        <w:rPr>
          <w:rFonts w:asciiTheme="minorHAnsi" w:hAnsiTheme="minorHAnsi"/>
        </w:rPr>
        <w:t xml:space="preserve">A rationale per 131.10(g)(1) and/or (3) that would be equally applicable to any discharger/ pollutant </w:t>
      </w:r>
      <w:r w:rsidR="00D02865" w:rsidRPr="00547165">
        <w:rPr>
          <w:rFonts w:asciiTheme="minorHAnsi" w:hAnsiTheme="minorHAnsi"/>
        </w:rPr>
        <w:t>combination for which a MDV</w:t>
      </w:r>
      <w:r w:rsidRPr="00547165">
        <w:rPr>
          <w:rFonts w:asciiTheme="minorHAnsi" w:hAnsiTheme="minorHAnsi"/>
        </w:rPr>
        <w:t xml:space="preserve"> could b</w:t>
      </w:r>
      <w:r w:rsidR="00D02865" w:rsidRPr="00547165">
        <w:rPr>
          <w:rFonts w:asciiTheme="minorHAnsi" w:hAnsiTheme="minorHAnsi"/>
        </w:rPr>
        <w:t>e issued under the provision</w:t>
      </w:r>
    </w:p>
    <w:p w:rsidR="003825B7" w:rsidRPr="00547165" w:rsidRDefault="00D02865" w:rsidP="00D951F8">
      <w:pPr>
        <w:numPr>
          <w:ilvl w:val="0"/>
          <w:numId w:val="5"/>
        </w:numPr>
        <w:spacing w:after="0" w:line="240" w:lineRule="auto"/>
        <w:rPr>
          <w:rFonts w:asciiTheme="minorHAnsi" w:hAnsiTheme="minorHAnsi"/>
        </w:rPr>
      </w:pPr>
      <w:r w:rsidRPr="00547165">
        <w:rPr>
          <w:rFonts w:asciiTheme="minorHAnsi" w:hAnsiTheme="minorHAnsi"/>
        </w:rPr>
        <w:t xml:space="preserve">A determination that treatment or other </w:t>
      </w:r>
      <w:r w:rsidR="003825B7" w:rsidRPr="00547165">
        <w:rPr>
          <w:rFonts w:asciiTheme="minorHAnsi" w:hAnsiTheme="minorHAnsi"/>
        </w:rPr>
        <w:t xml:space="preserve">alternative options </w:t>
      </w:r>
      <w:r w:rsidRPr="00547165">
        <w:rPr>
          <w:rFonts w:asciiTheme="minorHAnsi" w:hAnsiTheme="minorHAnsi"/>
        </w:rPr>
        <w:t xml:space="preserve">do not </w:t>
      </w:r>
      <w:r w:rsidR="003825B7" w:rsidRPr="00547165">
        <w:rPr>
          <w:rFonts w:asciiTheme="minorHAnsi" w:hAnsiTheme="minorHAnsi"/>
        </w:rPr>
        <w:t>vary</w:t>
      </w:r>
      <w:r w:rsidRPr="00547165">
        <w:rPr>
          <w:rFonts w:asciiTheme="minorHAnsi" w:hAnsiTheme="minorHAnsi"/>
        </w:rPr>
        <w:t xml:space="preserve"> significantly amongst dischargers, and</w:t>
      </w:r>
    </w:p>
    <w:p w:rsidR="003825B7" w:rsidRPr="00547165" w:rsidRDefault="00D02865" w:rsidP="00D951F8">
      <w:pPr>
        <w:numPr>
          <w:ilvl w:val="0"/>
          <w:numId w:val="5"/>
        </w:numPr>
        <w:spacing w:after="0" w:line="240" w:lineRule="auto"/>
        <w:rPr>
          <w:rFonts w:asciiTheme="minorHAnsi" w:hAnsiTheme="minorHAnsi"/>
        </w:rPr>
      </w:pPr>
      <w:r w:rsidRPr="00547165">
        <w:rPr>
          <w:rFonts w:asciiTheme="minorHAnsi" w:hAnsiTheme="minorHAnsi"/>
        </w:rPr>
        <w:t>D</w:t>
      </w:r>
      <w:r w:rsidR="003825B7" w:rsidRPr="00547165">
        <w:rPr>
          <w:rFonts w:asciiTheme="minorHAnsi" w:hAnsiTheme="minorHAnsi"/>
        </w:rPr>
        <w:t xml:space="preserve">etailed information on how DEQ would make its determination as to whether factor 1 and/or 3 </w:t>
      </w:r>
      <w:r w:rsidRPr="00547165">
        <w:rPr>
          <w:rFonts w:asciiTheme="minorHAnsi" w:hAnsiTheme="minorHAnsi"/>
        </w:rPr>
        <w:t>is supported in any given case.  Preliminary discussions with EPA have indicated that factor 3 will be less challenging to support, than the justification for factor 1.</w:t>
      </w:r>
    </w:p>
    <w:p w:rsidR="003825B7" w:rsidRPr="00547165" w:rsidRDefault="003825B7" w:rsidP="00AD012D">
      <w:pPr>
        <w:spacing w:after="0"/>
        <w:rPr>
          <w:rFonts w:asciiTheme="minorHAnsi" w:hAnsiTheme="minorHAnsi"/>
        </w:rPr>
      </w:pPr>
    </w:p>
    <w:p w:rsidR="003825B7" w:rsidRPr="00547165" w:rsidRDefault="00BC7BD4" w:rsidP="00AD012D">
      <w:pPr>
        <w:spacing w:after="0"/>
        <w:rPr>
          <w:rFonts w:asciiTheme="minorHAnsi" w:hAnsiTheme="minorHAnsi"/>
        </w:rPr>
      </w:pPr>
      <w:r w:rsidRPr="00547165">
        <w:rPr>
          <w:rFonts w:asciiTheme="minorHAnsi" w:hAnsiTheme="minorHAnsi"/>
        </w:rPr>
        <w:t xml:space="preserve">Additional issues to discuss with EPA include; interim effluent limits, process for EPA renewal/approval of MDVs, and duration of a MDV. </w:t>
      </w:r>
    </w:p>
    <w:p w:rsidR="000F690B" w:rsidRPr="00547165" w:rsidRDefault="000F690B" w:rsidP="00AD012D">
      <w:pPr>
        <w:spacing w:after="0"/>
        <w:rPr>
          <w:rFonts w:asciiTheme="minorHAnsi" w:hAnsiTheme="minorHAnsi"/>
        </w:rPr>
      </w:pPr>
    </w:p>
    <w:p w:rsidR="0087226F" w:rsidRPr="00547165" w:rsidRDefault="000F690B" w:rsidP="00AD012D">
      <w:pPr>
        <w:spacing w:after="0"/>
        <w:rPr>
          <w:rFonts w:asciiTheme="minorHAnsi" w:hAnsiTheme="minorHAnsi"/>
        </w:rPr>
      </w:pPr>
      <w:r w:rsidRPr="00547165">
        <w:rPr>
          <w:rFonts w:asciiTheme="minorHAnsi" w:hAnsiTheme="minorHAnsi"/>
        </w:rPr>
        <w:t xml:space="preserve"> </w:t>
      </w:r>
      <w:r w:rsidR="00642603" w:rsidRPr="00547165">
        <w:rPr>
          <w:rFonts w:asciiTheme="minorHAnsi" w:hAnsiTheme="minorHAnsi"/>
        </w:rPr>
        <w:t xml:space="preserve">   </w:t>
      </w:r>
      <w:r w:rsidR="001D57C8" w:rsidRPr="00547165">
        <w:rPr>
          <w:rFonts w:asciiTheme="minorHAnsi" w:hAnsiTheme="minorHAnsi"/>
        </w:rPr>
        <w:t xml:space="preserve">  </w:t>
      </w:r>
    </w:p>
    <w:p w:rsidR="00AD012D" w:rsidRPr="006F6684" w:rsidRDefault="00BC7BD4" w:rsidP="00AD012D">
      <w:pPr>
        <w:spacing w:after="0"/>
        <w:rPr>
          <w:rStyle w:val="BookTitle"/>
          <w:sz w:val="28"/>
          <w:szCs w:val="28"/>
        </w:rPr>
      </w:pPr>
      <w:r w:rsidRPr="006F6684">
        <w:rPr>
          <w:rStyle w:val="BookTitle"/>
          <w:sz w:val="28"/>
          <w:szCs w:val="28"/>
        </w:rPr>
        <w:t>E)   Policy E</w:t>
      </w:r>
      <w:r w:rsidR="00AD012D" w:rsidRPr="006F6684">
        <w:rPr>
          <w:rStyle w:val="BookTitle"/>
          <w:sz w:val="28"/>
          <w:szCs w:val="28"/>
        </w:rPr>
        <w:t>valuation</w:t>
      </w:r>
    </w:p>
    <w:p w:rsidR="006F6684" w:rsidRDefault="006F6684" w:rsidP="00AD012D">
      <w:pPr>
        <w:spacing w:after="0"/>
        <w:rPr>
          <w:rFonts w:asciiTheme="minorHAnsi" w:hAnsiTheme="minorHAnsi"/>
          <w:i/>
        </w:rPr>
      </w:pPr>
    </w:p>
    <w:p w:rsidR="00AD012D" w:rsidRPr="006F6684" w:rsidRDefault="001D47E8" w:rsidP="00AD012D">
      <w:pPr>
        <w:spacing w:after="0"/>
        <w:rPr>
          <w:rStyle w:val="IntenseEmphasis"/>
        </w:rPr>
      </w:pPr>
      <w:r w:rsidRPr="006F6684">
        <w:rPr>
          <w:rStyle w:val="IntenseEmphasis"/>
        </w:rPr>
        <w:t>Advantages and D</w:t>
      </w:r>
      <w:r w:rsidR="00AD012D" w:rsidRPr="006F6684">
        <w:rPr>
          <w:rStyle w:val="IntenseEmphasis"/>
        </w:rPr>
        <w:t>isadvantages</w:t>
      </w:r>
    </w:p>
    <w:p w:rsidR="006F6684" w:rsidRDefault="006F6684" w:rsidP="001D47E8">
      <w:pPr>
        <w:rPr>
          <w:rFonts w:asciiTheme="minorHAnsi" w:hAnsiTheme="minorHAnsi"/>
          <w:u w:val="single"/>
        </w:rPr>
      </w:pPr>
    </w:p>
    <w:p w:rsidR="00096F81" w:rsidRDefault="00096F81" w:rsidP="001D47E8">
      <w:pPr>
        <w:rPr>
          <w:rFonts w:asciiTheme="minorHAnsi" w:hAnsiTheme="minorHAnsi"/>
          <w:u w:val="single"/>
        </w:rPr>
      </w:pPr>
    </w:p>
    <w:p w:rsidR="00096F81" w:rsidRDefault="00096F81" w:rsidP="001D47E8">
      <w:pPr>
        <w:rPr>
          <w:rFonts w:asciiTheme="minorHAnsi" w:hAnsiTheme="minorHAnsi"/>
          <w:u w:val="single"/>
        </w:rPr>
      </w:pPr>
    </w:p>
    <w:p w:rsidR="001D47E8" w:rsidRPr="00EC6E0A" w:rsidRDefault="001D47E8" w:rsidP="001D47E8">
      <w:pPr>
        <w:rPr>
          <w:rFonts w:asciiTheme="minorHAnsi" w:hAnsiTheme="minorHAnsi"/>
          <w:u w:val="single"/>
        </w:rPr>
      </w:pPr>
      <w:r w:rsidRPr="00EC6E0A">
        <w:rPr>
          <w:rFonts w:asciiTheme="minorHAnsi" w:hAnsiTheme="minorHAnsi"/>
          <w:u w:val="single"/>
        </w:rPr>
        <w:t>Advantages:</w:t>
      </w:r>
    </w:p>
    <w:p w:rsidR="001D47E8" w:rsidRPr="00EC6E0A" w:rsidRDefault="001D47E8" w:rsidP="00D951F8">
      <w:pPr>
        <w:pStyle w:val="ListParagraph"/>
        <w:numPr>
          <w:ilvl w:val="0"/>
          <w:numId w:val="7"/>
        </w:numPr>
        <w:rPr>
          <w:rFonts w:asciiTheme="minorHAnsi" w:hAnsiTheme="minorHAnsi"/>
        </w:rPr>
      </w:pPr>
      <w:r w:rsidRPr="00EC6E0A">
        <w:rPr>
          <w:rFonts w:asciiTheme="minorHAnsi" w:hAnsiTheme="minorHAnsi"/>
        </w:rPr>
        <w:t>Coul</w:t>
      </w:r>
      <w:r w:rsidR="003B00FC">
        <w:rPr>
          <w:rFonts w:asciiTheme="minorHAnsi" w:hAnsiTheme="minorHAnsi"/>
        </w:rPr>
        <w:t xml:space="preserve">d potentially cover </w:t>
      </w:r>
      <w:r w:rsidRPr="00EC6E0A">
        <w:rPr>
          <w:rFonts w:asciiTheme="minorHAnsi" w:hAnsiTheme="minorHAnsi"/>
        </w:rPr>
        <w:t>facilities that have non-contact cooling concentration issues without issuing individual variances with each permit</w:t>
      </w:r>
      <w:r w:rsidR="003B00FC">
        <w:rPr>
          <w:rFonts w:asciiTheme="minorHAnsi" w:hAnsiTheme="minorHAnsi"/>
        </w:rPr>
        <w:t xml:space="preserve"> which requires separate EPA approval</w:t>
      </w:r>
      <w:r w:rsidRPr="00EC6E0A">
        <w:rPr>
          <w:rFonts w:asciiTheme="minorHAnsi" w:hAnsiTheme="minorHAnsi"/>
        </w:rPr>
        <w:t>, thus streamlining the approval process.</w:t>
      </w:r>
    </w:p>
    <w:p w:rsidR="001D47E8" w:rsidRPr="00EC6E0A" w:rsidRDefault="001D47E8" w:rsidP="00AD012D">
      <w:pPr>
        <w:spacing w:after="0"/>
        <w:rPr>
          <w:rFonts w:asciiTheme="minorHAnsi" w:hAnsiTheme="minorHAnsi"/>
          <w:u w:val="single"/>
        </w:rPr>
      </w:pPr>
      <w:r w:rsidRPr="00EC6E0A">
        <w:rPr>
          <w:rFonts w:asciiTheme="minorHAnsi" w:hAnsiTheme="minorHAnsi"/>
          <w:u w:val="single"/>
        </w:rPr>
        <w:t>Disadvantages:</w:t>
      </w:r>
    </w:p>
    <w:p w:rsidR="001D47E8" w:rsidRPr="00EC6E0A" w:rsidRDefault="001D47E8" w:rsidP="001D47E8">
      <w:pPr>
        <w:ind w:left="720"/>
        <w:rPr>
          <w:rFonts w:asciiTheme="minorHAnsi" w:hAnsiTheme="minorHAnsi"/>
          <w:u w:val="single"/>
        </w:rPr>
      </w:pPr>
    </w:p>
    <w:p w:rsidR="001D47E8" w:rsidRPr="00EC6E0A" w:rsidRDefault="001D47E8" w:rsidP="00D951F8">
      <w:pPr>
        <w:pStyle w:val="ListParagraph"/>
        <w:numPr>
          <w:ilvl w:val="0"/>
          <w:numId w:val="6"/>
        </w:numPr>
        <w:rPr>
          <w:rFonts w:asciiTheme="minorHAnsi" w:hAnsiTheme="minorHAnsi"/>
        </w:rPr>
      </w:pPr>
      <w:r w:rsidRPr="00EC6E0A">
        <w:rPr>
          <w:rFonts w:asciiTheme="minorHAnsi" w:hAnsiTheme="minorHAnsi"/>
        </w:rPr>
        <w:t xml:space="preserve">DEQ will need to provide a more rigorous upfront demonstration of 131.10(g) factors and explore how much variability exists in evaluating alternatives to treatment for non-contact cooling facilities. </w:t>
      </w:r>
    </w:p>
    <w:p w:rsidR="001D47E8" w:rsidRPr="00EC6E0A" w:rsidRDefault="001D47E8" w:rsidP="00D951F8">
      <w:pPr>
        <w:pStyle w:val="ListParagraph"/>
        <w:numPr>
          <w:ilvl w:val="0"/>
          <w:numId w:val="6"/>
        </w:numPr>
        <w:rPr>
          <w:rFonts w:asciiTheme="minorHAnsi" w:hAnsiTheme="minorHAnsi"/>
        </w:rPr>
      </w:pPr>
      <w:r w:rsidRPr="00EC6E0A">
        <w:rPr>
          <w:rFonts w:asciiTheme="minorHAnsi" w:hAnsiTheme="minorHAnsi"/>
        </w:rPr>
        <w:t>Relatively narrow applicability--would not include other water quality issues affecting increased effluent concentrations</w:t>
      </w:r>
      <w:r w:rsidR="00740DB8">
        <w:rPr>
          <w:rFonts w:asciiTheme="minorHAnsi" w:hAnsiTheme="minorHAnsi"/>
        </w:rPr>
        <w:t xml:space="preserve"> for industrial facilities</w:t>
      </w:r>
      <w:r w:rsidRPr="00EC6E0A">
        <w:rPr>
          <w:rFonts w:asciiTheme="minorHAnsi" w:hAnsiTheme="minorHAnsi"/>
        </w:rPr>
        <w:t>.</w:t>
      </w:r>
    </w:p>
    <w:p w:rsidR="006F6684" w:rsidRDefault="006F6684" w:rsidP="00AD012D">
      <w:pPr>
        <w:spacing w:after="0"/>
        <w:rPr>
          <w:rStyle w:val="IntenseEmphasis"/>
        </w:rPr>
      </w:pPr>
    </w:p>
    <w:p w:rsidR="00AD012D" w:rsidRPr="006F6684" w:rsidRDefault="00EB115F" w:rsidP="00AD012D">
      <w:pPr>
        <w:spacing w:after="0"/>
        <w:rPr>
          <w:rStyle w:val="IntenseEmphasis"/>
        </w:rPr>
      </w:pPr>
      <w:r w:rsidRPr="006F6684">
        <w:rPr>
          <w:rStyle w:val="IntenseEmphasis"/>
        </w:rPr>
        <w:t>Alternatives C</w:t>
      </w:r>
      <w:r w:rsidR="00AD012D" w:rsidRPr="006F6684">
        <w:rPr>
          <w:rStyle w:val="IntenseEmphasis"/>
        </w:rPr>
        <w:t>onsidered</w:t>
      </w:r>
    </w:p>
    <w:p w:rsidR="00EB115F" w:rsidRPr="00547165" w:rsidRDefault="00EB115F" w:rsidP="00AD012D">
      <w:pPr>
        <w:spacing w:after="0"/>
        <w:rPr>
          <w:rFonts w:asciiTheme="minorHAnsi" w:hAnsiTheme="minorHAnsi"/>
          <w:i/>
        </w:rPr>
      </w:pPr>
    </w:p>
    <w:p w:rsidR="00C9612F" w:rsidRPr="00C9612F" w:rsidRDefault="00C30E37" w:rsidP="009A2755">
      <w:pPr>
        <w:rPr>
          <w:rStyle w:val="Emphasis"/>
        </w:rPr>
      </w:pPr>
      <w:r w:rsidRPr="00C30E37">
        <w:rPr>
          <w:rStyle w:val="Emphasis"/>
        </w:rPr>
        <w:t>Additional provisions in Variance Rules</w:t>
      </w:r>
    </w:p>
    <w:p w:rsidR="00EB115F" w:rsidRPr="00547165" w:rsidRDefault="00EB115F" w:rsidP="009A2755">
      <w:pPr>
        <w:rPr>
          <w:rFonts w:asciiTheme="minorHAnsi" w:hAnsiTheme="minorHAnsi"/>
          <w:b/>
        </w:rPr>
      </w:pPr>
      <w:r w:rsidRPr="00547165">
        <w:rPr>
          <w:rFonts w:asciiTheme="minorHAnsi" w:hAnsiTheme="minorHAnsi"/>
        </w:rPr>
        <w:t xml:space="preserve">One </w:t>
      </w:r>
      <w:r w:rsidR="009A2755" w:rsidRPr="00547165">
        <w:rPr>
          <w:rFonts w:asciiTheme="minorHAnsi" w:hAnsiTheme="minorHAnsi"/>
        </w:rPr>
        <w:t xml:space="preserve">alternative to a MDV </w:t>
      </w:r>
      <w:r w:rsidRPr="00547165">
        <w:rPr>
          <w:rFonts w:asciiTheme="minorHAnsi" w:hAnsiTheme="minorHAnsi"/>
        </w:rPr>
        <w:t>considered during work group discussions was to develop a separate</w:t>
      </w:r>
      <w:r w:rsidRPr="00547165">
        <w:rPr>
          <w:rFonts w:asciiTheme="minorHAnsi" w:hAnsiTheme="minorHAnsi"/>
          <w:b/>
        </w:rPr>
        <w:t xml:space="preserve"> </w:t>
      </w:r>
      <w:r w:rsidRPr="00547165">
        <w:rPr>
          <w:rFonts w:asciiTheme="minorHAnsi" w:hAnsiTheme="minorHAnsi"/>
        </w:rPr>
        <w:t xml:space="preserve">provision </w:t>
      </w:r>
      <w:r w:rsidR="009A2755" w:rsidRPr="00547165">
        <w:rPr>
          <w:rFonts w:asciiTheme="minorHAnsi" w:hAnsiTheme="minorHAnsi"/>
        </w:rPr>
        <w:t xml:space="preserve">(i.e. “background concentration allowance”) </w:t>
      </w:r>
      <w:r w:rsidR="00740DB8">
        <w:rPr>
          <w:rFonts w:asciiTheme="minorHAnsi" w:hAnsiTheme="minorHAnsi"/>
        </w:rPr>
        <w:t>with</w:t>
      </w:r>
      <w:r w:rsidRPr="00547165">
        <w:rPr>
          <w:rFonts w:asciiTheme="minorHAnsi" w:hAnsiTheme="minorHAnsi"/>
        </w:rPr>
        <w:t xml:space="preserve">in </w:t>
      </w:r>
      <w:r w:rsidR="00740DB8">
        <w:rPr>
          <w:rFonts w:asciiTheme="minorHAnsi" w:hAnsiTheme="minorHAnsi"/>
        </w:rPr>
        <w:t xml:space="preserve">the </w:t>
      </w:r>
      <w:r w:rsidRPr="00547165">
        <w:rPr>
          <w:rFonts w:asciiTheme="minorHAnsi" w:hAnsiTheme="minorHAnsi"/>
        </w:rPr>
        <w:t xml:space="preserve">variance rules which would describe the kinds of information that DEQ expects would lead to granting a variance for facilities that concentrate background pollutants.  </w:t>
      </w:r>
      <w:r w:rsidR="00C9612F" w:rsidRPr="00547165">
        <w:rPr>
          <w:rFonts w:asciiTheme="minorHAnsi" w:hAnsiTheme="minorHAnsi"/>
        </w:rPr>
        <w:t>The objective of this provision would be to facilitate approval for dischargers meeting certain criteria</w:t>
      </w:r>
      <w:r w:rsidR="00C9612F">
        <w:rPr>
          <w:rFonts w:asciiTheme="minorHAnsi" w:hAnsiTheme="minorHAnsi"/>
        </w:rPr>
        <w:t xml:space="preserve"> as well as</w:t>
      </w:r>
      <w:r w:rsidR="00740DB8">
        <w:rPr>
          <w:rFonts w:asciiTheme="minorHAnsi" w:hAnsiTheme="minorHAnsi"/>
        </w:rPr>
        <w:t xml:space="preserve"> to provide more specificity and certainty regarding the kind of information DEQ would expect to receive from facilities and how it would evaluate this information in arriving at the conclusion that a variance was warranted in similar </w:t>
      </w:r>
      <w:r w:rsidR="00C9612F">
        <w:rPr>
          <w:rFonts w:asciiTheme="minorHAnsi" w:hAnsiTheme="minorHAnsi"/>
        </w:rPr>
        <w:t xml:space="preserve">situations. </w:t>
      </w:r>
      <w:r w:rsidRPr="00547165">
        <w:rPr>
          <w:rFonts w:asciiTheme="minorHAnsi" w:hAnsiTheme="minorHAnsi"/>
        </w:rPr>
        <w:t xml:space="preserve">This provision would be applicable to either </w:t>
      </w:r>
      <w:r w:rsidR="00EC6E0A">
        <w:rPr>
          <w:rFonts w:asciiTheme="minorHAnsi" w:hAnsiTheme="minorHAnsi"/>
        </w:rPr>
        <w:t>n</w:t>
      </w:r>
      <w:r w:rsidRPr="00547165">
        <w:rPr>
          <w:rFonts w:asciiTheme="minorHAnsi" w:hAnsiTheme="minorHAnsi"/>
        </w:rPr>
        <w:t>on-contact cooling or contact cooling processes.  Each discharger would provide DEQ with a rationale per 131.10(g</w:t>
      </w:r>
      <w:proofErr w:type="gramStart"/>
      <w:r w:rsidRPr="00547165">
        <w:rPr>
          <w:rFonts w:asciiTheme="minorHAnsi" w:hAnsiTheme="minorHAnsi"/>
        </w:rPr>
        <w:t>)(</w:t>
      </w:r>
      <w:proofErr w:type="gramEnd"/>
      <w:r w:rsidRPr="00547165">
        <w:rPr>
          <w:rFonts w:asciiTheme="minorHAnsi" w:hAnsiTheme="minorHAnsi"/>
        </w:rPr>
        <w:t>1) and/or (3) that would be applicable to its discharge, as well as data and information to show that it meets the rule’s applicability criteria</w:t>
      </w:r>
      <w:r w:rsidR="009A2755" w:rsidRPr="00547165">
        <w:rPr>
          <w:rFonts w:asciiTheme="minorHAnsi" w:hAnsiTheme="minorHAnsi"/>
        </w:rPr>
        <w:t>.  EPA would need to approve each variance request</w:t>
      </w:r>
      <w:r w:rsidRPr="00547165">
        <w:rPr>
          <w:rFonts w:asciiTheme="minorHAnsi" w:hAnsiTheme="minorHAnsi"/>
        </w:rPr>
        <w:t>.</w:t>
      </w:r>
      <w:r w:rsidR="009A2755" w:rsidRPr="00547165">
        <w:rPr>
          <w:rFonts w:asciiTheme="minorHAnsi" w:hAnsiTheme="minorHAnsi"/>
        </w:rPr>
        <w:t xml:space="preserve">  </w:t>
      </w:r>
    </w:p>
    <w:p w:rsidR="00132D0E" w:rsidRDefault="009A2755">
      <w:pPr>
        <w:ind w:firstLine="720"/>
        <w:rPr>
          <w:rFonts w:asciiTheme="minorHAnsi" w:hAnsiTheme="minorHAnsi"/>
          <w:u w:val="single"/>
        </w:rPr>
      </w:pPr>
      <w:r w:rsidRPr="00547165">
        <w:rPr>
          <w:rFonts w:asciiTheme="minorHAnsi" w:hAnsiTheme="minorHAnsi"/>
          <w:u w:val="single"/>
        </w:rPr>
        <w:t>Advantages</w:t>
      </w:r>
      <w:r w:rsidR="00EB115F" w:rsidRPr="00547165">
        <w:rPr>
          <w:rFonts w:asciiTheme="minorHAnsi" w:hAnsiTheme="minorHAnsi"/>
          <w:u w:val="single"/>
        </w:rPr>
        <w:t>:</w:t>
      </w:r>
    </w:p>
    <w:p w:rsidR="00EB115F" w:rsidRPr="00547165" w:rsidRDefault="00EB115F" w:rsidP="00D951F8">
      <w:pPr>
        <w:pStyle w:val="ListParagraph"/>
        <w:numPr>
          <w:ilvl w:val="0"/>
          <w:numId w:val="8"/>
        </w:numPr>
        <w:rPr>
          <w:rFonts w:asciiTheme="minorHAnsi" w:hAnsiTheme="minorHAnsi"/>
        </w:rPr>
      </w:pPr>
      <w:r w:rsidRPr="00547165">
        <w:rPr>
          <w:rFonts w:asciiTheme="minorHAnsi" w:hAnsiTheme="minorHAnsi"/>
        </w:rPr>
        <w:t xml:space="preserve">Could potentially address </w:t>
      </w:r>
      <w:r w:rsidR="00C9612F">
        <w:rPr>
          <w:rFonts w:asciiTheme="minorHAnsi" w:hAnsiTheme="minorHAnsi"/>
        </w:rPr>
        <w:t>a broader set of circumstances</w:t>
      </w:r>
      <w:r w:rsidR="00C9612F" w:rsidRPr="00547165">
        <w:rPr>
          <w:rFonts w:asciiTheme="minorHAnsi" w:hAnsiTheme="minorHAnsi"/>
        </w:rPr>
        <w:t xml:space="preserve"> </w:t>
      </w:r>
      <w:r w:rsidRPr="00547165">
        <w:rPr>
          <w:rFonts w:asciiTheme="minorHAnsi" w:hAnsiTheme="minorHAnsi"/>
        </w:rPr>
        <w:t>than non-contact cooling; could also address facilities that concentrate background pollutants but that come into contact with other process water.</w:t>
      </w:r>
    </w:p>
    <w:p w:rsidR="00EB115F" w:rsidRPr="00547165" w:rsidRDefault="00EB115F" w:rsidP="00D951F8">
      <w:pPr>
        <w:pStyle w:val="ListParagraph"/>
        <w:numPr>
          <w:ilvl w:val="0"/>
          <w:numId w:val="8"/>
        </w:numPr>
        <w:rPr>
          <w:rFonts w:asciiTheme="minorHAnsi" w:hAnsiTheme="minorHAnsi"/>
        </w:rPr>
      </w:pPr>
      <w:r w:rsidRPr="00547165">
        <w:rPr>
          <w:rFonts w:asciiTheme="minorHAnsi" w:hAnsiTheme="minorHAnsi"/>
        </w:rPr>
        <w:t>Provides in rule, additional specificity regarding the kind of information DEQ and EPA would expect to grant/approve a variance</w:t>
      </w:r>
      <w:r w:rsidR="009A2755" w:rsidRPr="00547165">
        <w:rPr>
          <w:rFonts w:asciiTheme="minorHAnsi" w:hAnsiTheme="minorHAnsi"/>
        </w:rPr>
        <w:t>.</w:t>
      </w:r>
    </w:p>
    <w:p w:rsidR="009A2755" w:rsidRPr="00547165" w:rsidRDefault="00EB115F" w:rsidP="00D951F8">
      <w:pPr>
        <w:pStyle w:val="ListParagraph"/>
        <w:numPr>
          <w:ilvl w:val="0"/>
          <w:numId w:val="8"/>
        </w:numPr>
        <w:rPr>
          <w:rFonts w:asciiTheme="minorHAnsi" w:hAnsiTheme="minorHAnsi"/>
        </w:rPr>
      </w:pPr>
      <w:r w:rsidRPr="00547165">
        <w:rPr>
          <w:rFonts w:asciiTheme="minorHAnsi" w:hAnsiTheme="minorHAnsi"/>
        </w:rPr>
        <w:t xml:space="preserve">Would most likely streamline the EPA approval process by providing an upfront </w:t>
      </w:r>
      <w:proofErr w:type="gramStart"/>
      <w:r w:rsidRPr="00547165">
        <w:rPr>
          <w:rFonts w:asciiTheme="minorHAnsi" w:hAnsiTheme="minorHAnsi"/>
        </w:rPr>
        <w:t>rationale.</w:t>
      </w:r>
      <w:proofErr w:type="gramEnd"/>
    </w:p>
    <w:p w:rsidR="009A2755" w:rsidRPr="00547165" w:rsidRDefault="009A2755" w:rsidP="009A2755">
      <w:pPr>
        <w:pStyle w:val="ListParagraph"/>
        <w:ind w:left="0"/>
        <w:rPr>
          <w:rFonts w:asciiTheme="minorHAnsi" w:hAnsiTheme="minorHAnsi"/>
          <w:u w:val="single"/>
        </w:rPr>
      </w:pPr>
    </w:p>
    <w:p w:rsidR="00096F81" w:rsidRDefault="00096F81">
      <w:pPr>
        <w:pStyle w:val="ListParagraph"/>
        <w:ind w:left="0" w:firstLine="720"/>
        <w:rPr>
          <w:rFonts w:asciiTheme="minorHAnsi" w:hAnsiTheme="minorHAnsi"/>
          <w:u w:val="single"/>
        </w:rPr>
      </w:pPr>
    </w:p>
    <w:p w:rsidR="00096F81" w:rsidRDefault="00096F81">
      <w:pPr>
        <w:pStyle w:val="ListParagraph"/>
        <w:ind w:left="0" w:firstLine="720"/>
        <w:rPr>
          <w:rFonts w:asciiTheme="minorHAnsi" w:hAnsiTheme="minorHAnsi"/>
          <w:u w:val="single"/>
        </w:rPr>
      </w:pPr>
    </w:p>
    <w:p w:rsidR="00132D0E" w:rsidRDefault="009A2755">
      <w:pPr>
        <w:pStyle w:val="ListParagraph"/>
        <w:ind w:left="0" w:firstLine="720"/>
        <w:rPr>
          <w:rFonts w:asciiTheme="minorHAnsi" w:hAnsiTheme="minorHAnsi"/>
          <w:u w:val="single"/>
        </w:rPr>
      </w:pPr>
      <w:r w:rsidRPr="00547165">
        <w:rPr>
          <w:rFonts w:asciiTheme="minorHAnsi" w:hAnsiTheme="minorHAnsi"/>
          <w:u w:val="single"/>
        </w:rPr>
        <w:t>Disadvantages</w:t>
      </w:r>
      <w:r w:rsidR="00EB115F" w:rsidRPr="00547165">
        <w:rPr>
          <w:rFonts w:asciiTheme="minorHAnsi" w:hAnsiTheme="minorHAnsi"/>
          <w:u w:val="single"/>
        </w:rPr>
        <w:t>:</w:t>
      </w:r>
    </w:p>
    <w:p w:rsidR="009A2755" w:rsidRPr="00547165" w:rsidRDefault="009A2755" w:rsidP="009A2755">
      <w:pPr>
        <w:pStyle w:val="ListParagraph"/>
        <w:ind w:left="0"/>
        <w:rPr>
          <w:rFonts w:asciiTheme="minorHAnsi" w:hAnsiTheme="minorHAnsi"/>
        </w:rPr>
      </w:pPr>
    </w:p>
    <w:p w:rsidR="00EB115F" w:rsidRPr="00547165" w:rsidRDefault="00EB115F" w:rsidP="00D951F8">
      <w:pPr>
        <w:pStyle w:val="ListParagraph"/>
        <w:numPr>
          <w:ilvl w:val="0"/>
          <w:numId w:val="8"/>
        </w:numPr>
        <w:rPr>
          <w:rFonts w:asciiTheme="minorHAnsi" w:hAnsiTheme="minorHAnsi"/>
        </w:rPr>
      </w:pPr>
      <w:r w:rsidRPr="00547165">
        <w:rPr>
          <w:rFonts w:asciiTheme="minorHAnsi" w:hAnsiTheme="minorHAnsi"/>
        </w:rPr>
        <w:t>Requires EPA review and approval for each variance issued with the permit.</w:t>
      </w:r>
    </w:p>
    <w:p w:rsidR="007A753E" w:rsidRPr="00547165" w:rsidRDefault="007A753E" w:rsidP="007A753E">
      <w:pPr>
        <w:pStyle w:val="ListParagraph"/>
        <w:rPr>
          <w:rFonts w:asciiTheme="minorHAnsi" w:hAnsiTheme="minorHAnsi"/>
        </w:rPr>
      </w:pPr>
    </w:p>
    <w:p w:rsidR="00C9612F" w:rsidRPr="00C9612F" w:rsidRDefault="00C30E37" w:rsidP="007A753E">
      <w:pPr>
        <w:pStyle w:val="ListParagraph"/>
        <w:ind w:left="0"/>
        <w:rPr>
          <w:rStyle w:val="Emphasis"/>
        </w:rPr>
      </w:pPr>
      <w:r w:rsidRPr="00C30E37">
        <w:rPr>
          <w:rStyle w:val="Emphasis"/>
        </w:rPr>
        <w:t>Additional Detail in IMD</w:t>
      </w:r>
    </w:p>
    <w:p w:rsidR="007A753E" w:rsidRPr="00547165" w:rsidRDefault="007A753E" w:rsidP="007A753E">
      <w:pPr>
        <w:pStyle w:val="ListParagraph"/>
        <w:ind w:left="0"/>
        <w:rPr>
          <w:rFonts w:asciiTheme="minorHAnsi" w:hAnsiTheme="minorHAnsi"/>
        </w:rPr>
      </w:pPr>
      <w:r w:rsidRPr="00547165">
        <w:rPr>
          <w:rFonts w:asciiTheme="minorHAnsi" w:hAnsiTheme="minorHAnsi"/>
        </w:rPr>
        <w:t xml:space="preserve">The last option briefly discussed with the work group members </w:t>
      </w:r>
      <w:r w:rsidR="0084243E">
        <w:rPr>
          <w:rFonts w:asciiTheme="minorHAnsi" w:hAnsiTheme="minorHAnsi"/>
        </w:rPr>
        <w:t xml:space="preserve">on </w:t>
      </w:r>
      <w:r w:rsidR="00D70CB9">
        <w:rPr>
          <w:rFonts w:asciiTheme="minorHAnsi" w:hAnsiTheme="minorHAnsi"/>
        </w:rPr>
        <w:t>a</w:t>
      </w:r>
      <w:r w:rsidR="0084243E">
        <w:rPr>
          <w:rFonts w:asciiTheme="minorHAnsi" w:hAnsiTheme="minorHAnsi"/>
        </w:rPr>
        <w:t xml:space="preserve"> </w:t>
      </w:r>
      <w:r w:rsidR="00D70CB9">
        <w:rPr>
          <w:rFonts w:asciiTheme="minorHAnsi" w:hAnsiTheme="minorHAnsi"/>
        </w:rPr>
        <w:t xml:space="preserve">January 15, 2010 conference call </w:t>
      </w:r>
      <w:r w:rsidRPr="00547165">
        <w:rPr>
          <w:rFonts w:asciiTheme="minorHAnsi" w:hAnsiTheme="minorHAnsi"/>
        </w:rPr>
        <w:t xml:space="preserve">was to not include any provisions in the variance provisions addressing background concentration issues.  </w:t>
      </w:r>
      <w:r w:rsidR="00143683" w:rsidRPr="00547165">
        <w:rPr>
          <w:rFonts w:asciiTheme="minorHAnsi" w:hAnsiTheme="minorHAnsi"/>
        </w:rPr>
        <w:t>Instead</w:t>
      </w:r>
      <w:r w:rsidRPr="00547165">
        <w:rPr>
          <w:rFonts w:asciiTheme="minorHAnsi" w:hAnsiTheme="minorHAnsi"/>
        </w:rPr>
        <w:t>, information supporting variances based on background concentration issues could be more explicitly illustrated in an Internal Management Directive to assist permit writers in evaluating variances based on  131.10(g)(1) and/or (3) factors.  This illustration would also, most likely, streamline the EPA approval process.</w:t>
      </w:r>
    </w:p>
    <w:p w:rsidR="007A753E" w:rsidRPr="00547165" w:rsidRDefault="007A753E" w:rsidP="00AD012D">
      <w:pPr>
        <w:spacing w:after="0"/>
        <w:rPr>
          <w:rFonts w:asciiTheme="minorHAnsi" w:hAnsiTheme="minorHAnsi"/>
        </w:rPr>
      </w:pPr>
    </w:p>
    <w:p w:rsidR="00132D0E" w:rsidRDefault="007A753E">
      <w:pPr>
        <w:spacing w:after="0"/>
        <w:ind w:firstLine="720"/>
        <w:rPr>
          <w:rFonts w:asciiTheme="minorHAnsi" w:hAnsiTheme="minorHAnsi"/>
          <w:u w:val="single"/>
        </w:rPr>
      </w:pPr>
      <w:r w:rsidRPr="00EC6E0A">
        <w:rPr>
          <w:rFonts w:asciiTheme="minorHAnsi" w:hAnsiTheme="minorHAnsi"/>
          <w:u w:val="single"/>
        </w:rPr>
        <w:t>Advantages:</w:t>
      </w:r>
    </w:p>
    <w:p w:rsidR="00143683" w:rsidRPr="00EC6E0A" w:rsidRDefault="00143683" w:rsidP="00AD012D">
      <w:pPr>
        <w:spacing w:after="0"/>
        <w:rPr>
          <w:rFonts w:asciiTheme="minorHAnsi" w:hAnsiTheme="minorHAnsi"/>
          <w:u w:val="single"/>
        </w:rPr>
      </w:pPr>
    </w:p>
    <w:p w:rsidR="00143683" w:rsidRPr="00EC6E0A" w:rsidRDefault="00C9612F" w:rsidP="00D951F8">
      <w:pPr>
        <w:pStyle w:val="ListParagraph"/>
        <w:numPr>
          <w:ilvl w:val="0"/>
          <w:numId w:val="9"/>
        </w:numPr>
        <w:rPr>
          <w:rFonts w:asciiTheme="minorHAnsi" w:hAnsiTheme="minorHAnsi"/>
        </w:rPr>
      </w:pPr>
      <w:r>
        <w:rPr>
          <w:rFonts w:asciiTheme="minorHAnsi" w:hAnsiTheme="minorHAnsi"/>
        </w:rPr>
        <w:t xml:space="preserve">DEQ would be able to </w:t>
      </w:r>
      <w:r w:rsidR="00143683" w:rsidRPr="00EC6E0A">
        <w:rPr>
          <w:rFonts w:asciiTheme="minorHAnsi" w:hAnsiTheme="minorHAnsi"/>
        </w:rPr>
        <w:t>further evaluate ambient and facility data and develop a better understanding of the types and numbers of facilities that could request variances, the pollutants of concern, and the review and approval process.</w:t>
      </w:r>
      <w:r>
        <w:rPr>
          <w:rFonts w:asciiTheme="minorHAnsi" w:hAnsiTheme="minorHAnsi"/>
        </w:rPr>
        <w:t xml:space="preserve"> The information contained in the IMD could be adaptive to reflect information and understanding gained over time.</w:t>
      </w:r>
    </w:p>
    <w:p w:rsidR="00132D0E" w:rsidRDefault="00143683">
      <w:pPr>
        <w:spacing w:after="0"/>
        <w:ind w:firstLine="720"/>
        <w:rPr>
          <w:rFonts w:asciiTheme="minorHAnsi" w:hAnsiTheme="minorHAnsi"/>
          <w:u w:val="single"/>
        </w:rPr>
      </w:pPr>
      <w:r w:rsidRPr="00EC6E0A">
        <w:rPr>
          <w:rFonts w:asciiTheme="minorHAnsi" w:hAnsiTheme="minorHAnsi"/>
          <w:u w:val="single"/>
        </w:rPr>
        <w:t>Disadvantage:</w:t>
      </w:r>
    </w:p>
    <w:p w:rsidR="00143683" w:rsidRPr="00EC6E0A" w:rsidRDefault="00143683" w:rsidP="00AD012D">
      <w:pPr>
        <w:spacing w:after="0"/>
        <w:rPr>
          <w:rFonts w:asciiTheme="minorHAnsi" w:hAnsiTheme="minorHAnsi"/>
        </w:rPr>
      </w:pPr>
    </w:p>
    <w:p w:rsidR="00143683" w:rsidRPr="00EC6E0A" w:rsidRDefault="00143683" w:rsidP="00D951F8">
      <w:pPr>
        <w:pStyle w:val="ListParagraph"/>
        <w:numPr>
          <w:ilvl w:val="0"/>
          <w:numId w:val="9"/>
        </w:numPr>
        <w:rPr>
          <w:rFonts w:asciiTheme="minorHAnsi" w:hAnsiTheme="minorHAnsi"/>
        </w:rPr>
      </w:pPr>
      <w:r w:rsidRPr="00EC6E0A">
        <w:rPr>
          <w:rFonts w:asciiTheme="minorHAnsi" w:hAnsiTheme="minorHAnsi"/>
        </w:rPr>
        <w:t>An upfront demonstration rationale</w:t>
      </w:r>
      <w:r w:rsidR="006B13DC" w:rsidRPr="00EC6E0A">
        <w:rPr>
          <w:rFonts w:asciiTheme="minorHAnsi" w:hAnsiTheme="minorHAnsi"/>
        </w:rPr>
        <w:t xml:space="preserve"> for granting variances based on background pollutant concentrations would </w:t>
      </w:r>
      <w:r w:rsidRPr="00EC6E0A">
        <w:rPr>
          <w:rFonts w:asciiTheme="minorHAnsi" w:hAnsiTheme="minorHAnsi"/>
        </w:rPr>
        <w:t xml:space="preserve">not </w:t>
      </w:r>
      <w:r w:rsidR="006B13DC" w:rsidRPr="00EC6E0A">
        <w:rPr>
          <w:rFonts w:asciiTheme="minorHAnsi" w:hAnsiTheme="minorHAnsi"/>
        </w:rPr>
        <w:t xml:space="preserve">be provided </w:t>
      </w:r>
      <w:r w:rsidRPr="00EC6E0A">
        <w:rPr>
          <w:rFonts w:asciiTheme="minorHAnsi" w:hAnsiTheme="minorHAnsi"/>
        </w:rPr>
        <w:t>in rule</w:t>
      </w:r>
      <w:r w:rsidR="006B13DC" w:rsidRPr="00EC6E0A">
        <w:rPr>
          <w:rFonts w:asciiTheme="minorHAnsi" w:hAnsiTheme="minorHAnsi"/>
        </w:rPr>
        <w:t>.</w:t>
      </w:r>
    </w:p>
    <w:p w:rsidR="00143683" w:rsidRPr="00EC6E0A" w:rsidRDefault="00C9612F" w:rsidP="00D951F8">
      <w:pPr>
        <w:pStyle w:val="ListParagraph"/>
        <w:numPr>
          <w:ilvl w:val="0"/>
          <w:numId w:val="9"/>
        </w:numPr>
        <w:rPr>
          <w:rFonts w:asciiTheme="minorHAnsi" w:hAnsiTheme="minorHAnsi"/>
        </w:rPr>
      </w:pPr>
      <w:r>
        <w:rPr>
          <w:rFonts w:asciiTheme="minorHAnsi" w:hAnsiTheme="minorHAnsi"/>
        </w:rPr>
        <w:t>A lack of r</w:t>
      </w:r>
      <w:r w:rsidR="00143683" w:rsidRPr="00EC6E0A">
        <w:rPr>
          <w:rFonts w:asciiTheme="minorHAnsi" w:hAnsiTheme="minorHAnsi"/>
        </w:rPr>
        <w:t xml:space="preserve">ule provisions not specifically </w:t>
      </w:r>
      <w:r>
        <w:rPr>
          <w:rFonts w:asciiTheme="minorHAnsi" w:hAnsiTheme="minorHAnsi"/>
        </w:rPr>
        <w:t>addressing industrial facilities with background pollutant concentration issues</w:t>
      </w:r>
      <w:r w:rsidR="00143683" w:rsidRPr="00EC6E0A">
        <w:rPr>
          <w:rFonts w:asciiTheme="minorHAnsi" w:hAnsiTheme="minorHAnsi"/>
        </w:rPr>
        <w:t xml:space="preserve"> could potentially cause an administrative burden on both discharger and DEQ staff in reviewing and approving variances based on similar situations, such as a non-contact cooling scenario.</w:t>
      </w:r>
      <w:r w:rsidR="00143683" w:rsidRPr="00EC6E0A" w:rsidDel="00ED0EDF">
        <w:rPr>
          <w:rFonts w:asciiTheme="minorHAnsi" w:hAnsiTheme="minorHAnsi"/>
        </w:rPr>
        <w:t xml:space="preserve"> </w:t>
      </w:r>
    </w:p>
    <w:p w:rsidR="00143683" w:rsidRPr="00547165" w:rsidRDefault="00143683" w:rsidP="00AD012D">
      <w:pPr>
        <w:spacing w:after="0"/>
        <w:rPr>
          <w:rFonts w:asciiTheme="minorHAnsi" w:hAnsiTheme="minorHAnsi"/>
        </w:rPr>
      </w:pPr>
    </w:p>
    <w:p w:rsidR="00AD012D" w:rsidRPr="006F6684" w:rsidRDefault="006B13DC" w:rsidP="00AD012D">
      <w:pPr>
        <w:spacing w:after="0"/>
        <w:rPr>
          <w:rStyle w:val="IntenseEmphasis"/>
        </w:rPr>
      </w:pPr>
      <w:r w:rsidRPr="006F6684">
        <w:rPr>
          <w:rStyle w:val="IntenseEmphasis"/>
        </w:rPr>
        <w:t>Summary of RWG Discussion and V</w:t>
      </w:r>
      <w:r w:rsidR="00AD012D" w:rsidRPr="006F6684">
        <w:rPr>
          <w:rStyle w:val="IntenseEmphasis"/>
        </w:rPr>
        <w:t>iews</w:t>
      </w:r>
    </w:p>
    <w:p w:rsidR="006B13DC" w:rsidRPr="00547165" w:rsidRDefault="006B13DC" w:rsidP="00AD012D">
      <w:pPr>
        <w:spacing w:after="0"/>
        <w:rPr>
          <w:rFonts w:asciiTheme="minorHAnsi" w:hAnsiTheme="minorHAnsi"/>
        </w:rPr>
      </w:pPr>
    </w:p>
    <w:p w:rsidR="00297F39" w:rsidRPr="00547165" w:rsidRDefault="006B13DC" w:rsidP="00AD012D">
      <w:pPr>
        <w:spacing w:after="0"/>
        <w:rPr>
          <w:rFonts w:asciiTheme="minorHAnsi" w:hAnsiTheme="minorHAnsi"/>
        </w:rPr>
      </w:pPr>
      <w:r w:rsidRPr="00547165">
        <w:rPr>
          <w:rFonts w:asciiTheme="minorHAnsi" w:hAnsiTheme="minorHAnsi"/>
        </w:rPr>
        <w:t xml:space="preserve">Multiple discharger variances and the alternatives discussed here have been </w:t>
      </w:r>
      <w:r w:rsidR="00C9612F">
        <w:rPr>
          <w:rFonts w:asciiTheme="minorHAnsi" w:hAnsiTheme="minorHAnsi"/>
        </w:rPr>
        <w:t>discussed on several occasions</w:t>
      </w:r>
      <w:r w:rsidRPr="00547165">
        <w:rPr>
          <w:rFonts w:asciiTheme="minorHAnsi" w:hAnsiTheme="minorHAnsi"/>
        </w:rPr>
        <w:t xml:space="preserve"> with work group members</w:t>
      </w:r>
      <w:r w:rsidR="00C9612F">
        <w:rPr>
          <w:rFonts w:asciiTheme="minorHAnsi" w:hAnsiTheme="minorHAnsi"/>
        </w:rPr>
        <w:t xml:space="preserve">, including </w:t>
      </w:r>
      <w:r w:rsidRPr="00547165">
        <w:rPr>
          <w:rFonts w:asciiTheme="minorHAnsi" w:hAnsiTheme="minorHAnsi"/>
        </w:rPr>
        <w:t>at least one work group meeting and a subsequent conference call</w:t>
      </w:r>
      <w:r w:rsidR="00C9612F">
        <w:rPr>
          <w:rFonts w:asciiTheme="minorHAnsi" w:hAnsiTheme="minorHAnsi"/>
        </w:rPr>
        <w:t xml:space="preserve">. Several major areas remain for </w:t>
      </w:r>
      <w:r w:rsidRPr="00547165">
        <w:rPr>
          <w:rFonts w:asciiTheme="minorHAnsi" w:hAnsiTheme="minorHAnsi"/>
        </w:rPr>
        <w:t xml:space="preserve">DEQ staff and stakeholders </w:t>
      </w:r>
      <w:r w:rsidR="00C9612F">
        <w:rPr>
          <w:rFonts w:asciiTheme="minorHAnsi" w:hAnsiTheme="minorHAnsi"/>
        </w:rPr>
        <w:t>to discuss should a multiple discharger variance be included in this rulemaking package</w:t>
      </w:r>
      <w:r w:rsidRPr="00547165">
        <w:rPr>
          <w:rFonts w:asciiTheme="minorHAnsi" w:hAnsiTheme="minorHAnsi"/>
        </w:rPr>
        <w:t xml:space="preserve">.  </w:t>
      </w:r>
    </w:p>
    <w:p w:rsidR="00297F39" w:rsidRPr="00547165" w:rsidRDefault="00297F39" w:rsidP="00AD012D">
      <w:pPr>
        <w:spacing w:after="0"/>
        <w:rPr>
          <w:rFonts w:asciiTheme="minorHAnsi" w:hAnsiTheme="minorHAnsi"/>
        </w:rPr>
      </w:pPr>
    </w:p>
    <w:p w:rsidR="00297F39" w:rsidRPr="00547165" w:rsidRDefault="00C9612F" w:rsidP="00AD012D">
      <w:pPr>
        <w:spacing w:after="0"/>
        <w:rPr>
          <w:rFonts w:asciiTheme="minorHAnsi" w:hAnsiTheme="minorHAnsi"/>
        </w:rPr>
      </w:pPr>
      <w:r>
        <w:rPr>
          <w:rFonts w:asciiTheme="minorHAnsi" w:hAnsiTheme="minorHAnsi"/>
        </w:rPr>
        <w:t>D</w:t>
      </w:r>
      <w:r w:rsidR="006B13DC" w:rsidRPr="00547165">
        <w:rPr>
          <w:rFonts w:asciiTheme="minorHAnsi" w:hAnsiTheme="minorHAnsi"/>
        </w:rPr>
        <w:t xml:space="preserve">iscussions </w:t>
      </w:r>
      <w:r>
        <w:rPr>
          <w:rFonts w:asciiTheme="minorHAnsi" w:hAnsiTheme="minorHAnsi"/>
        </w:rPr>
        <w:t>to date</w:t>
      </w:r>
      <w:r w:rsidR="006B13DC" w:rsidRPr="00547165">
        <w:rPr>
          <w:rFonts w:asciiTheme="minorHAnsi" w:hAnsiTheme="minorHAnsi"/>
        </w:rPr>
        <w:t xml:space="preserve"> indicate some members would not be comfortable with DEQ </w:t>
      </w:r>
      <w:r w:rsidR="000E3C94">
        <w:rPr>
          <w:rFonts w:asciiTheme="minorHAnsi" w:hAnsiTheme="minorHAnsi"/>
        </w:rPr>
        <w:t xml:space="preserve">adopting and </w:t>
      </w:r>
      <w:r w:rsidR="006B13DC" w:rsidRPr="00547165">
        <w:rPr>
          <w:rFonts w:asciiTheme="minorHAnsi" w:hAnsiTheme="minorHAnsi"/>
        </w:rPr>
        <w:t xml:space="preserve">implementing a MDV with the information they have been presented with thus far.  Others have expressed that </w:t>
      </w:r>
      <w:r w:rsidR="00297F39" w:rsidRPr="00547165">
        <w:rPr>
          <w:rFonts w:asciiTheme="minorHAnsi" w:hAnsiTheme="minorHAnsi"/>
        </w:rPr>
        <w:t xml:space="preserve">DEQ should proceed with a MDV </w:t>
      </w:r>
      <w:r w:rsidR="006B13DC" w:rsidRPr="00547165">
        <w:rPr>
          <w:rFonts w:asciiTheme="minorHAnsi" w:hAnsiTheme="minorHAnsi"/>
        </w:rPr>
        <w:t xml:space="preserve">if a MDV would alleviate </w:t>
      </w:r>
      <w:r w:rsidR="00297F39" w:rsidRPr="00547165">
        <w:rPr>
          <w:rFonts w:asciiTheme="minorHAnsi" w:hAnsiTheme="minorHAnsi"/>
        </w:rPr>
        <w:t xml:space="preserve">burdens associated with an individual variance request and approval process.  A few members </w:t>
      </w:r>
      <w:r>
        <w:rPr>
          <w:rFonts w:asciiTheme="minorHAnsi" w:hAnsiTheme="minorHAnsi"/>
        </w:rPr>
        <w:t>stated</w:t>
      </w:r>
      <w:r w:rsidRPr="00547165">
        <w:rPr>
          <w:rFonts w:asciiTheme="minorHAnsi" w:hAnsiTheme="minorHAnsi"/>
        </w:rPr>
        <w:t xml:space="preserve"> </w:t>
      </w:r>
      <w:r w:rsidR="00297F39" w:rsidRPr="00547165">
        <w:rPr>
          <w:rFonts w:asciiTheme="minorHAnsi" w:hAnsiTheme="minorHAnsi"/>
        </w:rPr>
        <w:t>that in absence of a MDV, providing a background concentration allowance in the var</w:t>
      </w:r>
      <w:r w:rsidR="00221F47">
        <w:rPr>
          <w:rFonts w:asciiTheme="minorHAnsi" w:hAnsiTheme="minorHAnsi"/>
        </w:rPr>
        <w:t xml:space="preserve">iance provisions would provide </w:t>
      </w:r>
      <w:r w:rsidR="00297F39" w:rsidRPr="00547165">
        <w:rPr>
          <w:rFonts w:asciiTheme="minorHAnsi" w:hAnsiTheme="minorHAnsi"/>
        </w:rPr>
        <w:t>greater confidence that either DEQ or EPA would approve the variance based on certain background pollutant conditions.</w:t>
      </w:r>
    </w:p>
    <w:p w:rsidR="00297F39" w:rsidRPr="00547165" w:rsidRDefault="00297F39" w:rsidP="00AD012D">
      <w:pPr>
        <w:spacing w:after="0"/>
        <w:rPr>
          <w:rFonts w:asciiTheme="minorHAnsi" w:hAnsiTheme="minorHAnsi"/>
        </w:rPr>
      </w:pPr>
    </w:p>
    <w:p w:rsidR="006B13DC" w:rsidRPr="008927DC" w:rsidRDefault="00297F39" w:rsidP="00AD012D">
      <w:pPr>
        <w:spacing w:after="0"/>
        <w:rPr>
          <w:rFonts w:asciiTheme="minorHAnsi" w:hAnsiTheme="minorHAnsi"/>
        </w:rPr>
      </w:pPr>
      <w:r w:rsidRPr="00547165">
        <w:rPr>
          <w:rFonts w:asciiTheme="minorHAnsi" w:hAnsiTheme="minorHAnsi"/>
        </w:rPr>
        <w:t xml:space="preserve">Future discussions provided here….. </w:t>
      </w:r>
      <w:r w:rsidR="006B13DC" w:rsidRPr="00547165">
        <w:rPr>
          <w:rFonts w:asciiTheme="minorHAnsi" w:hAnsiTheme="minorHAnsi"/>
        </w:rPr>
        <w:t xml:space="preserve">  </w:t>
      </w:r>
    </w:p>
    <w:p w:rsidR="006B13DC" w:rsidRPr="00547165" w:rsidRDefault="006B13DC" w:rsidP="00AD012D">
      <w:pPr>
        <w:spacing w:after="0"/>
        <w:rPr>
          <w:rFonts w:asciiTheme="minorHAnsi" w:hAnsiTheme="minorHAnsi"/>
          <w:i/>
        </w:rPr>
      </w:pPr>
    </w:p>
    <w:p w:rsidR="00AD012D" w:rsidRPr="006F6684" w:rsidRDefault="003C4519" w:rsidP="00AD012D">
      <w:pPr>
        <w:spacing w:after="0"/>
        <w:rPr>
          <w:rStyle w:val="BookTitle"/>
          <w:sz w:val="28"/>
          <w:szCs w:val="28"/>
        </w:rPr>
      </w:pPr>
      <w:r w:rsidRPr="006F6684">
        <w:rPr>
          <w:rStyle w:val="BookTitle"/>
          <w:sz w:val="28"/>
          <w:szCs w:val="28"/>
        </w:rPr>
        <w:t>F.  Proposed Rule L</w:t>
      </w:r>
      <w:r w:rsidR="00AD012D" w:rsidRPr="006F6684">
        <w:rPr>
          <w:rStyle w:val="BookTitle"/>
          <w:sz w:val="28"/>
          <w:szCs w:val="28"/>
        </w:rPr>
        <w:t>anguage</w:t>
      </w:r>
    </w:p>
    <w:p w:rsidR="00C8742D" w:rsidRPr="00547165" w:rsidRDefault="00C8742D" w:rsidP="00AD012D">
      <w:pPr>
        <w:spacing w:after="0"/>
        <w:rPr>
          <w:rFonts w:asciiTheme="minorHAnsi" w:hAnsiTheme="minorHAnsi"/>
        </w:rPr>
      </w:pPr>
    </w:p>
    <w:p w:rsidR="00C8742D" w:rsidRPr="00103CD7" w:rsidRDefault="00C8742D" w:rsidP="00AD012D">
      <w:pPr>
        <w:spacing w:after="0"/>
        <w:rPr>
          <w:rStyle w:val="IntenseEmphasis"/>
        </w:rPr>
      </w:pPr>
      <w:r w:rsidRPr="00103CD7">
        <w:rPr>
          <w:rStyle w:val="IntenseEmphasis"/>
        </w:rPr>
        <w:t xml:space="preserve">Multiple Discharger </w:t>
      </w:r>
      <w:proofErr w:type="gramStart"/>
      <w:r w:rsidRPr="00103CD7">
        <w:rPr>
          <w:rStyle w:val="IntenseEmphasis"/>
        </w:rPr>
        <w:t>Variance</w:t>
      </w:r>
      <w:proofErr w:type="gramEnd"/>
    </w:p>
    <w:p w:rsidR="00C8742D" w:rsidRPr="00547165" w:rsidRDefault="00C8742D" w:rsidP="00C8742D">
      <w:pPr>
        <w:pStyle w:val="NormalWeb"/>
        <w:rPr>
          <w:rFonts w:asciiTheme="minorHAnsi" w:hAnsiTheme="minorHAnsi"/>
          <w:b/>
          <w:bCs/>
        </w:rPr>
      </w:pPr>
      <w:r w:rsidRPr="00547165">
        <w:rPr>
          <w:rFonts w:asciiTheme="minorHAnsi" w:hAnsiTheme="minorHAnsi"/>
          <w:b/>
          <w:bCs/>
        </w:rPr>
        <w:t>340-041-0059</w:t>
      </w:r>
    </w:p>
    <w:p w:rsidR="00C8742D" w:rsidRPr="00547165" w:rsidRDefault="00C8742D" w:rsidP="00C8742D">
      <w:pPr>
        <w:pStyle w:val="NormalWeb"/>
        <w:rPr>
          <w:rFonts w:asciiTheme="minorHAnsi" w:hAnsiTheme="minorHAnsi"/>
          <w:b/>
          <w:bCs/>
        </w:rPr>
      </w:pPr>
      <w:r w:rsidRPr="00547165">
        <w:rPr>
          <w:rFonts w:asciiTheme="minorHAnsi" w:hAnsiTheme="minorHAnsi"/>
          <w:b/>
          <w:bCs/>
        </w:rPr>
        <w:t>Water Quality Variances</w:t>
      </w:r>
    </w:p>
    <w:p w:rsidR="00C8742D" w:rsidRPr="00547165" w:rsidRDefault="00C8742D" w:rsidP="00AD012D">
      <w:pPr>
        <w:spacing w:after="0"/>
        <w:rPr>
          <w:rFonts w:asciiTheme="minorHAnsi" w:hAnsiTheme="minorHAnsi"/>
        </w:rPr>
      </w:pPr>
    </w:p>
    <w:p w:rsidR="00C8742D" w:rsidRPr="00547165" w:rsidRDefault="00C8742D" w:rsidP="00AD012D">
      <w:pPr>
        <w:spacing w:after="0"/>
        <w:rPr>
          <w:rFonts w:asciiTheme="minorHAnsi" w:hAnsiTheme="minorHAnsi"/>
        </w:rPr>
      </w:pPr>
      <w:r w:rsidRPr="00547165">
        <w:rPr>
          <w:rFonts w:asciiTheme="minorHAnsi" w:hAnsiTheme="minorHAnsi"/>
        </w:rPr>
        <w:t xml:space="preserve">[1 – 8] …. This proposed language immediately follows the variance provisions.  Note that this language is the same language work group members </w:t>
      </w:r>
      <w:r w:rsidR="009C160B" w:rsidRPr="00547165">
        <w:rPr>
          <w:rFonts w:asciiTheme="minorHAnsi" w:hAnsiTheme="minorHAnsi"/>
        </w:rPr>
        <w:t>last received</w:t>
      </w:r>
      <w:r w:rsidRPr="00547165">
        <w:rPr>
          <w:rFonts w:asciiTheme="minorHAnsi" w:hAnsiTheme="minorHAnsi"/>
        </w:rPr>
        <w:t>.  If a MDV was to go forward, this language will very likely be modified for clarification purposes, as well as address potential EPA concerns.</w:t>
      </w:r>
    </w:p>
    <w:p w:rsidR="00C8742D" w:rsidRPr="00547165" w:rsidRDefault="00C8742D" w:rsidP="00AD012D">
      <w:pPr>
        <w:spacing w:after="0"/>
        <w:rPr>
          <w:rFonts w:asciiTheme="minorHAnsi" w:hAnsiTheme="minorHAnsi"/>
        </w:rPr>
      </w:pPr>
    </w:p>
    <w:p w:rsidR="00C8742D" w:rsidRPr="00547165" w:rsidRDefault="00C8742D" w:rsidP="00C8742D">
      <w:pPr>
        <w:rPr>
          <w:rFonts w:asciiTheme="minorHAnsi" w:hAnsiTheme="minorHAnsi"/>
          <w:i/>
        </w:rPr>
      </w:pPr>
      <w:r w:rsidRPr="00547165">
        <w:rPr>
          <w:rFonts w:asciiTheme="minorHAnsi" w:hAnsiTheme="minorHAnsi"/>
          <w:i/>
        </w:rPr>
        <w:t xml:space="preserve">(9)  Variances for Multiple Dischargers or Water Bodies.  </w:t>
      </w:r>
    </w:p>
    <w:p w:rsidR="00C8742D" w:rsidRPr="00547165" w:rsidRDefault="00C8742D" w:rsidP="00C8742D">
      <w:pPr>
        <w:ind w:left="720"/>
        <w:rPr>
          <w:rFonts w:asciiTheme="minorHAnsi" w:hAnsiTheme="minorHAnsi"/>
          <w:i/>
        </w:rPr>
      </w:pPr>
      <w:r w:rsidRPr="00547165">
        <w:rPr>
          <w:rFonts w:asciiTheme="minorHAnsi" w:hAnsiTheme="minorHAnsi"/>
          <w:i/>
        </w:rPr>
        <w:t>(a) If the Department determines that a multiple discharger or water body variance is necessary to address widespread water quality standards compliance issues, including the presence of human-caused or naturally high background levels of pollutants in a watershed, the Commission may adopt a variance for multiple dischargers or water bodies through a separate rule provision.</w:t>
      </w:r>
    </w:p>
    <w:p w:rsidR="00C8742D" w:rsidRPr="00547165" w:rsidRDefault="00C8742D" w:rsidP="00C8742D">
      <w:pPr>
        <w:ind w:left="720"/>
        <w:rPr>
          <w:rFonts w:asciiTheme="minorHAnsi" w:hAnsiTheme="minorHAnsi"/>
          <w:i/>
        </w:rPr>
      </w:pPr>
      <w:r w:rsidRPr="00547165">
        <w:rPr>
          <w:rFonts w:asciiTheme="minorHAnsi" w:hAnsiTheme="minorHAnsi"/>
          <w:i/>
        </w:rPr>
        <w:t>(b) Before a multiple discharger or water body variance is adopted, the Department must demonstrate that attaining the water quality standard(s) is not feasible for one of the reasons identified in section (2) of this Rule;</w:t>
      </w:r>
    </w:p>
    <w:p w:rsidR="00C8742D" w:rsidRPr="00547165" w:rsidRDefault="00C8742D" w:rsidP="00C8742D">
      <w:pPr>
        <w:ind w:left="720"/>
        <w:rPr>
          <w:rFonts w:asciiTheme="minorHAnsi" w:hAnsiTheme="minorHAnsi"/>
          <w:i/>
        </w:rPr>
      </w:pPr>
      <w:r w:rsidRPr="00547165">
        <w:rPr>
          <w:rFonts w:asciiTheme="minorHAnsi" w:hAnsiTheme="minorHAnsi"/>
          <w:i/>
        </w:rPr>
        <w:t>(c) A multiple discharger or water body variance must include: the applicability and duration of the variance; the procedures for dischargers to follow in applying for coverage under the variance; any permit conditions necessary to implement the variance; and renewal requirements;</w:t>
      </w:r>
    </w:p>
    <w:p w:rsidR="00C8742D" w:rsidRPr="00547165" w:rsidRDefault="00C8742D" w:rsidP="00C8742D">
      <w:pPr>
        <w:ind w:left="720"/>
        <w:rPr>
          <w:rFonts w:asciiTheme="minorHAnsi" w:hAnsiTheme="minorHAnsi"/>
          <w:i/>
        </w:rPr>
      </w:pPr>
      <w:r w:rsidRPr="00547165">
        <w:rPr>
          <w:rFonts w:asciiTheme="minorHAnsi" w:hAnsiTheme="minorHAnsi"/>
          <w:i/>
        </w:rPr>
        <w:t xml:space="preserve">(d) A multiple discharger or water body variance, as a provision of DEQ’s water quality standards, is not effective until it is approved by EPA.  </w:t>
      </w:r>
    </w:p>
    <w:p w:rsidR="00C8742D" w:rsidRPr="00547165" w:rsidRDefault="00C8742D" w:rsidP="00C8742D">
      <w:pPr>
        <w:rPr>
          <w:rFonts w:asciiTheme="minorHAnsi" w:hAnsiTheme="minorHAnsi"/>
          <w:b/>
          <w:i/>
        </w:rPr>
      </w:pPr>
      <w:r w:rsidRPr="00547165">
        <w:rPr>
          <w:rFonts w:asciiTheme="minorHAnsi" w:hAnsiTheme="minorHAnsi"/>
          <w:b/>
          <w:i/>
        </w:rPr>
        <w:t>Other Implementation of Water Quality Criteria</w:t>
      </w:r>
    </w:p>
    <w:p w:rsidR="00C8742D" w:rsidRPr="00547165" w:rsidRDefault="00C8742D" w:rsidP="00D951F8">
      <w:pPr>
        <w:pStyle w:val="ListParagraph"/>
        <w:numPr>
          <w:ilvl w:val="0"/>
          <w:numId w:val="10"/>
        </w:numPr>
        <w:spacing w:after="0" w:line="240" w:lineRule="auto"/>
        <w:rPr>
          <w:rFonts w:asciiTheme="minorHAnsi" w:hAnsiTheme="minorHAnsi"/>
          <w:i/>
        </w:rPr>
      </w:pPr>
      <w:r w:rsidRPr="00547165">
        <w:rPr>
          <w:rFonts w:asciiTheme="minorHAnsi" w:hAnsiTheme="minorHAnsi"/>
          <w:i/>
        </w:rPr>
        <w:t>……………..</w:t>
      </w:r>
    </w:p>
    <w:p w:rsidR="00C8742D" w:rsidRPr="00547165" w:rsidRDefault="00C8742D" w:rsidP="00C8742D">
      <w:pPr>
        <w:rPr>
          <w:rFonts w:asciiTheme="minorHAnsi" w:hAnsiTheme="minorHAnsi"/>
          <w:i/>
        </w:rPr>
      </w:pPr>
    </w:p>
    <w:p w:rsidR="00C8742D" w:rsidRPr="00547165" w:rsidRDefault="00C8742D" w:rsidP="00C8742D">
      <w:pPr>
        <w:rPr>
          <w:rFonts w:asciiTheme="minorHAnsi" w:hAnsiTheme="minorHAnsi"/>
          <w:i/>
        </w:rPr>
      </w:pPr>
      <w:r w:rsidRPr="00547165">
        <w:rPr>
          <w:rFonts w:asciiTheme="minorHAnsi" w:hAnsiTheme="minorHAnsi"/>
          <w:i/>
        </w:rPr>
        <w:t>[Section 2 below will replace the current variance language]</w:t>
      </w:r>
    </w:p>
    <w:p w:rsidR="00C8742D" w:rsidRPr="00547165" w:rsidRDefault="00C8742D" w:rsidP="00C8742D">
      <w:pPr>
        <w:rPr>
          <w:rFonts w:asciiTheme="minorHAnsi" w:hAnsiTheme="minorHAnsi"/>
          <w:i/>
        </w:rPr>
      </w:pPr>
    </w:p>
    <w:p w:rsidR="00C8742D" w:rsidRPr="00547165" w:rsidRDefault="00C8742D" w:rsidP="00D951F8">
      <w:pPr>
        <w:pStyle w:val="ListParagraph"/>
        <w:numPr>
          <w:ilvl w:val="0"/>
          <w:numId w:val="10"/>
        </w:numPr>
        <w:spacing w:after="0" w:line="240" w:lineRule="auto"/>
        <w:rPr>
          <w:rFonts w:asciiTheme="minorHAnsi" w:hAnsiTheme="minorHAnsi"/>
          <w:i/>
        </w:rPr>
      </w:pPr>
      <w:r w:rsidRPr="00EC6E0A">
        <w:rPr>
          <w:rFonts w:asciiTheme="minorHAnsi" w:hAnsiTheme="minorHAnsi"/>
          <w:i/>
        </w:rPr>
        <w:t xml:space="preserve">Multiple Discharger </w:t>
      </w:r>
      <w:proofErr w:type="gramStart"/>
      <w:r w:rsidRPr="00EC6E0A">
        <w:rPr>
          <w:rFonts w:asciiTheme="minorHAnsi" w:hAnsiTheme="minorHAnsi"/>
          <w:i/>
        </w:rPr>
        <w:t>Variance</w:t>
      </w:r>
      <w:proofErr w:type="gramEnd"/>
      <w:r w:rsidRPr="00EC6E0A">
        <w:rPr>
          <w:rFonts w:asciiTheme="minorHAnsi" w:hAnsiTheme="minorHAnsi"/>
          <w:i/>
        </w:rPr>
        <w:t xml:space="preserve"> for Non-Contact Cooling Facilities.</w:t>
      </w:r>
      <w:r w:rsidRPr="00547165">
        <w:rPr>
          <w:rFonts w:asciiTheme="minorHAnsi" w:hAnsiTheme="minorHAnsi"/>
          <w:i/>
        </w:rPr>
        <w:t xml:space="preserve">  With the adoption of this rule, the Commission determines that </w:t>
      </w:r>
      <w:proofErr w:type="spellStart"/>
      <w:r w:rsidRPr="00547165">
        <w:rPr>
          <w:rFonts w:asciiTheme="minorHAnsi" w:hAnsiTheme="minorHAnsi"/>
          <w:i/>
        </w:rPr>
        <w:t>permittees</w:t>
      </w:r>
      <w:proofErr w:type="spellEnd"/>
      <w:r w:rsidRPr="00547165">
        <w:rPr>
          <w:rFonts w:asciiTheme="minorHAnsi" w:hAnsiTheme="minorHAnsi"/>
          <w:i/>
        </w:rPr>
        <w:t xml:space="preserve"> which use multiple pass cooling and cannot meet the water quality toxic criteria for human health due to either natural or human-caused pollutants which already exceed water quality criteria in a </w:t>
      </w:r>
      <w:proofErr w:type="spellStart"/>
      <w:r w:rsidRPr="00547165">
        <w:rPr>
          <w:rFonts w:asciiTheme="minorHAnsi" w:hAnsiTheme="minorHAnsi"/>
          <w:i/>
        </w:rPr>
        <w:t>waterbody</w:t>
      </w:r>
      <w:proofErr w:type="spellEnd"/>
      <w:r w:rsidRPr="00547165">
        <w:rPr>
          <w:rFonts w:asciiTheme="minorHAnsi" w:hAnsiTheme="minorHAnsi"/>
          <w:i/>
        </w:rPr>
        <w:t xml:space="preserve"> will not be required to meet calculated water quality-based effluent limits. For purposes of this section, “multiple pass cooling water” means water used for cooling that does not come into direct contact with any raw material, intermediate product, final product or waste product, not including additives, and makes at least two passes for the purpose of removing waste heat. The alternative requirements and information required to be submitted by the </w:t>
      </w:r>
      <w:proofErr w:type="spellStart"/>
      <w:r w:rsidRPr="00547165">
        <w:rPr>
          <w:rFonts w:asciiTheme="minorHAnsi" w:hAnsiTheme="minorHAnsi"/>
          <w:i/>
        </w:rPr>
        <w:t>permittee</w:t>
      </w:r>
      <w:proofErr w:type="spellEnd"/>
      <w:r w:rsidRPr="00547165">
        <w:rPr>
          <w:rFonts w:asciiTheme="minorHAnsi" w:hAnsiTheme="minorHAnsi"/>
          <w:i/>
        </w:rPr>
        <w:t xml:space="preserve"> are described in the following subsections.</w:t>
      </w:r>
    </w:p>
    <w:p w:rsidR="00C8742D" w:rsidRPr="00547165" w:rsidRDefault="00C8742D" w:rsidP="00C8742D">
      <w:pPr>
        <w:pStyle w:val="ListParagraph"/>
        <w:ind w:left="390"/>
        <w:rPr>
          <w:rFonts w:asciiTheme="minorHAnsi" w:hAnsiTheme="minorHAnsi"/>
          <w:i/>
        </w:rPr>
      </w:pPr>
    </w:p>
    <w:p w:rsidR="00C8742D" w:rsidRPr="00547165" w:rsidRDefault="00C8742D" w:rsidP="00D951F8">
      <w:pPr>
        <w:pStyle w:val="ListParagraph"/>
        <w:numPr>
          <w:ilvl w:val="0"/>
          <w:numId w:val="11"/>
        </w:numPr>
        <w:spacing w:after="0" w:line="240" w:lineRule="auto"/>
        <w:rPr>
          <w:rFonts w:asciiTheme="minorHAnsi" w:hAnsiTheme="minorHAnsi"/>
          <w:i/>
        </w:rPr>
      </w:pPr>
      <w:r w:rsidRPr="00547165">
        <w:rPr>
          <w:rFonts w:asciiTheme="minorHAnsi" w:hAnsiTheme="minorHAnsi"/>
          <w:i/>
        </w:rPr>
        <w:t xml:space="preserve">Findings of the Commission. </w:t>
      </w:r>
    </w:p>
    <w:p w:rsidR="00C8742D" w:rsidRPr="00547165" w:rsidRDefault="00C8742D" w:rsidP="00C8742D">
      <w:pPr>
        <w:pStyle w:val="ListParagraph"/>
        <w:ind w:left="1080"/>
        <w:rPr>
          <w:rFonts w:asciiTheme="minorHAnsi" w:hAnsiTheme="minorHAnsi"/>
          <w:i/>
        </w:rPr>
      </w:pPr>
    </w:p>
    <w:p w:rsidR="00C8742D" w:rsidRPr="00547165" w:rsidRDefault="00C8742D" w:rsidP="00D951F8">
      <w:pPr>
        <w:pStyle w:val="ListParagraph"/>
        <w:numPr>
          <w:ilvl w:val="0"/>
          <w:numId w:val="12"/>
        </w:numPr>
        <w:spacing w:after="0" w:line="240" w:lineRule="auto"/>
        <w:rPr>
          <w:rFonts w:asciiTheme="minorHAnsi" w:hAnsiTheme="minorHAnsi"/>
          <w:i/>
        </w:rPr>
      </w:pPr>
      <w:r w:rsidRPr="00547165">
        <w:rPr>
          <w:rFonts w:asciiTheme="minorHAnsi" w:hAnsiTheme="minorHAnsi"/>
          <w:i/>
        </w:rPr>
        <w:t>The Commission finds that where pollutant levels exceed human health criteria and are of natural origin, and where those pollutants are in the facility’s intake water, and the facility uses a non-contact multiple pass cooling system, that the naturally-occurring pollutant levels result in the facility being unable to meet the applicable water quality standards addressing human health toxic pollutants. Further, the Commission finds that remedying these naturally-occurring pollutants would result in unwarranted environmental impact on other water quality standards parameters, including temperature, and could adversely impact water quantity.</w:t>
      </w:r>
    </w:p>
    <w:p w:rsidR="00C8742D" w:rsidRPr="00547165" w:rsidRDefault="00C8742D" w:rsidP="00C8742D">
      <w:pPr>
        <w:pStyle w:val="ListParagraph"/>
        <w:ind w:left="2160"/>
        <w:rPr>
          <w:rFonts w:asciiTheme="minorHAnsi" w:hAnsiTheme="minorHAnsi"/>
          <w:i/>
        </w:rPr>
      </w:pPr>
    </w:p>
    <w:p w:rsidR="00C8742D" w:rsidRPr="00547165" w:rsidRDefault="00C8742D" w:rsidP="00D951F8">
      <w:pPr>
        <w:pStyle w:val="ListParagraph"/>
        <w:numPr>
          <w:ilvl w:val="0"/>
          <w:numId w:val="12"/>
        </w:numPr>
        <w:spacing w:after="0" w:line="240" w:lineRule="auto"/>
        <w:rPr>
          <w:rFonts w:asciiTheme="minorHAnsi" w:hAnsiTheme="minorHAnsi"/>
          <w:i/>
        </w:rPr>
      </w:pPr>
      <w:r w:rsidRPr="00547165">
        <w:rPr>
          <w:rFonts w:asciiTheme="minorHAnsi" w:hAnsiTheme="minorHAnsi"/>
          <w:i/>
        </w:rPr>
        <w:t>The Commission finds that where pollutant levels exceed human health criteria and are of human origin, and where those pollutants are in the facility’s intake water, and the facility uses a non-contact multiple pass cooling system, that the anthropogenic pollutant levels result in the facility being unable to meet the applicable water quality standards addressing human health toxic pollutants. Further, the Commission finds that remedying these pollutants of human origin would result in unwarranted environmental impact on other water quality standards parameters, including temperature, and could adversely impact water quantity.</w:t>
      </w:r>
    </w:p>
    <w:p w:rsidR="00C8742D" w:rsidRPr="00547165" w:rsidRDefault="00C8742D" w:rsidP="00C8742D">
      <w:pPr>
        <w:rPr>
          <w:rFonts w:asciiTheme="minorHAnsi" w:hAnsiTheme="minorHAnsi"/>
          <w:i/>
        </w:rPr>
      </w:pPr>
    </w:p>
    <w:p w:rsidR="00C8742D" w:rsidRPr="00547165" w:rsidRDefault="00C8742D" w:rsidP="00D951F8">
      <w:pPr>
        <w:pStyle w:val="ListParagraph"/>
        <w:numPr>
          <w:ilvl w:val="0"/>
          <w:numId w:val="12"/>
        </w:numPr>
        <w:spacing w:after="0" w:line="240" w:lineRule="auto"/>
        <w:rPr>
          <w:rFonts w:asciiTheme="minorHAnsi" w:hAnsiTheme="minorHAnsi"/>
          <w:i/>
        </w:rPr>
      </w:pPr>
      <w:r w:rsidRPr="00547165">
        <w:rPr>
          <w:rFonts w:asciiTheme="minorHAnsi" w:hAnsiTheme="minorHAnsi"/>
          <w:i/>
        </w:rPr>
        <w:t xml:space="preserve">Conditions to Grant a Background Concentration Allowance.  </w:t>
      </w:r>
      <w:proofErr w:type="spellStart"/>
      <w:r w:rsidRPr="00547165">
        <w:rPr>
          <w:rFonts w:asciiTheme="minorHAnsi" w:hAnsiTheme="minorHAnsi"/>
          <w:i/>
        </w:rPr>
        <w:t>Permittees</w:t>
      </w:r>
      <w:proofErr w:type="spellEnd"/>
      <w:r w:rsidRPr="00547165">
        <w:rPr>
          <w:rFonts w:asciiTheme="minorHAnsi" w:hAnsiTheme="minorHAnsi"/>
          <w:i/>
        </w:rPr>
        <w:t xml:space="preserve"> will be covered under this provision and the conditions and requirements described in this section will be included in their NPDES permit where the following conditions exist;</w:t>
      </w:r>
    </w:p>
    <w:p w:rsidR="00C8742D" w:rsidRPr="00547165" w:rsidRDefault="00C8742D" w:rsidP="00C8742D">
      <w:pPr>
        <w:rPr>
          <w:rFonts w:asciiTheme="minorHAnsi" w:hAnsiTheme="minorHAnsi"/>
          <w:i/>
        </w:rPr>
      </w:pPr>
    </w:p>
    <w:p w:rsidR="00C8742D" w:rsidRPr="00547165" w:rsidRDefault="00C8742D" w:rsidP="00D951F8">
      <w:pPr>
        <w:pStyle w:val="ListParagraph"/>
        <w:numPr>
          <w:ilvl w:val="0"/>
          <w:numId w:val="13"/>
        </w:numPr>
        <w:spacing w:after="0" w:line="240" w:lineRule="auto"/>
        <w:rPr>
          <w:rFonts w:asciiTheme="minorHAnsi" w:hAnsiTheme="minorHAnsi"/>
          <w:i/>
        </w:rPr>
      </w:pPr>
      <w:r w:rsidRPr="00547165">
        <w:rPr>
          <w:rFonts w:asciiTheme="minorHAnsi" w:hAnsiTheme="minorHAnsi"/>
          <w:i/>
        </w:rPr>
        <w:t>The mass of the pollutant in the discharge does not exceed the mass that is attributable to the pollutant in the facility’s intake water;</w:t>
      </w:r>
    </w:p>
    <w:p w:rsidR="00C8742D" w:rsidRPr="00547165" w:rsidRDefault="00C8742D" w:rsidP="00C8742D">
      <w:pPr>
        <w:pStyle w:val="ListParagraph"/>
        <w:ind w:left="3240"/>
        <w:rPr>
          <w:rFonts w:asciiTheme="minorHAnsi" w:hAnsiTheme="minorHAnsi"/>
          <w:i/>
        </w:rPr>
      </w:pPr>
      <w:r w:rsidRPr="00547165">
        <w:rPr>
          <w:rFonts w:asciiTheme="minorHAnsi" w:hAnsiTheme="minorHAnsi"/>
          <w:i/>
        </w:rPr>
        <w:t xml:space="preserve"> </w:t>
      </w:r>
    </w:p>
    <w:p w:rsidR="00C8742D" w:rsidRPr="00547165" w:rsidRDefault="00C8742D" w:rsidP="00D951F8">
      <w:pPr>
        <w:pStyle w:val="ListParagraph"/>
        <w:numPr>
          <w:ilvl w:val="0"/>
          <w:numId w:val="13"/>
        </w:numPr>
        <w:spacing w:after="0" w:line="240" w:lineRule="auto"/>
        <w:rPr>
          <w:rFonts w:asciiTheme="minorHAnsi" w:hAnsiTheme="minorHAnsi"/>
          <w:i/>
        </w:rPr>
      </w:pPr>
      <w:r w:rsidRPr="00547165">
        <w:rPr>
          <w:rFonts w:asciiTheme="minorHAnsi" w:hAnsiTheme="minorHAnsi"/>
          <w:i/>
        </w:rPr>
        <w:t xml:space="preserve">The increase in the pollutant’s concentration after complete mixing with the </w:t>
      </w:r>
      <w:proofErr w:type="spellStart"/>
      <w:r w:rsidRPr="00547165">
        <w:rPr>
          <w:rFonts w:asciiTheme="minorHAnsi" w:hAnsiTheme="minorHAnsi"/>
          <w:i/>
        </w:rPr>
        <w:t>waterbody</w:t>
      </w:r>
      <w:proofErr w:type="spellEnd"/>
      <w:r w:rsidRPr="00547165">
        <w:rPr>
          <w:rFonts w:asciiTheme="minorHAnsi" w:hAnsiTheme="minorHAnsi"/>
          <w:i/>
        </w:rPr>
        <w:t xml:space="preserve"> does not significantly increase the concentration in the </w:t>
      </w:r>
      <w:proofErr w:type="spellStart"/>
      <w:r w:rsidRPr="00547165">
        <w:rPr>
          <w:rFonts w:asciiTheme="minorHAnsi" w:hAnsiTheme="minorHAnsi"/>
          <w:i/>
        </w:rPr>
        <w:t>waterbody</w:t>
      </w:r>
      <w:proofErr w:type="spellEnd"/>
      <w:r w:rsidRPr="00547165">
        <w:rPr>
          <w:rFonts w:asciiTheme="minorHAnsi" w:hAnsiTheme="minorHAnsi"/>
          <w:i/>
        </w:rPr>
        <w:t xml:space="preserve">; </w:t>
      </w:r>
    </w:p>
    <w:p w:rsidR="00C8742D" w:rsidRPr="00547165" w:rsidRDefault="00C8742D" w:rsidP="00C8742D">
      <w:pPr>
        <w:pStyle w:val="ListParagraph"/>
        <w:spacing w:after="0" w:line="240" w:lineRule="auto"/>
        <w:ind w:left="0"/>
        <w:rPr>
          <w:rFonts w:asciiTheme="minorHAnsi" w:hAnsiTheme="minorHAnsi"/>
          <w:i/>
        </w:rPr>
      </w:pPr>
    </w:p>
    <w:p w:rsidR="00C8742D" w:rsidRPr="00547165" w:rsidRDefault="00C8742D" w:rsidP="00C8742D">
      <w:pPr>
        <w:pStyle w:val="ListParagraph"/>
        <w:spacing w:after="0" w:line="240" w:lineRule="auto"/>
        <w:ind w:left="2520"/>
        <w:rPr>
          <w:rFonts w:asciiTheme="minorHAnsi" w:hAnsiTheme="minorHAnsi"/>
          <w:i/>
        </w:rPr>
      </w:pPr>
    </w:p>
    <w:p w:rsidR="00C8742D" w:rsidRPr="00547165" w:rsidRDefault="00C8742D" w:rsidP="00D951F8">
      <w:pPr>
        <w:pStyle w:val="ListParagraph"/>
        <w:numPr>
          <w:ilvl w:val="0"/>
          <w:numId w:val="13"/>
        </w:numPr>
        <w:spacing w:after="0" w:line="240" w:lineRule="auto"/>
        <w:rPr>
          <w:rFonts w:asciiTheme="minorHAnsi" w:hAnsiTheme="minorHAnsi"/>
          <w:i/>
        </w:rPr>
      </w:pPr>
      <w:r w:rsidRPr="00547165">
        <w:rPr>
          <w:rFonts w:asciiTheme="minorHAnsi" w:hAnsiTheme="minorHAnsi"/>
          <w:i/>
        </w:rPr>
        <w:t>Remedies to reduce the pollutant of concern would cause more environmental damage to correct than to leave in place; and</w:t>
      </w:r>
    </w:p>
    <w:p w:rsidR="00C8742D" w:rsidRPr="00547165" w:rsidRDefault="00C8742D" w:rsidP="00C8742D">
      <w:pPr>
        <w:rPr>
          <w:rFonts w:asciiTheme="minorHAnsi" w:hAnsiTheme="minorHAnsi"/>
          <w:i/>
        </w:rPr>
      </w:pPr>
    </w:p>
    <w:p w:rsidR="00C8742D" w:rsidRPr="00547165" w:rsidRDefault="00C8742D" w:rsidP="00D951F8">
      <w:pPr>
        <w:pStyle w:val="ListParagraph"/>
        <w:numPr>
          <w:ilvl w:val="0"/>
          <w:numId w:val="13"/>
        </w:numPr>
        <w:spacing w:after="0" w:line="240" w:lineRule="auto"/>
        <w:rPr>
          <w:rFonts w:asciiTheme="minorHAnsi" w:hAnsiTheme="minorHAnsi"/>
          <w:i/>
        </w:rPr>
      </w:pPr>
      <w:r w:rsidRPr="00547165">
        <w:rPr>
          <w:rFonts w:asciiTheme="minorHAnsi" w:hAnsiTheme="minorHAnsi"/>
          <w:i/>
        </w:rPr>
        <w:t xml:space="preserve">The pollutant's concentration after mixing with the </w:t>
      </w:r>
      <w:proofErr w:type="spellStart"/>
      <w:r w:rsidRPr="00547165">
        <w:rPr>
          <w:rFonts w:asciiTheme="minorHAnsi" w:hAnsiTheme="minorHAnsi"/>
          <w:i/>
        </w:rPr>
        <w:t>waterbody</w:t>
      </w:r>
      <w:proofErr w:type="spellEnd"/>
      <w:r w:rsidRPr="00547165">
        <w:rPr>
          <w:rFonts w:asciiTheme="minorHAnsi" w:hAnsiTheme="minorHAnsi"/>
          <w:i/>
        </w:rPr>
        <w:t xml:space="preserve"> does not pose an unreasonable risk to human health.</w:t>
      </w:r>
    </w:p>
    <w:p w:rsidR="00C8742D" w:rsidRPr="00547165" w:rsidRDefault="00C8742D" w:rsidP="00C8742D">
      <w:pPr>
        <w:pStyle w:val="ListParagraph"/>
        <w:rPr>
          <w:rFonts w:asciiTheme="minorHAnsi" w:hAnsiTheme="minorHAnsi"/>
          <w:i/>
        </w:rPr>
      </w:pPr>
    </w:p>
    <w:p w:rsidR="00C8742D" w:rsidRPr="00547165" w:rsidRDefault="00C8742D" w:rsidP="00D951F8">
      <w:pPr>
        <w:pStyle w:val="ListParagraph"/>
        <w:numPr>
          <w:ilvl w:val="0"/>
          <w:numId w:val="12"/>
        </w:numPr>
        <w:spacing w:after="0" w:line="240" w:lineRule="auto"/>
        <w:rPr>
          <w:rFonts w:asciiTheme="minorHAnsi" w:hAnsiTheme="minorHAnsi"/>
          <w:i/>
        </w:rPr>
      </w:pPr>
      <w:r w:rsidRPr="00547165">
        <w:rPr>
          <w:rFonts w:asciiTheme="minorHAnsi" w:hAnsiTheme="minorHAnsi"/>
          <w:i/>
        </w:rPr>
        <w:t>Demonstration for Request.  An applicant is required to submit documentation and data necessary to support a background concentration allowance.  The application must be included with the applicant’s renewal application and include all relevant information that demonstrates the following;</w:t>
      </w:r>
    </w:p>
    <w:p w:rsidR="00C8742D" w:rsidRPr="00547165" w:rsidRDefault="00C8742D" w:rsidP="00C8742D">
      <w:pPr>
        <w:pStyle w:val="ListParagraph"/>
        <w:ind w:left="2160"/>
        <w:rPr>
          <w:rFonts w:asciiTheme="minorHAnsi" w:hAnsiTheme="minorHAnsi"/>
          <w:i/>
        </w:rPr>
      </w:pPr>
    </w:p>
    <w:p w:rsidR="00C8742D" w:rsidRPr="00547165" w:rsidRDefault="00C8742D" w:rsidP="00D951F8">
      <w:pPr>
        <w:pStyle w:val="ListParagraph"/>
        <w:numPr>
          <w:ilvl w:val="0"/>
          <w:numId w:val="14"/>
        </w:numPr>
        <w:spacing w:after="0" w:line="240" w:lineRule="auto"/>
        <w:rPr>
          <w:rFonts w:asciiTheme="minorHAnsi" w:hAnsiTheme="minorHAnsi"/>
          <w:i/>
        </w:rPr>
      </w:pPr>
      <w:r w:rsidRPr="00547165">
        <w:rPr>
          <w:rFonts w:asciiTheme="minorHAnsi" w:hAnsiTheme="minorHAnsi"/>
          <w:i/>
        </w:rPr>
        <w:t>Sufficient data to characterize natural or human-caused background pollutant contributions to water quality criteria violations; and</w:t>
      </w:r>
    </w:p>
    <w:p w:rsidR="00C8742D" w:rsidRPr="00547165" w:rsidRDefault="00C8742D" w:rsidP="00C8742D">
      <w:pPr>
        <w:pStyle w:val="ListParagraph"/>
        <w:ind w:left="3240"/>
        <w:rPr>
          <w:rFonts w:asciiTheme="minorHAnsi" w:hAnsiTheme="minorHAnsi"/>
          <w:i/>
        </w:rPr>
      </w:pPr>
    </w:p>
    <w:p w:rsidR="00C8742D" w:rsidRPr="00547165" w:rsidRDefault="00C8742D" w:rsidP="00D951F8">
      <w:pPr>
        <w:pStyle w:val="ListParagraph"/>
        <w:numPr>
          <w:ilvl w:val="0"/>
          <w:numId w:val="14"/>
        </w:numPr>
        <w:spacing w:after="0" w:line="240" w:lineRule="auto"/>
        <w:rPr>
          <w:rFonts w:asciiTheme="minorHAnsi" w:hAnsiTheme="minorHAnsi"/>
          <w:i/>
        </w:rPr>
      </w:pPr>
      <w:r w:rsidRPr="00547165">
        <w:rPr>
          <w:rFonts w:asciiTheme="minorHAnsi" w:hAnsiTheme="minorHAnsi"/>
          <w:i/>
        </w:rPr>
        <w:t>Treatment or alternative options considered to meet water quality standards, and a description of why these options are not technically feasible;</w:t>
      </w:r>
    </w:p>
    <w:p w:rsidR="00C8742D" w:rsidRPr="00547165" w:rsidRDefault="00C8742D" w:rsidP="00C8742D">
      <w:pPr>
        <w:rPr>
          <w:rFonts w:asciiTheme="minorHAnsi" w:hAnsiTheme="minorHAnsi"/>
          <w:i/>
        </w:rPr>
      </w:pPr>
    </w:p>
    <w:p w:rsidR="00C8742D" w:rsidRPr="00547165" w:rsidRDefault="00C8742D" w:rsidP="00D951F8">
      <w:pPr>
        <w:pStyle w:val="ListParagraph"/>
        <w:numPr>
          <w:ilvl w:val="0"/>
          <w:numId w:val="14"/>
        </w:numPr>
        <w:spacing w:after="0" w:line="240" w:lineRule="auto"/>
        <w:rPr>
          <w:rFonts w:asciiTheme="minorHAnsi" w:hAnsiTheme="minorHAnsi"/>
          <w:i/>
        </w:rPr>
      </w:pPr>
      <w:r w:rsidRPr="00547165">
        <w:rPr>
          <w:rFonts w:asciiTheme="minorHAnsi" w:hAnsiTheme="minorHAnsi"/>
          <w:i/>
        </w:rPr>
        <w:t>[Others?]</w:t>
      </w:r>
    </w:p>
    <w:p w:rsidR="00C8742D" w:rsidRPr="00547165" w:rsidRDefault="00C8742D" w:rsidP="00C8742D">
      <w:pPr>
        <w:pStyle w:val="ListParagraph"/>
        <w:ind w:left="3240"/>
        <w:rPr>
          <w:rFonts w:asciiTheme="minorHAnsi" w:hAnsiTheme="minorHAnsi"/>
          <w:i/>
        </w:rPr>
      </w:pPr>
    </w:p>
    <w:p w:rsidR="00C8742D" w:rsidRPr="00547165" w:rsidRDefault="00C8742D" w:rsidP="00D951F8">
      <w:pPr>
        <w:pStyle w:val="ListParagraph"/>
        <w:numPr>
          <w:ilvl w:val="0"/>
          <w:numId w:val="12"/>
        </w:numPr>
        <w:spacing w:after="0" w:line="240" w:lineRule="auto"/>
        <w:rPr>
          <w:rFonts w:asciiTheme="minorHAnsi" w:hAnsiTheme="minorHAnsi"/>
          <w:i/>
        </w:rPr>
      </w:pPr>
      <w:r w:rsidRPr="00547165">
        <w:rPr>
          <w:rFonts w:asciiTheme="minorHAnsi" w:hAnsiTheme="minorHAnsi"/>
          <w:i/>
        </w:rPr>
        <w:t>The facility must continue to achieve the lowest effluent concentration possible under current operations and treatment based on facility-specific data.</w:t>
      </w:r>
    </w:p>
    <w:p w:rsidR="00C8742D" w:rsidRPr="00547165" w:rsidRDefault="00C8742D" w:rsidP="00C8742D">
      <w:pPr>
        <w:pStyle w:val="ListParagraph"/>
        <w:ind w:left="2160"/>
        <w:rPr>
          <w:rFonts w:asciiTheme="minorHAnsi" w:hAnsiTheme="minorHAnsi"/>
          <w:i/>
        </w:rPr>
      </w:pPr>
    </w:p>
    <w:p w:rsidR="00C8742D" w:rsidRPr="00547165" w:rsidRDefault="00C8742D" w:rsidP="00D951F8">
      <w:pPr>
        <w:pStyle w:val="ListParagraph"/>
        <w:numPr>
          <w:ilvl w:val="0"/>
          <w:numId w:val="12"/>
        </w:numPr>
        <w:spacing w:after="0" w:line="240" w:lineRule="auto"/>
        <w:rPr>
          <w:rFonts w:asciiTheme="minorHAnsi" w:hAnsiTheme="minorHAnsi"/>
          <w:i/>
        </w:rPr>
      </w:pPr>
      <w:r w:rsidRPr="00547165">
        <w:rPr>
          <w:rFonts w:asciiTheme="minorHAnsi" w:hAnsiTheme="minorHAnsi"/>
          <w:i/>
        </w:rPr>
        <w:t>If the Department finds that the facility meets the requirements of this section, the terms and conditions described in this section will be included in the facility’s NPDES permit for the duration of the permit. DEQ may extend coverage under this provision in subsequent permit terms upon review of updated information submitted in renewal applications.</w:t>
      </w:r>
    </w:p>
    <w:p w:rsidR="00C8742D" w:rsidRPr="00547165" w:rsidRDefault="00C8742D" w:rsidP="00C8742D">
      <w:pPr>
        <w:rPr>
          <w:rFonts w:asciiTheme="minorHAnsi" w:hAnsiTheme="minorHAnsi" w:cs="Calibri"/>
          <w:b/>
          <w:i/>
          <w:sz w:val="32"/>
          <w:szCs w:val="32"/>
        </w:rPr>
      </w:pPr>
    </w:p>
    <w:p w:rsidR="00C8742D" w:rsidRPr="00103CD7" w:rsidRDefault="0005634F" w:rsidP="00C8742D">
      <w:pPr>
        <w:rPr>
          <w:rStyle w:val="IntenseEmphasis"/>
        </w:rPr>
      </w:pPr>
      <w:r w:rsidRPr="00103CD7">
        <w:rPr>
          <w:rStyle w:val="IntenseEmphasis"/>
        </w:rPr>
        <w:t>Background Concentration Allowance</w:t>
      </w:r>
    </w:p>
    <w:p w:rsidR="009C160B" w:rsidRPr="00547165" w:rsidRDefault="009C160B" w:rsidP="009C160B">
      <w:pPr>
        <w:pStyle w:val="NormalWeb"/>
        <w:rPr>
          <w:rFonts w:asciiTheme="minorHAnsi" w:hAnsiTheme="minorHAnsi"/>
          <w:b/>
          <w:bCs/>
        </w:rPr>
      </w:pPr>
      <w:r w:rsidRPr="00547165">
        <w:rPr>
          <w:rFonts w:asciiTheme="minorHAnsi" w:hAnsiTheme="minorHAnsi"/>
          <w:b/>
          <w:bCs/>
        </w:rPr>
        <w:t>340-041-0059</w:t>
      </w:r>
    </w:p>
    <w:p w:rsidR="009C160B" w:rsidRPr="00547165" w:rsidRDefault="009C160B" w:rsidP="009C160B">
      <w:pPr>
        <w:pStyle w:val="NormalWeb"/>
        <w:rPr>
          <w:rFonts w:asciiTheme="minorHAnsi" w:hAnsiTheme="minorHAnsi"/>
          <w:b/>
          <w:bCs/>
        </w:rPr>
      </w:pPr>
      <w:r w:rsidRPr="00547165">
        <w:rPr>
          <w:rFonts w:asciiTheme="minorHAnsi" w:hAnsiTheme="minorHAnsi"/>
          <w:b/>
          <w:bCs/>
        </w:rPr>
        <w:t>Water Quality Variances</w:t>
      </w:r>
    </w:p>
    <w:p w:rsidR="0005634F" w:rsidRPr="00547165" w:rsidRDefault="0005634F" w:rsidP="00C8742D">
      <w:pPr>
        <w:rPr>
          <w:rFonts w:asciiTheme="minorHAnsi" w:hAnsiTheme="minorHAnsi"/>
        </w:rPr>
      </w:pPr>
      <w:r w:rsidRPr="00547165">
        <w:rPr>
          <w:rFonts w:asciiTheme="minorHAnsi" w:hAnsiTheme="minorHAnsi" w:cs="Calibri"/>
        </w:rPr>
        <w:t>[</w:t>
      </w:r>
      <w:r w:rsidR="009C160B" w:rsidRPr="00547165">
        <w:rPr>
          <w:rFonts w:asciiTheme="minorHAnsi" w:hAnsiTheme="minorHAnsi"/>
        </w:rPr>
        <w:t>Note that this language is the same language work group members last received.]</w:t>
      </w:r>
    </w:p>
    <w:p w:rsidR="009C160B" w:rsidRPr="00547165" w:rsidRDefault="009C160B" w:rsidP="009C160B">
      <w:pPr>
        <w:pStyle w:val="NormalWeb"/>
        <w:rPr>
          <w:rFonts w:asciiTheme="minorHAnsi" w:hAnsiTheme="minorHAnsi"/>
          <w:i/>
          <w:sz w:val="22"/>
          <w:szCs w:val="22"/>
        </w:rPr>
      </w:pPr>
      <w:r w:rsidRPr="00547165">
        <w:rPr>
          <w:rFonts w:asciiTheme="minorHAnsi" w:hAnsiTheme="minorHAnsi"/>
          <w:i/>
          <w:sz w:val="22"/>
          <w:szCs w:val="22"/>
        </w:rPr>
        <w:t>(8)  Individual variances for background pollutants.  The Department expects that the justification for a variance required in (2</w:t>
      </w:r>
      <w:proofErr w:type="gramStart"/>
      <w:r w:rsidRPr="00547165">
        <w:rPr>
          <w:rFonts w:asciiTheme="minorHAnsi" w:hAnsiTheme="minorHAnsi"/>
          <w:i/>
          <w:sz w:val="22"/>
          <w:szCs w:val="22"/>
        </w:rPr>
        <w:t>)(</w:t>
      </w:r>
      <w:proofErr w:type="gramEnd"/>
      <w:r w:rsidRPr="00547165">
        <w:rPr>
          <w:rFonts w:asciiTheme="minorHAnsi" w:hAnsiTheme="minorHAnsi"/>
          <w:i/>
          <w:sz w:val="22"/>
          <w:szCs w:val="22"/>
        </w:rPr>
        <w:t xml:space="preserve">a) and (2)(c) would be met and that a source would qualify for a variance under the following circumstances:  </w:t>
      </w:r>
    </w:p>
    <w:p w:rsidR="009C160B" w:rsidRPr="00547165" w:rsidRDefault="009C160B" w:rsidP="009C160B">
      <w:pPr>
        <w:pStyle w:val="NormalWeb"/>
        <w:ind w:left="720"/>
        <w:rPr>
          <w:rFonts w:asciiTheme="minorHAnsi" w:hAnsiTheme="minorHAnsi"/>
          <w:i/>
          <w:sz w:val="22"/>
          <w:szCs w:val="22"/>
        </w:rPr>
      </w:pPr>
      <w:r w:rsidRPr="00547165">
        <w:rPr>
          <w:rFonts w:asciiTheme="minorHAnsi" w:hAnsiTheme="minorHAnsi"/>
          <w:i/>
          <w:sz w:val="22"/>
          <w:szCs w:val="22"/>
        </w:rPr>
        <w:t>(a) The pollutant concentration in the intake water body exceeds an applicable human health water quality criterion due to naturally occurring pollutant concentrations, human-caused conditions or sources of pollution, or a combination of naturally occurring and human-caused conditions or sources of pollution;</w:t>
      </w:r>
    </w:p>
    <w:p w:rsidR="009C160B" w:rsidRPr="00547165" w:rsidRDefault="009C160B" w:rsidP="009C160B">
      <w:pPr>
        <w:pStyle w:val="NormalWeb"/>
        <w:ind w:left="720"/>
        <w:rPr>
          <w:rFonts w:asciiTheme="minorHAnsi" w:hAnsiTheme="minorHAnsi"/>
          <w:i/>
          <w:sz w:val="22"/>
          <w:szCs w:val="22"/>
        </w:rPr>
      </w:pPr>
      <w:r w:rsidRPr="00547165">
        <w:rPr>
          <w:rFonts w:asciiTheme="minorHAnsi" w:hAnsiTheme="minorHAnsi"/>
          <w:i/>
          <w:sz w:val="22"/>
          <w:szCs w:val="22"/>
        </w:rPr>
        <w:t>(b) The mass of the pollutant in the discharge does not exceed the mass that is attributable to the pollutant in the facility’s intake water;</w:t>
      </w:r>
    </w:p>
    <w:p w:rsidR="009C160B" w:rsidRPr="00547165" w:rsidRDefault="009C160B" w:rsidP="009C160B">
      <w:pPr>
        <w:pStyle w:val="NormalWeb"/>
        <w:ind w:left="720"/>
        <w:rPr>
          <w:rFonts w:asciiTheme="minorHAnsi" w:hAnsiTheme="minorHAnsi"/>
          <w:i/>
          <w:sz w:val="22"/>
          <w:szCs w:val="22"/>
        </w:rPr>
      </w:pPr>
      <w:r w:rsidRPr="00547165">
        <w:rPr>
          <w:rFonts w:asciiTheme="minorHAnsi" w:hAnsiTheme="minorHAnsi"/>
          <w:i/>
          <w:sz w:val="22"/>
          <w:szCs w:val="22"/>
        </w:rPr>
        <w:t>(c) The increase in the pollutant’s concentration after mixing with the water body does not increase the concentration in the water body by more than three percent;</w:t>
      </w:r>
    </w:p>
    <w:p w:rsidR="009C160B" w:rsidRPr="00547165" w:rsidRDefault="009C160B" w:rsidP="009C160B">
      <w:pPr>
        <w:pStyle w:val="NormalWeb"/>
        <w:ind w:left="720"/>
        <w:rPr>
          <w:rFonts w:asciiTheme="minorHAnsi" w:hAnsiTheme="minorHAnsi"/>
          <w:i/>
          <w:sz w:val="22"/>
          <w:szCs w:val="22"/>
        </w:rPr>
      </w:pPr>
      <w:r w:rsidRPr="00547165">
        <w:rPr>
          <w:rFonts w:asciiTheme="minorHAnsi" w:hAnsiTheme="minorHAnsi"/>
          <w:i/>
          <w:sz w:val="22"/>
          <w:szCs w:val="22"/>
        </w:rPr>
        <w:t>(d) The cumulative increase in the pollutant’s concentration under variances granted under this paragraph (8</w:t>
      </w:r>
      <w:proofErr w:type="gramStart"/>
      <w:r w:rsidRPr="00547165">
        <w:rPr>
          <w:rFonts w:asciiTheme="minorHAnsi" w:hAnsiTheme="minorHAnsi"/>
          <w:i/>
          <w:sz w:val="22"/>
          <w:szCs w:val="22"/>
        </w:rPr>
        <w:t>)(</w:t>
      </w:r>
      <w:proofErr w:type="gramEnd"/>
      <w:r w:rsidRPr="00547165">
        <w:rPr>
          <w:rFonts w:asciiTheme="minorHAnsi" w:hAnsiTheme="minorHAnsi"/>
          <w:i/>
          <w:sz w:val="22"/>
          <w:szCs w:val="22"/>
        </w:rPr>
        <w:t>d) at any point in the water body after discharges mix with the water body does not exceed ten percent;</w:t>
      </w:r>
    </w:p>
    <w:p w:rsidR="009C160B" w:rsidRPr="00547165" w:rsidRDefault="009C160B" w:rsidP="009C160B">
      <w:pPr>
        <w:pStyle w:val="NormalWeb"/>
        <w:ind w:left="720"/>
        <w:rPr>
          <w:rFonts w:asciiTheme="minorHAnsi" w:hAnsiTheme="minorHAnsi"/>
          <w:i/>
          <w:sz w:val="22"/>
          <w:szCs w:val="22"/>
        </w:rPr>
      </w:pPr>
      <w:r w:rsidRPr="00547165">
        <w:rPr>
          <w:rFonts w:asciiTheme="minorHAnsi" w:hAnsiTheme="minorHAnsi"/>
          <w:i/>
          <w:sz w:val="22"/>
          <w:szCs w:val="22"/>
        </w:rPr>
        <w:t>(e) The discharge of the pollutant complies with all applicable technology-based effluent limits, other applicable water quality standards, and the provisions of any applicable total maximum daily load; and</w:t>
      </w:r>
    </w:p>
    <w:p w:rsidR="009C160B" w:rsidRPr="00547165" w:rsidRDefault="009C160B" w:rsidP="009C160B">
      <w:pPr>
        <w:pStyle w:val="NormalWeb"/>
        <w:ind w:left="720"/>
        <w:rPr>
          <w:rFonts w:asciiTheme="minorHAnsi" w:hAnsiTheme="minorHAnsi"/>
          <w:i/>
          <w:sz w:val="22"/>
          <w:szCs w:val="22"/>
        </w:rPr>
      </w:pPr>
      <w:r w:rsidRPr="00547165">
        <w:rPr>
          <w:rFonts w:asciiTheme="minorHAnsi" w:hAnsiTheme="minorHAnsi"/>
          <w:i/>
          <w:sz w:val="22"/>
          <w:szCs w:val="22"/>
        </w:rPr>
        <w:t>(f) No other technologically and economically feasible means that would not have significant adverse environmental consequences are available to the source to reduce the pollutant concentration in its discharge to the applicable water quality criterion.</w:t>
      </w:r>
    </w:p>
    <w:p w:rsidR="00AD012D" w:rsidRPr="00547165" w:rsidRDefault="00AD012D" w:rsidP="00AD012D">
      <w:pPr>
        <w:spacing w:after="0"/>
        <w:rPr>
          <w:rFonts w:asciiTheme="minorHAnsi" w:hAnsiTheme="minorHAnsi"/>
          <w:i/>
        </w:rPr>
      </w:pPr>
      <w:r w:rsidRPr="00547165">
        <w:rPr>
          <w:rFonts w:asciiTheme="minorHAnsi" w:hAnsiTheme="minorHAnsi"/>
          <w:i/>
        </w:rPr>
        <w:t xml:space="preserve"> </w:t>
      </w:r>
    </w:p>
    <w:p w:rsidR="00AD012D" w:rsidRPr="006F6684" w:rsidRDefault="007C101D" w:rsidP="00AD012D">
      <w:pPr>
        <w:spacing w:after="0"/>
        <w:rPr>
          <w:rStyle w:val="BookTitle"/>
          <w:sz w:val="28"/>
          <w:szCs w:val="28"/>
        </w:rPr>
      </w:pPr>
      <w:r w:rsidRPr="006F6684">
        <w:rPr>
          <w:rStyle w:val="BookTitle"/>
          <w:sz w:val="28"/>
          <w:szCs w:val="28"/>
        </w:rPr>
        <w:t>G.  Authority and P</w:t>
      </w:r>
      <w:r w:rsidR="00AD012D" w:rsidRPr="006F6684">
        <w:rPr>
          <w:rStyle w:val="BookTitle"/>
          <w:sz w:val="28"/>
          <w:szCs w:val="28"/>
        </w:rPr>
        <w:t>recedence</w:t>
      </w:r>
    </w:p>
    <w:p w:rsidR="00AA7A42" w:rsidRDefault="00AA7A42" w:rsidP="00AD012D">
      <w:pPr>
        <w:spacing w:after="0"/>
        <w:rPr>
          <w:rFonts w:asciiTheme="minorHAnsi" w:hAnsiTheme="minorHAnsi"/>
        </w:rPr>
      </w:pPr>
    </w:p>
    <w:p w:rsidR="00AA7A42" w:rsidRDefault="00CE62D1" w:rsidP="00AD012D">
      <w:pPr>
        <w:spacing w:after="0"/>
        <w:rPr>
          <w:rFonts w:asciiTheme="minorHAnsi" w:hAnsiTheme="minorHAnsi"/>
        </w:rPr>
      </w:pPr>
      <w:r w:rsidRPr="00CE62D1">
        <w:rPr>
          <w:rFonts w:asciiTheme="minorHAnsi" w:hAnsiTheme="minorHAnsi" w:cs="Courier New"/>
          <w:color w:val="000000"/>
        </w:rPr>
        <w:t xml:space="preserve">The federal WQS regulation at 40 CFR § 131.13 authorizes states </w:t>
      </w:r>
      <w:r>
        <w:rPr>
          <w:rFonts w:asciiTheme="minorHAnsi" w:hAnsiTheme="minorHAnsi" w:cs="Courier New"/>
          <w:color w:val="000000"/>
        </w:rPr>
        <w:t>and authorized tribes</w:t>
      </w:r>
      <w:r w:rsidRPr="00CE62D1">
        <w:rPr>
          <w:rFonts w:asciiTheme="minorHAnsi" w:hAnsiTheme="minorHAnsi" w:cs="Courier New"/>
          <w:color w:val="000000"/>
        </w:rPr>
        <w:t xml:space="preserve"> to include variances in their WQS.  Variance policies and individual variances are required to be submitted to EPA for review and approval.</w:t>
      </w:r>
      <w:r w:rsidRPr="00967BE6">
        <w:rPr>
          <w:rFonts w:ascii="Verdana" w:hAnsi="Verdana" w:cs="Courier New"/>
          <w:color w:val="000000"/>
        </w:rPr>
        <w:t xml:space="preserve"> </w:t>
      </w:r>
      <w:r w:rsidR="00AA7A42">
        <w:rPr>
          <w:rFonts w:asciiTheme="minorHAnsi" w:hAnsiTheme="minorHAnsi"/>
        </w:rPr>
        <w:t>For specific references on variance authority, refer to footnotes XXX, under the variance subchapter.</w:t>
      </w:r>
    </w:p>
    <w:p w:rsidR="00E87823" w:rsidRDefault="00E87823" w:rsidP="00AD012D">
      <w:pPr>
        <w:spacing w:after="0"/>
        <w:rPr>
          <w:rFonts w:asciiTheme="minorHAnsi" w:hAnsiTheme="minorHAnsi"/>
        </w:rPr>
      </w:pPr>
    </w:p>
    <w:p w:rsidR="00E87823" w:rsidRDefault="00E87823" w:rsidP="00AD012D">
      <w:pPr>
        <w:spacing w:after="0"/>
        <w:rPr>
          <w:rFonts w:asciiTheme="minorHAnsi" w:hAnsiTheme="minorHAnsi"/>
        </w:rPr>
      </w:pPr>
      <w:r>
        <w:rPr>
          <w:rFonts w:asciiTheme="minorHAnsi" w:hAnsiTheme="minorHAnsi"/>
        </w:rPr>
        <w:t xml:space="preserve">There are few states with an EPA approved multiple discharger variance.  </w:t>
      </w:r>
      <w:r w:rsidR="008529EA">
        <w:rPr>
          <w:rFonts w:asciiTheme="minorHAnsi" w:hAnsiTheme="minorHAnsi"/>
        </w:rPr>
        <w:t xml:space="preserve">While many, if not all of the Great Lake states have MDV provisions within their water quality standards regulations as part of the Great Lakes Initiative, </w:t>
      </w:r>
      <w:r>
        <w:rPr>
          <w:rFonts w:asciiTheme="minorHAnsi" w:hAnsiTheme="minorHAnsi"/>
        </w:rPr>
        <w:t xml:space="preserve">Michigan, Indiana, and Ohio are the only states which </w:t>
      </w:r>
      <w:r w:rsidR="008529EA">
        <w:rPr>
          <w:rFonts w:asciiTheme="minorHAnsi" w:hAnsiTheme="minorHAnsi"/>
        </w:rPr>
        <w:t xml:space="preserve">actively </w:t>
      </w:r>
      <w:r>
        <w:rPr>
          <w:rFonts w:asciiTheme="minorHAnsi" w:hAnsiTheme="minorHAnsi"/>
        </w:rPr>
        <w:t>implement multiple discharger variances for mercury</w:t>
      </w:r>
      <w:r>
        <w:rPr>
          <w:rStyle w:val="FootnoteReference"/>
          <w:rFonts w:asciiTheme="minorHAnsi" w:hAnsiTheme="minorHAnsi"/>
        </w:rPr>
        <w:footnoteReference w:id="7"/>
      </w:r>
      <w:r>
        <w:rPr>
          <w:rFonts w:asciiTheme="minorHAnsi" w:hAnsiTheme="minorHAnsi"/>
        </w:rPr>
        <w:t>.</w:t>
      </w:r>
    </w:p>
    <w:p w:rsidR="00AA7A42" w:rsidRDefault="00AA7A42" w:rsidP="00AD012D">
      <w:pPr>
        <w:spacing w:after="0"/>
        <w:rPr>
          <w:rFonts w:asciiTheme="minorHAnsi" w:hAnsiTheme="minorHAnsi"/>
        </w:rPr>
      </w:pPr>
    </w:p>
    <w:p w:rsidR="00ED314F" w:rsidRPr="00ED314F" w:rsidRDefault="00ED314F" w:rsidP="00AD012D">
      <w:pPr>
        <w:spacing w:after="0"/>
        <w:rPr>
          <w:rStyle w:val="SubtleEmphasis"/>
        </w:rPr>
      </w:pPr>
      <w:r w:rsidRPr="00ED314F">
        <w:rPr>
          <w:rStyle w:val="SubtleEmphasis"/>
        </w:rPr>
        <w:t>Michigan</w:t>
      </w:r>
    </w:p>
    <w:p w:rsidR="00593A69" w:rsidRPr="00ED6468" w:rsidRDefault="00E87823" w:rsidP="00593A69">
      <w:pPr>
        <w:autoSpaceDE w:val="0"/>
        <w:autoSpaceDN w:val="0"/>
        <w:adjustRightInd w:val="0"/>
        <w:rPr>
          <w:rFonts w:cs="Helv"/>
          <w:color w:val="000000"/>
        </w:rPr>
      </w:pPr>
      <w:r>
        <w:rPr>
          <w:rFonts w:asciiTheme="minorHAnsi" w:hAnsiTheme="minorHAnsi"/>
        </w:rPr>
        <w:t xml:space="preserve">One example </w:t>
      </w:r>
      <w:r w:rsidR="00593A69">
        <w:rPr>
          <w:rFonts w:asciiTheme="minorHAnsi" w:hAnsiTheme="minorHAnsi"/>
        </w:rPr>
        <w:t>of a MDV that has been approved and subsequently renew</w:t>
      </w:r>
      <w:r w:rsidR="00955241">
        <w:rPr>
          <w:rFonts w:asciiTheme="minorHAnsi" w:hAnsiTheme="minorHAnsi"/>
        </w:rPr>
        <w:t xml:space="preserve">ed is the state of Michigan </w:t>
      </w:r>
      <w:r w:rsidR="00593A69">
        <w:rPr>
          <w:rFonts w:asciiTheme="minorHAnsi" w:hAnsiTheme="minorHAnsi"/>
        </w:rPr>
        <w:t xml:space="preserve">for mercury associated with a wildlife use designation.   </w:t>
      </w:r>
      <w:r w:rsidR="009C7636">
        <w:rPr>
          <w:rFonts w:asciiTheme="minorHAnsi" w:hAnsiTheme="minorHAnsi"/>
        </w:rPr>
        <w:t xml:space="preserve">Although the MDV provision in the WQS regulations is general, there is a detailed implementation strategy that must be renewed every 5 years.  </w:t>
      </w:r>
      <w:r w:rsidR="00593A69">
        <w:rPr>
          <w:rFonts w:asciiTheme="minorHAnsi" w:hAnsiTheme="minorHAnsi"/>
        </w:rPr>
        <w:t xml:space="preserve">The MDV is </w:t>
      </w:r>
      <w:r w:rsidR="00955241">
        <w:rPr>
          <w:rFonts w:asciiTheme="minorHAnsi" w:hAnsiTheme="minorHAnsi"/>
        </w:rPr>
        <w:t>a 5 year permit applicable to either industrial or municipal facilities and applies</w:t>
      </w:r>
      <w:r w:rsidR="00593A69">
        <w:rPr>
          <w:rFonts w:asciiTheme="minorHAnsi" w:hAnsiTheme="minorHAnsi"/>
        </w:rPr>
        <w:t xml:space="preserve"> to all state </w:t>
      </w:r>
      <w:proofErr w:type="spellStart"/>
      <w:r w:rsidR="00593A69">
        <w:rPr>
          <w:rFonts w:asciiTheme="minorHAnsi" w:hAnsiTheme="minorHAnsi"/>
        </w:rPr>
        <w:t>wa</w:t>
      </w:r>
      <w:r>
        <w:rPr>
          <w:rFonts w:asciiTheme="minorHAnsi" w:hAnsiTheme="minorHAnsi"/>
        </w:rPr>
        <w:t>terbodies</w:t>
      </w:r>
      <w:proofErr w:type="spellEnd"/>
      <w:r w:rsidR="00593A69">
        <w:rPr>
          <w:rFonts w:asciiTheme="minorHAnsi" w:hAnsiTheme="minorHAnsi"/>
        </w:rPr>
        <w:t xml:space="preserve">.  The basis for determining whether or not a designated use is feasible to meet is based on 40 CFR § 131.10(g)(6)-- </w:t>
      </w:r>
      <w:r w:rsidR="00593A69" w:rsidRPr="00ED6468">
        <w:rPr>
          <w:rFonts w:cs="Helv"/>
          <w:color w:val="000000"/>
        </w:rPr>
        <w:t>Controls more stringent than those required by sections 301(b) and 306 of the Act would result in substantial and widespread economic and social impact</w:t>
      </w:r>
      <w:r w:rsidR="00593A69">
        <w:rPr>
          <w:rFonts w:cs="Helv"/>
          <w:color w:val="000000"/>
        </w:rPr>
        <w:t>.</w:t>
      </w:r>
      <w:r w:rsidR="00955241">
        <w:rPr>
          <w:rFonts w:cs="Helv"/>
          <w:color w:val="000000"/>
        </w:rPr>
        <w:t xml:space="preserve">  For more information on MI’s MDV, please see </w:t>
      </w:r>
      <w:r w:rsidR="00955241" w:rsidRPr="009C7636">
        <w:rPr>
          <w:rFonts w:cs="Helv"/>
          <w:color w:val="000000"/>
        </w:rPr>
        <w:t xml:space="preserve">Appendix </w:t>
      </w:r>
      <w:r w:rsidR="003E6E5F">
        <w:rPr>
          <w:rFonts w:cs="Helv"/>
          <w:color w:val="000000"/>
        </w:rPr>
        <w:t>B</w:t>
      </w:r>
      <w:r w:rsidR="00955241" w:rsidRPr="009C7636">
        <w:rPr>
          <w:rFonts w:cs="Helv"/>
          <w:color w:val="000000"/>
        </w:rPr>
        <w:t>.</w:t>
      </w:r>
    </w:p>
    <w:p w:rsidR="007C101D" w:rsidRPr="008529EA" w:rsidRDefault="009C7636" w:rsidP="00AD012D">
      <w:pPr>
        <w:spacing w:after="0"/>
        <w:rPr>
          <w:rStyle w:val="SubtleEmphasis"/>
        </w:rPr>
      </w:pPr>
      <w:r w:rsidRPr="008529EA">
        <w:rPr>
          <w:rStyle w:val="SubtleEmphasis"/>
        </w:rPr>
        <w:t>Indiana and Ohio</w:t>
      </w:r>
    </w:p>
    <w:p w:rsidR="009C7636" w:rsidRDefault="009C7636" w:rsidP="00AD012D">
      <w:pPr>
        <w:spacing w:after="0"/>
        <w:rPr>
          <w:rFonts w:asciiTheme="minorHAnsi" w:hAnsiTheme="minorHAnsi"/>
        </w:rPr>
      </w:pPr>
      <w:r>
        <w:rPr>
          <w:rFonts w:asciiTheme="minorHAnsi" w:hAnsiTheme="minorHAnsi"/>
        </w:rPr>
        <w:t>These states have specific WQS regulatory language to implement a multiple discharger variance for mercury.</w:t>
      </w:r>
    </w:p>
    <w:p w:rsidR="009C7636" w:rsidRDefault="009C7636" w:rsidP="00AD012D">
      <w:pPr>
        <w:spacing w:after="0"/>
        <w:rPr>
          <w:rFonts w:asciiTheme="minorHAnsi" w:hAnsiTheme="minorHAnsi"/>
        </w:rPr>
      </w:pPr>
    </w:p>
    <w:p w:rsidR="009C7636" w:rsidRPr="008529EA" w:rsidRDefault="009C7636" w:rsidP="00AD012D">
      <w:pPr>
        <w:spacing w:after="0"/>
        <w:rPr>
          <w:rStyle w:val="SubtleEmphasis"/>
        </w:rPr>
      </w:pPr>
      <w:r w:rsidRPr="008529EA">
        <w:rPr>
          <w:rStyle w:val="SubtleEmphasis"/>
        </w:rPr>
        <w:t>Wisconsin</w:t>
      </w:r>
    </w:p>
    <w:p w:rsidR="009C7636" w:rsidRDefault="009C7636" w:rsidP="00AD012D">
      <w:pPr>
        <w:spacing w:after="0"/>
        <w:rPr>
          <w:rFonts w:asciiTheme="minorHAnsi" w:hAnsiTheme="minorHAnsi"/>
        </w:rPr>
      </w:pPr>
      <w:r>
        <w:rPr>
          <w:rFonts w:asciiTheme="minorHAnsi" w:hAnsiTheme="minorHAnsi"/>
        </w:rPr>
        <w:t>Wisconsin includes a finding within the WQS regulatory language which references studies conducted by Ohio for their mercury MDV</w:t>
      </w:r>
      <w:r w:rsidR="008529EA">
        <w:rPr>
          <w:rFonts w:asciiTheme="minorHAnsi" w:hAnsiTheme="minorHAnsi"/>
        </w:rPr>
        <w:t>.  The objective is to streamline the variance approval process</w:t>
      </w:r>
      <w:r>
        <w:rPr>
          <w:rFonts w:asciiTheme="minorHAnsi" w:hAnsiTheme="minorHAnsi"/>
        </w:rPr>
        <w:t>.  However, each variance</w:t>
      </w:r>
      <w:r w:rsidR="008529EA">
        <w:rPr>
          <w:rFonts w:asciiTheme="minorHAnsi" w:hAnsiTheme="minorHAnsi"/>
        </w:rPr>
        <w:t xml:space="preserve"> is individually submitted and approved.</w:t>
      </w:r>
    </w:p>
    <w:p w:rsidR="009C7636" w:rsidRDefault="009C7636" w:rsidP="00AD012D">
      <w:pPr>
        <w:spacing w:after="0"/>
        <w:rPr>
          <w:rFonts w:asciiTheme="minorHAnsi" w:hAnsiTheme="minorHAnsi"/>
        </w:rPr>
      </w:pPr>
    </w:p>
    <w:p w:rsidR="009C7636" w:rsidRPr="00547165" w:rsidRDefault="009C7636" w:rsidP="00AD012D">
      <w:pPr>
        <w:spacing w:after="0"/>
        <w:rPr>
          <w:rFonts w:asciiTheme="minorHAnsi" w:hAnsiTheme="minorHAnsi"/>
        </w:rPr>
      </w:pPr>
    </w:p>
    <w:p w:rsidR="00AD012D" w:rsidRPr="006F6684" w:rsidRDefault="00E146BD" w:rsidP="00AD012D">
      <w:pPr>
        <w:spacing w:after="0"/>
        <w:rPr>
          <w:rStyle w:val="BookTitle"/>
          <w:sz w:val="28"/>
          <w:szCs w:val="28"/>
        </w:rPr>
      </w:pPr>
      <w:r w:rsidRPr="006F6684">
        <w:rPr>
          <w:rStyle w:val="BookTitle"/>
          <w:sz w:val="28"/>
          <w:szCs w:val="28"/>
        </w:rPr>
        <w:t>H.  Other S</w:t>
      </w:r>
      <w:r w:rsidR="00AD012D" w:rsidRPr="006F6684">
        <w:rPr>
          <w:rStyle w:val="BookTitle"/>
          <w:sz w:val="28"/>
          <w:szCs w:val="28"/>
        </w:rPr>
        <w:t>upportin</w:t>
      </w:r>
      <w:r w:rsidRPr="006F6684">
        <w:rPr>
          <w:rStyle w:val="BookTitle"/>
          <w:sz w:val="28"/>
          <w:szCs w:val="28"/>
        </w:rPr>
        <w:t>g I</w:t>
      </w:r>
      <w:r w:rsidR="00AD012D" w:rsidRPr="006F6684">
        <w:rPr>
          <w:rStyle w:val="BookTitle"/>
          <w:sz w:val="28"/>
          <w:szCs w:val="28"/>
        </w:rPr>
        <w:t>nformation</w:t>
      </w:r>
    </w:p>
    <w:p w:rsidR="00E146BD" w:rsidRPr="006F6684" w:rsidRDefault="00E146BD" w:rsidP="00AD012D">
      <w:pPr>
        <w:spacing w:after="0"/>
        <w:rPr>
          <w:rFonts w:asciiTheme="minorHAnsi" w:hAnsiTheme="minorHAnsi"/>
          <w:b/>
          <w:sz w:val="28"/>
          <w:szCs w:val="28"/>
        </w:rPr>
      </w:pPr>
      <w:r w:rsidRPr="006F6684">
        <w:rPr>
          <w:rFonts w:asciiTheme="minorHAnsi" w:hAnsiTheme="minorHAnsi"/>
          <w:b/>
          <w:sz w:val="28"/>
          <w:szCs w:val="28"/>
        </w:rPr>
        <w:t>None</w:t>
      </w:r>
    </w:p>
    <w:p w:rsidR="00E146BD" w:rsidRPr="00547165" w:rsidRDefault="00E146BD" w:rsidP="00AD012D">
      <w:pPr>
        <w:spacing w:after="0"/>
        <w:rPr>
          <w:rFonts w:asciiTheme="minorHAnsi" w:hAnsiTheme="minorHAnsi"/>
          <w:b/>
        </w:rPr>
      </w:pPr>
    </w:p>
    <w:p w:rsidR="001D47E8" w:rsidRPr="006F6684" w:rsidRDefault="00E146BD" w:rsidP="001D47E8">
      <w:pPr>
        <w:spacing w:after="0"/>
        <w:rPr>
          <w:rStyle w:val="BookTitle"/>
          <w:sz w:val="28"/>
          <w:szCs w:val="28"/>
        </w:rPr>
      </w:pPr>
      <w:r w:rsidRPr="006F6684">
        <w:rPr>
          <w:rStyle w:val="BookTitle"/>
          <w:sz w:val="28"/>
          <w:szCs w:val="28"/>
        </w:rPr>
        <w:t>I.  Implementation I</w:t>
      </w:r>
      <w:r w:rsidR="00AD012D" w:rsidRPr="006F6684">
        <w:rPr>
          <w:rStyle w:val="BookTitle"/>
          <w:sz w:val="28"/>
          <w:szCs w:val="28"/>
        </w:rPr>
        <w:t>nformation</w:t>
      </w:r>
    </w:p>
    <w:p w:rsidR="001D47E8" w:rsidRPr="00547165" w:rsidRDefault="001D47E8" w:rsidP="001D47E8">
      <w:pPr>
        <w:spacing w:after="0"/>
        <w:rPr>
          <w:rFonts w:asciiTheme="minorHAnsi" w:hAnsiTheme="minorHAnsi"/>
        </w:rPr>
      </w:pPr>
    </w:p>
    <w:p w:rsidR="00E146BD" w:rsidRPr="00547165" w:rsidRDefault="00E146BD" w:rsidP="00E146BD">
      <w:pPr>
        <w:rPr>
          <w:rFonts w:asciiTheme="minorHAnsi" w:hAnsiTheme="minorHAnsi"/>
        </w:rPr>
      </w:pPr>
      <w:r w:rsidRPr="00547165">
        <w:rPr>
          <w:rFonts w:asciiTheme="minorHAnsi" w:hAnsiTheme="minorHAnsi"/>
        </w:rPr>
        <w:t>More research is needed to fully detail this section.  Some of the implementation procedures will be very similar to individual variances in that some information will need to be provided to DEQ to evaluate whether or not a discharger meets applicability criteria; howev</w:t>
      </w:r>
      <w:r w:rsidR="00E91D35" w:rsidRPr="00547165">
        <w:rPr>
          <w:rFonts w:asciiTheme="minorHAnsi" w:hAnsiTheme="minorHAnsi"/>
        </w:rPr>
        <w:t>er, the expectation is that the process will be less burdensome, since DEQ would have provided a sound demonstration rationale within a separate MDV provision.  Since this provision effectively limits the scope of facilities to those who only concentrate pollutants through a non-contact cooling process and do not add mass, a pollutant minimization plan would not be required.</w:t>
      </w:r>
    </w:p>
    <w:p w:rsidR="00B20EC5" w:rsidRPr="00547165" w:rsidRDefault="00B20EC5" w:rsidP="00E146BD">
      <w:pPr>
        <w:rPr>
          <w:rFonts w:asciiTheme="minorHAnsi" w:hAnsiTheme="minorHAnsi"/>
        </w:rPr>
      </w:pPr>
      <w:r w:rsidRPr="00547165">
        <w:rPr>
          <w:rFonts w:asciiTheme="minorHAnsi" w:hAnsiTheme="minorHAnsi"/>
        </w:rPr>
        <w:t>Under DEQ’s draft approach:</w:t>
      </w:r>
    </w:p>
    <w:p w:rsidR="00E146BD" w:rsidRPr="00547165" w:rsidRDefault="00B20EC5" w:rsidP="00D951F8">
      <w:pPr>
        <w:numPr>
          <w:ilvl w:val="0"/>
          <w:numId w:val="15"/>
        </w:numPr>
        <w:rPr>
          <w:rFonts w:asciiTheme="minorHAnsi" w:hAnsiTheme="minorHAnsi"/>
        </w:rPr>
      </w:pPr>
      <w:r w:rsidRPr="00547165">
        <w:rPr>
          <w:rFonts w:asciiTheme="minorHAnsi" w:hAnsiTheme="minorHAnsi"/>
        </w:rPr>
        <w:t>E</w:t>
      </w:r>
      <w:r w:rsidR="00E146BD" w:rsidRPr="00547165">
        <w:rPr>
          <w:rFonts w:asciiTheme="minorHAnsi" w:hAnsiTheme="minorHAnsi"/>
        </w:rPr>
        <w:t xml:space="preserve">ach discharger meeting the applicability criteria </w:t>
      </w:r>
      <w:r w:rsidR="00E91D35" w:rsidRPr="00547165">
        <w:rPr>
          <w:rFonts w:asciiTheme="minorHAnsi" w:hAnsiTheme="minorHAnsi"/>
        </w:rPr>
        <w:t>will most likely be</w:t>
      </w:r>
      <w:r w:rsidR="00E146BD" w:rsidRPr="00547165">
        <w:rPr>
          <w:rFonts w:asciiTheme="minorHAnsi" w:hAnsiTheme="minorHAnsi"/>
        </w:rPr>
        <w:t xml:space="preserve"> requ</w:t>
      </w:r>
      <w:r w:rsidR="00E91D35" w:rsidRPr="00547165">
        <w:rPr>
          <w:rFonts w:asciiTheme="minorHAnsi" w:hAnsiTheme="minorHAnsi"/>
        </w:rPr>
        <w:t xml:space="preserve">ired to individually provide </w:t>
      </w:r>
      <w:r w:rsidR="00E146BD" w:rsidRPr="00547165">
        <w:rPr>
          <w:rFonts w:asciiTheme="minorHAnsi" w:hAnsiTheme="minorHAnsi"/>
        </w:rPr>
        <w:t>DEQ the information necessary to support the 131.10(g) demonstration</w:t>
      </w:r>
      <w:r w:rsidRPr="00547165">
        <w:rPr>
          <w:rFonts w:asciiTheme="minorHAnsi" w:hAnsiTheme="minorHAnsi"/>
        </w:rPr>
        <w:t xml:space="preserve"> which may include: </w:t>
      </w:r>
    </w:p>
    <w:p w:rsidR="00B20EC5" w:rsidRPr="00547165" w:rsidRDefault="00E146BD" w:rsidP="00D951F8">
      <w:pPr>
        <w:numPr>
          <w:ilvl w:val="1"/>
          <w:numId w:val="15"/>
        </w:numPr>
        <w:spacing w:after="0" w:line="240" w:lineRule="auto"/>
        <w:rPr>
          <w:rFonts w:asciiTheme="minorHAnsi" w:hAnsiTheme="minorHAnsi"/>
        </w:rPr>
      </w:pPr>
      <w:r w:rsidRPr="00547165">
        <w:rPr>
          <w:rFonts w:asciiTheme="minorHAnsi" w:hAnsiTheme="minorHAnsi"/>
        </w:rPr>
        <w:t>Sufficient data to characterize that factor (1) or (3) is supported</w:t>
      </w:r>
    </w:p>
    <w:p w:rsidR="00B20EC5" w:rsidRPr="00547165" w:rsidRDefault="00E146BD" w:rsidP="00D951F8">
      <w:pPr>
        <w:numPr>
          <w:ilvl w:val="1"/>
          <w:numId w:val="15"/>
        </w:numPr>
        <w:spacing w:after="0" w:line="240" w:lineRule="auto"/>
        <w:rPr>
          <w:rFonts w:asciiTheme="minorHAnsi" w:hAnsiTheme="minorHAnsi"/>
        </w:rPr>
      </w:pPr>
      <w:r w:rsidRPr="00547165">
        <w:rPr>
          <w:rFonts w:asciiTheme="minorHAnsi" w:hAnsiTheme="minorHAnsi"/>
        </w:rPr>
        <w:t xml:space="preserve">Treatment or alternative options considered </w:t>
      </w:r>
    </w:p>
    <w:p w:rsidR="00E146BD" w:rsidRPr="00547165" w:rsidRDefault="00E146BD" w:rsidP="00D951F8">
      <w:pPr>
        <w:numPr>
          <w:ilvl w:val="1"/>
          <w:numId w:val="15"/>
        </w:numPr>
        <w:spacing w:after="0" w:line="240" w:lineRule="auto"/>
        <w:rPr>
          <w:rFonts w:asciiTheme="minorHAnsi" w:hAnsiTheme="minorHAnsi"/>
        </w:rPr>
      </w:pPr>
      <w:r w:rsidRPr="00547165">
        <w:rPr>
          <w:rFonts w:asciiTheme="minorHAnsi" w:hAnsiTheme="minorHAnsi"/>
        </w:rPr>
        <w:t>A description of why implementation of these options would cause more environmental damage than the small increase in pollutant concentration</w:t>
      </w:r>
    </w:p>
    <w:p w:rsidR="00B20EC5" w:rsidRPr="00547165" w:rsidRDefault="00B20EC5" w:rsidP="00B20EC5">
      <w:pPr>
        <w:spacing w:after="0"/>
        <w:ind w:left="720"/>
        <w:rPr>
          <w:rFonts w:asciiTheme="minorHAnsi" w:hAnsiTheme="minorHAnsi"/>
        </w:rPr>
      </w:pPr>
    </w:p>
    <w:p w:rsidR="00B20EC5" w:rsidRPr="00547165" w:rsidRDefault="00B20EC5" w:rsidP="00D951F8">
      <w:pPr>
        <w:numPr>
          <w:ilvl w:val="0"/>
          <w:numId w:val="15"/>
        </w:numPr>
        <w:spacing w:after="0"/>
        <w:rPr>
          <w:rFonts w:asciiTheme="minorHAnsi" w:hAnsiTheme="minorHAnsi"/>
        </w:rPr>
      </w:pPr>
      <w:r w:rsidRPr="00547165">
        <w:rPr>
          <w:rFonts w:asciiTheme="minorHAnsi" w:hAnsiTheme="minorHAnsi"/>
        </w:rPr>
        <w:t>During the variance period, the facility would be required to achieve the lowest effluent concentration possible under current operations and treatment and based on facility-specific data.</w:t>
      </w:r>
    </w:p>
    <w:p w:rsidR="00B20EC5" w:rsidRPr="00547165" w:rsidRDefault="00B20EC5" w:rsidP="00B20EC5">
      <w:pPr>
        <w:spacing w:after="0"/>
        <w:ind w:left="65"/>
        <w:rPr>
          <w:rFonts w:asciiTheme="minorHAnsi" w:hAnsiTheme="minorHAnsi"/>
        </w:rPr>
      </w:pPr>
    </w:p>
    <w:p w:rsidR="00B20EC5" w:rsidRPr="00547165" w:rsidRDefault="00B20EC5" w:rsidP="00D951F8">
      <w:pPr>
        <w:numPr>
          <w:ilvl w:val="0"/>
          <w:numId w:val="15"/>
        </w:numPr>
        <w:spacing w:after="0"/>
        <w:rPr>
          <w:rFonts w:asciiTheme="minorHAnsi" w:hAnsiTheme="minorHAnsi"/>
        </w:rPr>
      </w:pPr>
      <w:r w:rsidRPr="00547165">
        <w:rPr>
          <w:rFonts w:asciiTheme="minorHAnsi" w:hAnsiTheme="minorHAnsi"/>
        </w:rPr>
        <w:t>MDVs would be applicable for the duration of the NPDES permit term.</w:t>
      </w:r>
    </w:p>
    <w:p w:rsidR="00B20EC5" w:rsidRPr="00547165" w:rsidRDefault="00B20EC5" w:rsidP="00B20EC5">
      <w:pPr>
        <w:spacing w:after="0"/>
        <w:rPr>
          <w:rFonts w:asciiTheme="minorHAnsi" w:hAnsiTheme="minorHAnsi"/>
        </w:rPr>
      </w:pPr>
    </w:p>
    <w:p w:rsidR="00B20EC5" w:rsidRPr="00547165" w:rsidRDefault="00B20EC5" w:rsidP="00D951F8">
      <w:pPr>
        <w:numPr>
          <w:ilvl w:val="0"/>
          <w:numId w:val="15"/>
        </w:numPr>
        <w:spacing w:after="0"/>
        <w:rPr>
          <w:rFonts w:asciiTheme="minorHAnsi" w:hAnsiTheme="minorHAnsi"/>
        </w:rPr>
      </w:pPr>
      <w:r w:rsidRPr="00547165">
        <w:rPr>
          <w:rFonts w:asciiTheme="minorHAnsi" w:hAnsiTheme="minorHAnsi"/>
        </w:rPr>
        <w:t>MDVs could be extended upon the submittal of a renewal application from the discharger; however, details about what should be included in the discharger’s renewal application have not yet been explicitly identified.</w:t>
      </w:r>
    </w:p>
    <w:p w:rsidR="00B20EC5" w:rsidRPr="00547165" w:rsidRDefault="00B20EC5" w:rsidP="00B20EC5">
      <w:pPr>
        <w:spacing w:after="0"/>
        <w:rPr>
          <w:rFonts w:asciiTheme="minorHAnsi" w:hAnsiTheme="minorHAnsi"/>
          <w:color w:val="000000"/>
          <w:sz w:val="20"/>
          <w:szCs w:val="20"/>
        </w:rPr>
      </w:pPr>
    </w:p>
    <w:p w:rsidR="00B20EC5" w:rsidRPr="00547165" w:rsidRDefault="00B20EC5" w:rsidP="00D951F8">
      <w:pPr>
        <w:numPr>
          <w:ilvl w:val="0"/>
          <w:numId w:val="15"/>
        </w:numPr>
        <w:spacing w:after="0"/>
        <w:rPr>
          <w:rFonts w:asciiTheme="minorHAnsi" w:hAnsiTheme="minorHAnsi"/>
        </w:rPr>
      </w:pPr>
      <w:r w:rsidRPr="00547165">
        <w:rPr>
          <w:rFonts w:asciiTheme="minorHAnsi" w:hAnsiTheme="minorHAnsi"/>
          <w:color w:val="000000"/>
        </w:rPr>
        <w:t>Upon expiration of the variance, the underlying numerical criteria have full regulatory effect.</w:t>
      </w:r>
    </w:p>
    <w:p w:rsidR="00B20EC5" w:rsidRPr="00547165" w:rsidRDefault="00B20EC5" w:rsidP="00B20EC5">
      <w:pPr>
        <w:spacing w:after="0"/>
        <w:ind w:left="425"/>
        <w:rPr>
          <w:rFonts w:asciiTheme="minorHAnsi" w:hAnsiTheme="minorHAnsi"/>
        </w:rPr>
      </w:pPr>
    </w:p>
    <w:p w:rsidR="00B20EC5" w:rsidRPr="00547165" w:rsidRDefault="00B20EC5" w:rsidP="001D47E8">
      <w:pPr>
        <w:spacing w:after="0"/>
        <w:rPr>
          <w:rFonts w:asciiTheme="minorHAnsi" w:hAnsiTheme="minorHAnsi"/>
        </w:rPr>
      </w:pPr>
    </w:p>
    <w:p w:rsidR="001D47E8" w:rsidRPr="00547165" w:rsidRDefault="00E91D35" w:rsidP="001D47E8">
      <w:pPr>
        <w:spacing w:after="0"/>
        <w:rPr>
          <w:rFonts w:asciiTheme="minorHAnsi" w:hAnsiTheme="minorHAnsi"/>
        </w:rPr>
      </w:pPr>
      <w:r w:rsidRPr="00547165">
        <w:rPr>
          <w:rFonts w:asciiTheme="minorHAnsi" w:hAnsiTheme="minorHAnsi"/>
        </w:rPr>
        <w:t xml:space="preserve">A MDV provision must be approved by the Commission.  It is only effective after subsequent EPA approval.  </w:t>
      </w:r>
      <w:r w:rsidR="00221F47">
        <w:rPr>
          <w:rFonts w:asciiTheme="minorHAnsi" w:hAnsiTheme="minorHAnsi"/>
        </w:rPr>
        <w:t>Current knowledge suggests that t</w:t>
      </w:r>
      <w:r w:rsidR="001D47E8" w:rsidRPr="00547165">
        <w:rPr>
          <w:rFonts w:asciiTheme="minorHAnsi" w:hAnsiTheme="minorHAnsi"/>
        </w:rPr>
        <w:t>he multiple discharger variance rule provision would undergo periodic DEQ review at a regular interval (e.g., 5 years) to ensure that the conditions and DEQ’s conclusions regarding the basis for the multiple discharger variance is still supported. Resul</w:t>
      </w:r>
      <w:r w:rsidRPr="00547165">
        <w:rPr>
          <w:rFonts w:asciiTheme="minorHAnsi" w:hAnsiTheme="minorHAnsi"/>
        </w:rPr>
        <w:t>ts of these periodic reviews would be</w:t>
      </w:r>
      <w:r w:rsidR="001D47E8" w:rsidRPr="00547165">
        <w:rPr>
          <w:rFonts w:asciiTheme="minorHAnsi" w:hAnsiTheme="minorHAnsi"/>
        </w:rPr>
        <w:t xml:space="preserve"> submitted to EPA for review.</w:t>
      </w:r>
    </w:p>
    <w:p w:rsidR="00221F47" w:rsidRDefault="00221F47">
      <w:pPr>
        <w:spacing w:after="0" w:line="240" w:lineRule="auto"/>
        <w:rPr>
          <w:rFonts w:asciiTheme="minorHAnsi" w:hAnsiTheme="minorHAnsi"/>
        </w:rPr>
      </w:pPr>
    </w:p>
    <w:p w:rsidR="00221F47" w:rsidRDefault="00221F47">
      <w:pPr>
        <w:spacing w:after="0" w:line="240" w:lineRule="auto"/>
        <w:rPr>
          <w:rFonts w:asciiTheme="minorHAnsi" w:hAnsiTheme="minorHAnsi"/>
        </w:rPr>
      </w:pPr>
    </w:p>
    <w:p w:rsidR="00891540" w:rsidRDefault="00891540">
      <w:pPr>
        <w:spacing w:after="0" w:line="240" w:lineRule="auto"/>
        <w:rPr>
          <w:rFonts w:asciiTheme="minorHAnsi" w:hAnsiTheme="minorHAnsi"/>
          <w:i/>
        </w:rPr>
      </w:pPr>
    </w:p>
    <w:p w:rsidR="00E41633" w:rsidRPr="00E41633" w:rsidRDefault="00E41633" w:rsidP="00DB1EFF">
      <w:pPr>
        <w:spacing w:after="0" w:line="240" w:lineRule="auto"/>
        <w:rPr>
          <w:rStyle w:val="BookTitle"/>
          <w:sz w:val="28"/>
          <w:szCs w:val="28"/>
        </w:rPr>
      </w:pPr>
    </w:p>
    <w:p w:rsidR="00891540" w:rsidRDefault="00891540">
      <w:pPr>
        <w:spacing w:after="0" w:line="240" w:lineRule="auto"/>
        <w:rPr>
          <w:rFonts w:asciiTheme="minorHAnsi" w:hAnsiTheme="minorHAnsi"/>
          <w:i/>
        </w:rPr>
      </w:pPr>
    </w:p>
    <w:p w:rsidR="00891540" w:rsidRDefault="00891540">
      <w:pPr>
        <w:spacing w:after="0" w:line="240" w:lineRule="auto"/>
        <w:rPr>
          <w:rFonts w:asciiTheme="minorHAnsi" w:hAnsiTheme="minorHAnsi"/>
          <w:i/>
        </w:rPr>
      </w:pPr>
    </w:p>
    <w:p w:rsidR="00891540" w:rsidRDefault="00891540" w:rsidP="00891540">
      <w:pPr>
        <w:spacing w:after="0" w:line="240" w:lineRule="auto"/>
        <w:rPr>
          <w:rFonts w:asciiTheme="minorHAnsi" w:hAnsiTheme="minorHAnsi"/>
          <w:i/>
        </w:rPr>
      </w:pPr>
    </w:p>
    <w:p w:rsidR="00144D58" w:rsidRPr="005D4F1F" w:rsidRDefault="00144D58" w:rsidP="00144D58">
      <w:pPr>
        <w:spacing w:after="0"/>
      </w:pPr>
    </w:p>
    <w:p w:rsidR="00144D58" w:rsidRPr="005D4F1F" w:rsidRDefault="00144D58" w:rsidP="00144D58">
      <w:pPr>
        <w:spacing w:after="0"/>
      </w:pPr>
    </w:p>
    <w:p w:rsidR="00144D58" w:rsidRPr="005D4F1F" w:rsidRDefault="00144D58" w:rsidP="00144D58">
      <w:pPr>
        <w:spacing w:after="0"/>
      </w:pPr>
    </w:p>
    <w:p w:rsidR="00144D58" w:rsidRPr="005D4F1F" w:rsidRDefault="00144D58" w:rsidP="00144D58">
      <w:pPr>
        <w:spacing w:after="0"/>
      </w:pPr>
    </w:p>
    <w:p w:rsidR="00144D58" w:rsidRPr="005D4F1F" w:rsidRDefault="00144D58" w:rsidP="00144D58">
      <w:pPr>
        <w:spacing w:after="0"/>
      </w:pPr>
      <w:r w:rsidRPr="005D4F1F">
        <w:tab/>
      </w:r>
    </w:p>
    <w:p w:rsidR="00144D58" w:rsidRPr="005D4F1F" w:rsidRDefault="00144D58" w:rsidP="00144D58">
      <w:pPr>
        <w:spacing w:after="0"/>
      </w:pPr>
    </w:p>
    <w:p w:rsidR="004B6647" w:rsidRPr="00144D58" w:rsidRDefault="004B6647" w:rsidP="00144D58">
      <w:pPr>
        <w:rPr>
          <w:rStyle w:val="IntenseEmphasis"/>
          <w:color w:val="auto"/>
          <w:sz w:val="28"/>
          <w:szCs w:val="28"/>
        </w:rPr>
      </w:pPr>
      <w:r w:rsidRPr="00144D58">
        <w:rPr>
          <w:rStyle w:val="IntenseEmphasis"/>
          <w:color w:val="auto"/>
          <w:sz w:val="28"/>
          <w:szCs w:val="28"/>
        </w:rPr>
        <w:br w:type="page"/>
      </w:r>
    </w:p>
    <w:p w:rsidR="00115BE6" w:rsidRDefault="00115BE6" w:rsidP="00115BE6">
      <w:pPr>
        <w:autoSpaceDE w:val="0"/>
        <w:autoSpaceDN w:val="0"/>
        <w:adjustRightInd w:val="0"/>
        <w:jc w:val="center"/>
        <w:rPr>
          <w:rFonts w:cs="Helv"/>
          <w:b/>
          <w:bCs/>
          <w:iCs/>
          <w:sz w:val="28"/>
          <w:szCs w:val="28"/>
        </w:rPr>
      </w:pPr>
      <w:r>
        <w:rPr>
          <w:rFonts w:cs="Helv"/>
          <w:b/>
          <w:bCs/>
          <w:iCs/>
          <w:sz w:val="28"/>
          <w:szCs w:val="28"/>
        </w:rPr>
        <w:t>Appendix A</w:t>
      </w:r>
    </w:p>
    <w:p w:rsidR="00115BE6" w:rsidRPr="00ED314F" w:rsidRDefault="00115BE6" w:rsidP="00115BE6">
      <w:pPr>
        <w:autoSpaceDE w:val="0"/>
        <w:autoSpaceDN w:val="0"/>
        <w:adjustRightInd w:val="0"/>
        <w:jc w:val="center"/>
        <w:rPr>
          <w:rFonts w:cs="Helv"/>
          <w:b/>
          <w:bCs/>
          <w:iCs/>
          <w:sz w:val="28"/>
          <w:szCs w:val="28"/>
        </w:rPr>
      </w:pPr>
      <w:proofErr w:type="spellStart"/>
      <w:r>
        <w:rPr>
          <w:rFonts w:cs="Helv"/>
          <w:b/>
          <w:bCs/>
          <w:iCs/>
          <w:sz w:val="28"/>
          <w:szCs w:val="28"/>
        </w:rPr>
        <w:t>Waterbodies</w:t>
      </w:r>
      <w:proofErr w:type="spellEnd"/>
      <w:r w:rsidR="00ED1E64">
        <w:rPr>
          <w:rFonts w:cs="Helv"/>
          <w:b/>
          <w:bCs/>
          <w:iCs/>
          <w:sz w:val="28"/>
          <w:szCs w:val="28"/>
        </w:rPr>
        <w:t>*</w:t>
      </w:r>
      <w:r>
        <w:rPr>
          <w:rFonts w:cs="Helv"/>
          <w:b/>
          <w:bCs/>
          <w:iCs/>
          <w:sz w:val="28"/>
          <w:szCs w:val="28"/>
        </w:rPr>
        <w:t xml:space="preserve"> Listed for Toxics on the 2004/2006 Integrated Report</w:t>
      </w:r>
      <w:r w:rsidR="00ED1E64">
        <w:rPr>
          <w:rStyle w:val="FootnoteReference"/>
          <w:rFonts w:cs="Helv"/>
          <w:b/>
          <w:bCs/>
          <w:iCs/>
          <w:sz w:val="28"/>
          <w:szCs w:val="28"/>
        </w:rPr>
        <w:footnoteReference w:id="8"/>
      </w:r>
    </w:p>
    <w:tbl>
      <w:tblPr>
        <w:tblW w:w="8220" w:type="dxa"/>
        <w:tblInd w:w="1149" w:type="dxa"/>
        <w:tblLook w:val="04A0"/>
      </w:tblPr>
      <w:tblGrid>
        <w:gridCol w:w="2540"/>
        <w:gridCol w:w="2380"/>
        <w:gridCol w:w="3300"/>
      </w:tblGrid>
      <w:tr w:rsidR="00115BE6" w:rsidRPr="00115BE6" w:rsidTr="00115BE6">
        <w:trPr>
          <w:trHeight w:val="870"/>
        </w:trPr>
        <w:tc>
          <w:tcPr>
            <w:tcW w:w="254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115BE6" w:rsidRPr="00115BE6" w:rsidRDefault="00115BE6" w:rsidP="00115BE6">
            <w:pPr>
              <w:spacing w:after="0" w:line="240" w:lineRule="auto"/>
              <w:jc w:val="center"/>
              <w:rPr>
                <w:rFonts w:eastAsia="Times New Roman"/>
                <w:b/>
                <w:bCs/>
                <w:color w:val="FFFFFF"/>
                <w:sz w:val="20"/>
                <w:szCs w:val="20"/>
              </w:rPr>
            </w:pPr>
            <w:r w:rsidRPr="00115BE6">
              <w:rPr>
                <w:rFonts w:eastAsia="Times New Roman"/>
                <w:b/>
                <w:bCs/>
                <w:color w:val="FFFFFF"/>
                <w:sz w:val="20"/>
                <w:szCs w:val="20"/>
              </w:rPr>
              <w:t>Watershed (USGS 4th Field Name)</w:t>
            </w:r>
          </w:p>
        </w:tc>
        <w:tc>
          <w:tcPr>
            <w:tcW w:w="2380" w:type="dxa"/>
            <w:tcBorders>
              <w:top w:val="single" w:sz="4" w:space="0" w:color="auto"/>
              <w:left w:val="nil"/>
              <w:bottom w:val="single" w:sz="4" w:space="0" w:color="auto"/>
              <w:right w:val="nil"/>
            </w:tcBorders>
            <w:shd w:val="clear" w:color="000000" w:fill="376091"/>
            <w:vAlign w:val="center"/>
            <w:hideMark/>
          </w:tcPr>
          <w:p w:rsidR="00115BE6" w:rsidRPr="00115BE6" w:rsidRDefault="00115BE6" w:rsidP="00115BE6">
            <w:pPr>
              <w:spacing w:after="0" w:line="240" w:lineRule="auto"/>
              <w:jc w:val="center"/>
              <w:rPr>
                <w:rFonts w:eastAsia="Times New Roman"/>
                <w:b/>
                <w:bCs/>
                <w:color w:val="FFFFFF"/>
                <w:sz w:val="20"/>
                <w:szCs w:val="20"/>
              </w:rPr>
            </w:pPr>
            <w:r w:rsidRPr="00115BE6">
              <w:rPr>
                <w:rFonts w:eastAsia="Times New Roman"/>
                <w:b/>
                <w:bCs/>
                <w:color w:val="FFFFFF"/>
                <w:sz w:val="20"/>
                <w:szCs w:val="20"/>
              </w:rPr>
              <w:t>Water Body (Stream/Lake)</w:t>
            </w:r>
          </w:p>
        </w:tc>
        <w:tc>
          <w:tcPr>
            <w:tcW w:w="330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115BE6" w:rsidRPr="00115BE6" w:rsidRDefault="00115BE6" w:rsidP="00115BE6">
            <w:pPr>
              <w:spacing w:after="0" w:line="240" w:lineRule="auto"/>
              <w:jc w:val="center"/>
              <w:rPr>
                <w:rFonts w:eastAsia="Times New Roman"/>
                <w:b/>
                <w:bCs/>
                <w:color w:val="FFFFFF"/>
                <w:sz w:val="20"/>
                <w:szCs w:val="20"/>
              </w:rPr>
            </w:pPr>
            <w:r w:rsidRPr="00115BE6">
              <w:rPr>
                <w:rFonts w:eastAsia="Times New Roman"/>
                <w:b/>
                <w:bCs/>
                <w:color w:val="FFFFFF"/>
                <w:sz w:val="20"/>
                <w:szCs w:val="20"/>
              </w:rPr>
              <w:t>303(d) Toxics Listing</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COAST FORK WILLAMETTE</w:t>
            </w:r>
          </w:p>
        </w:tc>
        <w:tc>
          <w:tcPr>
            <w:tcW w:w="2380" w:type="dxa"/>
            <w:tcBorders>
              <w:top w:val="nil"/>
              <w:left w:val="nil"/>
              <w:bottom w:val="single" w:sz="4" w:space="0" w:color="auto"/>
              <w:right w:val="nil"/>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Coast Fork Willamette River</w:t>
            </w:r>
          </w:p>
        </w:tc>
        <w:tc>
          <w:tcPr>
            <w:tcW w:w="330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Mercury</w:t>
            </w:r>
          </w:p>
        </w:tc>
      </w:tr>
      <w:tr w:rsidR="00115BE6" w:rsidRPr="00115BE6" w:rsidTr="00115BE6">
        <w:trPr>
          <w:trHeight w:val="675"/>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COAST FORK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Coast Fork Willamette River / Cottage Grove Reservoir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COAST FORK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Dennis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COAST FORK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Row River / </w:t>
            </w:r>
            <w:proofErr w:type="spellStart"/>
            <w:r w:rsidRPr="00115BE6">
              <w:rPr>
                <w:rFonts w:eastAsia="Times New Roman"/>
                <w:color w:val="000000"/>
                <w:sz w:val="16"/>
                <w:szCs w:val="16"/>
              </w:rPr>
              <w:t>Dorena</w:t>
            </w:r>
            <w:proofErr w:type="spellEnd"/>
            <w:r w:rsidRPr="00115BE6">
              <w:rPr>
                <w:rFonts w:eastAsia="Times New Roman"/>
                <w:color w:val="000000"/>
                <w:sz w:val="16"/>
                <w:szCs w:val="16"/>
              </w:rPr>
              <w:t xml:space="preserve"> Lake</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COOS</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Elk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COOS</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Isthmus Slough</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COQUILLE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Fishtrap</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Columbia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DDE, PCB, PAH</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Klamath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Ammonia</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Malheur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DDT, </w:t>
            </w:r>
            <w:proofErr w:type="spellStart"/>
            <w:r w:rsidRPr="00115BE6">
              <w:rPr>
                <w:rFonts w:eastAsia="Times New Roman"/>
                <w:color w:val="000000"/>
                <w:sz w:val="16"/>
                <w:szCs w:val="16"/>
              </w:rPr>
              <w:t>Dieldrin</w:t>
            </w:r>
            <w:proofErr w:type="spellEnd"/>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Owyhee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DDT, </w:t>
            </w:r>
            <w:proofErr w:type="spellStart"/>
            <w:r w:rsidRPr="00115BE6">
              <w:rPr>
                <w:rFonts w:eastAsia="Times New Roman"/>
                <w:color w:val="000000"/>
                <w:sz w:val="16"/>
                <w:szCs w:val="16"/>
              </w:rPr>
              <w:t>Dieldrin</w:t>
            </w:r>
            <w:proofErr w:type="spellEnd"/>
            <w:r w:rsidRPr="00115BE6">
              <w:rPr>
                <w:rFonts w:eastAsia="Times New Roman"/>
                <w:color w:val="000000"/>
                <w:sz w:val="16"/>
                <w:szCs w:val="16"/>
              </w:rPr>
              <w:t>, 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Snake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90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Willamette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Aldrin</w:t>
            </w:r>
            <w:proofErr w:type="spellEnd"/>
            <w:r w:rsidRPr="00115BE6">
              <w:rPr>
                <w:rFonts w:eastAsia="Times New Roman"/>
                <w:color w:val="000000"/>
                <w:sz w:val="16"/>
                <w:szCs w:val="16"/>
              </w:rPr>
              <w:t xml:space="preserve">, Arsenic, DDT, DDE, </w:t>
            </w:r>
            <w:proofErr w:type="spellStart"/>
            <w:r w:rsidRPr="00115BE6">
              <w:rPr>
                <w:rFonts w:eastAsia="Times New Roman"/>
                <w:color w:val="000000"/>
                <w:sz w:val="16"/>
                <w:szCs w:val="16"/>
              </w:rPr>
              <w:t>Dieldrin</w:t>
            </w:r>
            <w:proofErr w:type="spellEnd"/>
            <w:r w:rsidRPr="00115BE6">
              <w:rPr>
                <w:rFonts w:eastAsia="Times New Roman"/>
                <w:color w:val="000000"/>
                <w:sz w:val="16"/>
                <w:szCs w:val="16"/>
              </w:rPr>
              <w:t>, Iron, Manganese, Mercury, PCB, Pentachlorophenol, PAH,</w:t>
            </w:r>
          </w:p>
        </w:tc>
      </w:tr>
      <w:tr w:rsidR="00115BE6" w:rsidRPr="00115BE6" w:rsidTr="00115BE6">
        <w:trPr>
          <w:trHeight w:val="675"/>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 / LOWER OWYHEE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Owyhee River / Owyhee, Lake</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DONNER UND BLITZEN</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Bridge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 Beryllium</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DONNER UND BLITZEN</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Little </w:t>
            </w:r>
            <w:proofErr w:type="spellStart"/>
            <w:r w:rsidRPr="00115BE6">
              <w:rPr>
                <w:rFonts w:eastAsia="Times New Roman"/>
                <w:color w:val="000000"/>
                <w:sz w:val="16"/>
                <w:szCs w:val="16"/>
              </w:rPr>
              <w:t>Blitzen</w:t>
            </w:r>
            <w:proofErr w:type="spellEnd"/>
            <w:r w:rsidRPr="00115BE6">
              <w:rPr>
                <w:rFonts w:eastAsia="Times New Roman"/>
                <w:color w:val="000000"/>
                <w:sz w:val="16"/>
                <w:szCs w:val="16"/>
              </w:rPr>
              <w:t xml:space="preserve">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w:t>
            </w:r>
          </w:p>
        </w:tc>
      </w:tr>
      <w:tr w:rsidR="00115BE6" w:rsidRPr="00115BE6" w:rsidTr="00115BE6">
        <w:trPr>
          <w:trHeight w:val="43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GOOSE LAKE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East Branch Thomas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GOOSE LAKE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Thomas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46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JORDAN</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Jack Creek / Antelope Reservoir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JORDAN</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Jordan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LOST</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Klamath Strait</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Ammonia</w:t>
            </w:r>
          </w:p>
        </w:tc>
      </w:tr>
      <w:tr w:rsidR="008F5C4C" w:rsidRPr="00115BE6" w:rsidTr="00494B5E">
        <w:trPr>
          <w:trHeight w:val="870"/>
        </w:trPr>
        <w:tc>
          <w:tcPr>
            <w:tcW w:w="254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8F5C4C" w:rsidRPr="00115BE6" w:rsidRDefault="008F5C4C" w:rsidP="00494B5E">
            <w:pPr>
              <w:spacing w:after="0" w:line="240" w:lineRule="auto"/>
              <w:jc w:val="center"/>
              <w:rPr>
                <w:rFonts w:eastAsia="Times New Roman"/>
                <w:b/>
                <w:bCs/>
                <w:color w:val="FFFFFF"/>
                <w:sz w:val="20"/>
                <w:szCs w:val="20"/>
              </w:rPr>
            </w:pPr>
            <w:r w:rsidRPr="00115BE6">
              <w:rPr>
                <w:rFonts w:eastAsia="Times New Roman"/>
                <w:b/>
                <w:bCs/>
                <w:color w:val="FFFFFF"/>
                <w:sz w:val="20"/>
                <w:szCs w:val="20"/>
              </w:rPr>
              <w:t>Watershed (USGS 4th Field Name)</w:t>
            </w:r>
          </w:p>
        </w:tc>
        <w:tc>
          <w:tcPr>
            <w:tcW w:w="2380" w:type="dxa"/>
            <w:tcBorders>
              <w:top w:val="single" w:sz="4" w:space="0" w:color="auto"/>
              <w:left w:val="nil"/>
              <w:bottom w:val="single" w:sz="4" w:space="0" w:color="auto"/>
              <w:right w:val="nil"/>
            </w:tcBorders>
            <w:shd w:val="clear" w:color="000000" w:fill="376091"/>
            <w:vAlign w:val="center"/>
            <w:hideMark/>
          </w:tcPr>
          <w:p w:rsidR="008F5C4C" w:rsidRPr="00115BE6" w:rsidRDefault="008F5C4C" w:rsidP="00494B5E">
            <w:pPr>
              <w:spacing w:after="0" w:line="240" w:lineRule="auto"/>
              <w:jc w:val="center"/>
              <w:rPr>
                <w:rFonts w:eastAsia="Times New Roman"/>
                <w:b/>
                <w:bCs/>
                <w:color w:val="FFFFFF"/>
                <w:sz w:val="20"/>
                <w:szCs w:val="20"/>
              </w:rPr>
            </w:pPr>
            <w:r w:rsidRPr="00115BE6">
              <w:rPr>
                <w:rFonts w:eastAsia="Times New Roman"/>
                <w:b/>
                <w:bCs/>
                <w:color w:val="FFFFFF"/>
                <w:sz w:val="20"/>
                <w:szCs w:val="20"/>
              </w:rPr>
              <w:t>Water Body (Stream/Lake)</w:t>
            </w:r>
          </w:p>
        </w:tc>
        <w:tc>
          <w:tcPr>
            <w:tcW w:w="330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8F5C4C" w:rsidRPr="00115BE6" w:rsidRDefault="008F5C4C" w:rsidP="00494B5E">
            <w:pPr>
              <w:spacing w:after="0" w:line="240" w:lineRule="auto"/>
              <w:jc w:val="center"/>
              <w:rPr>
                <w:rFonts w:eastAsia="Times New Roman"/>
                <w:b/>
                <w:bCs/>
                <w:color w:val="FFFFFF"/>
                <w:sz w:val="20"/>
                <w:szCs w:val="20"/>
              </w:rPr>
            </w:pPr>
            <w:r w:rsidRPr="00115BE6">
              <w:rPr>
                <w:rFonts w:eastAsia="Times New Roman"/>
                <w:b/>
                <w:bCs/>
                <w:color w:val="FFFFFF"/>
                <w:sz w:val="20"/>
                <w:szCs w:val="20"/>
              </w:rPr>
              <w:t>303(d) Toxics Listing</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LOST</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Lost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Ammonia</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Chromium (hex)</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Copper</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Zinc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OWYHEE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Overstreet Drain</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Copper, Iron, Lead,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Arata</w:t>
            </w:r>
            <w:proofErr w:type="spellEnd"/>
            <w:r w:rsidRPr="00115BE6">
              <w:rPr>
                <w:rFonts w:eastAsia="Times New Roman"/>
                <w:color w:val="000000"/>
                <w:sz w:val="16"/>
                <w:szCs w:val="16"/>
              </w:rPr>
              <w:t xml:space="preserve"> Creek / Blue Lake</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Ammonia,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Columbia Slough</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Johnson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DDT, </w:t>
            </w:r>
            <w:proofErr w:type="spellStart"/>
            <w:r w:rsidRPr="00115BE6">
              <w:rPr>
                <w:rFonts w:eastAsia="Times New Roman"/>
                <w:color w:val="000000"/>
                <w:sz w:val="16"/>
                <w:szCs w:val="16"/>
              </w:rPr>
              <w:t>Dieldrin</w:t>
            </w:r>
            <w:proofErr w:type="spellEnd"/>
            <w:r w:rsidRPr="00115BE6">
              <w:rPr>
                <w:rFonts w:eastAsia="Times New Roman"/>
                <w:color w:val="000000"/>
                <w:sz w:val="16"/>
                <w:szCs w:val="16"/>
              </w:rPr>
              <w:t>, PCB, PAH</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Columbia Slough</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MCKENZIE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Blue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MCKENZIE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Mohawk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Dog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 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East Fork Hood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 Copper, 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Evans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 Copper, 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Hood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 Copper, 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Indian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Chlorpyrifos</w:t>
            </w:r>
            <w:proofErr w:type="spellEnd"/>
          </w:p>
        </w:tc>
      </w:tr>
      <w:tr w:rsidR="00115BE6" w:rsidRPr="00115BE6" w:rsidTr="00115BE6">
        <w:trPr>
          <w:trHeight w:val="54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Lenz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(tri), Beryllium, </w:t>
            </w:r>
            <w:proofErr w:type="spellStart"/>
            <w:r w:rsidRPr="00115BE6">
              <w:rPr>
                <w:rFonts w:eastAsia="Times New Roman"/>
                <w:color w:val="000000"/>
                <w:sz w:val="16"/>
                <w:szCs w:val="16"/>
              </w:rPr>
              <w:t>Chloropyrifos</w:t>
            </w:r>
            <w:proofErr w:type="spellEnd"/>
            <w:r w:rsidRPr="00115BE6">
              <w:rPr>
                <w:rFonts w:eastAsia="Times New Roman"/>
                <w:color w:val="000000"/>
                <w:sz w:val="16"/>
                <w:szCs w:val="16"/>
              </w:rPr>
              <w:t>, 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Fork Hood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 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Mitchell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Zinc</w:t>
            </w:r>
          </w:p>
        </w:tc>
      </w:tr>
      <w:tr w:rsidR="00115BE6" w:rsidRPr="00115BE6" w:rsidTr="00115BE6">
        <w:trPr>
          <w:trHeight w:val="67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Neal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(tri), Beryllium, </w:t>
            </w:r>
            <w:proofErr w:type="spellStart"/>
            <w:r w:rsidRPr="00115BE6">
              <w:rPr>
                <w:rFonts w:eastAsia="Times New Roman"/>
                <w:color w:val="000000"/>
                <w:sz w:val="16"/>
                <w:szCs w:val="16"/>
              </w:rPr>
              <w:t>Chloropyrifos</w:t>
            </w:r>
            <w:proofErr w:type="spellEnd"/>
            <w:r w:rsidRPr="00115BE6">
              <w:rPr>
                <w:rFonts w:eastAsia="Times New Roman"/>
                <w:color w:val="000000"/>
                <w:sz w:val="16"/>
                <w:szCs w:val="16"/>
              </w:rPr>
              <w:t xml:space="preserve">, </w:t>
            </w:r>
            <w:proofErr w:type="spellStart"/>
            <w:r w:rsidRPr="00115BE6">
              <w:rPr>
                <w:rFonts w:eastAsia="Times New Roman"/>
                <w:color w:val="000000"/>
                <w:sz w:val="16"/>
                <w:szCs w:val="16"/>
              </w:rPr>
              <w:t>Guthion</w:t>
            </w:r>
            <w:proofErr w:type="spellEnd"/>
            <w:r w:rsidRPr="00115BE6">
              <w:rPr>
                <w:rFonts w:eastAsia="Times New Roman"/>
                <w:color w:val="000000"/>
                <w:sz w:val="16"/>
                <w:szCs w:val="16"/>
              </w:rPr>
              <w:t>, 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West Fork Hood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Champoeg</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Dieldrin</w:t>
            </w:r>
            <w:proofErr w:type="spellEnd"/>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Pringle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Copper, </w:t>
            </w:r>
            <w:proofErr w:type="spellStart"/>
            <w:r w:rsidRPr="00115BE6">
              <w:rPr>
                <w:rFonts w:eastAsia="Times New Roman"/>
                <w:color w:val="000000"/>
                <w:sz w:val="16"/>
                <w:szCs w:val="16"/>
              </w:rPr>
              <w:t>Dieldrin</w:t>
            </w:r>
            <w:proofErr w:type="spellEnd"/>
            <w:r w:rsidRPr="00115BE6">
              <w:rPr>
                <w:rFonts w:eastAsia="Times New Roman"/>
                <w:color w:val="000000"/>
                <w:sz w:val="16"/>
                <w:szCs w:val="16"/>
              </w:rPr>
              <w:t>, Lead, Zinc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Pringle Creek </w:t>
            </w:r>
            <w:proofErr w:type="spellStart"/>
            <w:r w:rsidRPr="00115BE6">
              <w:rPr>
                <w:rFonts w:eastAsia="Times New Roman"/>
                <w:color w:val="000000"/>
                <w:sz w:val="16"/>
                <w:szCs w:val="16"/>
              </w:rPr>
              <w:t>Trib</w:t>
            </w:r>
            <w:proofErr w:type="spellEnd"/>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Heptachlor</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MOLALLA-PUDDING</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Pudding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DDT, Iron, Manganese</w:t>
            </w:r>
          </w:p>
        </w:tc>
      </w:tr>
      <w:tr w:rsidR="00115BE6" w:rsidRPr="00115BE6" w:rsidTr="00115BE6">
        <w:trPr>
          <w:trHeight w:val="54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MOLALLA-PUDDING</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Zollner</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Chlordane, </w:t>
            </w:r>
            <w:proofErr w:type="spellStart"/>
            <w:r w:rsidRPr="00115BE6">
              <w:rPr>
                <w:rFonts w:eastAsia="Times New Roman"/>
                <w:color w:val="000000"/>
                <w:sz w:val="16"/>
                <w:szCs w:val="16"/>
              </w:rPr>
              <w:t>Dieldrin</w:t>
            </w:r>
            <w:proofErr w:type="spellEnd"/>
            <w:r w:rsidRPr="00115BE6">
              <w:rPr>
                <w:rFonts w:eastAsia="Times New Roman"/>
                <w:color w:val="000000"/>
                <w:sz w:val="16"/>
                <w:szCs w:val="16"/>
              </w:rPr>
              <w:t>, Iron, Manganese, Nitrates</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NECANICUM</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Ecola</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8F5C4C" w:rsidRPr="00115BE6" w:rsidTr="00494B5E">
        <w:trPr>
          <w:trHeight w:val="870"/>
        </w:trPr>
        <w:tc>
          <w:tcPr>
            <w:tcW w:w="254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8F5C4C" w:rsidRPr="00115BE6" w:rsidRDefault="008F5C4C" w:rsidP="00494B5E">
            <w:pPr>
              <w:spacing w:after="0" w:line="240" w:lineRule="auto"/>
              <w:jc w:val="center"/>
              <w:rPr>
                <w:rFonts w:eastAsia="Times New Roman"/>
                <w:b/>
                <w:bCs/>
                <w:color w:val="FFFFFF"/>
                <w:sz w:val="20"/>
                <w:szCs w:val="20"/>
              </w:rPr>
            </w:pPr>
            <w:r w:rsidRPr="00115BE6">
              <w:rPr>
                <w:rFonts w:eastAsia="Times New Roman"/>
                <w:b/>
                <w:bCs/>
                <w:color w:val="FFFFFF"/>
                <w:sz w:val="20"/>
                <w:szCs w:val="20"/>
              </w:rPr>
              <w:t>Watershed (USGS 4th Field Name)</w:t>
            </w:r>
          </w:p>
        </w:tc>
        <w:tc>
          <w:tcPr>
            <w:tcW w:w="2380" w:type="dxa"/>
            <w:tcBorders>
              <w:top w:val="single" w:sz="4" w:space="0" w:color="auto"/>
              <w:left w:val="nil"/>
              <w:bottom w:val="single" w:sz="4" w:space="0" w:color="auto"/>
              <w:right w:val="nil"/>
            </w:tcBorders>
            <w:shd w:val="clear" w:color="000000" w:fill="376091"/>
            <w:vAlign w:val="center"/>
            <w:hideMark/>
          </w:tcPr>
          <w:p w:rsidR="008F5C4C" w:rsidRPr="00115BE6" w:rsidRDefault="008F5C4C" w:rsidP="00494B5E">
            <w:pPr>
              <w:spacing w:after="0" w:line="240" w:lineRule="auto"/>
              <w:jc w:val="center"/>
              <w:rPr>
                <w:rFonts w:eastAsia="Times New Roman"/>
                <w:b/>
                <w:bCs/>
                <w:color w:val="FFFFFF"/>
                <w:sz w:val="20"/>
                <w:szCs w:val="20"/>
              </w:rPr>
            </w:pPr>
            <w:r w:rsidRPr="00115BE6">
              <w:rPr>
                <w:rFonts w:eastAsia="Times New Roman"/>
                <w:b/>
                <w:bCs/>
                <w:color w:val="FFFFFF"/>
                <w:sz w:val="20"/>
                <w:szCs w:val="20"/>
              </w:rPr>
              <w:t>Water Body (Stream/Lake)</w:t>
            </w:r>
          </w:p>
        </w:tc>
        <w:tc>
          <w:tcPr>
            <w:tcW w:w="330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8F5C4C" w:rsidRPr="00115BE6" w:rsidRDefault="008F5C4C" w:rsidP="00494B5E">
            <w:pPr>
              <w:spacing w:after="0" w:line="240" w:lineRule="auto"/>
              <w:jc w:val="center"/>
              <w:rPr>
                <w:rFonts w:eastAsia="Times New Roman"/>
                <w:b/>
                <w:bCs/>
                <w:color w:val="FFFFFF"/>
                <w:sz w:val="20"/>
                <w:szCs w:val="20"/>
              </w:rPr>
            </w:pPr>
            <w:r w:rsidRPr="00115BE6">
              <w:rPr>
                <w:rFonts w:eastAsia="Times New Roman"/>
                <w:b/>
                <w:bCs/>
                <w:color w:val="FFFFFF"/>
                <w:sz w:val="20"/>
                <w:szCs w:val="20"/>
              </w:rPr>
              <w:t>303(d) Toxics Listing</w:t>
            </w:r>
          </w:p>
        </w:tc>
      </w:tr>
      <w:tr w:rsidR="00115BE6" w:rsidRPr="00115BE6" w:rsidTr="00115BE6">
        <w:trPr>
          <w:trHeight w:val="54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Cooper Creek / Cooper Creek Reservoir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Platt I Reservoir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Sutherlin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Beryllium, Copper, Iron, Lead,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Lead</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Galesville Reservoir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Cadmium, Copper, Manganese, Nickel, Zinc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Olalla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Fork Middle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Cadmium, Copper, Manganese, Zinc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Umpqua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Cadmium</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TUALATIN</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Beaverton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TUALATIN</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Fanno</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Dieldrin</w:t>
            </w:r>
            <w:proofErr w:type="spellEnd"/>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Tualatin</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Koll Wetland</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Chromium (hex), Copper, Lead, Silver, Zinc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TUALATIN</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Tualatin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Athena Spring</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Nitrates</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Birch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Butter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McKay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Wildhorse</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Calapooya</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Cook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 Copper, Iron, Lead, Manganese</w:t>
            </w:r>
          </w:p>
        </w:tc>
      </w:tr>
      <w:tr w:rsidR="00115BE6" w:rsidRPr="00115BE6" w:rsidTr="00115BE6">
        <w:trPr>
          <w:trHeight w:val="67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A-3 Drain</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w:t>
            </w:r>
            <w:proofErr w:type="spellStart"/>
            <w:r w:rsidRPr="00115BE6">
              <w:rPr>
                <w:rFonts w:eastAsia="Times New Roman"/>
                <w:color w:val="000000"/>
                <w:sz w:val="16"/>
                <w:szCs w:val="16"/>
              </w:rPr>
              <w:t>Dichloroethylenes</w:t>
            </w:r>
            <w:proofErr w:type="spellEnd"/>
            <w:r w:rsidRPr="00115BE6">
              <w:rPr>
                <w:rFonts w:eastAsia="Times New Roman"/>
                <w:color w:val="000000"/>
                <w:sz w:val="16"/>
                <w:szCs w:val="16"/>
              </w:rPr>
              <w:t xml:space="preserve">, </w:t>
            </w:r>
            <w:proofErr w:type="spellStart"/>
            <w:r w:rsidRPr="00115BE6">
              <w:rPr>
                <w:rFonts w:eastAsia="Times New Roman"/>
                <w:color w:val="000000"/>
                <w:sz w:val="16"/>
                <w:szCs w:val="16"/>
              </w:rPr>
              <w:t>Tetrachloroethylene</w:t>
            </w:r>
            <w:proofErr w:type="spellEnd"/>
          </w:p>
        </w:tc>
      </w:tr>
      <w:tr w:rsidR="00115BE6" w:rsidRPr="00115BE6" w:rsidTr="00115BE6">
        <w:trPr>
          <w:trHeight w:val="90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Amazon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Copper, </w:t>
            </w:r>
            <w:proofErr w:type="spellStart"/>
            <w:r w:rsidRPr="00115BE6">
              <w:rPr>
                <w:rFonts w:eastAsia="Times New Roman"/>
                <w:color w:val="000000"/>
                <w:sz w:val="16"/>
                <w:szCs w:val="16"/>
              </w:rPr>
              <w:t>Dichloroethylenes</w:t>
            </w:r>
            <w:proofErr w:type="spellEnd"/>
            <w:r w:rsidRPr="00115BE6">
              <w:rPr>
                <w:rFonts w:eastAsia="Times New Roman"/>
                <w:color w:val="000000"/>
                <w:sz w:val="16"/>
                <w:szCs w:val="16"/>
              </w:rPr>
              <w:t xml:space="preserve">, Lead, </w:t>
            </w:r>
            <w:proofErr w:type="spellStart"/>
            <w:r w:rsidRPr="00115BE6">
              <w:rPr>
                <w:rFonts w:eastAsia="Times New Roman"/>
                <w:color w:val="000000"/>
                <w:sz w:val="16"/>
                <w:szCs w:val="16"/>
              </w:rPr>
              <w:t>tetrachloroethylene</w:t>
            </w:r>
            <w:proofErr w:type="spellEnd"/>
            <w:r w:rsidRPr="00115BE6">
              <w:rPr>
                <w:rFonts w:eastAsia="Times New Roman"/>
                <w:color w:val="000000"/>
                <w:sz w:val="16"/>
                <w:szCs w:val="16"/>
              </w:rPr>
              <w:t>, Trichloroethylene</w:t>
            </w:r>
          </w:p>
        </w:tc>
      </w:tr>
      <w:tr w:rsidR="00115BE6" w:rsidRPr="00115BE6" w:rsidTr="00115BE6">
        <w:trPr>
          <w:trHeight w:val="43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Amazon Creek Diversion Channel</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(tri), Copper, Lead, Mercury</w:t>
            </w:r>
          </w:p>
        </w:tc>
      </w:tr>
      <w:tr w:rsidR="008F5C4C" w:rsidRPr="00115BE6" w:rsidTr="00494B5E">
        <w:trPr>
          <w:trHeight w:val="870"/>
        </w:trPr>
        <w:tc>
          <w:tcPr>
            <w:tcW w:w="254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8F5C4C" w:rsidRPr="00115BE6" w:rsidRDefault="008F5C4C" w:rsidP="00494B5E">
            <w:pPr>
              <w:spacing w:after="0" w:line="240" w:lineRule="auto"/>
              <w:jc w:val="center"/>
              <w:rPr>
                <w:rFonts w:eastAsia="Times New Roman"/>
                <w:b/>
                <w:bCs/>
                <w:color w:val="FFFFFF"/>
                <w:sz w:val="20"/>
                <w:szCs w:val="20"/>
              </w:rPr>
            </w:pPr>
            <w:r w:rsidRPr="00115BE6">
              <w:rPr>
                <w:rFonts w:eastAsia="Times New Roman"/>
                <w:b/>
                <w:bCs/>
                <w:color w:val="FFFFFF"/>
                <w:sz w:val="20"/>
                <w:szCs w:val="20"/>
              </w:rPr>
              <w:t>Watershed (USGS 4th Field Name)</w:t>
            </w:r>
          </w:p>
        </w:tc>
        <w:tc>
          <w:tcPr>
            <w:tcW w:w="2380" w:type="dxa"/>
            <w:tcBorders>
              <w:top w:val="single" w:sz="4" w:space="0" w:color="auto"/>
              <w:left w:val="nil"/>
              <w:bottom w:val="single" w:sz="4" w:space="0" w:color="auto"/>
              <w:right w:val="nil"/>
            </w:tcBorders>
            <w:shd w:val="clear" w:color="000000" w:fill="376091"/>
            <w:vAlign w:val="center"/>
            <w:hideMark/>
          </w:tcPr>
          <w:p w:rsidR="008F5C4C" w:rsidRPr="00115BE6" w:rsidRDefault="008F5C4C" w:rsidP="00494B5E">
            <w:pPr>
              <w:spacing w:after="0" w:line="240" w:lineRule="auto"/>
              <w:jc w:val="center"/>
              <w:rPr>
                <w:rFonts w:eastAsia="Times New Roman"/>
                <w:b/>
                <w:bCs/>
                <w:color w:val="FFFFFF"/>
                <w:sz w:val="20"/>
                <w:szCs w:val="20"/>
              </w:rPr>
            </w:pPr>
            <w:r w:rsidRPr="00115BE6">
              <w:rPr>
                <w:rFonts w:eastAsia="Times New Roman"/>
                <w:b/>
                <w:bCs/>
                <w:color w:val="FFFFFF"/>
                <w:sz w:val="20"/>
                <w:szCs w:val="20"/>
              </w:rPr>
              <w:t>Water Body (Stream/Lake)</w:t>
            </w:r>
          </w:p>
        </w:tc>
        <w:tc>
          <w:tcPr>
            <w:tcW w:w="330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8F5C4C" w:rsidRPr="00115BE6" w:rsidRDefault="008F5C4C" w:rsidP="00494B5E">
            <w:pPr>
              <w:spacing w:after="0" w:line="240" w:lineRule="auto"/>
              <w:jc w:val="center"/>
              <w:rPr>
                <w:rFonts w:eastAsia="Times New Roman"/>
                <w:b/>
                <w:bCs/>
                <w:color w:val="FFFFFF"/>
                <w:sz w:val="20"/>
                <w:szCs w:val="20"/>
              </w:rPr>
            </w:pPr>
            <w:r w:rsidRPr="00115BE6">
              <w:rPr>
                <w:rFonts w:eastAsia="Times New Roman"/>
                <w:b/>
                <w:bCs/>
                <w:color w:val="FFFFFF"/>
                <w:sz w:val="20"/>
                <w:szCs w:val="20"/>
              </w:rPr>
              <w:t>303(d) Toxics Listing</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Amazon Diversion Canal/A3 Drain</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Calapooia</w:t>
            </w:r>
            <w:proofErr w:type="spellEnd"/>
            <w:r w:rsidRPr="00115BE6">
              <w:rPr>
                <w:rFonts w:eastAsia="Times New Roman"/>
                <w:color w:val="000000"/>
                <w:sz w:val="16"/>
                <w:szCs w:val="16"/>
              </w:rPr>
              <w:t xml:space="preserve">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Long Tom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Marys</w:t>
            </w:r>
            <w:proofErr w:type="spellEnd"/>
            <w:r w:rsidRPr="00115BE6">
              <w:rPr>
                <w:rFonts w:eastAsia="Times New Roman"/>
                <w:color w:val="000000"/>
                <w:sz w:val="16"/>
                <w:szCs w:val="16"/>
              </w:rPr>
              <w:t xml:space="preserve">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Willow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WALLA </w:t>
            </w:r>
            <w:proofErr w:type="spellStart"/>
            <w:r w:rsidRPr="00115BE6">
              <w:rPr>
                <w:rFonts w:eastAsia="Times New Roman"/>
                <w:color w:val="000000"/>
                <w:sz w:val="16"/>
                <w:szCs w:val="16"/>
              </w:rPr>
              <w:t>WALLA</w:t>
            </w:r>
            <w:proofErr w:type="spellEnd"/>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Pine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WARNER LAKES</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Fifteenmile</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Silver</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WARNER LAKES</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Twelvemile</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(tri), Silver</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WARNER LAKES</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Twentymile</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Silver</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WILSON-TRASK-NESTUCCA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Mill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Cedar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Yamhill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Salt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Yamhill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West Fork Palmer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Chlorpyrifos</w:t>
            </w:r>
            <w:proofErr w:type="spellEnd"/>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bl>
    <w:p w:rsidR="00115BE6" w:rsidRDefault="00115BE6" w:rsidP="00115BE6">
      <w:pPr>
        <w:autoSpaceDE w:val="0"/>
        <w:autoSpaceDN w:val="0"/>
        <w:adjustRightInd w:val="0"/>
        <w:rPr>
          <w:rFonts w:cs="Helv"/>
          <w:b/>
          <w:bCs/>
          <w:iCs/>
          <w:sz w:val="28"/>
          <w:szCs w:val="28"/>
        </w:rPr>
      </w:pPr>
    </w:p>
    <w:p w:rsidR="00ED1E64" w:rsidRPr="00ED1E64" w:rsidRDefault="00ED1E64" w:rsidP="00ED1E64">
      <w:pPr>
        <w:autoSpaceDE w:val="0"/>
        <w:autoSpaceDN w:val="0"/>
        <w:adjustRightInd w:val="0"/>
        <w:ind w:left="758"/>
        <w:rPr>
          <w:rFonts w:cs="Helv"/>
          <w:bCs/>
          <w:iCs/>
          <w:sz w:val="20"/>
          <w:szCs w:val="20"/>
        </w:rPr>
      </w:pPr>
      <w:r w:rsidRPr="00ED1E64">
        <w:rPr>
          <w:rFonts w:cs="Helv"/>
          <w:bCs/>
          <w:iCs/>
          <w:sz w:val="28"/>
          <w:szCs w:val="28"/>
        </w:rPr>
        <w:t>*</w:t>
      </w:r>
      <w:r>
        <w:rPr>
          <w:rFonts w:cs="Helv"/>
          <w:bCs/>
          <w:iCs/>
          <w:sz w:val="20"/>
          <w:szCs w:val="20"/>
        </w:rPr>
        <w:t xml:space="preserve"> </w:t>
      </w:r>
      <w:r w:rsidRPr="00ED1E64">
        <w:rPr>
          <w:rFonts w:cs="Helv"/>
          <w:bCs/>
          <w:iCs/>
          <w:sz w:val="20"/>
          <w:szCs w:val="20"/>
        </w:rPr>
        <w:t xml:space="preserve">Toxics listings for any one </w:t>
      </w:r>
      <w:proofErr w:type="spellStart"/>
      <w:r w:rsidRPr="00ED1E64">
        <w:rPr>
          <w:rFonts w:cs="Helv"/>
          <w:bCs/>
          <w:iCs/>
          <w:sz w:val="20"/>
          <w:szCs w:val="20"/>
        </w:rPr>
        <w:t>waterbody</w:t>
      </w:r>
      <w:proofErr w:type="spellEnd"/>
      <w:r w:rsidRPr="00ED1E64">
        <w:rPr>
          <w:rFonts w:cs="Helv"/>
          <w:bCs/>
          <w:iCs/>
          <w:sz w:val="20"/>
          <w:szCs w:val="20"/>
        </w:rPr>
        <w:t xml:space="preserve"> may only represent a certain portion of th</w:t>
      </w:r>
      <w:r>
        <w:rPr>
          <w:rFonts w:cs="Helv"/>
          <w:bCs/>
          <w:iCs/>
          <w:sz w:val="20"/>
          <w:szCs w:val="20"/>
        </w:rPr>
        <w:t>at</w:t>
      </w:r>
      <w:r w:rsidRPr="00ED1E64">
        <w:rPr>
          <w:rFonts w:cs="Helv"/>
          <w:bCs/>
          <w:iCs/>
          <w:sz w:val="20"/>
          <w:szCs w:val="20"/>
        </w:rPr>
        <w:t xml:space="preserve"> </w:t>
      </w:r>
      <w:proofErr w:type="spellStart"/>
      <w:r w:rsidRPr="00ED1E64">
        <w:rPr>
          <w:rFonts w:cs="Helv"/>
          <w:bCs/>
          <w:iCs/>
          <w:sz w:val="20"/>
          <w:szCs w:val="20"/>
        </w:rPr>
        <w:t>waterbody</w:t>
      </w:r>
      <w:proofErr w:type="spellEnd"/>
      <w:r w:rsidRPr="00ED1E64">
        <w:rPr>
          <w:rFonts w:cs="Helv"/>
          <w:bCs/>
          <w:iCs/>
          <w:sz w:val="20"/>
          <w:szCs w:val="20"/>
        </w:rPr>
        <w:t xml:space="preserve"> as being water quality limited. </w:t>
      </w:r>
    </w:p>
    <w:p w:rsidR="00ED1E64" w:rsidRDefault="00ED1E64" w:rsidP="00115BE6">
      <w:pPr>
        <w:autoSpaceDE w:val="0"/>
        <w:autoSpaceDN w:val="0"/>
        <w:adjustRightInd w:val="0"/>
        <w:rPr>
          <w:rFonts w:cs="Helv"/>
          <w:b/>
          <w:bCs/>
          <w:iCs/>
          <w:sz w:val="28"/>
          <w:szCs w:val="28"/>
        </w:rPr>
      </w:pPr>
    </w:p>
    <w:p w:rsidR="00ED1E64" w:rsidRDefault="00ED1E64" w:rsidP="00115BE6">
      <w:pPr>
        <w:autoSpaceDE w:val="0"/>
        <w:autoSpaceDN w:val="0"/>
        <w:adjustRightInd w:val="0"/>
        <w:rPr>
          <w:rFonts w:cs="Helv"/>
          <w:b/>
          <w:bCs/>
          <w:iCs/>
          <w:sz w:val="28"/>
          <w:szCs w:val="28"/>
        </w:rPr>
      </w:pPr>
    </w:p>
    <w:p w:rsidR="00ED1E64" w:rsidRDefault="00ED1E64" w:rsidP="00115BE6">
      <w:pPr>
        <w:autoSpaceDE w:val="0"/>
        <w:autoSpaceDN w:val="0"/>
        <w:adjustRightInd w:val="0"/>
        <w:rPr>
          <w:rFonts w:cs="Helv"/>
          <w:b/>
          <w:bCs/>
          <w:iCs/>
          <w:sz w:val="28"/>
          <w:szCs w:val="28"/>
        </w:rPr>
      </w:pPr>
    </w:p>
    <w:p w:rsidR="00ED1E64" w:rsidRDefault="00ED1E64" w:rsidP="00115BE6">
      <w:pPr>
        <w:autoSpaceDE w:val="0"/>
        <w:autoSpaceDN w:val="0"/>
        <w:adjustRightInd w:val="0"/>
        <w:rPr>
          <w:rFonts w:cs="Helv"/>
          <w:b/>
          <w:bCs/>
          <w:iCs/>
          <w:sz w:val="28"/>
          <w:szCs w:val="28"/>
        </w:rPr>
      </w:pPr>
    </w:p>
    <w:p w:rsidR="00ED1E64" w:rsidRDefault="00ED1E64" w:rsidP="00115BE6">
      <w:pPr>
        <w:autoSpaceDE w:val="0"/>
        <w:autoSpaceDN w:val="0"/>
        <w:adjustRightInd w:val="0"/>
        <w:rPr>
          <w:rFonts w:cs="Helv"/>
          <w:b/>
          <w:bCs/>
          <w:iCs/>
          <w:sz w:val="28"/>
          <w:szCs w:val="28"/>
        </w:rPr>
      </w:pPr>
    </w:p>
    <w:p w:rsidR="00ED1E64" w:rsidRDefault="00ED1E64" w:rsidP="00115BE6">
      <w:pPr>
        <w:autoSpaceDE w:val="0"/>
        <w:autoSpaceDN w:val="0"/>
        <w:adjustRightInd w:val="0"/>
        <w:rPr>
          <w:rFonts w:cs="Helv"/>
          <w:b/>
          <w:bCs/>
          <w:iCs/>
          <w:sz w:val="28"/>
          <w:szCs w:val="28"/>
        </w:rPr>
      </w:pPr>
    </w:p>
    <w:p w:rsidR="00ED1E64" w:rsidRDefault="00ED1E64" w:rsidP="00115BE6">
      <w:pPr>
        <w:autoSpaceDE w:val="0"/>
        <w:autoSpaceDN w:val="0"/>
        <w:adjustRightInd w:val="0"/>
        <w:rPr>
          <w:rFonts w:cs="Helv"/>
          <w:b/>
          <w:bCs/>
          <w:iCs/>
          <w:sz w:val="28"/>
          <w:szCs w:val="28"/>
        </w:rPr>
      </w:pPr>
    </w:p>
    <w:p w:rsidR="00ED314F" w:rsidRPr="00ED314F" w:rsidRDefault="00DE2A69" w:rsidP="00AB68A3">
      <w:pPr>
        <w:spacing w:after="0" w:line="240" w:lineRule="auto"/>
        <w:jc w:val="center"/>
        <w:rPr>
          <w:rFonts w:cs="Helv"/>
          <w:b/>
          <w:bCs/>
          <w:iCs/>
          <w:sz w:val="28"/>
          <w:szCs w:val="28"/>
        </w:rPr>
      </w:pPr>
      <w:r>
        <w:rPr>
          <w:rFonts w:cs="Helv"/>
          <w:b/>
          <w:bCs/>
          <w:iCs/>
          <w:sz w:val="28"/>
          <w:szCs w:val="28"/>
        </w:rPr>
        <w:t xml:space="preserve">Appendix </w:t>
      </w:r>
      <w:r w:rsidR="00115BE6">
        <w:rPr>
          <w:rFonts w:cs="Helv"/>
          <w:b/>
          <w:bCs/>
          <w:iCs/>
          <w:sz w:val="28"/>
          <w:szCs w:val="28"/>
        </w:rPr>
        <w:t>B</w:t>
      </w:r>
    </w:p>
    <w:p w:rsidR="00ED1E64" w:rsidRDefault="00ED1E64" w:rsidP="00ED314F">
      <w:pPr>
        <w:autoSpaceDE w:val="0"/>
        <w:autoSpaceDN w:val="0"/>
        <w:adjustRightInd w:val="0"/>
        <w:rPr>
          <w:rFonts w:cs="Helv"/>
          <w:b/>
          <w:bCs/>
          <w:iCs/>
          <w:sz w:val="28"/>
          <w:szCs w:val="28"/>
        </w:rPr>
      </w:pPr>
    </w:p>
    <w:p w:rsidR="00ED314F" w:rsidRPr="007A0324" w:rsidRDefault="007A0324" w:rsidP="00ED314F">
      <w:pPr>
        <w:autoSpaceDE w:val="0"/>
        <w:autoSpaceDN w:val="0"/>
        <w:adjustRightInd w:val="0"/>
        <w:rPr>
          <w:rFonts w:cs="Helv"/>
          <w:b/>
          <w:bCs/>
          <w:iCs/>
          <w:sz w:val="28"/>
          <w:szCs w:val="28"/>
        </w:rPr>
      </w:pPr>
      <w:r w:rsidRPr="007A0324">
        <w:rPr>
          <w:rFonts w:cs="Helv"/>
          <w:b/>
          <w:bCs/>
          <w:iCs/>
          <w:sz w:val="28"/>
          <w:szCs w:val="28"/>
        </w:rPr>
        <w:t xml:space="preserve">Multiple Discharger </w:t>
      </w:r>
      <w:proofErr w:type="gramStart"/>
      <w:r w:rsidRPr="007A0324">
        <w:rPr>
          <w:rFonts w:cs="Helv"/>
          <w:b/>
          <w:bCs/>
          <w:iCs/>
          <w:sz w:val="28"/>
          <w:szCs w:val="28"/>
        </w:rPr>
        <w:t>Variance</w:t>
      </w:r>
      <w:proofErr w:type="gramEnd"/>
    </w:p>
    <w:p w:rsidR="00ED314F" w:rsidRPr="007A0324" w:rsidRDefault="00ED314F" w:rsidP="00ED314F">
      <w:pPr>
        <w:autoSpaceDE w:val="0"/>
        <w:autoSpaceDN w:val="0"/>
        <w:adjustRightInd w:val="0"/>
        <w:rPr>
          <w:rFonts w:cs="Helv"/>
          <w:b/>
          <w:bCs/>
          <w:iCs/>
          <w:sz w:val="24"/>
          <w:szCs w:val="24"/>
          <w:u w:val="single"/>
        </w:rPr>
      </w:pPr>
      <w:r w:rsidRPr="007A0324">
        <w:rPr>
          <w:rFonts w:cs="Helv"/>
          <w:b/>
          <w:bCs/>
          <w:iCs/>
          <w:sz w:val="24"/>
          <w:szCs w:val="24"/>
          <w:u w:val="single"/>
        </w:rPr>
        <w:t>EXAMPLE FROM MICHIGAN</w:t>
      </w:r>
    </w:p>
    <w:p w:rsidR="00ED314F" w:rsidRDefault="00ED314F" w:rsidP="00ED314F"/>
    <w:p w:rsidR="00ED314F" w:rsidRDefault="00ED314F" w:rsidP="00ED314F">
      <w:pPr>
        <w:autoSpaceDE w:val="0"/>
        <w:autoSpaceDN w:val="0"/>
        <w:adjustRightInd w:val="0"/>
        <w:rPr>
          <w:rFonts w:cs="Helv"/>
          <w:color w:val="000000"/>
        </w:rPr>
      </w:pPr>
      <w:r w:rsidRPr="00ED6468">
        <w:rPr>
          <w:rFonts w:cs="Helv"/>
          <w:b/>
          <w:bCs/>
          <w:color w:val="000000"/>
        </w:rPr>
        <w:t xml:space="preserve">Variance "Type": </w:t>
      </w:r>
      <w:r w:rsidRPr="00B22E85">
        <w:rPr>
          <w:rFonts w:cs="Helv"/>
          <w:bCs/>
          <w:color w:val="000000"/>
        </w:rPr>
        <w:t>M</w:t>
      </w:r>
      <w:r w:rsidRPr="00CB2ACA">
        <w:rPr>
          <w:rFonts w:cs="Helv"/>
          <w:color w:val="000000"/>
        </w:rPr>
        <w:t xml:space="preserve">ultiple discharger </w:t>
      </w:r>
      <w:proofErr w:type="gramStart"/>
      <w:r w:rsidRPr="00CB2ACA">
        <w:rPr>
          <w:rFonts w:cs="Helv"/>
          <w:color w:val="000000"/>
        </w:rPr>
        <w:t>variance</w:t>
      </w:r>
      <w:proofErr w:type="gramEnd"/>
      <w:r>
        <w:rPr>
          <w:rFonts w:cs="Helv"/>
          <w:color w:val="000000"/>
        </w:rPr>
        <w:t xml:space="preserve"> (MDV)</w:t>
      </w:r>
      <w:r w:rsidRPr="00CB2ACA">
        <w:rPr>
          <w:rFonts w:cs="Helv"/>
          <w:color w:val="000000"/>
        </w:rPr>
        <w:t xml:space="preserve"> (</w:t>
      </w:r>
      <w:r>
        <w:rPr>
          <w:rFonts w:cs="Helv"/>
          <w:color w:val="000000"/>
        </w:rPr>
        <w:t xml:space="preserve">may include either </w:t>
      </w:r>
      <w:r w:rsidRPr="00CB2ACA">
        <w:rPr>
          <w:rFonts w:cs="Helv"/>
          <w:color w:val="000000"/>
        </w:rPr>
        <w:t>municipal</w:t>
      </w:r>
      <w:r>
        <w:rPr>
          <w:rFonts w:cs="Helv"/>
          <w:color w:val="000000"/>
        </w:rPr>
        <w:t xml:space="preserve"> or</w:t>
      </w:r>
      <w:r w:rsidRPr="00CB2ACA">
        <w:rPr>
          <w:rFonts w:cs="Helv"/>
          <w:color w:val="000000"/>
        </w:rPr>
        <w:t xml:space="preserve"> industrial permits)</w:t>
      </w:r>
    </w:p>
    <w:p w:rsidR="00ED314F" w:rsidRPr="00ED6468" w:rsidRDefault="00ED314F" w:rsidP="00ED314F">
      <w:pPr>
        <w:autoSpaceDE w:val="0"/>
        <w:autoSpaceDN w:val="0"/>
        <w:adjustRightInd w:val="0"/>
        <w:rPr>
          <w:rFonts w:cs="Helv"/>
          <w:color w:val="000000"/>
        </w:rPr>
      </w:pPr>
      <w:r w:rsidRPr="00ED6468">
        <w:rPr>
          <w:rFonts w:cs="Helv"/>
          <w:b/>
          <w:bCs/>
          <w:color w:val="000000"/>
        </w:rPr>
        <w:t xml:space="preserve">Pollutants: </w:t>
      </w:r>
      <w:r>
        <w:rPr>
          <w:rFonts w:cs="Helv"/>
          <w:color w:val="000000"/>
        </w:rPr>
        <w:t xml:space="preserve">Mercury (1.3 </w:t>
      </w:r>
      <w:proofErr w:type="spellStart"/>
      <w:r>
        <w:rPr>
          <w:rFonts w:cs="Helv"/>
          <w:color w:val="000000"/>
        </w:rPr>
        <w:t>ng</w:t>
      </w:r>
      <w:proofErr w:type="spellEnd"/>
      <w:r>
        <w:rPr>
          <w:rFonts w:cs="Helv"/>
          <w:color w:val="000000"/>
        </w:rPr>
        <w:t>/L criterion associated with wildlife designated use)</w:t>
      </w:r>
    </w:p>
    <w:p w:rsidR="00ED314F" w:rsidRPr="00ED6468" w:rsidRDefault="00ED314F" w:rsidP="00ED314F">
      <w:pPr>
        <w:autoSpaceDE w:val="0"/>
        <w:autoSpaceDN w:val="0"/>
        <w:adjustRightInd w:val="0"/>
        <w:rPr>
          <w:rFonts w:cs="Helv"/>
          <w:color w:val="000000"/>
        </w:rPr>
      </w:pPr>
      <w:r w:rsidRPr="00ED6468">
        <w:rPr>
          <w:rFonts w:cs="Helv"/>
          <w:b/>
          <w:bCs/>
          <w:color w:val="000000"/>
        </w:rPr>
        <w:t xml:space="preserve">Applicable </w:t>
      </w:r>
      <w:proofErr w:type="spellStart"/>
      <w:r w:rsidRPr="00ED6468">
        <w:rPr>
          <w:rFonts w:cs="Helv"/>
          <w:b/>
          <w:bCs/>
          <w:color w:val="000000"/>
        </w:rPr>
        <w:t>Waterbody</w:t>
      </w:r>
      <w:proofErr w:type="spellEnd"/>
      <w:r w:rsidRPr="00ED6468">
        <w:rPr>
          <w:rFonts w:cs="Helv"/>
          <w:b/>
          <w:bCs/>
          <w:color w:val="000000"/>
        </w:rPr>
        <w:t>:</w:t>
      </w:r>
      <w:r w:rsidRPr="00ED6468">
        <w:rPr>
          <w:rFonts w:cs="Helv"/>
          <w:color w:val="000000"/>
        </w:rPr>
        <w:t xml:space="preserve"> </w:t>
      </w:r>
      <w:r>
        <w:rPr>
          <w:rFonts w:cs="Helv"/>
          <w:color w:val="000000"/>
        </w:rPr>
        <w:t>Statewide</w:t>
      </w:r>
    </w:p>
    <w:p w:rsidR="00ED314F" w:rsidRPr="00ED6468" w:rsidRDefault="00ED314F" w:rsidP="00ED314F">
      <w:pPr>
        <w:autoSpaceDE w:val="0"/>
        <w:autoSpaceDN w:val="0"/>
        <w:adjustRightInd w:val="0"/>
        <w:rPr>
          <w:rFonts w:cs="Helv"/>
          <w:color w:val="000000"/>
        </w:rPr>
      </w:pPr>
      <w:r w:rsidRPr="00ED6468">
        <w:rPr>
          <w:rFonts w:cs="Helv"/>
          <w:b/>
          <w:bCs/>
          <w:color w:val="000000"/>
        </w:rPr>
        <w:t>Applicable Duration:</w:t>
      </w:r>
      <w:r w:rsidRPr="00ED6468">
        <w:rPr>
          <w:rFonts w:cs="Helv"/>
          <w:color w:val="000000"/>
        </w:rPr>
        <w:t xml:space="preserve"> </w:t>
      </w:r>
      <w:r>
        <w:rPr>
          <w:rFonts w:cs="Helv"/>
          <w:color w:val="000000"/>
        </w:rPr>
        <w:t>F</w:t>
      </w:r>
      <w:r w:rsidRPr="00ED6468">
        <w:rPr>
          <w:rFonts w:cs="Helv"/>
          <w:color w:val="000000"/>
        </w:rPr>
        <w:t>ive years</w:t>
      </w:r>
    </w:p>
    <w:p w:rsidR="00ED314F" w:rsidRPr="00ED6468" w:rsidRDefault="00ED314F" w:rsidP="00ED314F">
      <w:pPr>
        <w:autoSpaceDE w:val="0"/>
        <w:autoSpaceDN w:val="0"/>
        <w:adjustRightInd w:val="0"/>
        <w:rPr>
          <w:rFonts w:cs="Helv"/>
          <w:color w:val="000000"/>
        </w:rPr>
      </w:pPr>
      <w:r w:rsidRPr="00ED6468">
        <w:rPr>
          <w:rFonts w:cs="Helv"/>
          <w:b/>
          <w:bCs/>
          <w:color w:val="000000"/>
        </w:rPr>
        <w:t>Attaining the Designated Use is Not Feasible Because:</w:t>
      </w:r>
      <w:r w:rsidRPr="00ED6468">
        <w:rPr>
          <w:rFonts w:cs="Helv"/>
          <w:color w:val="000000"/>
        </w:rPr>
        <w:t xml:space="preserve"> </w:t>
      </w:r>
    </w:p>
    <w:p w:rsidR="00ED314F" w:rsidRPr="00ED6468" w:rsidRDefault="00ED314F" w:rsidP="00ED314F">
      <w:pPr>
        <w:autoSpaceDE w:val="0"/>
        <w:autoSpaceDN w:val="0"/>
        <w:adjustRightInd w:val="0"/>
        <w:ind w:left="360"/>
        <w:rPr>
          <w:rFonts w:cs="Helv"/>
          <w:color w:val="000000"/>
        </w:rPr>
      </w:pPr>
      <w:r w:rsidRPr="00ED6468">
        <w:rPr>
          <w:rFonts w:cs="Helv"/>
          <w:color w:val="000000"/>
        </w:rPr>
        <w:t xml:space="preserve">40 CFR </w:t>
      </w:r>
      <w:r>
        <w:rPr>
          <w:rFonts w:cs="Helv"/>
          <w:color w:val="000000"/>
        </w:rPr>
        <w:t xml:space="preserve">§ </w:t>
      </w:r>
      <w:r w:rsidRPr="00ED6468">
        <w:rPr>
          <w:rFonts w:cs="Helv"/>
          <w:color w:val="000000"/>
        </w:rPr>
        <w:t>131.10(g</w:t>
      </w:r>
      <w:proofErr w:type="gramStart"/>
      <w:r w:rsidRPr="00ED6468">
        <w:rPr>
          <w:rFonts w:cs="Helv"/>
          <w:color w:val="000000"/>
        </w:rPr>
        <w:t>)(</w:t>
      </w:r>
      <w:proofErr w:type="gramEnd"/>
      <w:r w:rsidRPr="00ED6468">
        <w:rPr>
          <w:rFonts w:cs="Helv"/>
          <w:color w:val="000000"/>
        </w:rPr>
        <w:t>6) - Controls more stringent than those required by sections 301(b) and 306 of the Act would result in substantial and widespread economic and social impact</w:t>
      </w:r>
    </w:p>
    <w:p w:rsidR="00ED314F" w:rsidRPr="00ED6468" w:rsidRDefault="00ED314F" w:rsidP="00ED314F">
      <w:pPr>
        <w:autoSpaceDE w:val="0"/>
        <w:autoSpaceDN w:val="0"/>
        <w:adjustRightInd w:val="0"/>
        <w:rPr>
          <w:rFonts w:cs="Helv"/>
          <w:color w:val="000000"/>
        </w:rPr>
      </w:pPr>
      <w:r>
        <w:rPr>
          <w:rFonts w:cs="Helv"/>
          <w:b/>
          <w:bCs/>
          <w:color w:val="000000"/>
        </w:rPr>
        <w:t xml:space="preserve">Summary of </w:t>
      </w:r>
      <w:r w:rsidRPr="00ED6468">
        <w:rPr>
          <w:rFonts w:cs="Helv"/>
          <w:b/>
          <w:bCs/>
          <w:color w:val="000000"/>
        </w:rPr>
        <w:t>Interim Conditions/Limits:</w:t>
      </w:r>
      <w:r w:rsidRPr="00ED6468">
        <w:rPr>
          <w:rFonts w:cs="Helv"/>
          <w:color w:val="000000"/>
        </w:rPr>
        <w:t xml:space="preserve"> </w:t>
      </w:r>
    </w:p>
    <w:p w:rsidR="00ED314F" w:rsidRPr="00A219CE" w:rsidRDefault="00ED314F" w:rsidP="00ED314F">
      <w:pPr>
        <w:autoSpaceDE w:val="0"/>
        <w:autoSpaceDN w:val="0"/>
        <w:adjustRightInd w:val="0"/>
        <w:ind w:left="360"/>
        <w:rPr>
          <w:rFonts w:cs="Arial"/>
          <w:b/>
        </w:rPr>
      </w:pPr>
      <w:r w:rsidRPr="00A219CE">
        <w:rPr>
          <w:rFonts w:cs="Arial"/>
          <w:b/>
        </w:rPr>
        <w:t>For reissuance of permits with reasonable potential and existing mercury limits:</w:t>
      </w:r>
    </w:p>
    <w:p w:rsidR="00ED314F" w:rsidRPr="00A219CE" w:rsidRDefault="00ED314F" w:rsidP="00D951F8">
      <w:pPr>
        <w:numPr>
          <w:ilvl w:val="0"/>
          <w:numId w:val="16"/>
        </w:numPr>
        <w:tabs>
          <w:tab w:val="clear" w:pos="360"/>
          <w:tab w:val="num" w:pos="720"/>
        </w:tabs>
        <w:autoSpaceDE w:val="0"/>
        <w:autoSpaceDN w:val="0"/>
        <w:adjustRightInd w:val="0"/>
        <w:spacing w:after="0" w:line="240" w:lineRule="auto"/>
        <w:ind w:left="720"/>
        <w:rPr>
          <w:rFonts w:cs="Arial"/>
        </w:rPr>
      </w:pPr>
      <w:r w:rsidRPr="00A219CE">
        <w:rPr>
          <w:rFonts w:cs="Arial"/>
        </w:rPr>
        <w:t xml:space="preserve">The mercury permit limit will be set at the facility-specific </w:t>
      </w:r>
      <w:r w:rsidR="00ED2A2E">
        <w:rPr>
          <w:rFonts w:cs="Arial"/>
        </w:rPr>
        <w:t>level currently achievable (</w:t>
      </w:r>
      <w:r w:rsidRPr="00A219CE">
        <w:rPr>
          <w:rFonts w:cs="Arial"/>
        </w:rPr>
        <w:t>LCA</w:t>
      </w:r>
      <w:r w:rsidR="00ED2A2E">
        <w:rPr>
          <w:rFonts w:cs="Arial"/>
        </w:rPr>
        <w:t>)</w:t>
      </w:r>
      <w:r w:rsidRPr="00A219CE">
        <w:rPr>
          <w:rFonts w:cs="Arial"/>
        </w:rPr>
        <w:t xml:space="preserve"> (using MI’s mercury LCA calculation procedures) for the life of the permit.</w:t>
      </w:r>
    </w:p>
    <w:p w:rsidR="00ED314F" w:rsidRPr="00A219CE" w:rsidRDefault="00ED314F" w:rsidP="00D951F8">
      <w:pPr>
        <w:numPr>
          <w:ilvl w:val="0"/>
          <w:numId w:val="16"/>
        </w:numPr>
        <w:tabs>
          <w:tab w:val="clear" w:pos="360"/>
          <w:tab w:val="num" w:pos="720"/>
        </w:tabs>
        <w:autoSpaceDE w:val="0"/>
        <w:autoSpaceDN w:val="0"/>
        <w:adjustRightInd w:val="0"/>
        <w:spacing w:after="0" w:line="240" w:lineRule="auto"/>
        <w:ind w:left="720"/>
        <w:rPr>
          <w:rFonts w:cs="Arial"/>
        </w:rPr>
      </w:pPr>
      <w:r w:rsidRPr="00A219CE">
        <w:rPr>
          <w:rFonts w:cs="Arial"/>
        </w:rPr>
        <w:t>Require monitoring using Method 1631.</w:t>
      </w:r>
    </w:p>
    <w:p w:rsidR="00ED314F" w:rsidRPr="00A219CE" w:rsidRDefault="00ED314F" w:rsidP="00D951F8">
      <w:pPr>
        <w:numPr>
          <w:ilvl w:val="0"/>
          <w:numId w:val="16"/>
        </w:numPr>
        <w:tabs>
          <w:tab w:val="clear" w:pos="360"/>
          <w:tab w:val="num" w:pos="720"/>
        </w:tabs>
        <w:autoSpaceDE w:val="0"/>
        <w:autoSpaceDN w:val="0"/>
        <w:adjustRightInd w:val="0"/>
        <w:spacing w:after="0" w:line="240" w:lineRule="auto"/>
        <w:ind w:left="720"/>
        <w:rPr>
          <w:rFonts w:cs="Arial"/>
        </w:rPr>
      </w:pPr>
      <w:r w:rsidRPr="00A219CE">
        <w:rPr>
          <w:rFonts w:cs="Arial"/>
        </w:rPr>
        <w:t xml:space="preserve">Require a mercury pollutant minimization plan for the duration of the permit so that reasonable progress is made toward attaining the water quality standard. </w:t>
      </w:r>
    </w:p>
    <w:p w:rsidR="00ED314F" w:rsidRDefault="00ED314F" w:rsidP="00D951F8">
      <w:pPr>
        <w:numPr>
          <w:ilvl w:val="0"/>
          <w:numId w:val="16"/>
        </w:numPr>
        <w:tabs>
          <w:tab w:val="clear" w:pos="360"/>
          <w:tab w:val="num" w:pos="720"/>
        </w:tabs>
        <w:autoSpaceDE w:val="0"/>
        <w:autoSpaceDN w:val="0"/>
        <w:adjustRightInd w:val="0"/>
        <w:spacing w:after="0" w:line="240" w:lineRule="auto"/>
        <w:ind w:left="720"/>
        <w:rPr>
          <w:rFonts w:cs="Arial"/>
        </w:rPr>
      </w:pPr>
      <w:r w:rsidRPr="00A219CE">
        <w:rPr>
          <w:rFonts w:cs="Arial"/>
        </w:rPr>
        <w:t xml:space="preserve">Use of a LCA that is calculated using some procedure other than MI’s mercury LCA calculation procedures will be evaluated by MDEQ on a case-by-case basis and submitted to EPA for review and approval. </w:t>
      </w:r>
    </w:p>
    <w:p w:rsidR="00ED314F" w:rsidRPr="00ED314F" w:rsidRDefault="00ED314F" w:rsidP="00ED314F">
      <w:pPr>
        <w:autoSpaceDE w:val="0"/>
        <w:autoSpaceDN w:val="0"/>
        <w:adjustRightInd w:val="0"/>
        <w:spacing w:after="0" w:line="240" w:lineRule="auto"/>
        <w:ind w:left="720"/>
        <w:rPr>
          <w:rFonts w:cs="Arial"/>
        </w:rPr>
      </w:pPr>
    </w:p>
    <w:p w:rsidR="00ED314F" w:rsidRPr="00A219CE" w:rsidRDefault="00ED314F" w:rsidP="00ED314F">
      <w:pPr>
        <w:autoSpaceDE w:val="0"/>
        <w:autoSpaceDN w:val="0"/>
        <w:adjustRightInd w:val="0"/>
        <w:ind w:left="360"/>
        <w:rPr>
          <w:rFonts w:cs="Arial"/>
          <w:b/>
        </w:rPr>
      </w:pPr>
      <w:r w:rsidRPr="00A219CE">
        <w:rPr>
          <w:rFonts w:cs="Arial"/>
          <w:b/>
        </w:rPr>
        <w:t>For reissuance of permits with reasonable potential but without previous mercury limits:</w:t>
      </w:r>
    </w:p>
    <w:p w:rsidR="00ED314F" w:rsidRPr="00A219CE" w:rsidRDefault="00ED314F" w:rsidP="00D951F8">
      <w:pPr>
        <w:numPr>
          <w:ilvl w:val="0"/>
          <w:numId w:val="17"/>
        </w:numPr>
        <w:autoSpaceDE w:val="0"/>
        <w:autoSpaceDN w:val="0"/>
        <w:adjustRightInd w:val="0"/>
        <w:spacing w:after="0" w:line="240" w:lineRule="auto"/>
        <w:rPr>
          <w:rFonts w:cs="Arial"/>
        </w:rPr>
      </w:pPr>
      <w:r w:rsidRPr="00A219CE">
        <w:rPr>
          <w:rFonts w:cs="Arial"/>
        </w:rPr>
        <w:t>Monitor with Method 1631 monthly for two years of the permit.</w:t>
      </w:r>
    </w:p>
    <w:p w:rsidR="00ED314F" w:rsidRPr="00A219CE" w:rsidRDefault="00ED314F" w:rsidP="00D951F8">
      <w:pPr>
        <w:numPr>
          <w:ilvl w:val="0"/>
          <w:numId w:val="17"/>
        </w:numPr>
        <w:autoSpaceDE w:val="0"/>
        <w:autoSpaceDN w:val="0"/>
        <w:adjustRightInd w:val="0"/>
        <w:spacing w:after="0" w:line="240" w:lineRule="auto"/>
        <w:rPr>
          <w:rFonts w:cs="Arial"/>
        </w:rPr>
      </w:pPr>
      <w:r w:rsidRPr="00A219CE">
        <w:rPr>
          <w:rFonts w:cs="Arial"/>
        </w:rPr>
        <w:t>Set the mercury permit limit at the facility-specific LCA (using MI’s mercury LCA calculation procedures) effective at Year 3 (allow 2 years of monitoring before the limit takes effect).</w:t>
      </w:r>
    </w:p>
    <w:p w:rsidR="00ED314F" w:rsidRPr="00A219CE" w:rsidRDefault="00ED314F" w:rsidP="00D951F8">
      <w:pPr>
        <w:numPr>
          <w:ilvl w:val="0"/>
          <w:numId w:val="17"/>
        </w:numPr>
        <w:autoSpaceDE w:val="0"/>
        <w:autoSpaceDN w:val="0"/>
        <w:adjustRightInd w:val="0"/>
        <w:spacing w:after="0" w:line="240" w:lineRule="auto"/>
        <w:rPr>
          <w:rFonts w:cs="Arial"/>
        </w:rPr>
      </w:pPr>
      <w:r w:rsidRPr="00A219CE">
        <w:rPr>
          <w:rFonts w:cs="Arial"/>
        </w:rPr>
        <w:t>Require monitoring using Method 1631.</w:t>
      </w:r>
    </w:p>
    <w:p w:rsidR="00ED314F" w:rsidRPr="00A219CE" w:rsidRDefault="00ED314F" w:rsidP="00D951F8">
      <w:pPr>
        <w:numPr>
          <w:ilvl w:val="0"/>
          <w:numId w:val="17"/>
        </w:numPr>
        <w:autoSpaceDE w:val="0"/>
        <w:autoSpaceDN w:val="0"/>
        <w:adjustRightInd w:val="0"/>
        <w:spacing w:after="0" w:line="240" w:lineRule="auto"/>
        <w:rPr>
          <w:rFonts w:cs="Arial"/>
        </w:rPr>
      </w:pPr>
      <w:r w:rsidRPr="00A219CE">
        <w:rPr>
          <w:rFonts w:cs="Arial"/>
        </w:rPr>
        <w:t>Require a mercury pollutant minimization plan for the duration of the permit so that reasonable progress is made toward attaining the WQS.</w:t>
      </w:r>
    </w:p>
    <w:p w:rsidR="00ED314F" w:rsidRPr="00A219CE" w:rsidRDefault="00ED314F" w:rsidP="00D951F8">
      <w:pPr>
        <w:numPr>
          <w:ilvl w:val="0"/>
          <w:numId w:val="17"/>
        </w:numPr>
        <w:autoSpaceDE w:val="0"/>
        <w:autoSpaceDN w:val="0"/>
        <w:adjustRightInd w:val="0"/>
        <w:spacing w:after="0" w:line="240" w:lineRule="auto"/>
        <w:rPr>
          <w:rFonts w:cs="Arial"/>
        </w:rPr>
      </w:pPr>
      <w:r w:rsidRPr="00A219CE">
        <w:rPr>
          <w:rFonts w:cs="Arial"/>
        </w:rPr>
        <w:t xml:space="preserve">Use of a LCA that is calculated using some procedure other than MI’s mercury LCA calculation procedures will be evaluated by MDEQ on a case-by-case basis and submitted to EPA for review and approval. </w:t>
      </w:r>
    </w:p>
    <w:p w:rsidR="00ED314F" w:rsidRPr="00A219CE" w:rsidRDefault="00ED314F" w:rsidP="00ED314F">
      <w:pPr>
        <w:autoSpaceDE w:val="0"/>
        <w:autoSpaceDN w:val="0"/>
        <w:adjustRightInd w:val="0"/>
        <w:rPr>
          <w:rFonts w:cs="Arial"/>
        </w:rPr>
      </w:pPr>
    </w:p>
    <w:p w:rsidR="00ED314F" w:rsidRPr="00A219CE" w:rsidRDefault="00ED314F" w:rsidP="00ED314F">
      <w:pPr>
        <w:autoSpaceDE w:val="0"/>
        <w:autoSpaceDN w:val="0"/>
        <w:adjustRightInd w:val="0"/>
        <w:ind w:left="360"/>
        <w:rPr>
          <w:rFonts w:cs="Arial"/>
          <w:b/>
        </w:rPr>
      </w:pPr>
      <w:r w:rsidRPr="00A219CE">
        <w:rPr>
          <w:rFonts w:cs="Arial"/>
          <w:b/>
        </w:rPr>
        <w:t xml:space="preserve">For reissuance of permits with insufficient data for mercury limit determination: </w:t>
      </w:r>
    </w:p>
    <w:p w:rsidR="00ED314F" w:rsidRPr="00A219CE" w:rsidRDefault="00ED314F" w:rsidP="00D951F8">
      <w:pPr>
        <w:numPr>
          <w:ilvl w:val="0"/>
          <w:numId w:val="18"/>
        </w:numPr>
        <w:autoSpaceDE w:val="0"/>
        <w:autoSpaceDN w:val="0"/>
        <w:adjustRightInd w:val="0"/>
        <w:spacing w:after="0" w:line="240" w:lineRule="auto"/>
        <w:rPr>
          <w:rFonts w:cs="Arial"/>
        </w:rPr>
      </w:pPr>
      <w:r w:rsidRPr="00A219CE">
        <w:rPr>
          <w:rFonts w:cs="Arial"/>
        </w:rPr>
        <w:t>Require monthly monitoring with Method 1631 to start at permit issuance and continue for the permit duration.</w:t>
      </w:r>
    </w:p>
    <w:p w:rsidR="00ED314F" w:rsidRPr="00A219CE" w:rsidRDefault="00ED314F" w:rsidP="00D951F8">
      <w:pPr>
        <w:numPr>
          <w:ilvl w:val="0"/>
          <w:numId w:val="18"/>
        </w:numPr>
        <w:autoSpaceDE w:val="0"/>
        <w:autoSpaceDN w:val="0"/>
        <w:adjustRightInd w:val="0"/>
        <w:spacing w:after="0" w:line="240" w:lineRule="auto"/>
        <w:rPr>
          <w:rFonts w:cs="Arial"/>
        </w:rPr>
      </w:pPr>
      <w:r w:rsidRPr="00A219CE">
        <w:rPr>
          <w:rFonts w:cs="Arial"/>
        </w:rPr>
        <w:t xml:space="preserve">Include a Special Condition that triggers a mercury pollutant minimization plan if the monitoring data after one year indicates the presence of mercury at levels indicating reasonable potential to cause or contribute to </w:t>
      </w:r>
      <w:proofErr w:type="spellStart"/>
      <w:r w:rsidRPr="00A219CE">
        <w:rPr>
          <w:rFonts w:cs="Arial"/>
        </w:rPr>
        <w:t>exceedances</w:t>
      </w:r>
      <w:proofErr w:type="spellEnd"/>
      <w:r w:rsidRPr="00A219CE">
        <w:rPr>
          <w:rFonts w:cs="Arial"/>
        </w:rPr>
        <w:t xml:space="preserve"> of water quality standards. </w:t>
      </w:r>
    </w:p>
    <w:p w:rsidR="00ED314F" w:rsidRPr="00A219CE" w:rsidRDefault="00ED314F" w:rsidP="00D951F8">
      <w:pPr>
        <w:pStyle w:val="HTMLPreformatted"/>
        <w:numPr>
          <w:ilvl w:val="0"/>
          <w:numId w:val="1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 w:val="left" w:pos="9900"/>
        </w:tabs>
        <w:rPr>
          <w:rFonts w:ascii="Calibri" w:hAnsi="Calibri" w:cs="Helv"/>
          <w:color w:val="000000"/>
          <w:sz w:val="22"/>
          <w:szCs w:val="22"/>
        </w:rPr>
      </w:pPr>
      <w:r w:rsidRPr="00A219CE">
        <w:rPr>
          <w:rFonts w:ascii="Calibri" w:hAnsi="Calibri"/>
          <w:sz w:val="22"/>
          <w:szCs w:val="22"/>
        </w:rPr>
        <w:t>Evaluate the need for a permit modification to include a mercury limit, or include a mercury limit at the time of permit reissuance, if reasonable potential exists.</w:t>
      </w:r>
    </w:p>
    <w:p w:rsidR="00ED314F" w:rsidRPr="00ED6468" w:rsidRDefault="00ED314F" w:rsidP="00ED31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 w:val="left" w:pos="9900"/>
        </w:tabs>
        <w:ind w:left="360"/>
        <w:rPr>
          <w:rFonts w:cs="Helv"/>
          <w:color w:val="000000"/>
        </w:rPr>
      </w:pPr>
    </w:p>
    <w:p w:rsidR="00ED314F" w:rsidRDefault="00ED314F" w:rsidP="00ED314F">
      <w:pPr>
        <w:autoSpaceDE w:val="0"/>
        <w:autoSpaceDN w:val="0"/>
        <w:adjustRightInd w:val="0"/>
        <w:rPr>
          <w:rFonts w:cs="Helv"/>
          <w:b/>
          <w:bCs/>
          <w:color w:val="000000"/>
        </w:rPr>
      </w:pPr>
      <w:r w:rsidRPr="00ED6468">
        <w:rPr>
          <w:rFonts w:cs="Helv"/>
          <w:b/>
          <w:bCs/>
          <w:color w:val="000000"/>
        </w:rPr>
        <w:t>History/Timel</w:t>
      </w:r>
      <w:r>
        <w:rPr>
          <w:rFonts w:cs="Helv"/>
          <w:b/>
          <w:bCs/>
          <w:color w:val="000000"/>
        </w:rPr>
        <w:t>ine:</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6588"/>
      </w:tblGrid>
      <w:tr w:rsidR="00ED314F" w:rsidRPr="00711D26" w:rsidTr="00ED314F">
        <w:tc>
          <w:tcPr>
            <w:tcW w:w="8928" w:type="dxa"/>
            <w:gridSpan w:val="2"/>
            <w:shd w:val="clear" w:color="auto" w:fill="C0C0C0"/>
            <w:vAlign w:val="center"/>
          </w:tcPr>
          <w:p w:rsidR="00ED314F" w:rsidRPr="00711D26" w:rsidRDefault="00ED314F" w:rsidP="00ED314F">
            <w:pPr>
              <w:autoSpaceDE w:val="0"/>
              <w:autoSpaceDN w:val="0"/>
              <w:adjustRightInd w:val="0"/>
              <w:jc w:val="center"/>
              <w:rPr>
                <w:rFonts w:cs="Helv"/>
                <w:i/>
                <w:color w:val="000000"/>
              </w:rPr>
            </w:pPr>
            <w:r w:rsidRPr="00711D26">
              <w:rPr>
                <w:rFonts w:cs="Helv"/>
                <w:b/>
                <w:i/>
                <w:color w:val="000000"/>
              </w:rPr>
              <w:t xml:space="preserve">Original Variance </w:t>
            </w:r>
            <w:r w:rsidRPr="00711D26">
              <w:rPr>
                <w:rFonts w:cs="Helv"/>
                <w:i/>
                <w:color w:val="000000"/>
              </w:rPr>
              <w:t>(approx. 2 years)</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February 18, 2000</w:t>
            </w:r>
          </w:p>
        </w:tc>
        <w:tc>
          <w:tcPr>
            <w:tcW w:w="6588" w:type="dxa"/>
          </w:tcPr>
          <w:p w:rsidR="00ED314F" w:rsidRPr="00711D26" w:rsidRDefault="00ED314F" w:rsidP="00ED314F">
            <w:pPr>
              <w:autoSpaceDE w:val="0"/>
              <w:autoSpaceDN w:val="0"/>
              <w:adjustRightInd w:val="0"/>
              <w:rPr>
                <w:rFonts w:cs="Helv"/>
                <w:b/>
                <w:bCs/>
                <w:color w:val="000000"/>
              </w:rPr>
            </w:pPr>
            <w:r w:rsidRPr="00711D26">
              <w:rPr>
                <w:rFonts w:cs="Helv"/>
                <w:color w:val="000000"/>
              </w:rPr>
              <w:t xml:space="preserve">Michigan DEQ submitted its Mercury Permitting Strategy, which incorporated a MDV for mercury, to EPA.  The Strategy </w:t>
            </w:r>
            <w:r w:rsidRPr="00711D26">
              <w:rPr>
                <w:rFonts w:cs="Helv"/>
                <w:b/>
                <w:color w:val="000000"/>
              </w:rPr>
              <w:t>(applicable from 2000-2004)</w:t>
            </w:r>
            <w:r w:rsidRPr="00711D26">
              <w:rPr>
                <w:rFonts w:cs="Helv"/>
                <w:color w:val="000000"/>
              </w:rPr>
              <w:t xml:space="preserve"> incorporated an interim level currently achievable (LCA) of 30 </w:t>
            </w:r>
            <w:proofErr w:type="spellStart"/>
            <w:r w:rsidRPr="00711D26">
              <w:rPr>
                <w:rFonts w:cs="Helv"/>
                <w:color w:val="000000"/>
              </w:rPr>
              <w:t>ng</w:t>
            </w:r>
            <w:proofErr w:type="spellEnd"/>
            <w:r w:rsidRPr="00711D26">
              <w:rPr>
                <w:rFonts w:cs="Helv"/>
                <w:color w:val="000000"/>
              </w:rPr>
              <w:t>/L.</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May 24, 2002</w:t>
            </w:r>
          </w:p>
        </w:tc>
        <w:tc>
          <w:tcPr>
            <w:tcW w:w="6588" w:type="dxa"/>
          </w:tcPr>
          <w:p w:rsidR="00ED314F" w:rsidRPr="00711D26" w:rsidRDefault="00ED314F" w:rsidP="00ED314F">
            <w:pPr>
              <w:autoSpaceDE w:val="0"/>
              <w:autoSpaceDN w:val="0"/>
              <w:adjustRightInd w:val="0"/>
              <w:rPr>
                <w:rFonts w:cs="Helv"/>
                <w:b/>
                <w:bCs/>
                <w:color w:val="000000"/>
              </w:rPr>
            </w:pPr>
            <w:r w:rsidRPr="00711D26">
              <w:rPr>
                <w:rFonts w:cs="Helv"/>
                <w:color w:val="000000"/>
              </w:rPr>
              <w:t>EPA approves MDV.</w:t>
            </w:r>
          </w:p>
        </w:tc>
      </w:tr>
      <w:tr w:rsidR="00ED314F" w:rsidRPr="00711D26" w:rsidTr="00ED314F">
        <w:tc>
          <w:tcPr>
            <w:tcW w:w="8928" w:type="dxa"/>
            <w:gridSpan w:val="2"/>
            <w:shd w:val="clear" w:color="auto" w:fill="C0C0C0"/>
            <w:vAlign w:val="center"/>
          </w:tcPr>
          <w:p w:rsidR="00ED314F" w:rsidRPr="00711D26" w:rsidRDefault="00ED314F" w:rsidP="00ED314F">
            <w:pPr>
              <w:autoSpaceDE w:val="0"/>
              <w:autoSpaceDN w:val="0"/>
              <w:adjustRightInd w:val="0"/>
              <w:jc w:val="center"/>
              <w:rPr>
                <w:rFonts w:cs="Helv"/>
                <w:i/>
                <w:color w:val="000000"/>
              </w:rPr>
            </w:pPr>
            <w:r w:rsidRPr="00711D26">
              <w:rPr>
                <w:rFonts w:cs="Helv"/>
                <w:b/>
                <w:i/>
                <w:color w:val="000000"/>
              </w:rPr>
              <w:t xml:space="preserve">Variance Renewal #1 </w:t>
            </w:r>
            <w:r w:rsidRPr="00711D26">
              <w:rPr>
                <w:rFonts w:cs="Helv"/>
                <w:i/>
                <w:color w:val="000000"/>
              </w:rPr>
              <w:t xml:space="preserve">(&lt;2 </w:t>
            </w:r>
            <w:proofErr w:type="spellStart"/>
            <w:r w:rsidRPr="00711D26">
              <w:rPr>
                <w:rFonts w:cs="Helv"/>
                <w:i/>
                <w:color w:val="000000"/>
              </w:rPr>
              <w:t>mos</w:t>
            </w:r>
            <w:proofErr w:type="spellEnd"/>
            <w:r w:rsidRPr="00711D26">
              <w:rPr>
                <w:rFonts w:cs="Helv"/>
                <w:i/>
                <w:color w:val="000000"/>
              </w:rPr>
              <w:t>)</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May 18, 2004</w:t>
            </w:r>
          </w:p>
        </w:tc>
        <w:tc>
          <w:tcPr>
            <w:tcW w:w="6588" w:type="dxa"/>
          </w:tcPr>
          <w:p w:rsidR="00ED314F" w:rsidRPr="00711D26" w:rsidRDefault="00ED314F" w:rsidP="00ED314F">
            <w:pPr>
              <w:autoSpaceDE w:val="0"/>
              <w:autoSpaceDN w:val="0"/>
              <w:adjustRightInd w:val="0"/>
              <w:rPr>
                <w:rFonts w:cs="Helv"/>
                <w:b/>
                <w:bCs/>
                <w:color w:val="000000"/>
              </w:rPr>
            </w:pPr>
            <w:r w:rsidRPr="00711D26">
              <w:rPr>
                <w:rFonts w:cs="Helv"/>
                <w:color w:val="000000"/>
              </w:rPr>
              <w:t xml:space="preserve">Michigan DEQ submitted its revised Mercury Permitting Strategy, which incorporated a MDV for mercury, to EPA.  The revised Strategy </w:t>
            </w:r>
            <w:r w:rsidRPr="00711D26">
              <w:rPr>
                <w:rFonts w:cs="Helv"/>
                <w:b/>
                <w:color w:val="000000"/>
              </w:rPr>
              <w:t>(applicable from 2005-2009)</w:t>
            </w:r>
            <w:r w:rsidRPr="00711D26">
              <w:rPr>
                <w:rFonts w:cs="Helv"/>
                <w:color w:val="000000"/>
              </w:rPr>
              <w:t xml:space="preserve"> incorporated an interim LCA of 10 </w:t>
            </w:r>
            <w:proofErr w:type="spellStart"/>
            <w:r w:rsidRPr="00711D26">
              <w:rPr>
                <w:rFonts w:cs="Helv"/>
                <w:color w:val="000000"/>
              </w:rPr>
              <w:t>ng</w:t>
            </w:r>
            <w:proofErr w:type="spellEnd"/>
            <w:r w:rsidRPr="00711D26">
              <w:rPr>
                <w:rFonts w:cs="Helv"/>
                <w:color w:val="000000"/>
              </w:rPr>
              <w:t>/L.</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June 29, 2004</w:t>
            </w:r>
          </w:p>
        </w:tc>
        <w:tc>
          <w:tcPr>
            <w:tcW w:w="6588" w:type="dxa"/>
          </w:tcPr>
          <w:p w:rsidR="00ED314F" w:rsidRPr="00711D26" w:rsidRDefault="00ED314F" w:rsidP="00ED314F">
            <w:pPr>
              <w:autoSpaceDE w:val="0"/>
              <w:autoSpaceDN w:val="0"/>
              <w:adjustRightInd w:val="0"/>
              <w:rPr>
                <w:rFonts w:cs="Helv"/>
                <w:color w:val="000000"/>
              </w:rPr>
            </w:pPr>
            <w:r w:rsidRPr="00711D26">
              <w:rPr>
                <w:rFonts w:cs="Helv"/>
                <w:color w:val="000000"/>
              </w:rPr>
              <w:t>EPA approves the MDV.</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2004-2007</w:t>
            </w:r>
          </w:p>
        </w:tc>
        <w:tc>
          <w:tcPr>
            <w:tcW w:w="6588" w:type="dxa"/>
          </w:tcPr>
          <w:p w:rsidR="00ED314F" w:rsidRPr="00711D26" w:rsidRDefault="00ED314F" w:rsidP="00ED314F">
            <w:pPr>
              <w:autoSpaceDE w:val="0"/>
              <w:autoSpaceDN w:val="0"/>
              <w:adjustRightInd w:val="0"/>
              <w:rPr>
                <w:rFonts w:cs="Helv"/>
                <w:color w:val="000000"/>
              </w:rPr>
            </w:pPr>
            <w:r w:rsidRPr="00711D26">
              <w:rPr>
                <w:rFonts w:cs="Helv"/>
                <w:color w:val="000000"/>
              </w:rPr>
              <w:t xml:space="preserve">EPA’s approval of the variance, particularly the uniform LCA </w:t>
            </w:r>
            <w:proofErr w:type="gramStart"/>
            <w:r w:rsidRPr="00711D26">
              <w:rPr>
                <w:rFonts w:cs="Helv"/>
                <w:color w:val="000000"/>
              </w:rPr>
              <w:t xml:space="preserve">of 10 </w:t>
            </w:r>
            <w:proofErr w:type="spellStart"/>
            <w:r w:rsidRPr="00711D26">
              <w:rPr>
                <w:rFonts w:cs="Helv"/>
                <w:color w:val="000000"/>
              </w:rPr>
              <w:t>ng</w:t>
            </w:r>
            <w:proofErr w:type="spellEnd"/>
            <w:r w:rsidRPr="00711D26">
              <w:rPr>
                <w:rFonts w:cs="Helv"/>
                <w:color w:val="000000"/>
              </w:rPr>
              <w:t>/L,</w:t>
            </w:r>
            <w:proofErr w:type="gramEnd"/>
            <w:r w:rsidRPr="00711D26">
              <w:rPr>
                <w:rFonts w:cs="Helv"/>
                <w:color w:val="000000"/>
              </w:rPr>
              <w:t xml:space="preserve"> was challenged in federal court.</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November 30, 2007</w:t>
            </w:r>
          </w:p>
        </w:tc>
        <w:tc>
          <w:tcPr>
            <w:tcW w:w="6588" w:type="dxa"/>
          </w:tcPr>
          <w:p w:rsidR="00ED314F" w:rsidRPr="00711D26" w:rsidRDefault="00ED314F" w:rsidP="00ED314F">
            <w:pPr>
              <w:autoSpaceDE w:val="0"/>
              <w:autoSpaceDN w:val="0"/>
              <w:adjustRightInd w:val="0"/>
              <w:rPr>
                <w:rFonts w:cs="Helv"/>
                <w:color w:val="000000"/>
              </w:rPr>
            </w:pPr>
            <w:r w:rsidRPr="00711D26">
              <w:rPr>
                <w:rFonts w:cs="Helv"/>
                <w:color w:val="000000"/>
              </w:rPr>
              <w:t xml:space="preserve">A settlement agreement in regards to the above-noted challenge was reached. </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September 5, 2008</w:t>
            </w:r>
          </w:p>
        </w:tc>
        <w:tc>
          <w:tcPr>
            <w:tcW w:w="6588" w:type="dxa"/>
          </w:tcPr>
          <w:p w:rsidR="00ED314F" w:rsidRPr="00711D26" w:rsidRDefault="00ED314F" w:rsidP="00ED314F">
            <w:pPr>
              <w:autoSpaceDE w:val="0"/>
              <w:autoSpaceDN w:val="0"/>
              <w:adjustRightInd w:val="0"/>
              <w:rPr>
                <w:rFonts w:cs="Helv"/>
                <w:color w:val="000000"/>
              </w:rPr>
            </w:pPr>
            <w:r w:rsidRPr="00711D26">
              <w:rPr>
                <w:rFonts w:cs="Helv"/>
                <w:color w:val="000000"/>
              </w:rPr>
              <w:t xml:space="preserve">Michigan DEQ submits a revised procedure for calculating LCAs to EPA which replaced a component of the previously approved mercury MDV that established a statewide LCA </w:t>
            </w:r>
            <w:proofErr w:type="gramStart"/>
            <w:r w:rsidRPr="00711D26">
              <w:rPr>
                <w:rFonts w:cs="Helv"/>
                <w:color w:val="000000"/>
              </w:rPr>
              <w:t xml:space="preserve">of 10 </w:t>
            </w:r>
            <w:proofErr w:type="spellStart"/>
            <w:r w:rsidRPr="00711D26">
              <w:rPr>
                <w:rFonts w:cs="Helv"/>
                <w:color w:val="000000"/>
              </w:rPr>
              <w:t>ng</w:t>
            </w:r>
            <w:proofErr w:type="spellEnd"/>
            <w:r w:rsidRPr="00711D26">
              <w:rPr>
                <w:rFonts w:cs="Helv"/>
                <w:color w:val="000000"/>
              </w:rPr>
              <w:t>/L.</w:t>
            </w:r>
            <w:proofErr w:type="gramEnd"/>
            <w:r w:rsidRPr="00711D26">
              <w:rPr>
                <w:rFonts w:cs="Helv"/>
                <w:color w:val="000000"/>
              </w:rPr>
              <w:t xml:space="preserve">  </w:t>
            </w:r>
          </w:p>
        </w:tc>
      </w:tr>
      <w:tr w:rsidR="00ED314F" w:rsidRPr="00711D26" w:rsidTr="00ED314F">
        <w:tc>
          <w:tcPr>
            <w:tcW w:w="2340" w:type="dxa"/>
            <w:tcBorders>
              <w:bottom w:val="single" w:sz="4" w:space="0" w:color="auto"/>
            </w:tcBorders>
          </w:tcPr>
          <w:p w:rsidR="00ED314F" w:rsidRPr="00711D26" w:rsidRDefault="00ED314F" w:rsidP="00ED314F">
            <w:pPr>
              <w:autoSpaceDE w:val="0"/>
              <w:autoSpaceDN w:val="0"/>
              <w:adjustRightInd w:val="0"/>
              <w:rPr>
                <w:rFonts w:cs="Helv"/>
                <w:b/>
                <w:bCs/>
                <w:color w:val="000000"/>
              </w:rPr>
            </w:pPr>
            <w:r w:rsidRPr="00711D26">
              <w:rPr>
                <w:rFonts w:cs="Helv"/>
                <w:b/>
                <w:bCs/>
                <w:color w:val="000000"/>
              </w:rPr>
              <w:t>September 30, 2008</w:t>
            </w:r>
          </w:p>
        </w:tc>
        <w:tc>
          <w:tcPr>
            <w:tcW w:w="6588" w:type="dxa"/>
            <w:tcBorders>
              <w:bottom w:val="single" w:sz="4" w:space="0" w:color="auto"/>
            </w:tcBorders>
          </w:tcPr>
          <w:p w:rsidR="00ED314F" w:rsidRPr="00711D26" w:rsidRDefault="00ED314F" w:rsidP="00ED314F">
            <w:pPr>
              <w:autoSpaceDE w:val="0"/>
              <w:autoSpaceDN w:val="0"/>
              <w:adjustRightInd w:val="0"/>
              <w:rPr>
                <w:rFonts w:cs="Helv"/>
                <w:color w:val="000000"/>
              </w:rPr>
            </w:pPr>
            <w:r w:rsidRPr="00711D26">
              <w:rPr>
                <w:rFonts w:cs="Helv"/>
                <w:color w:val="000000"/>
              </w:rPr>
              <w:t xml:space="preserve">EPA approves the methodology submitted to EPA on September 5, 2008, that </w:t>
            </w:r>
            <w:smartTag w:uri="urn:schemas-microsoft-com:office:smarttags" w:element="State">
              <w:smartTag w:uri="urn:schemas-microsoft-com:office:smarttags" w:element="place">
                <w:r w:rsidRPr="00711D26">
                  <w:rPr>
                    <w:rFonts w:cs="Helv"/>
                    <w:color w:val="000000"/>
                  </w:rPr>
                  <w:t>Michigan</w:t>
                </w:r>
              </w:smartTag>
            </w:smartTag>
            <w:r w:rsidRPr="00711D26">
              <w:rPr>
                <w:rFonts w:cs="Helv"/>
                <w:color w:val="000000"/>
              </w:rPr>
              <w:t xml:space="preserve"> will use to develop LCAs. </w:t>
            </w:r>
          </w:p>
        </w:tc>
      </w:tr>
      <w:tr w:rsidR="00ED314F" w:rsidRPr="00711D26" w:rsidTr="00ED314F">
        <w:tc>
          <w:tcPr>
            <w:tcW w:w="8928" w:type="dxa"/>
            <w:gridSpan w:val="2"/>
            <w:shd w:val="clear" w:color="auto" w:fill="C0C0C0"/>
            <w:vAlign w:val="center"/>
          </w:tcPr>
          <w:p w:rsidR="00ED314F" w:rsidRPr="00711D26" w:rsidRDefault="00ED314F" w:rsidP="00ED314F">
            <w:pPr>
              <w:autoSpaceDE w:val="0"/>
              <w:autoSpaceDN w:val="0"/>
              <w:adjustRightInd w:val="0"/>
              <w:jc w:val="center"/>
              <w:rPr>
                <w:rFonts w:cs="Helv"/>
                <w:color w:val="000000"/>
              </w:rPr>
            </w:pPr>
            <w:r w:rsidRPr="00711D26">
              <w:rPr>
                <w:rFonts w:cs="Helv"/>
                <w:b/>
                <w:i/>
                <w:color w:val="000000"/>
              </w:rPr>
              <w:t>Variance Renewal #2</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August 17, 2009</w:t>
            </w:r>
          </w:p>
        </w:tc>
        <w:tc>
          <w:tcPr>
            <w:tcW w:w="6588" w:type="dxa"/>
          </w:tcPr>
          <w:p w:rsidR="00ED314F" w:rsidRPr="00711D26" w:rsidRDefault="00ED314F" w:rsidP="00ED314F">
            <w:pPr>
              <w:autoSpaceDE w:val="0"/>
              <w:autoSpaceDN w:val="0"/>
              <w:adjustRightInd w:val="0"/>
              <w:rPr>
                <w:rFonts w:cs="Helv"/>
                <w:color w:val="000000"/>
              </w:rPr>
            </w:pPr>
            <w:r w:rsidRPr="00711D26">
              <w:t xml:space="preserve">Michigan DEQ develops a DRAFT Multiple Discharger Variance for Mercury </w:t>
            </w:r>
            <w:r w:rsidRPr="00711D26">
              <w:rPr>
                <w:b/>
              </w:rPr>
              <w:t>applicable for 2010-2014</w:t>
            </w:r>
            <w:r w:rsidRPr="00711D26">
              <w:t>.</w:t>
            </w:r>
          </w:p>
        </w:tc>
      </w:tr>
    </w:tbl>
    <w:p w:rsidR="00ED314F" w:rsidRDefault="00ED314F" w:rsidP="00ED314F">
      <w:pPr>
        <w:rPr>
          <w:rFonts w:cs="Helv"/>
          <w:b/>
          <w:bCs/>
          <w:color w:val="000000"/>
        </w:rPr>
      </w:pPr>
    </w:p>
    <w:p w:rsidR="00ED314F" w:rsidRDefault="00ED314F" w:rsidP="00ED314F">
      <w:pPr>
        <w:ind w:left="1440"/>
        <w:rPr>
          <w:rFonts w:cs="Helv"/>
          <w:bCs/>
          <w:color w:val="000000"/>
        </w:rPr>
      </w:pPr>
    </w:p>
    <w:p w:rsidR="00ED314F" w:rsidRPr="00ED314F" w:rsidRDefault="00ED314F">
      <w:pPr>
        <w:rPr>
          <w:rFonts w:asciiTheme="minorHAnsi" w:hAnsiTheme="minorHAnsi"/>
        </w:rPr>
      </w:pPr>
    </w:p>
    <w:sectPr w:rsidR="00ED314F" w:rsidRPr="00ED314F" w:rsidSect="0054716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63B" w:rsidRDefault="008A563B" w:rsidP="00AD012D">
      <w:pPr>
        <w:spacing w:after="0" w:line="240" w:lineRule="auto"/>
      </w:pPr>
      <w:r>
        <w:separator/>
      </w:r>
    </w:p>
  </w:endnote>
  <w:endnote w:type="continuationSeparator" w:id="0">
    <w:p w:rsidR="008A563B" w:rsidRDefault="008A563B" w:rsidP="00AD01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3627"/>
      <w:docPartObj>
        <w:docPartGallery w:val="Page Numbers (Bottom of Page)"/>
        <w:docPartUnique/>
      </w:docPartObj>
    </w:sdtPr>
    <w:sdtContent>
      <w:sdt>
        <w:sdtPr>
          <w:id w:val="565050477"/>
          <w:docPartObj>
            <w:docPartGallery w:val="Page Numbers (Top of Page)"/>
            <w:docPartUnique/>
          </w:docPartObj>
        </w:sdtPr>
        <w:sdtContent>
          <w:p w:rsidR="008A563B" w:rsidRDefault="008A563B">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17A9F">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17A9F">
              <w:rPr>
                <w:b/>
                <w:noProof/>
              </w:rPr>
              <w:t>37</w:t>
            </w:r>
            <w:r>
              <w:rPr>
                <w:b/>
                <w:sz w:val="24"/>
                <w:szCs w:val="24"/>
              </w:rPr>
              <w:fldChar w:fldCharType="end"/>
            </w:r>
          </w:p>
        </w:sdtContent>
      </w:sdt>
    </w:sdtContent>
  </w:sdt>
  <w:p w:rsidR="008A563B" w:rsidRDefault="008A56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63B" w:rsidRDefault="008A563B" w:rsidP="00AD012D">
      <w:pPr>
        <w:spacing w:after="0" w:line="240" w:lineRule="auto"/>
      </w:pPr>
      <w:r>
        <w:separator/>
      </w:r>
    </w:p>
  </w:footnote>
  <w:footnote w:type="continuationSeparator" w:id="0">
    <w:p w:rsidR="008A563B" w:rsidRDefault="008A563B" w:rsidP="00AD012D">
      <w:pPr>
        <w:spacing w:after="0" w:line="240" w:lineRule="auto"/>
      </w:pPr>
      <w:r>
        <w:continuationSeparator/>
      </w:r>
    </w:p>
  </w:footnote>
  <w:footnote w:id="1">
    <w:p w:rsidR="008A563B" w:rsidRDefault="008A563B">
      <w:pPr>
        <w:pStyle w:val="FootnoteText"/>
        <w:rPr>
          <w:bCs/>
        </w:rPr>
      </w:pPr>
      <w:r>
        <w:rPr>
          <w:rStyle w:val="FootnoteReference"/>
        </w:rPr>
        <w:footnoteRef/>
      </w:r>
      <w:r>
        <w:t xml:space="preserve"> </w:t>
      </w:r>
      <w:r w:rsidRPr="00884A8F">
        <w:rPr>
          <w:sz w:val="22"/>
          <w:szCs w:val="22"/>
        </w:rPr>
        <w:t>Science Applications International Corporation</w:t>
      </w:r>
      <w:r>
        <w:rPr>
          <w:bCs/>
        </w:rPr>
        <w:t xml:space="preserve">.  June 2008.  </w:t>
      </w:r>
      <w:hyperlink r:id="rId1" w:history="1">
        <w:r w:rsidRPr="00884A8F">
          <w:rPr>
            <w:rStyle w:val="Hyperlink"/>
            <w:bCs/>
          </w:rPr>
          <w:t>Cost of Compliance with Water Quality Criteria for Toxic Pollutants for Oregon Waters</w:t>
        </w:r>
      </w:hyperlink>
      <w:r>
        <w:rPr>
          <w:bCs/>
        </w:rPr>
        <w:t xml:space="preserve"> </w:t>
      </w:r>
    </w:p>
    <w:p w:rsidR="008A563B" w:rsidRPr="00884A8F" w:rsidRDefault="008A563B">
      <w:pPr>
        <w:pStyle w:val="FootnoteText"/>
        <w:rPr>
          <w:sz w:val="22"/>
          <w:szCs w:val="22"/>
        </w:rPr>
      </w:pPr>
    </w:p>
  </w:footnote>
  <w:footnote w:id="2">
    <w:p w:rsidR="008A563B" w:rsidRDefault="008A563B">
      <w:pPr>
        <w:pStyle w:val="FootnoteText"/>
      </w:pPr>
      <w:r>
        <w:rPr>
          <w:rStyle w:val="FootnoteReference"/>
        </w:rPr>
        <w:footnoteRef/>
      </w:r>
      <w:r>
        <w:t xml:space="preserve"> We expect the majority of waters where this is currently the case for iron and manganese to be addressed by proposed revisions to those criteria, and also addressed, to a large extent, by revisions to the arsenic criterion.</w:t>
      </w:r>
    </w:p>
  </w:footnote>
  <w:footnote w:id="3">
    <w:p w:rsidR="008A563B" w:rsidRDefault="008A563B" w:rsidP="00DB1EFF">
      <w:pPr>
        <w:pStyle w:val="FootnoteText"/>
      </w:pPr>
      <w:r>
        <w:rPr>
          <w:rStyle w:val="FootnoteReference"/>
        </w:rPr>
        <w:footnoteRef/>
      </w:r>
      <w:r>
        <w:t xml:space="preserve"> </w:t>
      </w:r>
      <w:r w:rsidRPr="00EB2261">
        <w:t>40 CFR 122.21 (g</w:t>
      </w:r>
      <w:proofErr w:type="gramStart"/>
      <w:r w:rsidRPr="00EB2261">
        <w:t>)(</w:t>
      </w:r>
      <w:proofErr w:type="gramEnd"/>
      <w:r w:rsidRPr="00EB2261">
        <w:t>7) Effluent Characterization:  The requirements in paragraphs (g)(7)(vi) and (vii) of this section state that an applicant must provide quantitative data for certain pollutants known or believed to be present do not apply to pollutants present in a discharge solely as the result of their presence in intake water; however, an applicant must report such pollutants as present.  Net credits may be provided for the presence of pollutants in intake water if the requirements of 122.45(g) are met.</w:t>
      </w:r>
    </w:p>
  </w:footnote>
  <w:footnote w:id="4">
    <w:p w:rsidR="008A563B" w:rsidRDefault="008A563B" w:rsidP="00DB1EFF">
      <w:pPr>
        <w:pStyle w:val="FootnoteText"/>
      </w:pPr>
      <w:r>
        <w:rPr>
          <w:rStyle w:val="FootnoteReference"/>
        </w:rPr>
        <w:footnoteRef/>
      </w:r>
      <w:r>
        <w:t xml:space="preserve"> Federal regulations</w:t>
      </w:r>
      <w:r w:rsidRPr="00FB3A30">
        <w:t xml:space="preserve"> indicates that when characterizing the effluent the traditional monitoring requirements under 40 CFR 122.21(h</w:t>
      </w:r>
      <w:proofErr w:type="gramStart"/>
      <w:r w:rsidRPr="00FB3A30">
        <w:t>)(</w:t>
      </w:r>
      <w:proofErr w:type="gramEnd"/>
      <w:r w:rsidRPr="00FB3A30">
        <w:t>4)(</w:t>
      </w:r>
      <w:proofErr w:type="spellStart"/>
      <w:r w:rsidRPr="00FB3A30">
        <w:t>i</w:t>
      </w:r>
      <w:proofErr w:type="spellEnd"/>
      <w:r w:rsidRPr="00FB3A30">
        <w:t xml:space="preserve">-iii) do not apply </w:t>
      </w:r>
      <w:r>
        <w:t xml:space="preserve">to pollutants </w:t>
      </w:r>
      <w:r w:rsidRPr="00FB3A30">
        <w:t>present in a discharge solely as a result of their presence in intake water.</w:t>
      </w:r>
    </w:p>
  </w:footnote>
  <w:footnote w:id="5">
    <w:p w:rsidR="008A563B" w:rsidRDefault="008A563B" w:rsidP="00DB1EFF">
      <w:pPr>
        <w:pStyle w:val="FootnoteText"/>
      </w:pPr>
      <w:r>
        <w:rPr>
          <w:rStyle w:val="FootnoteReference"/>
        </w:rPr>
        <w:footnoteRef/>
      </w:r>
      <w:r>
        <w:t xml:space="preserve"> A general permit may be written for categories that:</w:t>
      </w:r>
    </w:p>
    <w:p w:rsidR="008A563B" w:rsidRDefault="008A563B" w:rsidP="00DB1EFF">
      <w:pPr>
        <w:pStyle w:val="FootnoteText"/>
        <w:ind w:left="1170" w:hanging="450"/>
      </w:pPr>
      <w:r>
        <w:t>•</w:t>
      </w:r>
      <w:r>
        <w:tab/>
        <w:t>Involve the same or substantially similar types of operations;</w:t>
      </w:r>
    </w:p>
    <w:p w:rsidR="008A563B" w:rsidRDefault="008A563B" w:rsidP="00DB1EFF">
      <w:pPr>
        <w:pStyle w:val="FootnoteText"/>
        <w:ind w:left="1170" w:hanging="450"/>
      </w:pPr>
      <w:r>
        <w:t>•</w:t>
      </w:r>
      <w:r>
        <w:tab/>
        <w:t>Discharge the same types of wastes or engage in the same types of sludge use or disposal practices;</w:t>
      </w:r>
    </w:p>
    <w:p w:rsidR="008A563B" w:rsidRDefault="008A563B" w:rsidP="00DB1EFF">
      <w:pPr>
        <w:pStyle w:val="FootnoteText"/>
        <w:ind w:left="1170" w:hanging="450"/>
      </w:pPr>
      <w:r>
        <w:t>•</w:t>
      </w:r>
      <w:r>
        <w:tab/>
        <w:t>Require the same effluent limitations, operating conditions, or standards for sewage sludge use or disposal;</w:t>
      </w:r>
    </w:p>
    <w:p w:rsidR="008A563B" w:rsidRDefault="008A563B" w:rsidP="00DB1EFF">
      <w:pPr>
        <w:pStyle w:val="FootnoteText"/>
        <w:ind w:left="1170" w:hanging="450"/>
      </w:pPr>
      <w:r>
        <w:t>•</w:t>
      </w:r>
      <w:r>
        <w:tab/>
        <w:t>Require the same or similar monitoring;</w:t>
      </w:r>
    </w:p>
    <w:p w:rsidR="008A563B" w:rsidRDefault="008A563B" w:rsidP="00DB1EFF">
      <w:pPr>
        <w:pStyle w:val="FootnoteText"/>
        <w:ind w:left="1170" w:hanging="450"/>
      </w:pPr>
      <w:r>
        <w:t>•</w:t>
      </w:r>
      <w:r>
        <w:tab/>
        <w:t>In the opinion of the Director, are more appropriately controlled under a general permit than under individual permits.</w:t>
      </w:r>
    </w:p>
  </w:footnote>
  <w:footnote w:id="6">
    <w:p w:rsidR="008A563B" w:rsidRDefault="008A563B" w:rsidP="00DB1EFF">
      <w:pPr>
        <w:pStyle w:val="FootnoteText"/>
      </w:pPr>
      <w:r>
        <w:rPr>
          <w:rStyle w:val="FootnoteReference"/>
        </w:rPr>
        <w:footnoteRef/>
      </w:r>
      <w:r>
        <w:t xml:space="preserve"> Remember here that we are referencing activities.  A major facility (&gt;1 MGD) might have a minor activity (&lt;1 MGD).</w:t>
      </w:r>
    </w:p>
  </w:footnote>
  <w:footnote w:id="7">
    <w:p w:rsidR="008A563B" w:rsidRDefault="008A563B">
      <w:pPr>
        <w:pStyle w:val="FootnoteText"/>
      </w:pPr>
      <w:r>
        <w:rPr>
          <w:rStyle w:val="FootnoteReference"/>
        </w:rPr>
        <w:footnoteRef/>
      </w:r>
      <w:r>
        <w:t xml:space="preserve"> Through communication with Dave Pfeiffer, EPA Region 5 Office and Danielle </w:t>
      </w:r>
      <w:proofErr w:type="spellStart"/>
      <w:r>
        <w:t>Salvaterra</w:t>
      </w:r>
      <w:proofErr w:type="spellEnd"/>
      <w:r>
        <w:t>, EPA Headquarters April 14, 2010</w:t>
      </w:r>
    </w:p>
  </w:footnote>
  <w:footnote w:id="8">
    <w:p w:rsidR="008A563B" w:rsidRDefault="008A563B">
      <w:pPr>
        <w:pStyle w:val="FootnoteText"/>
      </w:pPr>
      <w:r>
        <w:rPr>
          <w:rStyle w:val="FootnoteReference"/>
        </w:rPr>
        <w:footnoteRef/>
      </w:r>
      <w:r>
        <w:t xml:space="preserve"> For information on the 2004/2006 Integrated Report, please visit:  </w:t>
      </w:r>
      <w:hyperlink r:id="rId2" w:history="1">
        <w:r w:rsidRPr="002D76A5">
          <w:rPr>
            <w:rStyle w:val="Hyperlink"/>
          </w:rPr>
          <w:t>http://www.deq.state.or.us/wq/assessment/rpt0406.htm</w:t>
        </w:r>
      </w:hyperlink>
    </w:p>
    <w:p w:rsidR="008A563B" w:rsidRDefault="008A563B">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63B" w:rsidRDefault="008A563B" w:rsidP="00AD012D">
    <w:pPr>
      <w:pStyle w:val="Header"/>
      <w:tabs>
        <w:tab w:val="clear" w:pos="9360"/>
      </w:tabs>
    </w:pPr>
    <w:r>
      <w:rPr>
        <w:sz w:val="16"/>
        <w:szCs w:val="16"/>
      </w:rPr>
      <w:t>Implementing WQS for Toxics Pollutants in CWA Permits: RWG April 27 Discussion</w:t>
    </w:r>
    <w:r>
      <w:tab/>
      <w:t xml:space="preserve">               </w:t>
    </w:r>
    <w:r>
      <w:tab/>
    </w:r>
    <w:r>
      <w:tab/>
    </w:r>
    <w:r>
      <w:rPr>
        <w:sz w:val="16"/>
        <w:szCs w:val="16"/>
      </w:rPr>
      <w:t>DRAFT April 20</w:t>
    </w:r>
    <w:r w:rsidRPr="00547165">
      <w:rPr>
        <w:sz w:val="16"/>
        <w:szCs w:val="16"/>
      </w:rPr>
      <w:t>,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56BB"/>
    <w:multiLevelType w:val="hybridMultilevel"/>
    <w:tmpl w:val="2E109C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6B48B6"/>
    <w:multiLevelType w:val="hybridMultilevel"/>
    <w:tmpl w:val="A43AC1A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A706EE"/>
    <w:multiLevelType w:val="hybridMultilevel"/>
    <w:tmpl w:val="2DA475F2"/>
    <w:lvl w:ilvl="0" w:tplc="2694488A">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130B3C29"/>
    <w:multiLevelType w:val="hybridMultilevel"/>
    <w:tmpl w:val="CFDA7492"/>
    <w:lvl w:ilvl="0" w:tplc="72E8B466">
      <w:start w:val="1"/>
      <w:numFmt w:val="decimal"/>
      <w:lvlText w:val="%1."/>
      <w:lvlJc w:val="left"/>
      <w:pPr>
        <w:tabs>
          <w:tab w:val="num" w:pos="1080"/>
        </w:tabs>
        <w:ind w:left="1080" w:hanging="360"/>
      </w:pPr>
      <w:rPr>
        <w:rFonts w:hint="default"/>
        <w:b w:val="0"/>
      </w:rPr>
    </w:lvl>
    <w:lvl w:ilvl="1" w:tplc="44A83806">
      <w:start w:val="3"/>
      <w:numFmt w:val="upperLetter"/>
      <w:lvlText w:val="%2."/>
      <w:lvlJc w:val="left"/>
      <w:pPr>
        <w:tabs>
          <w:tab w:val="num" w:pos="1800"/>
        </w:tabs>
        <w:ind w:left="1800" w:hanging="360"/>
      </w:pPr>
      <w:rPr>
        <w:rFonts w:hint="default"/>
        <w:i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252902"/>
    <w:multiLevelType w:val="hybridMultilevel"/>
    <w:tmpl w:val="4FB89676"/>
    <w:lvl w:ilvl="0" w:tplc="DA687C4C">
      <w:start w:val="1"/>
      <w:numFmt w:val="lowerLetter"/>
      <w:lvlText w:val="%1."/>
      <w:lvlJc w:val="left"/>
      <w:pPr>
        <w:tabs>
          <w:tab w:val="num" w:pos="1080"/>
        </w:tabs>
        <w:ind w:left="1440" w:hanging="540"/>
      </w:pPr>
      <w:rPr>
        <w:rFonts w:asciiTheme="minorHAnsi" w:eastAsia="Times New Roman" w:hAnsiTheme="minorHAnsi" w:cs="Times New Roman" w:hint="default"/>
        <w:b w:val="0"/>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B6B16B0"/>
    <w:multiLevelType w:val="hybridMultilevel"/>
    <w:tmpl w:val="6F7C814E"/>
    <w:lvl w:ilvl="0" w:tplc="346EE3A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D586D15"/>
    <w:multiLevelType w:val="hybridMultilevel"/>
    <w:tmpl w:val="B274BA7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386F5D"/>
    <w:multiLevelType w:val="hybridMultilevel"/>
    <w:tmpl w:val="B5DC673A"/>
    <w:lvl w:ilvl="0" w:tplc="A4D61B60">
      <w:start w:val="2"/>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4F33284"/>
    <w:multiLevelType w:val="hybridMultilevel"/>
    <w:tmpl w:val="74401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9F0ECD"/>
    <w:multiLevelType w:val="hybridMultilevel"/>
    <w:tmpl w:val="35B848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E365EE"/>
    <w:multiLevelType w:val="hybridMultilevel"/>
    <w:tmpl w:val="303CBE40"/>
    <w:lvl w:ilvl="0" w:tplc="E30E0FE0">
      <w:start w:val="1"/>
      <w:numFmt w:val="bullet"/>
      <w:lvlText w:val=""/>
      <w:lvlJc w:val="left"/>
      <w:pPr>
        <w:tabs>
          <w:tab w:val="num" w:pos="72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935FC3"/>
    <w:multiLevelType w:val="hybridMultilevel"/>
    <w:tmpl w:val="29786BE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2">
    <w:nsid w:val="36F354E4"/>
    <w:multiLevelType w:val="hybridMultilevel"/>
    <w:tmpl w:val="E9ECBE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79F1423"/>
    <w:multiLevelType w:val="hybridMultilevel"/>
    <w:tmpl w:val="4DB22CB4"/>
    <w:lvl w:ilvl="0" w:tplc="3AB46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7CC5BEE"/>
    <w:multiLevelType w:val="hybridMultilevel"/>
    <w:tmpl w:val="1AD26A82"/>
    <w:lvl w:ilvl="0" w:tplc="D41AA8E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A033FA0"/>
    <w:multiLevelType w:val="hybridMultilevel"/>
    <w:tmpl w:val="4A3C7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D15FE5"/>
    <w:multiLevelType w:val="hybridMultilevel"/>
    <w:tmpl w:val="E5826A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11F131A"/>
    <w:multiLevelType w:val="hybridMultilevel"/>
    <w:tmpl w:val="7FB24C16"/>
    <w:lvl w:ilvl="0" w:tplc="6386954E">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429518B2"/>
    <w:multiLevelType w:val="hybridMultilevel"/>
    <w:tmpl w:val="2520A1CA"/>
    <w:lvl w:ilvl="0" w:tplc="04090003">
      <w:start w:val="1"/>
      <w:numFmt w:val="bullet"/>
      <w:lvlText w:val="o"/>
      <w:lvlJc w:val="left"/>
      <w:pPr>
        <w:tabs>
          <w:tab w:val="num" w:pos="785"/>
        </w:tabs>
        <w:ind w:left="785" w:hanging="360"/>
      </w:pPr>
      <w:rPr>
        <w:rFonts w:ascii="Courier New" w:hAnsi="Courier New" w:cs="Courier New" w:hint="default"/>
      </w:rPr>
    </w:lvl>
    <w:lvl w:ilvl="1" w:tplc="04090005">
      <w:start w:val="1"/>
      <w:numFmt w:val="bullet"/>
      <w:lvlText w:val=""/>
      <w:lvlJc w:val="left"/>
      <w:pPr>
        <w:tabs>
          <w:tab w:val="num" w:pos="1505"/>
        </w:tabs>
        <w:ind w:left="1505" w:hanging="360"/>
      </w:pPr>
      <w:rPr>
        <w:rFonts w:ascii="Wingdings" w:hAnsi="Wingdings" w:hint="default"/>
      </w:rPr>
    </w:lvl>
    <w:lvl w:ilvl="2" w:tplc="04090003">
      <w:start w:val="1"/>
      <w:numFmt w:val="bullet"/>
      <w:lvlText w:val="o"/>
      <w:lvlJc w:val="left"/>
      <w:pPr>
        <w:tabs>
          <w:tab w:val="num" w:pos="2225"/>
        </w:tabs>
        <w:ind w:left="2225" w:hanging="360"/>
      </w:pPr>
      <w:rPr>
        <w:rFonts w:ascii="Courier New" w:hAnsi="Courier New" w:cs="Courier New"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19">
    <w:nsid w:val="44AD61EC"/>
    <w:multiLevelType w:val="hybridMultilevel"/>
    <w:tmpl w:val="286E8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F2109E"/>
    <w:multiLevelType w:val="hybridMultilevel"/>
    <w:tmpl w:val="6CD83C60"/>
    <w:lvl w:ilvl="0" w:tplc="D41AA8E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F3141C4"/>
    <w:multiLevelType w:val="hybridMultilevel"/>
    <w:tmpl w:val="EA08C2B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0700E0E"/>
    <w:multiLevelType w:val="hybridMultilevel"/>
    <w:tmpl w:val="02DC064C"/>
    <w:lvl w:ilvl="0" w:tplc="D41AA8EA">
      <w:start w:val="1"/>
      <w:numFmt w:val="bullet"/>
      <w:lvlText w:val=""/>
      <w:lvlJc w:val="left"/>
      <w:pPr>
        <w:tabs>
          <w:tab w:val="num" w:pos="720"/>
        </w:tabs>
        <w:ind w:left="720" w:hanging="360"/>
      </w:pPr>
      <w:rPr>
        <w:rFonts w:ascii="Symbol" w:hAnsi="Symbol" w:hint="default"/>
        <w:sz w:val="24"/>
      </w:rPr>
    </w:lvl>
    <w:lvl w:ilvl="1" w:tplc="0AE8B8B8">
      <w:numFmt w:val="bullet"/>
      <w:lvlText w:val="-"/>
      <w:lvlJc w:val="left"/>
      <w:pPr>
        <w:tabs>
          <w:tab w:val="num" w:pos="1800"/>
        </w:tabs>
        <w:ind w:left="1800" w:hanging="360"/>
      </w:pPr>
      <w:rPr>
        <w:rFonts w:ascii="Verdana" w:eastAsia="Times New Roman" w:hAnsi="Verdana"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9683362"/>
    <w:multiLevelType w:val="hybridMultilevel"/>
    <w:tmpl w:val="F7F411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CA4051"/>
    <w:multiLevelType w:val="hybridMultilevel"/>
    <w:tmpl w:val="B90210C8"/>
    <w:lvl w:ilvl="0" w:tplc="7A0A4F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547102A"/>
    <w:multiLevelType w:val="hybridMultilevel"/>
    <w:tmpl w:val="D1AC71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E05AF0"/>
    <w:multiLevelType w:val="hybridMultilevel"/>
    <w:tmpl w:val="8F6EE960"/>
    <w:lvl w:ilvl="0" w:tplc="FFB0C4AC">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C9B399A"/>
    <w:multiLevelType w:val="hybridMultilevel"/>
    <w:tmpl w:val="5CE2C90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7E2715C"/>
    <w:multiLevelType w:val="hybridMultilevel"/>
    <w:tmpl w:val="C34485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DD82C75"/>
    <w:multiLevelType w:val="hybridMultilevel"/>
    <w:tmpl w:val="943E95D6"/>
    <w:lvl w:ilvl="0" w:tplc="0409000F">
      <w:start w:val="1"/>
      <w:numFmt w:val="decimal"/>
      <w:lvlText w:val="%1."/>
      <w:lvlJc w:val="left"/>
      <w:pPr>
        <w:ind w:left="758" w:hanging="360"/>
      </w:pPr>
    </w:lvl>
    <w:lvl w:ilvl="1" w:tplc="04090019">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30">
    <w:nsid w:val="7F634840"/>
    <w:multiLevelType w:val="hybridMultilevel"/>
    <w:tmpl w:val="3574F184"/>
    <w:lvl w:ilvl="0" w:tplc="509A72CA">
      <w:start w:val="1"/>
      <w:numFmt w:val="decimal"/>
      <w:lvlText w:val="(%1)"/>
      <w:lvlJc w:val="left"/>
      <w:pPr>
        <w:ind w:left="390" w:hanging="39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4"/>
  </w:num>
  <w:num w:numId="3">
    <w:abstractNumId w:val="3"/>
  </w:num>
  <w:num w:numId="4">
    <w:abstractNumId w:val="10"/>
  </w:num>
  <w:num w:numId="5">
    <w:abstractNumId w:val="19"/>
  </w:num>
  <w:num w:numId="6">
    <w:abstractNumId w:val="6"/>
  </w:num>
  <w:num w:numId="7">
    <w:abstractNumId w:val="21"/>
  </w:num>
  <w:num w:numId="8">
    <w:abstractNumId w:val="0"/>
  </w:num>
  <w:num w:numId="9">
    <w:abstractNumId w:val="28"/>
  </w:num>
  <w:num w:numId="10">
    <w:abstractNumId w:val="30"/>
  </w:num>
  <w:num w:numId="11">
    <w:abstractNumId w:val="24"/>
  </w:num>
  <w:num w:numId="12">
    <w:abstractNumId w:val="5"/>
  </w:num>
  <w:num w:numId="13">
    <w:abstractNumId w:val="2"/>
  </w:num>
  <w:num w:numId="14">
    <w:abstractNumId w:val="17"/>
  </w:num>
  <w:num w:numId="15">
    <w:abstractNumId w:val="18"/>
  </w:num>
  <w:num w:numId="16">
    <w:abstractNumId w:val="20"/>
  </w:num>
  <w:num w:numId="17">
    <w:abstractNumId w:val="22"/>
  </w:num>
  <w:num w:numId="18">
    <w:abstractNumId w:val="14"/>
  </w:num>
  <w:num w:numId="19">
    <w:abstractNumId w:val="13"/>
  </w:num>
  <w:num w:numId="20">
    <w:abstractNumId w:val="15"/>
  </w:num>
  <w:num w:numId="21">
    <w:abstractNumId w:val="8"/>
  </w:num>
  <w:num w:numId="22">
    <w:abstractNumId w:val="27"/>
  </w:num>
  <w:num w:numId="23">
    <w:abstractNumId w:val="7"/>
  </w:num>
  <w:num w:numId="24">
    <w:abstractNumId w:val="29"/>
  </w:num>
  <w:num w:numId="25">
    <w:abstractNumId w:val="11"/>
  </w:num>
  <w:num w:numId="26">
    <w:abstractNumId w:val="25"/>
  </w:num>
  <w:num w:numId="27">
    <w:abstractNumId w:val="12"/>
  </w:num>
  <w:num w:numId="28">
    <w:abstractNumId w:val="26"/>
  </w:num>
  <w:num w:numId="29">
    <w:abstractNumId w:val="1"/>
  </w:num>
  <w:num w:numId="30">
    <w:abstractNumId w:val="9"/>
  </w:num>
  <w:num w:numId="31">
    <w:abstractNumId w:val="2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rsids>
    <w:rsidRoot w:val="00AC4045"/>
    <w:rsid w:val="00023DCE"/>
    <w:rsid w:val="0005634F"/>
    <w:rsid w:val="000574D1"/>
    <w:rsid w:val="000609D4"/>
    <w:rsid w:val="00061201"/>
    <w:rsid w:val="000815D0"/>
    <w:rsid w:val="000910C4"/>
    <w:rsid w:val="00096F81"/>
    <w:rsid w:val="000A3E63"/>
    <w:rsid w:val="000A5D9B"/>
    <w:rsid w:val="000B555F"/>
    <w:rsid w:val="000D7D1D"/>
    <w:rsid w:val="000E0418"/>
    <w:rsid w:val="000E2DDC"/>
    <w:rsid w:val="000E3C94"/>
    <w:rsid w:val="000E676A"/>
    <w:rsid w:val="000F690B"/>
    <w:rsid w:val="00103CD7"/>
    <w:rsid w:val="001154E9"/>
    <w:rsid w:val="00115BE6"/>
    <w:rsid w:val="00132D0E"/>
    <w:rsid w:val="00143683"/>
    <w:rsid w:val="00143CAF"/>
    <w:rsid w:val="00144D58"/>
    <w:rsid w:val="001655FE"/>
    <w:rsid w:val="00193B31"/>
    <w:rsid w:val="00197992"/>
    <w:rsid w:val="001A2C8E"/>
    <w:rsid w:val="001A3896"/>
    <w:rsid w:val="001D47E8"/>
    <w:rsid w:val="001D57C8"/>
    <w:rsid w:val="001E1477"/>
    <w:rsid w:val="00205201"/>
    <w:rsid w:val="00206153"/>
    <w:rsid w:val="00221F47"/>
    <w:rsid w:val="002270CC"/>
    <w:rsid w:val="00243114"/>
    <w:rsid w:val="00297F39"/>
    <w:rsid w:val="002A6494"/>
    <w:rsid w:val="002F3283"/>
    <w:rsid w:val="00311D3B"/>
    <w:rsid w:val="00326494"/>
    <w:rsid w:val="003277B7"/>
    <w:rsid w:val="00332999"/>
    <w:rsid w:val="00342E44"/>
    <w:rsid w:val="003451DB"/>
    <w:rsid w:val="00366D0C"/>
    <w:rsid w:val="003825B7"/>
    <w:rsid w:val="003A279F"/>
    <w:rsid w:val="003B00FC"/>
    <w:rsid w:val="003C4519"/>
    <w:rsid w:val="003E6E5F"/>
    <w:rsid w:val="003F73B3"/>
    <w:rsid w:val="00412B8F"/>
    <w:rsid w:val="00413EAB"/>
    <w:rsid w:val="00416FFD"/>
    <w:rsid w:val="00417A9F"/>
    <w:rsid w:val="00440C4E"/>
    <w:rsid w:val="00494B5E"/>
    <w:rsid w:val="004A4541"/>
    <w:rsid w:val="004B1574"/>
    <w:rsid w:val="004B6647"/>
    <w:rsid w:val="004B6F64"/>
    <w:rsid w:val="004D7177"/>
    <w:rsid w:val="004D73B6"/>
    <w:rsid w:val="005001AC"/>
    <w:rsid w:val="00547165"/>
    <w:rsid w:val="005632BA"/>
    <w:rsid w:val="0057420F"/>
    <w:rsid w:val="00593A69"/>
    <w:rsid w:val="005956E7"/>
    <w:rsid w:val="005B210E"/>
    <w:rsid w:val="005B2D87"/>
    <w:rsid w:val="005E4CC8"/>
    <w:rsid w:val="005E69F2"/>
    <w:rsid w:val="005F3497"/>
    <w:rsid w:val="00625A35"/>
    <w:rsid w:val="006420BE"/>
    <w:rsid w:val="00642603"/>
    <w:rsid w:val="00653685"/>
    <w:rsid w:val="006637E3"/>
    <w:rsid w:val="00690E09"/>
    <w:rsid w:val="006B13DC"/>
    <w:rsid w:val="006B7285"/>
    <w:rsid w:val="006B73A2"/>
    <w:rsid w:val="006F6684"/>
    <w:rsid w:val="00706B0F"/>
    <w:rsid w:val="00736A93"/>
    <w:rsid w:val="00740DB8"/>
    <w:rsid w:val="0076790F"/>
    <w:rsid w:val="007745B9"/>
    <w:rsid w:val="007862D2"/>
    <w:rsid w:val="007A0324"/>
    <w:rsid w:val="007A0A17"/>
    <w:rsid w:val="007A753E"/>
    <w:rsid w:val="007C101D"/>
    <w:rsid w:val="008012D2"/>
    <w:rsid w:val="00806186"/>
    <w:rsid w:val="00806E03"/>
    <w:rsid w:val="0083011B"/>
    <w:rsid w:val="0084243E"/>
    <w:rsid w:val="00844515"/>
    <w:rsid w:val="00845322"/>
    <w:rsid w:val="008529EA"/>
    <w:rsid w:val="00855168"/>
    <w:rsid w:val="0087226F"/>
    <w:rsid w:val="00884A8F"/>
    <w:rsid w:val="008908D8"/>
    <w:rsid w:val="00891540"/>
    <w:rsid w:val="008927DC"/>
    <w:rsid w:val="008A563B"/>
    <w:rsid w:val="008A6C69"/>
    <w:rsid w:val="008D1388"/>
    <w:rsid w:val="008E2BC6"/>
    <w:rsid w:val="008E7D57"/>
    <w:rsid w:val="008F5C4C"/>
    <w:rsid w:val="00902730"/>
    <w:rsid w:val="0093455D"/>
    <w:rsid w:val="009429B1"/>
    <w:rsid w:val="00943D0D"/>
    <w:rsid w:val="00944B4F"/>
    <w:rsid w:val="00955241"/>
    <w:rsid w:val="00956D18"/>
    <w:rsid w:val="0095713E"/>
    <w:rsid w:val="00983164"/>
    <w:rsid w:val="00983860"/>
    <w:rsid w:val="009841C7"/>
    <w:rsid w:val="009A2755"/>
    <w:rsid w:val="009C160B"/>
    <w:rsid w:val="009C7636"/>
    <w:rsid w:val="009D562B"/>
    <w:rsid w:val="009E46E3"/>
    <w:rsid w:val="009F6C3E"/>
    <w:rsid w:val="00A15837"/>
    <w:rsid w:val="00A169A6"/>
    <w:rsid w:val="00A47F8E"/>
    <w:rsid w:val="00A705E4"/>
    <w:rsid w:val="00A74AA4"/>
    <w:rsid w:val="00A840DD"/>
    <w:rsid w:val="00A90E9B"/>
    <w:rsid w:val="00A964E4"/>
    <w:rsid w:val="00AA662B"/>
    <w:rsid w:val="00AA7A42"/>
    <w:rsid w:val="00AB68A3"/>
    <w:rsid w:val="00AB7CF7"/>
    <w:rsid w:val="00AC4045"/>
    <w:rsid w:val="00AD012D"/>
    <w:rsid w:val="00AD34C5"/>
    <w:rsid w:val="00B04CE1"/>
    <w:rsid w:val="00B10A9E"/>
    <w:rsid w:val="00B20EC5"/>
    <w:rsid w:val="00B33DD2"/>
    <w:rsid w:val="00B50BDF"/>
    <w:rsid w:val="00B80BF6"/>
    <w:rsid w:val="00B84711"/>
    <w:rsid w:val="00BB0BB5"/>
    <w:rsid w:val="00BC7BD4"/>
    <w:rsid w:val="00BE1793"/>
    <w:rsid w:val="00BE7B0B"/>
    <w:rsid w:val="00C03BAF"/>
    <w:rsid w:val="00C11DD2"/>
    <w:rsid w:val="00C12F93"/>
    <w:rsid w:val="00C207A6"/>
    <w:rsid w:val="00C30E37"/>
    <w:rsid w:val="00C34CC6"/>
    <w:rsid w:val="00C67381"/>
    <w:rsid w:val="00C80AFE"/>
    <w:rsid w:val="00C86014"/>
    <w:rsid w:val="00C8742D"/>
    <w:rsid w:val="00C9612F"/>
    <w:rsid w:val="00C96E74"/>
    <w:rsid w:val="00CE26A5"/>
    <w:rsid w:val="00CE62D1"/>
    <w:rsid w:val="00D02865"/>
    <w:rsid w:val="00D03CDE"/>
    <w:rsid w:val="00D44740"/>
    <w:rsid w:val="00D63E55"/>
    <w:rsid w:val="00D70CB9"/>
    <w:rsid w:val="00D745AC"/>
    <w:rsid w:val="00D87B28"/>
    <w:rsid w:val="00D951F8"/>
    <w:rsid w:val="00DB1EFF"/>
    <w:rsid w:val="00DD21A5"/>
    <w:rsid w:val="00DD623C"/>
    <w:rsid w:val="00DE2A69"/>
    <w:rsid w:val="00DF126C"/>
    <w:rsid w:val="00DF1590"/>
    <w:rsid w:val="00E023F7"/>
    <w:rsid w:val="00E0659A"/>
    <w:rsid w:val="00E146BD"/>
    <w:rsid w:val="00E210CD"/>
    <w:rsid w:val="00E40549"/>
    <w:rsid w:val="00E41633"/>
    <w:rsid w:val="00E47080"/>
    <w:rsid w:val="00E54F5D"/>
    <w:rsid w:val="00E64572"/>
    <w:rsid w:val="00E87823"/>
    <w:rsid w:val="00E91D35"/>
    <w:rsid w:val="00EB115F"/>
    <w:rsid w:val="00EC6E0A"/>
    <w:rsid w:val="00EC7A82"/>
    <w:rsid w:val="00ED1E64"/>
    <w:rsid w:val="00ED2A2E"/>
    <w:rsid w:val="00ED314F"/>
    <w:rsid w:val="00F03965"/>
    <w:rsid w:val="00F2329F"/>
    <w:rsid w:val="00F454AA"/>
    <w:rsid w:val="00F7772B"/>
    <w:rsid w:val="00F9769F"/>
    <w:rsid w:val="00FB5286"/>
    <w:rsid w:val="00FC33D0"/>
    <w:rsid w:val="00FF7D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045"/>
    <w:pPr>
      <w:spacing w:after="200" w:line="276" w:lineRule="auto"/>
    </w:pPr>
    <w:rPr>
      <w:sz w:val="22"/>
      <w:szCs w:val="22"/>
    </w:rPr>
  </w:style>
  <w:style w:type="paragraph" w:styleId="Heading2">
    <w:name w:val="heading 2"/>
    <w:basedOn w:val="Normal"/>
    <w:next w:val="Normal"/>
    <w:link w:val="Heading2Char"/>
    <w:uiPriority w:val="9"/>
    <w:unhideWhenUsed/>
    <w:qFormat/>
    <w:rsid w:val="008A6C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6F8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96F8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012D"/>
    <w:pPr>
      <w:tabs>
        <w:tab w:val="center" w:pos="4680"/>
        <w:tab w:val="right" w:pos="9360"/>
      </w:tabs>
    </w:pPr>
  </w:style>
  <w:style w:type="character" w:customStyle="1" w:styleId="HeaderChar">
    <w:name w:val="Header Char"/>
    <w:basedOn w:val="DefaultParagraphFont"/>
    <w:link w:val="Header"/>
    <w:uiPriority w:val="99"/>
    <w:semiHidden/>
    <w:rsid w:val="00AD012D"/>
    <w:rPr>
      <w:sz w:val="22"/>
      <w:szCs w:val="22"/>
    </w:rPr>
  </w:style>
  <w:style w:type="paragraph" w:styleId="Footer">
    <w:name w:val="footer"/>
    <w:basedOn w:val="Normal"/>
    <w:link w:val="FooterChar"/>
    <w:uiPriority w:val="99"/>
    <w:unhideWhenUsed/>
    <w:rsid w:val="00AD012D"/>
    <w:pPr>
      <w:tabs>
        <w:tab w:val="center" w:pos="4680"/>
        <w:tab w:val="right" w:pos="9360"/>
      </w:tabs>
    </w:pPr>
  </w:style>
  <w:style w:type="character" w:customStyle="1" w:styleId="FooterChar">
    <w:name w:val="Footer Char"/>
    <w:basedOn w:val="DefaultParagraphFont"/>
    <w:link w:val="Footer"/>
    <w:uiPriority w:val="99"/>
    <w:rsid w:val="00AD012D"/>
    <w:rPr>
      <w:sz w:val="22"/>
      <w:szCs w:val="22"/>
    </w:rPr>
  </w:style>
  <w:style w:type="paragraph" w:styleId="BalloonText">
    <w:name w:val="Balloon Text"/>
    <w:basedOn w:val="Normal"/>
    <w:link w:val="BalloonTextChar"/>
    <w:uiPriority w:val="99"/>
    <w:semiHidden/>
    <w:unhideWhenUsed/>
    <w:rsid w:val="00AD0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12D"/>
    <w:rPr>
      <w:rFonts w:ascii="Tahoma" w:hAnsi="Tahoma" w:cs="Tahoma"/>
      <w:sz w:val="16"/>
      <w:szCs w:val="16"/>
    </w:rPr>
  </w:style>
  <w:style w:type="paragraph" w:styleId="ListParagraph">
    <w:name w:val="List Paragraph"/>
    <w:basedOn w:val="Normal"/>
    <w:uiPriority w:val="34"/>
    <w:qFormat/>
    <w:rsid w:val="00AD012D"/>
    <w:pPr>
      <w:ind w:left="720"/>
      <w:contextualSpacing/>
    </w:pPr>
  </w:style>
  <w:style w:type="character" w:styleId="CommentReference">
    <w:name w:val="annotation reference"/>
    <w:basedOn w:val="DefaultParagraphFont"/>
    <w:semiHidden/>
    <w:rsid w:val="00C8742D"/>
    <w:rPr>
      <w:sz w:val="16"/>
      <w:szCs w:val="16"/>
    </w:rPr>
  </w:style>
  <w:style w:type="paragraph" w:styleId="CommentText">
    <w:name w:val="annotation text"/>
    <w:basedOn w:val="Normal"/>
    <w:link w:val="CommentTextChar"/>
    <w:semiHidden/>
    <w:rsid w:val="00C8742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C8742D"/>
    <w:rPr>
      <w:lang w:val="en-US" w:eastAsia="en-US" w:bidi="ar-SA"/>
    </w:rPr>
  </w:style>
  <w:style w:type="paragraph" w:styleId="NormalWeb">
    <w:name w:val="Normal (Web)"/>
    <w:basedOn w:val="Normal"/>
    <w:unhideWhenUsed/>
    <w:rsid w:val="00C8742D"/>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next w:val="Normal"/>
    <w:link w:val="TitleChar"/>
    <w:uiPriority w:val="10"/>
    <w:qFormat/>
    <w:rsid w:val="00103C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3CD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03C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03CD7"/>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103CD7"/>
    <w:rPr>
      <w:b/>
      <w:bCs/>
      <w:i/>
      <w:iCs/>
      <w:color w:val="4F81BD" w:themeColor="accent1"/>
    </w:rPr>
  </w:style>
  <w:style w:type="character" w:styleId="SubtleReference">
    <w:name w:val="Subtle Reference"/>
    <w:basedOn w:val="DefaultParagraphFont"/>
    <w:uiPriority w:val="31"/>
    <w:qFormat/>
    <w:rsid w:val="00103CD7"/>
    <w:rPr>
      <w:smallCaps/>
      <w:color w:val="C0504D" w:themeColor="accent2"/>
      <w:u w:val="single"/>
    </w:rPr>
  </w:style>
  <w:style w:type="character" w:styleId="BookTitle">
    <w:name w:val="Book Title"/>
    <w:basedOn w:val="DefaultParagraphFont"/>
    <w:uiPriority w:val="33"/>
    <w:qFormat/>
    <w:rsid w:val="00103CD7"/>
    <w:rPr>
      <w:b/>
      <w:bCs/>
      <w:smallCaps/>
      <w:spacing w:val="5"/>
    </w:rPr>
  </w:style>
  <w:style w:type="paragraph" w:styleId="HTMLPreformatted">
    <w:name w:val="HTML Preformatted"/>
    <w:basedOn w:val="Normal"/>
    <w:link w:val="HTMLPreformattedChar"/>
    <w:rsid w:val="00ED3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D314F"/>
    <w:rPr>
      <w:rFonts w:ascii="Courier New" w:eastAsia="Times New Roman" w:hAnsi="Courier New" w:cs="Courier New"/>
    </w:rPr>
  </w:style>
  <w:style w:type="character" w:styleId="SubtleEmphasis">
    <w:name w:val="Subtle Emphasis"/>
    <w:basedOn w:val="DefaultParagraphFont"/>
    <w:uiPriority w:val="19"/>
    <w:qFormat/>
    <w:rsid w:val="00ED314F"/>
    <w:rPr>
      <w:i/>
      <w:iCs/>
      <w:color w:val="808080" w:themeColor="text1" w:themeTint="7F"/>
    </w:rPr>
  </w:style>
  <w:style w:type="character" w:styleId="Hyperlink">
    <w:name w:val="Hyperlink"/>
    <w:basedOn w:val="DefaultParagraphFont"/>
    <w:uiPriority w:val="99"/>
    <w:unhideWhenUsed/>
    <w:rsid w:val="00221F47"/>
    <w:rPr>
      <w:color w:val="0000FF" w:themeColor="hyperlink"/>
      <w:u w:val="single"/>
    </w:rPr>
  </w:style>
  <w:style w:type="paragraph" w:styleId="FootnoteText">
    <w:name w:val="footnote text"/>
    <w:basedOn w:val="Normal"/>
    <w:link w:val="FootnoteTextChar"/>
    <w:uiPriority w:val="99"/>
    <w:semiHidden/>
    <w:unhideWhenUsed/>
    <w:rsid w:val="00221F47"/>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21F47"/>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221F47"/>
    <w:rPr>
      <w:vertAlign w:val="superscript"/>
    </w:rPr>
  </w:style>
  <w:style w:type="paragraph" w:styleId="CommentSubject">
    <w:name w:val="annotation subject"/>
    <w:basedOn w:val="CommentText"/>
    <w:next w:val="CommentText"/>
    <w:link w:val="CommentSubjectChar"/>
    <w:uiPriority w:val="99"/>
    <w:semiHidden/>
    <w:unhideWhenUsed/>
    <w:rsid w:val="000E676A"/>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0E676A"/>
    <w:rPr>
      <w:b/>
      <w:bCs/>
    </w:rPr>
  </w:style>
  <w:style w:type="character" w:customStyle="1" w:styleId="Heading2Char">
    <w:name w:val="Heading 2 Char"/>
    <w:basedOn w:val="DefaultParagraphFont"/>
    <w:link w:val="Heading2"/>
    <w:uiPriority w:val="9"/>
    <w:rsid w:val="008A6C69"/>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C9612F"/>
    <w:rPr>
      <w:i/>
      <w:iCs/>
    </w:rPr>
  </w:style>
  <w:style w:type="table" w:styleId="TableGrid">
    <w:name w:val="Table Grid"/>
    <w:basedOn w:val="TableNormal"/>
    <w:uiPriority w:val="59"/>
    <w:rsid w:val="00311D3B"/>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096F81"/>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096F81"/>
    <w:rPr>
      <w:rFonts w:asciiTheme="majorHAnsi" w:eastAsiaTheme="majorEastAsia" w:hAnsiTheme="majorHAnsi" w:cstheme="majorBidi"/>
      <w:b/>
      <w:bCs/>
      <w:i/>
      <w:iCs/>
      <w:color w:val="4F81BD" w:themeColor="accent1"/>
      <w:sz w:val="22"/>
      <w:szCs w:val="22"/>
    </w:rPr>
  </w:style>
</w:styles>
</file>

<file path=word/webSettings.xml><?xml version="1.0" encoding="utf-8"?>
<w:webSettings xmlns:r="http://schemas.openxmlformats.org/officeDocument/2006/relationships" xmlns:w="http://schemas.openxmlformats.org/wordprocessingml/2006/main">
  <w:divs>
    <w:div w:id="268051874">
      <w:bodyDiv w:val="1"/>
      <w:marLeft w:val="0"/>
      <w:marRight w:val="0"/>
      <w:marTop w:val="0"/>
      <w:marBottom w:val="0"/>
      <w:divBdr>
        <w:top w:val="none" w:sz="0" w:space="0" w:color="auto"/>
        <w:left w:val="none" w:sz="0" w:space="0" w:color="auto"/>
        <w:bottom w:val="none" w:sz="0" w:space="0" w:color="auto"/>
        <w:right w:val="none" w:sz="0" w:space="0" w:color="auto"/>
      </w:divBdr>
    </w:div>
    <w:div w:id="284509041">
      <w:bodyDiv w:val="1"/>
      <w:marLeft w:val="0"/>
      <w:marRight w:val="0"/>
      <w:marTop w:val="0"/>
      <w:marBottom w:val="0"/>
      <w:divBdr>
        <w:top w:val="none" w:sz="0" w:space="0" w:color="auto"/>
        <w:left w:val="none" w:sz="0" w:space="0" w:color="auto"/>
        <w:bottom w:val="none" w:sz="0" w:space="0" w:color="auto"/>
        <w:right w:val="none" w:sz="0" w:space="0" w:color="auto"/>
      </w:divBdr>
    </w:div>
    <w:div w:id="752551511">
      <w:bodyDiv w:val="1"/>
      <w:marLeft w:val="0"/>
      <w:marRight w:val="0"/>
      <w:marTop w:val="0"/>
      <w:marBottom w:val="0"/>
      <w:divBdr>
        <w:top w:val="none" w:sz="0" w:space="0" w:color="auto"/>
        <w:left w:val="none" w:sz="0" w:space="0" w:color="auto"/>
        <w:bottom w:val="none" w:sz="0" w:space="0" w:color="auto"/>
        <w:right w:val="none" w:sz="0" w:space="0" w:color="auto"/>
      </w:divBdr>
    </w:div>
    <w:div w:id="764888093">
      <w:bodyDiv w:val="1"/>
      <w:marLeft w:val="0"/>
      <w:marRight w:val="0"/>
      <w:marTop w:val="0"/>
      <w:marBottom w:val="0"/>
      <w:divBdr>
        <w:top w:val="none" w:sz="0" w:space="0" w:color="auto"/>
        <w:left w:val="none" w:sz="0" w:space="0" w:color="auto"/>
        <w:bottom w:val="none" w:sz="0" w:space="0" w:color="auto"/>
        <w:right w:val="none" w:sz="0" w:space="0" w:color="auto"/>
      </w:divBdr>
    </w:div>
    <w:div w:id="905917212">
      <w:bodyDiv w:val="1"/>
      <w:marLeft w:val="0"/>
      <w:marRight w:val="0"/>
      <w:marTop w:val="0"/>
      <w:marBottom w:val="0"/>
      <w:divBdr>
        <w:top w:val="none" w:sz="0" w:space="0" w:color="auto"/>
        <w:left w:val="none" w:sz="0" w:space="0" w:color="auto"/>
        <w:bottom w:val="none" w:sz="0" w:space="0" w:color="auto"/>
        <w:right w:val="none" w:sz="0" w:space="0" w:color="auto"/>
      </w:divBdr>
    </w:div>
    <w:div w:id="1006401252">
      <w:bodyDiv w:val="1"/>
      <w:marLeft w:val="0"/>
      <w:marRight w:val="0"/>
      <w:marTop w:val="0"/>
      <w:marBottom w:val="0"/>
      <w:divBdr>
        <w:top w:val="none" w:sz="0" w:space="0" w:color="auto"/>
        <w:left w:val="none" w:sz="0" w:space="0" w:color="auto"/>
        <w:bottom w:val="none" w:sz="0" w:space="0" w:color="auto"/>
        <w:right w:val="none" w:sz="0" w:space="0" w:color="auto"/>
      </w:divBdr>
    </w:div>
    <w:div w:id="1496531147">
      <w:bodyDiv w:val="1"/>
      <w:marLeft w:val="0"/>
      <w:marRight w:val="0"/>
      <w:marTop w:val="0"/>
      <w:marBottom w:val="0"/>
      <w:divBdr>
        <w:top w:val="none" w:sz="0" w:space="0" w:color="auto"/>
        <w:left w:val="none" w:sz="0" w:space="0" w:color="auto"/>
        <w:bottom w:val="none" w:sz="0" w:space="0" w:color="auto"/>
        <w:right w:val="none" w:sz="0" w:space="0" w:color="auto"/>
      </w:divBdr>
    </w:div>
    <w:div w:id="1533421941">
      <w:bodyDiv w:val="1"/>
      <w:marLeft w:val="0"/>
      <w:marRight w:val="0"/>
      <w:marTop w:val="0"/>
      <w:marBottom w:val="0"/>
      <w:divBdr>
        <w:top w:val="none" w:sz="0" w:space="0" w:color="auto"/>
        <w:left w:val="none" w:sz="0" w:space="0" w:color="auto"/>
        <w:bottom w:val="none" w:sz="0" w:space="0" w:color="auto"/>
        <w:right w:val="none" w:sz="0" w:space="0" w:color="auto"/>
      </w:divBdr>
    </w:div>
    <w:div w:id="1567258297">
      <w:bodyDiv w:val="1"/>
      <w:marLeft w:val="0"/>
      <w:marRight w:val="0"/>
      <w:marTop w:val="0"/>
      <w:marBottom w:val="0"/>
      <w:divBdr>
        <w:top w:val="none" w:sz="0" w:space="0" w:color="auto"/>
        <w:left w:val="none" w:sz="0" w:space="0" w:color="auto"/>
        <w:bottom w:val="none" w:sz="0" w:space="0" w:color="auto"/>
        <w:right w:val="none" w:sz="0" w:space="0" w:color="auto"/>
      </w:divBdr>
    </w:div>
    <w:div w:id="1778209793">
      <w:bodyDiv w:val="1"/>
      <w:marLeft w:val="0"/>
      <w:marRight w:val="0"/>
      <w:marTop w:val="0"/>
      <w:marBottom w:val="0"/>
      <w:divBdr>
        <w:top w:val="none" w:sz="0" w:space="0" w:color="auto"/>
        <w:left w:val="none" w:sz="0" w:space="0" w:color="auto"/>
        <w:bottom w:val="none" w:sz="0" w:space="0" w:color="auto"/>
        <w:right w:val="none" w:sz="0" w:space="0" w:color="auto"/>
      </w:divBdr>
    </w:div>
    <w:div w:id="1892419545">
      <w:bodyDiv w:val="1"/>
      <w:marLeft w:val="0"/>
      <w:marRight w:val="0"/>
      <w:marTop w:val="0"/>
      <w:marBottom w:val="0"/>
      <w:divBdr>
        <w:top w:val="none" w:sz="0" w:space="0" w:color="auto"/>
        <w:left w:val="none" w:sz="0" w:space="0" w:color="auto"/>
        <w:bottom w:val="none" w:sz="0" w:space="0" w:color="auto"/>
        <w:right w:val="none" w:sz="0" w:space="0" w:color="auto"/>
      </w:divBdr>
    </w:div>
    <w:div w:id="202585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nvtn.org/uploads/LIS_permit_factsheet_200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deq.state.or.us/wq/assessment/rpt0406.htm" TargetMode="External"/><Relationship Id="rId1" Type="http://schemas.openxmlformats.org/officeDocument/2006/relationships/hyperlink" Target="http://www.deq.state.or.us/wq/standards/docs/toxics/ORToxicsComplianceCost.pdf%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8A3B7-9453-496D-8248-40D8D26DC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TotalTime>
  <Pages>37</Pages>
  <Words>10838</Words>
  <Characters>61779</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22</cp:revision>
  <cp:lastPrinted>2010-04-13T17:33:00Z</cp:lastPrinted>
  <dcterms:created xsi:type="dcterms:W3CDTF">2010-04-13T23:52:00Z</dcterms:created>
  <dcterms:modified xsi:type="dcterms:W3CDTF">2010-04-20T22:39:00Z</dcterms:modified>
</cp:coreProperties>
</file>