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B1E" w:rsidRDefault="002E0B1E" w:rsidP="002E0B1E">
      <w:pPr>
        <w:jc w:val="center"/>
      </w:pPr>
      <w:r>
        <w:t>Background Pollutant Discussion Item</w:t>
      </w:r>
    </w:p>
    <w:p w:rsidR="008E2BC6" w:rsidRDefault="002E0B1E" w:rsidP="002E0B1E">
      <w:pPr>
        <w:jc w:val="center"/>
      </w:pPr>
      <w:r>
        <w:t>Talking Points</w:t>
      </w:r>
    </w:p>
    <w:p w:rsidR="002E0B1E" w:rsidRDefault="002E0B1E" w:rsidP="002E0B1E">
      <w:pPr>
        <w:jc w:val="center"/>
      </w:pPr>
      <w:r>
        <w:t>April 27, 2010</w:t>
      </w:r>
    </w:p>
    <w:p w:rsidR="002E0B1E" w:rsidRDefault="002E0B1E"/>
    <w:p w:rsidR="002E0B1E" w:rsidRPr="00833E91" w:rsidRDefault="002E0B1E">
      <w:pPr>
        <w:rPr>
          <w:b/>
        </w:rPr>
      </w:pPr>
      <w:r w:rsidRPr="00833E91">
        <w:rPr>
          <w:b/>
        </w:rPr>
        <w:t>Overall</w:t>
      </w:r>
    </w:p>
    <w:p w:rsidR="002E0B1E" w:rsidRDefault="002E0B1E" w:rsidP="002E0B1E">
      <w:pPr>
        <w:pStyle w:val="ListParagraph"/>
        <w:numPr>
          <w:ilvl w:val="0"/>
          <w:numId w:val="1"/>
        </w:numPr>
      </w:pPr>
      <w:r>
        <w:t xml:space="preserve">For today’s discussion, we will be focusing on 3 tools to address background pollutants and </w:t>
      </w:r>
      <w:r w:rsidR="007D5094">
        <w:t xml:space="preserve">deciding on </w:t>
      </w:r>
      <w:r>
        <w:t>which ones to include for this rulemaking</w:t>
      </w:r>
    </w:p>
    <w:p w:rsidR="002E0B1E" w:rsidRDefault="007D5094" w:rsidP="002E0B1E">
      <w:pPr>
        <w:pStyle w:val="ListParagraph"/>
        <w:numPr>
          <w:ilvl w:val="0"/>
          <w:numId w:val="1"/>
        </w:numPr>
      </w:pPr>
      <w:r>
        <w:t>Applicability of 3 tools:</w:t>
      </w:r>
    </w:p>
    <w:p w:rsidR="007D5094" w:rsidRDefault="007D5094" w:rsidP="007D5094">
      <w:pPr>
        <w:pStyle w:val="ListParagraph"/>
        <w:numPr>
          <w:ilvl w:val="1"/>
          <w:numId w:val="1"/>
        </w:numPr>
      </w:pPr>
      <w:r>
        <w:t>Applies to industrial facilities</w:t>
      </w:r>
    </w:p>
    <w:p w:rsidR="00F877F4" w:rsidRDefault="00F877F4" w:rsidP="00F877F4">
      <w:pPr>
        <w:pStyle w:val="ListParagraph"/>
        <w:numPr>
          <w:ilvl w:val="1"/>
          <w:numId w:val="1"/>
        </w:numPr>
      </w:pPr>
      <w:r>
        <w:t>Only HHC</w:t>
      </w:r>
    </w:p>
    <w:p w:rsidR="007D5094" w:rsidRDefault="007D5094" w:rsidP="007D5094">
      <w:pPr>
        <w:pStyle w:val="ListParagraph"/>
        <w:numPr>
          <w:ilvl w:val="1"/>
          <w:numId w:val="1"/>
        </w:numPr>
      </w:pPr>
      <w:r>
        <w:t xml:space="preserve">Applies to situations where the source water and discharge water are taken from and into the same </w:t>
      </w:r>
      <w:proofErr w:type="spellStart"/>
      <w:r>
        <w:t>waterbody</w:t>
      </w:r>
      <w:proofErr w:type="spellEnd"/>
    </w:p>
    <w:p w:rsidR="007D5094" w:rsidRDefault="007D5094" w:rsidP="007D5094">
      <w:pPr>
        <w:pStyle w:val="ListParagraph"/>
        <w:numPr>
          <w:ilvl w:val="0"/>
          <w:numId w:val="2"/>
        </w:numPr>
      </w:pPr>
      <w:r>
        <w:t>Recommendations</w:t>
      </w:r>
    </w:p>
    <w:p w:rsidR="00E84C37" w:rsidRPr="00E84C37" w:rsidRDefault="007D5094" w:rsidP="007D5094">
      <w:pPr>
        <w:pStyle w:val="ListParagraph"/>
        <w:numPr>
          <w:ilvl w:val="1"/>
          <w:numId w:val="2"/>
        </w:numPr>
      </w:pPr>
      <w:r w:rsidRPr="002E51C1">
        <w:rPr>
          <w:rFonts w:ascii="Calibri" w:hAnsi="Calibri" w:cs="Calibri"/>
        </w:rPr>
        <w:t xml:space="preserve">DEQ recommends using a de </w:t>
      </w:r>
      <w:proofErr w:type="spellStart"/>
      <w:r w:rsidRPr="002E51C1">
        <w:rPr>
          <w:rFonts w:ascii="Calibri" w:hAnsi="Calibri" w:cs="Calibri"/>
        </w:rPr>
        <w:t>minimus</w:t>
      </w:r>
      <w:proofErr w:type="spellEnd"/>
      <w:r w:rsidRPr="002E51C1">
        <w:rPr>
          <w:rFonts w:ascii="Calibri" w:hAnsi="Calibri" w:cs="Calibri"/>
        </w:rPr>
        <w:t xml:space="preserve"> approach</w:t>
      </w:r>
      <w:r w:rsidR="00FD2DBE">
        <w:rPr>
          <w:rFonts w:ascii="Calibri" w:hAnsi="Calibri" w:cs="Calibri"/>
        </w:rPr>
        <w:t xml:space="preserve"> as one tool</w:t>
      </w:r>
      <w:r w:rsidRPr="002E51C1">
        <w:rPr>
          <w:rFonts w:ascii="Calibri" w:hAnsi="Calibri" w:cs="Calibri"/>
        </w:rPr>
        <w:t xml:space="preserve"> to </w:t>
      </w:r>
      <w:r w:rsidR="00E84C37">
        <w:rPr>
          <w:rFonts w:ascii="Calibri" w:hAnsi="Calibri" w:cs="Calibri"/>
        </w:rPr>
        <w:t>address background pollutants.</w:t>
      </w:r>
    </w:p>
    <w:p w:rsidR="00E84C37" w:rsidRPr="00E84C37" w:rsidRDefault="007D5094" w:rsidP="007D5094">
      <w:pPr>
        <w:pStyle w:val="ListParagraph"/>
        <w:numPr>
          <w:ilvl w:val="1"/>
          <w:numId w:val="2"/>
        </w:numPr>
      </w:pPr>
      <w:r w:rsidRPr="002E51C1">
        <w:rPr>
          <w:rFonts w:ascii="Calibri" w:hAnsi="Calibri" w:cs="Calibri"/>
        </w:rPr>
        <w:t xml:space="preserve">General permits can be developed under existing permitting regulations.  No additional rule language is needed.  </w:t>
      </w:r>
    </w:p>
    <w:p w:rsidR="007D5094" w:rsidRPr="00E84C37" w:rsidRDefault="007D5094" w:rsidP="007D5094">
      <w:pPr>
        <w:pStyle w:val="ListParagraph"/>
        <w:numPr>
          <w:ilvl w:val="1"/>
          <w:numId w:val="2"/>
        </w:numPr>
      </w:pPr>
      <w:r w:rsidRPr="002E51C1">
        <w:rPr>
          <w:rFonts w:ascii="Calibri" w:hAnsi="Calibri" w:cs="Calibri"/>
        </w:rPr>
        <w:t>DEQ analysis indicates that a limited number of non-contact cooling facilities would fit under the currently proposed applicability criteria for a multiple discharger variance (MDV).  Given the limited applicability of this tool, DEQ does not see a compelling reason to propose a MDV for non-contact cooling facilities at this time.</w:t>
      </w:r>
      <w:r>
        <w:rPr>
          <w:rFonts w:ascii="Calibri" w:hAnsi="Calibri" w:cs="Calibri"/>
        </w:rPr>
        <w:t xml:space="preserve">  </w:t>
      </w:r>
    </w:p>
    <w:p w:rsidR="00E84C37" w:rsidRDefault="00E84C37" w:rsidP="00E84C37">
      <w:pPr>
        <w:ind w:left="720"/>
      </w:pPr>
    </w:p>
    <w:p w:rsidR="00E84C37" w:rsidRPr="00833E91" w:rsidRDefault="00E84C37" w:rsidP="00E84C37">
      <w:pPr>
        <w:rPr>
          <w:b/>
        </w:rPr>
      </w:pPr>
      <w:r w:rsidRPr="00833E91">
        <w:rPr>
          <w:b/>
        </w:rPr>
        <w:t xml:space="preserve">Multiple Discharger </w:t>
      </w:r>
      <w:proofErr w:type="gramStart"/>
      <w:r w:rsidRPr="00833E91">
        <w:rPr>
          <w:b/>
        </w:rPr>
        <w:t>Variance</w:t>
      </w:r>
      <w:proofErr w:type="gramEnd"/>
    </w:p>
    <w:p w:rsidR="00E84C37" w:rsidRPr="00833E91" w:rsidRDefault="00E84C37" w:rsidP="00E84C37">
      <w:pPr>
        <w:rPr>
          <w:u w:val="single"/>
        </w:rPr>
      </w:pPr>
      <w:r w:rsidRPr="00833E91">
        <w:rPr>
          <w:u w:val="single"/>
        </w:rPr>
        <w:t>Description</w:t>
      </w:r>
    </w:p>
    <w:p w:rsidR="00E84C37" w:rsidRDefault="000B4A3D" w:rsidP="00E84C37">
      <w:pPr>
        <w:pStyle w:val="ListParagraph"/>
        <w:numPr>
          <w:ilvl w:val="0"/>
          <w:numId w:val="2"/>
        </w:numPr>
      </w:pPr>
      <w:r>
        <w:t>A MDV is a variance that applies to more than 1 discharger who cannot meet WQS.  Typical</w:t>
      </w:r>
      <w:r w:rsidR="00FD3946">
        <w:t xml:space="preserve">ly, MDVs have been established for a particular pollutant </w:t>
      </w:r>
      <w:r>
        <w:t>or class of discharger</w:t>
      </w:r>
      <w:r w:rsidR="00FD3946">
        <w:t>.  The MDV provision would be adopted by the Commission (and approved by EPA) into OR’s WQS regulations.  However, each application of the MDV would be granted by DEQ in conjunction w/ the NPDES permitting process and would not have to be individually approved by EPA.</w:t>
      </w:r>
    </w:p>
    <w:p w:rsidR="00BE72AE" w:rsidRPr="00833E91" w:rsidRDefault="00BE72AE" w:rsidP="00BE72AE">
      <w:pPr>
        <w:rPr>
          <w:u w:val="single"/>
        </w:rPr>
      </w:pPr>
      <w:r w:rsidRPr="00833E91">
        <w:rPr>
          <w:u w:val="single"/>
        </w:rPr>
        <w:t>Scope</w:t>
      </w:r>
    </w:p>
    <w:p w:rsidR="00BE72AE" w:rsidRDefault="00BE72AE" w:rsidP="00BE72AE">
      <w:pPr>
        <w:pStyle w:val="ListParagraph"/>
        <w:numPr>
          <w:ilvl w:val="0"/>
          <w:numId w:val="2"/>
        </w:numPr>
      </w:pPr>
      <w:r>
        <w:t>As proposed, this provision would only apply to industrial facilities who use non-contact cooling processes</w:t>
      </w:r>
      <w:r w:rsidR="00F877F4">
        <w:t xml:space="preserve"> and do not increase mass of pollutant</w:t>
      </w:r>
    </w:p>
    <w:p w:rsidR="00F877F4" w:rsidRDefault="00F877F4" w:rsidP="00BE72AE">
      <w:pPr>
        <w:pStyle w:val="ListParagraph"/>
        <w:numPr>
          <w:ilvl w:val="0"/>
          <w:numId w:val="2"/>
        </w:numPr>
      </w:pPr>
      <w:r>
        <w:t>Based on  40 CFR 131.10(g)(1) and (3) demonstration factors:</w:t>
      </w:r>
    </w:p>
    <w:p w:rsidR="00F877F4" w:rsidRDefault="00F877F4" w:rsidP="00F877F4">
      <w:pPr>
        <w:pStyle w:val="ListParagraph"/>
        <w:numPr>
          <w:ilvl w:val="1"/>
          <w:numId w:val="2"/>
        </w:numPr>
      </w:pPr>
      <w:r>
        <w:t>1. Naturally occurring pollutant concentration prevent the attainment of the use</w:t>
      </w:r>
    </w:p>
    <w:p w:rsidR="00F877F4" w:rsidRDefault="00F877F4" w:rsidP="00F877F4">
      <w:pPr>
        <w:pStyle w:val="ListParagraph"/>
        <w:numPr>
          <w:ilvl w:val="1"/>
          <w:numId w:val="2"/>
        </w:numPr>
      </w:pPr>
      <w:r>
        <w:lastRenderedPageBreak/>
        <w:t>2. Human caused conditions or sources of pollution prevent the attainment of the use and cannot be remedied or would cause more environmental damage to correct than to leave in place.</w:t>
      </w:r>
    </w:p>
    <w:p w:rsidR="00F877F4" w:rsidRDefault="00F877F4" w:rsidP="00F877F4"/>
    <w:p w:rsidR="00F877F4" w:rsidRPr="00833E91" w:rsidRDefault="00F877F4" w:rsidP="00F877F4">
      <w:pPr>
        <w:rPr>
          <w:u w:val="single"/>
        </w:rPr>
      </w:pPr>
      <w:r w:rsidRPr="00833E91">
        <w:rPr>
          <w:u w:val="single"/>
        </w:rPr>
        <w:t>Recommendation</w:t>
      </w:r>
    </w:p>
    <w:p w:rsidR="00833E91" w:rsidRDefault="00F877F4" w:rsidP="00833E91">
      <w:pPr>
        <w:pStyle w:val="ListParagraph"/>
        <w:numPr>
          <w:ilvl w:val="0"/>
          <w:numId w:val="3"/>
        </w:numPr>
      </w:pPr>
      <w:r>
        <w:t>Only a limited # of facilities (approximately 15—only 3 majors) may fall under the applicability factors of the proposed MDV provision.</w:t>
      </w:r>
      <w:r w:rsidR="00833E91">
        <w:t xml:space="preserve">  At this time, DEQ does not see a compelling reason to include a MDV for this rulemaking.</w:t>
      </w:r>
    </w:p>
    <w:p w:rsidR="007C1FDE" w:rsidRDefault="007C1FDE" w:rsidP="007C1FDE">
      <w:pPr>
        <w:pStyle w:val="ListParagraph"/>
      </w:pPr>
    </w:p>
    <w:p w:rsidR="00833E91" w:rsidRDefault="00833E91" w:rsidP="00833E91">
      <w:pPr>
        <w:pStyle w:val="ListParagraph"/>
        <w:numPr>
          <w:ilvl w:val="0"/>
          <w:numId w:val="3"/>
        </w:numPr>
      </w:pPr>
      <w:r>
        <w:t>Additional work would be needed:</w:t>
      </w:r>
    </w:p>
    <w:p w:rsidR="00833E91" w:rsidRDefault="00833E91" w:rsidP="00833E91">
      <w:pPr>
        <w:pStyle w:val="ListParagraph"/>
        <w:numPr>
          <w:ilvl w:val="1"/>
          <w:numId w:val="3"/>
        </w:numPr>
      </w:pPr>
      <w:r>
        <w:t xml:space="preserve"> Justifying and supporting more than one pollutant</w:t>
      </w:r>
    </w:p>
    <w:p w:rsidR="00833E91" w:rsidRDefault="00833E91" w:rsidP="00833E91">
      <w:pPr>
        <w:pStyle w:val="ListParagraph"/>
        <w:numPr>
          <w:ilvl w:val="1"/>
          <w:numId w:val="3"/>
        </w:numPr>
      </w:pPr>
      <w:r>
        <w:t>A rationale to support the 2 demonstration factors that would be equally applicable to any MDV discharger</w:t>
      </w:r>
    </w:p>
    <w:p w:rsidR="00F877F4" w:rsidRDefault="00833E91" w:rsidP="00833E91">
      <w:pPr>
        <w:pStyle w:val="ListParagraph"/>
        <w:numPr>
          <w:ilvl w:val="1"/>
          <w:numId w:val="3"/>
        </w:numPr>
      </w:pPr>
      <w:r>
        <w:t xml:space="preserve">A determination that treatment or other alternatives do not vary significantly  </w:t>
      </w:r>
    </w:p>
    <w:p w:rsidR="00833E91" w:rsidRDefault="00833E91" w:rsidP="00833E91">
      <w:pPr>
        <w:pStyle w:val="ListParagraph"/>
        <w:numPr>
          <w:ilvl w:val="0"/>
          <w:numId w:val="4"/>
        </w:numPr>
      </w:pPr>
      <w:r>
        <w:t xml:space="preserve">DEQ would certainly consider a separate rulemaking for a MDV if </w:t>
      </w:r>
      <w:r w:rsidR="00FD2DBE">
        <w:t xml:space="preserve">future </w:t>
      </w:r>
      <w:r>
        <w:t>circumstances warranted this approach</w:t>
      </w:r>
    </w:p>
    <w:p w:rsidR="0056476B" w:rsidRDefault="0056476B" w:rsidP="00833E91">
      <w:pPr>
        <w:pStyle w:val="ListParagraph"/>
        <w:numPr>
          <w:ilvl w:val="0"/>
          <w:numId w:val="4"/>
        </w:numPr>
      </w:pPr>
      <w:r>
        <w:t xml:space="preserve">DEQ would still include MDV authorizing language in WQS </w:t>
      </w:r>
      <w:proofErr w:type="spellStart"/>
      <w:r>
        <w:t>regs</w:t>
      </w:r>
      <w:proofErr w:type="spellEnd"/>
      <w:r w:rsidR="00274DD7">
        <w:t>—separate rulemaking would be done</w:t>
      </w:r>
    </w:p>
    <w:p w:rsidR="00833E91" w:rsidRPr="00833E91" w:rsidRDefault="00833E91" w:rsidP="00833E91">
      <w:pPr>
        <w:rPr>
          <w:b/>
        </w:rPr>
      </w:pPr>
      <w:r w:rsidRPr="00833E91">
        <w:rPr>
          <w:b/>
        </w:rPr>
        <w:t>Questions</w:t>
      </w:r>
    </w:p>
    <w:p w:rsidR="0056476B" w:rsidRDefault="0056476B" w:rsidP="00833E91">
      <w:r>
        <w:t>1</w:t>
      </w:r>
      <w:r w:rsidR="00833E91">
        <w:t xml:space="preserve">.  </w:t>
      </w:r>
      <w:r>
        <w:t>General questions</w:t>
      </w:r>
    </w:p>
    <w:p w:rsidR="00833E91" w:rsidRDefault="0056476B" w:rsidP="00833E91">
      <w:r>
        <w:t xml:space="preserve">2.  </w:t>
      </w:r>
      <w:r w:rsidR="00833E91">
        <w:t>Do work group members support DEQ’s recommendation at this time?</w:t>
      </w:r>
    </w:p>
    <w:p w:rsidR="00BF2B5E" w:rsidRDefault="00BF2B5E" w:rsidP="00833E91"/>
    <w:p w:rsidR="00BF2B5E" w:rsidRDefault="00BF2B5E" w:rsidP="00833E91"/>
    <w:p w:rsidR="00BF2B5E" w:rsidRDefault="00BF2B5E" w:rsidP="00833E91"/>
    <w:p w:rsidR="00BF2B5E" w:rsidRDefault="00BF2B5E" w:rsidP="00833E91"/>
    <w:p w:rsidR="00BF2B5E" w:rsidRDefault="00BF2B5E" w:rsidP="00833E91"/>
    <w:p w:rsidR="00BF2B5E" w:rsidRDefault="00BF2B5E" w:rsidP="00833E91"/>
    <w:p w:rsidR="00BF2B5E" w:rsidRDefault="00BF2B5E" w:rsidP="00833E91"/>
    <w:p w:rsidR="00BF2B5E" w:rsidRDefault="00BF2B5E" w:rsidP="00833E91"/>
    <w:p w:rsidR="00BF2B5E" w:rsidRDefault="00BF2B5E" w:rsidP="00833E91"/>
    <w:p w:rsidR="00BF2B5E" w:rsidRDefault="00BF2B5E" w:rsidP="00833E91"/>
    <w:p w:rsidR="00BF2B5E" w:rsidRPr="00D530D3" w:rsidRDefault="00BF2B5E" w:rsidP="00833E91">
      <w:pPr>
        <w:rPr>
          <w:b/>
        </w:rPr>
      </w:pPr>
      <w:r w:rsidRPr="00D530D3">
        <w:rPr>
          <w:b/>
        </w:rPr>
        <w:t>Restoration Standards</w:t>
      </w:r>
    </w:p>
    <w:p w:rsidR="00BF2B5E" w:rsidRPr="00D530D3" w:rsidRDefault="00BF2B5E" w:rsidP="00833E91">
      <w:pPr>
        <w:rPr>
          <w:u w:val="single"/>
        </w:rPr>
      </w:pPr>
      <w:r w:rsidRPr="00D530D3">
        <w:rPr>
          <w:u w:val="single"/>
        </w:rPr>
        <w:t>Description</w:t>
      </w:r>
    </w:p>
    <w:p w:rsidR="00746D7F" w:rsidRDefault="00746D7F" w:rsidP="00BF2B5E">
      <w:pPr>
        <w:pStyle w:val="ListParagraph"/>
        <w:numPr>
          <w:ilvl w:val="0"/>
          <w:numId w:val="4"/>
        </w:numPr>
      </w:pPr>
      <w:r>
        <w:t xml:space="preserve">Developed for </w:t>
      </w:r>
      <w:proofErr w:type="spellStart"/>
      <w:r>
        <w:t>waterbodies</w:t>
      </w:r>
      <w:proofErr w:type="spellEnd"/>
      <w:r>
        <w:t xml:space="preserve"> where restoration efforts may take many years (Kathryn proposed looking at this tool in an earlier meeting).</w:t>
      </w:r>
    </w:p>
    <w:p w:rsidR="00F978F9" w:rsidRDefault="00746D7F" w:rsidP="00BF2B5E">
      <w:pPr>
        <w:pStyle w:val="ListParagraph"/>
        <w:numPr>
          <w:ilvl w:val="0"/>
          <w:numId w:val="4"/>
        </w:numPr>
      </w:pPr>
      <w:r>
        <w:t>As proposed in the FL Rule and other discussion circles, it would be a</w:t>
      </w:r>
      <w:r w:rsidR="00BF2B5E">
        <w:t xml:space="preserve"> </w:t>
      </w:r>
      <w:proofErr w:type="spellStart"/>
      <w:r w:rsidR="00BF2B5E">
        <w:t>waterbody</w:t>
      </w:r>
      <w:proofErr w:type="spellEnd"/>
      <w:r w:rsidR="00BF2B5E">
        <w:t>-specific WQS that is adopted</w:t>
      </w:r>
      <w:r w:rsidR="00F978F9">
        <w:t xml:space="preserve"> into WQS regulations.  Interim less stringent criteria and DUs would be adopted during a prescribed timeframe and are enforceable</w:t>
      </w:r>
    </w:p>
    <w:p w:rsidR="00F978F9" w:rsidRDefault="00F978F9" w:rsidP="00BF2B5E">
      <w:pPr>
        <w:pStyle w:val="ListParagraph"/>
        <w:numPr>
          <w:ilvl w:val="0"/>
          <w:numId w:val="4"/>
        </w:numPr>
      </w:pPr>
      <w:r>
        <w:t>Could adopt restoration standards under current regulatory authorities</w:t>
      </w:r>
    </w:p>
    <w:p w:rsidR="00746D7F" w:rsidRDefault="00746D7F" w:rsidP="00BF2B5E">
      <w:pPr>
        <w:pStyle w:val="ListParagraph"/>
        <w:numPr>
          <w:ilvl w:val="0"/>
          <w:numId w:val="4"/>
        </w:numPr>
      </w:pPr>
      <w:r>
        <w:t>DE Bay WQS Implementation Plans for PCBs:  up to 20 yr compliance plan, but currently do not have enforceable interim numeric limits—this compliance approach hasn’t been approved by EPA</w:t>
      </w:r>
    </w:p>
    <w:p w:rsidR="00F978F9" w:rsidRDefault="00F978F9" w:rsidP="00F978F9"/>
    <w:p w:rsidR="00F978F9" w:rsidRPr="00D530D3" w:rsidRDefault="00F978F9" w:rsidP="00F978F9">
      <w:pPr>
        <w:rPr>
          <w:u w:val="single"/>
        </w:rPr>
      </w:pPr>
      <w:r w:rsidRPr="00D530D3">
        <w:rPr>
          <w:u w:val="single"/>
        </w:rPr>
        <w:t>Scope</w:t>
      </w:r>
    </w:p>
    <w:p w:rsidR="00BF2B5E" w:rsidRDefault="00F978F9" w:rsidP="00F978F9">
      <w:pPr>
        <w:pStyle w:val="ListParagraph"/>
        <w:numPr>
          <w:ilvl w:val="0"/>
          <w:numId w:val="4"/>
        </w:numPr>
      </w:pPr>
      <w:r>
        <w:t xml:space="preserve">Any impaired </w:t>
      </w:r>
      <w:proofErr w:type="spellStart"/>
      <w:r>
        <w:t>waterbody</w:t>
      </w:r>
      <w:proofErr w:type="spellEnd"/>
      <w:r>
        <w:t xml:space="preserve"> where an assessment had b</w:t>
      </w:r>
      <w:r w:rsidR="00FD2DBE">
        <w:t>een performed in order</w:t>
      </w:r>
      <w:r>
        <w:t xml:space="preserve"> to develop interim criteria over a given timeframe (up to 20 years)</w:t>
      </w:r>
    </w:p>
    <w:p w:rsidR="00F978F9" w:rsidRDefault="00F978F9" w:rsidP="00F978F9"/>
    <w:p w:rsidR="00F978F9" w:rsidRPr="00D530D3" w:rsidRDefault="00F978F9" w:rsidP="00F978F9">
      <w:pPr>
        <w:rPr>
          <w:u w:val="single"/>
        </w:rPr>
      </w:pPr>
      <w:r w:rsidRPr="00D530D3">
        <w:rPr>
          <w:u w:val="single"/>
        </w:rPr>
        <w:t>Recommendation</w:t>
      </w:r>
    </w:p>
    <w:p w:rsidR="00D530D3" w:rsidRDefault="00F978F9" w:rsidP="00D530D3">
      <w:pPr>
        <w:pStyle w:val="ListParagraph"/>
        <w:numPr>
          <w:ilvl w:val="0"/>
          <w:numId w:val="4"/>
        </w:numPr>
      </w:pPr>
      <w:r>
        <w:t>Restoration standards could b</w:t>
      </w:r>
      <w:r w:rsidR="0056476B">
        <w:t>e a potential tool</w:t>
      </w:r>
      <w:r>
        <w:t xml:space="preserve">, but a specific </w:t>
      </w:r>
      <w:proofErr w:type="spellStart"/>
      <w:r>
        <w:t>waterbody</w:t>
      </w:r>
      <w:proofErr w:type="spellEnd"/>
      <w:r>
        <w:t xml:space="preserve"> has not yet been identified in order to be included in this rulemaking</w:t>
      </w:r>
    </w:p>
    <w:p w:rsidR="00D530D3" w:rsidRPr="00D530D3" w:rsidRDefault="00D530D3" w:rsidP="00D530D3">
      <w:pPr>
        <w:pStyle w:val="ListParagraph"/>
        <w:numPr>
          <w:ilvl w:val="0"/>
          <w:numId w:val="4"/>
        </w:numPr>
        <w:rPr>
          <w:rStyle w:val="Strong"/>
          <w:b w:val="0"/>
          <w:bCs w:val="0"/>
        </w:rPr>
      </w:pPr>
      <w:r w:rsidRPr="00D530D3">
        <w:rPr>
          <w:rStyle w:val="Strong"/>
          <w:b w:val="0"/>
        </w:rPr>
        <w:t xml:space="preserve">Enforceable interim designated uses and criteria must be determined and approved through rulemaking.  Determining what these criteria levels should be at a point sometime in </w:t>
      </w:r>
      <w:r w:rsidR="0056476B">
        <w:rPr>
          <w:rStyle w:val="Strong"/>
          <w:b w:val="0"/>
        </w:rPr>
        <w:t>the future could be challenging (need a lot of data and analysis and even then, will be challenging)</w:t>
      </w:r>
    </w:p>
    <w:p w:rsidR="00F978F9" w:rsidRDefault="00F978F9" w:rsidP="00D530D3">
      <w:pPr>
        <w:pStyle w:val="ListParagraph"/>
      </w:pPr>
    </w:p>
    <w:sectPr w:rsidR="00F978F9" w:rsidSect="008E2BC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DD7" w:rsidRDefault="00274DD7" w:rsidP="00BF2B5E">
      <w:pPr>
        <w:spacing w:after="0" w:line="240" w:lineRule="auto"/>
      </w:pPr>
      <w:r>
        <w:separator/>
      </w:r>
    </w:p>
  </w:endnote>
  <w:endnote w:type="continuationSeparator" w:id="0">
    <w:p w:rsidR="00274DD7" w:rsidRDefault="00274DD7" w:rsidP="00BF2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50969"/>
      <w:docPartObj>
        <w:docPartGallery w:val="Page Numbers (Bottom of Page)"/>
        <w:docPartUnique/>
      </w:docPartObj>
    </w:sdtPr>
    <w:sdtContent>
      <w:p w:rsidR="00274DD7" w:rsidRDefault="00274DD7">
        <w:pPr>
          <w:pStyle w:val="Footer"/>
          <w:jc w:val="center"/>
        </w:pPr>
        <w:fldSimple w:instr=" PAGE   \* MERGEFORMAT ">
          <w:r w:rsidR="007C1FDE">
            <w:rPr>
              <w:noProof/>
            </w:rPr>
            <w:t>1</w:t>
          </w:r>
        </w:fldSimple>
      </w:p>
    </w:sdtContent>
  </w:sdt>
  <w:p w:rsidR="00274DD7" w:rsidRDefault="00274D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DD7" w:rsidRDefault="00274DD7" w:rsidP="00BF2B5E">
      <w:pPr>
        <w:spacing w:after="0" w:line="240" w:lineRule="auto"/>
      </w:pPr>
      <w:r>
        <w:separator/>
      </w:r>
    </w:p>
  </w:footnote>
  <w:footnote w:type="continuationSeparator" w:id="0">
    <w:p w:rsidR="00274DD7" w:rsidRDefault="00274DD7" w:rsidP="00BF2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1CE9"/>
    <w:multiLevelType w:val="hybridMultilevel"/>
    <w:tmpl w:val="FA7AD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84ABB"/>
    <w:multiLevelType w:val="hybridMultilevel"/>
    <w:tmpl w:val="6BD68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554568"/>
    <w:multiLevelType w:val="hybridMultilevel"/>
    <w:tmpl w:val="57E8D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EC3B01"/>
    <w:multiLevelType w:val="hybridMultilevel"/>
    <w:tmpl w:val="A93AB2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ED315B"/>
    <w:multiLevelType w:val="hybridMultilevel"/>
    <w:tmpl w:val="77B28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0B1E"/>
    <w:rsid w:val="000033D1"/>
    <w:rsid w:val="000815D0"/>
    <w:rsid w:val="000A3E63"/>
    <w:rsid w:val="000B4A3D"/>
    <w:rsid w:val="00143CAF"/>
    <w:rsid w:val="00274DD7"/>
    <w:rsid w:val="002E0B1E"/>
    <w:rsid w:val="00342E44"/>
    <w:rsid w:val="00514663"/>
    <w:rsid w:val="00534803"/>
    <w:rsid w:val="0056476B"/>
    <w:rsid w:val="005B210E"/>
    <w:rsid w:val="005E4CC8"/>
    <w:rsid w:val="006637E3"/>
    <w:rsid w:val="00706B0F"/>
    <w:rsid w:val="00746D7F"/>
    <w:rsid w:val="007862D2"/>
    <w:rsid w:val="007B5D1F"/>
    <w:rsid w:val="007C1FDE"/>
    <w:rsid w:val="007D5094"/>
    <w:rsid w:val="00833E91"/>
    <w:rsid w:val="008E2BC6"/>
    <w:rsid w:val="0094360F"/>
    <w:rsid w:val="009927B7"/>
    <w:rsid w:val="00A02F51"/>
    <w:rsid w:val="00B10A9E"/>
    <w:rsid w:val="00BE72AE"/>
    <w:rsid w:val="00BE7B0B"/>
    <w:rsid w:val="00BF2B5E"/>
    <w:rsid w:val="00C03BAF"/>
    <w:rsid w:val="00D530D3"/>
    <w:rsid w:val="00DF1DC5"/>
    <w:rsid w:val="00E8424F"/>
    <w:rsid w:val="00E84C37"/>
    <w:rsid w:val="00F63DC5"/>
    <w:rsid w:val="00F877F4"/>
    <w:rsid w:val="00F9769F"/>
    <w:rsid w:val="00F978F9"/>
    <w:rsid w:val="00FC33D0"/>
    <w:rsid w:val="00FD2DBE"/>
    <w:rsid w:val="00FD3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B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F2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2B5E"/>
  </w:style>
  <w:style w:type="paragraph" w:styleId="Footer">
    <w:name w:val="footer"/>
    <w:basedOn w:val="Normal"/>
    <w:link w:val="FooterChar"/>
    <w:uiPriority w:val="99"/>
    <w:unhideWhenUsed/>
    <w:rsid w:val="00BF2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B5E"/>
  </w:style>
  <w:style w:type="character" w:styleId="Strong">
    <w:name w:val="Strong"/>
    <w:basedOn w:val="DefaultParagraphFont"/>
    <w:uiPriority w:val="22"/>
    <w:qFormat/>
    <w:rsid w:val="00D530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Matzke</dc:creator>
  <cp:keywords/>
  <dc:description/>
  <cp:lastModifiedBy>Andrea Matzke</cp:lastModifiedBy>
  <cp:revision>6</cp:revision>
  <cp:lastPrinted>2010-04-26T23:31:00Z</cp:lastPrinted>
  <dcterms:created xsi:type="dcterms:W3CDTF">2010-04-22T22:24:00Z</dcterms:created>
  <dcterms:modified xsi:type="dcterms:W3CDTF">2010-04-26T23:32:00Z</dcterms:modified>
</cp:coreProperties>
</file>