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1DD" w:rsidRPr="00C851DD" w:rsidRDefault="00C851DD" w:rsidP="00C851DD">
      <w:pPr>
        <w:tabs>
          <w:tab w:val="left" w:pos="1440"/>
          <w:tab w:val="right" w:pos="9360"/>
        </w:tabs>
        <w:rPr>
          <w:rFonts w:cs="Arial"/>
          <w:sz w:val="28"/>
          <w:szCs w:val="28"/>
        </w:rPr>
      </w:pPr>
      <w:r w:rsidRPr="00C851DD">
        <w:rPr>
          <w:rFonts w:cs="Arial"/>
          <w:sz w:val="28"/>
          <w:szCs w:val="28"/>
        </w:rPr>
        <w:t>State of Oregon</w:t>
      </w:r>
    </w:p>
    <w:p w:rsidR="00C851DD" w:rsidRPr="00C851DD" w:rsidRDefault="003876CF" w:rsidP="00C851DD">
      <w:pPr>
        <w:tabs>
          <w:tab w:val="left" w:pos="1440"/>
          <w:tab w:val="right" w:pos="9360"/>
        </w:tabs>
        <w:rPr>
          <w:rFonts w:cs="Arial"/>
        </w:rPr>
      </w:pPr>
      <w:r>
        <w:rPr>
          <w:rFonts w:cs="Arial"/>
          <w:noProof/>
        </w:rPr>
        <w:pict>
          <v:line id="_x0000_s1026" style="position:absolute;z-index:251660288;mso-position-horizontal-relative:margin;mso-position-vertical-relative:margin" from="0,55.1pt" to="468pt,55.15pt" o:allowincell="f" strokeweight="2pt">
            <v:stroke startarrowwidth="narrow" startarrowlength="short" endarrowwidth="narrow" endarrowlength="short"/>
            <w10:wrap anchorx="margin" anchory="margin"/>
          </v:line>
        </w:pict>
      </w:r>
      <w:r w:rsidR="00C851DD" w:rsidRPr="00C851DD">
        <w:rPr>
          <w:rFonts w:cs="Arial"/>
          <w:sz w:val="36"/>
          <w:szCs w:val="36"/>
        </w:rPr>
        <w:t>Department of Environmental Quality</w:t>
      </w:r>
      <w:r w:rsidR="00C851DD" w:rsidRPr="00C851DD">
        <w:rPr>
          <w:rFonts w:cs="Arial"/>
        </w:rPr>
        <w:tab/>
      </w:r>
      <w:r w:rsidR="00C851DD" w:rsidRPr="00C851DD">
        <w:rPr>
          <w:rFonts w:cs="Arial"/>
          <w:sz w:val="36"/>
          <w:szCs w:val="36"/>
        </w:rPr>
        <w:t>Memorandum</w:t>
      </w:r>
    </w:p>
    <w:p w:rsidR="00C851DD" w:rsidRPr="00C851DD" w:rsidRDefault="00C851DD" w:rsidP="00C851DD">
      <w:pPr>
        <w:tabs>
          <w:tab w:val="left" w:pos="1440"/>
          <w:tab w:val="right" w:pos="9360"/>
        </w:tabs>
        <w:rPr>
          <w:rFonts w:cs="Arial"/>
        </w:rPr>
      </w:pPr>
    </w:p>
    <w:p w:rsidR="00C851DD" w:rsidRPr="00C851DD" w:rsidRDefault="00C851DD" w:rsidP="00C851DD">
      <w:pPr>
        <w:tabs>
          <w:tab w:val="left" w:pos="1440"/>
          <w:tab w:val="left" w:pos="5760"/>
        </w:tabs>
        <w:spacing w:line="240" w:lineRule="auto"/>
        <w:rPr>
          <w:rFonts w:cs="Arial"/>
          <w:b/>
        </w:rPr>
      </w:pPr>
      <w:r w:rsidRPr="00C851DD">
        <w:rPr>
          <w:rFonts w:cs="Arial"/>
          <w:b/>
        </w:rPr>
        <w:t>To:</w:t>
      </w:r>
      <w:bookmarkStart w:id="0" w:name="MEMO"/>
      <w:bookmarkEnd w:id="0"/>
      <w:r w:rsidRPr="00C851DD">
        <w:rPr>
          <w:rFonts w:cs="Arial"/>
          <w:b/>
        </w:rPr>
        <w:t xml:space="preserve"> </w:t>
      </w:r>
      <w:r w:rsidRPr="00C851DD">
        <w:rPr>
          <w:rFonts w:cs="Arial"/>
          <w:b/>
        </w:rPr>
        <w:tab/>
      </w:r>
      <w:r w:rsidRPr="001D3D78">
        <w:rPr>
          <w:rFonts w:cs="Arial"/>
        </w:rPr>
        <w:t xml:space="preserve">Neil </w:t>
      </w:r>
      <w:proofErr w:type="spellStart"/>
      <w:r w:rsidRPr="001D3D78">
        <w:rPr>
          <w:rFonts w:cs="Arial"/>
        </w:rPr>
        <w:t>Mullane</w:t>
      </w:r>
      <w:proofErr w:type="spellEnd"/>
      <w:r w:rsidRPr="00C851DD">
        <w:rPr>
          <w:rFonts w:cs="Arial"/>
          <w:b/>
        </w:rPr>
        <w:tab/>
      </w:r>
      <w:r w:rsidRPr="00C851DD">
        <w:rPr>
          <w:rFonts w:cs="Arial"/>
        </w:rPr>
        <w:tab/>
      </w:r>
      <w:r w:rsidRPr="00C851DD">
        <w:rPr>
          <w:rFonts w:cs="Arial"/>
          <w:b/>
        </w:rPr>
        <w:t xml:space="preserve">Date: </w:t>
      </w:r>
      <w:r w:rsidR="001547C6">
        <w:rPr>
          <w:rFonts w:cs="Arial"/>
        </w:rPr>
        <w:t>May 13</w:t>
      </w:r>
      <w:r w:rsidR="00407F2A">
        <w:rPr>
          <w:rFonts w:cs="Arial"/>
        </w:rPr>
        <w:t>, 2010</w:t>
      </w:r>
    </w:p>
    <w:p w:rsidR="00C851DD" w:rsidRPr="001D3D78" w:rsidRDefault="00C851DD" w:rsidP="00C851DD">
      <w:pPr>
        <w:tabs>
          <w:tab w:val="left" w:pos="1440"/>
        </w:tabs>
        <w:spacing w:line="240" w:lineRule="auto"/>
        <w:rPr>
          <w:rFonts w:cs="Arial"/>
        </w:rPr>
      </w:pPr>
      <w:r w:rsidRPr="00C851DD">
        <w:rPr>
          <w:rFonts w:cs="Arial"/>
          <w:b/>
        </w:rPr>
        <w:tab/>
      </w:r>
      <w:r w:rsidRPr="001D3D78">
        <w:rPr>
          <w:rFonts w:cs="Arial"/>
        </w:rPr>
        <w:t>Water Quality Division Administrator</w:t>
      </w:r>
    </w:p>
    <w:p w:rsidR="00C851DD" w:rsidRPr="00C851DD" w:rsidRDefault="00C851DD" w:rsidP="00C851DD">
      <w:pPr>
        <w:tabs>
          <w:tab w:val="left" w:pos="1440"/>
        </w:tabs>
        <w:spacing w:line="240" w:lineRule="auto"/>
        <w:rPr>
          <w:rFonts w:cs="Arial"/>
          <w:b/>
        </w:rPr>
      </w:pPr>
    </w:p>
    <w:p w:rsidR="00C851DD" w:rsidRPr="001D3D78" w:rsidRDefault="00C851DD" w:rsidP="00C851DD">
      <w:pPr>
        <w:tabs>
          <w:tab w:val="left" w:pos="1440"/>
        </w:tabs>
        <w:spacing w:line="240" w:lineRule="auto"/>
        <w:rPr>
          <w:rFonts w:cs="Arial"/>
        </w:rPr>
      </w:pPr>
      <w:r w:rsidRPr="00C851DD">
        <w:rPr>
          <w:rFonts w:cs="Arial"/>
          <w:b/>
        </w:rPr>
        <w:t>From:</w:t>
      </w:r>
      <w:r w:rsidRPr="00C851DD">
        <w:rPr>
          <w:rFonts w:cs="Arial"/>
          <w:b/>
        </w:rPr>
        <w:tab/>
      </w:r>
      <w:r w:rsidRPr="001D3D78">
        <w:rPr>
          <w:rFonts w:cs="Arial"/>
        </w:rPr>
        <w:t>Andrea Matzke, Standards and Assessment Section</w:t>
      </w:r>
    </w:p>
    <w:p w:rsidR="00C851DD" w:rsidRPr="001D3D78" w:rsidRDefault="00C851DD" w:rsidP="00C851DD">
      <w:pPr>
        <w:tabs>
          <w:tab w:val="left" w:pos="1440"/>
        </w:tabs>
        <w:spacing w:line="240" w:lineRule="auto"/>
        <w:rPr>
          <w:rFonts w:cs="Arial"/>
        </w:rPr>
      </w:pPr>
      <w:r w:rsidRPr="001D3D78">
        <w:rPr>
          <w:rFonts w:cs="Arial"/>
        </w:rPr>
        <w:tab/>
        <w:t xml:space="preserve">Jennifer </w:t>
      </w:r>
      <w:proofErr w:type="spellStart"/>
      <w:r w:rsidRPr="001D3D78">
        <w:rPr>
          <w:rFonts w:cs="Arial"/>
        </w:rPr>
        <w:t>Wigal</w:t>
      </w:r>
      <w:proofErr w:type="spellEnd"/>
      <w:r w:rsidRPr="001D3D78">
        <w:rPr>
          <w:rFonts w:cs="Arial"/>
        </w:rPr>
        <w:t>, Water Quality Standards &amp; Assessment Section</w:t>
      </w:r>
    </w:p>
    <w:p w:rsidR="00C851DD" w:rsidRPr="00C851DD" w:rsidRDefault="001D3D78" w:rsidP="00C851DD">
      <w:pPr>
        <w:tabs>
          <w:tab w:val="left" w:pos="1440"/>
        </w:tabs>
        <w:spacing w:line="240" w:lineRule="auto"/>
        <w:rPr>
          <w:rFonts w:cs="Arial"/>
          <w:b/>
        </w:rPr>
      </w:pPr>
      <w:r>
        <w:rPr>
          <w:rFonts w:cs="Arial"/>
          <w:b/>
        </w:rPr>
        <w:tab/>
      </w:r>
    </w:p>
    <w:p w:rsidR="00C851DD" w:rsidRPr="00C851DD" w:rsidRDefault="00C851DD" w:rsidP="00C851DD">
      <w:pPr>
        <w:tabs>
          <w:tab w:val="left" w:pos="1440"/>
        </w:tabs>
        <w:spacing w:line="240" w:lineRule="auto"/>
        <w:ind w:left="1440" w:hanging="1440"/>
        <w:rPr>
          <w:rFonts w:cs="Arial"/>
          <w:b/>
        </w:rPr>
      </w:pPr>
      <w:r w:rsidRPr="00C851DD">
        <w:rPr>
          <w:rFonts w:cs="Arial"/>
          <w:b/>
        </w:rPr>
        <w:t>Subject:</w:t>
      </w:r>
      <w:r w:rsidRPr="00C851DD">
        <w:rPr>
          <w:rFonts w:cs="Arial"/>
          <w:b/>
        </w:rPr>
        <w:tab/>
      </w:r>
      <w:r w:rsidR="00F05F9E">
        <w:rPr>
          <w:rFonts w:cs="Arial"/>
        </w:rPr>
        <w:t xml:space="preserve">Toxics Rulemaking:  </w:t>
      </w:r>
      <w:r w:rsidR="001D3D78">
        <w:rPr>
          <w:rFonts w:cs="Arial"/>
        </w:rPr>
        <w:t>DEQ r</w:t>
      </w:r>
      <w:r w:rsidR="001D3D78" w:rsidRPr="001D3D78">
        <w:rPr>
          <w:rFonts w:cs="Arial"/>
        </w:rPr>
        <w:t xml:space="preserve">ecommendations on addressing </w:t>
      </w:r>
      <w:r w:rsidR="00AF55B0">
        <w:rPr>
          <w:rFonts w:cs="Arial"/>
        </w:rPr>
        <w:t xml:space="preserve">work group </w:t>
      </w:r>
      <w:r w:rsidR="001D3D78" w:rsidRPr="001D3D78">
        <w:rPr>
          <w:rFonts w:cs="Arial"/>
        </w:rPr>
        <w:t>issues associated with revised variance regulatory language.</w:t>
      </w:r>
      <w:r w:rsidR="001D3D78">
        <w:rPr>
          <w:rFonts w:cs="Arial"/>
          <w:b/>
        </w:rPr>
        <w:t xml:space="preserve"> </w:t>
      </w:r>
    </w:p>
    <w:p w:rsidR="00887BEB" w:rsidRDefault="00887BEB" w:rsidP="00887BEB">
      <w:pPr>
        <w:rPr>
          <w:rFonts w:eastAsia="Times New Roman" w:cs="Arial"/>
        </w:rPr>
      </w:pPr>
    </w:p>
    <w:p w:rsidR="00F05F9E" w:rsidRPr="00DA25D3" w:rsidRDefault="00B97FB0" w:rsidP="00887BEB">
      <w:pPr>
        <w:rPr>
          <w:rFonts w:eastAsia="Times New Roman" w:cs="Arial"/>
          <w:b/>
        </w:rPr>
      </w:pPr>
      <w:r w:rsidRPr="00DA25D3">
        <w:rPr>
          <w:rFonts w:eastAsia="Times New Roman" w:cs="Arial"/>
          <w:b/>
        </w:rPr>
        <w:t>Purpose</w:t>
      </w:r>
      <w:r w:rsidR="00F05F9E" w:rsidRPr="00DA25D3">
        <w:rPr>
          <w:rFonts w:eastAsia="Times New Roman" w:cs="Arial"/>
          <w:b/>
        </w:rPr>
        <w:tab/>
      </w:r>
    </w:p>
    <w:p w:rsidR="00887BEB" w:rsidRPr="00F05F9E" w:rsidRDefault="00F05F9E" w:rsidP="00887BEB">
      <w:pPr>
        <w:rPr>
          <w:rFonts w:eastAsia="Times New Roman" w:cs="Arial"/>
          <w:b/>
        </w:rPr>
      </w:pPr>
      <w:r>
        <w:rPr>
          <w:rFonts w:eastAsia="Times New Roman" w:cs="Arial"/>
        </w:rPr>
        <w:t xml:space="preserve">DEQ staff have been developing and exploring various implementation tools for permitting with the rulemaking work group as part of the human health toxics rulemaking.  Variances </w:t>
      </w:r>
      <w:r w:rsidR="002A6EC8">
        <w:rPr>
          <w:rFonts w:eastAsia="Times New Roman" w:cs="Arial"/>
        </w:rPr>
        <w:t>as an implementation tool</w:t>
      </w:r>
      <w:r w:rsidR="001547C6">
        <w:rPr>
          <w:rFonts w:eastAsia="Times New Roman" w:cs="Arial"/>
        </w:rPr>
        <w:t xml:space="preserve"> has</w:t>
      </w:r>
      <w:r>
        <w:rPr>
          <w:rFonts w:eastAsia="Times New Roman" w:cs="Arial"/>
        </w:rPr>
        <w:t xml:space="preserve"> been </w:t>
      </w:r>
      <w:r w:rsidR="00B97FB0">
        <w:rPr>
          <w:rFonts w:eastAsia="Times New Roman" w:cs="Arial"/>
        </w:rPr>
        <w:t xml:space="preserve">extensively discussed with work group members.  </w:t>
      </w:r>
      <w:r w:rsidR="00554FDB">
        <w:rPr>
          <w:rFonts w:eastAsia="Times New Roman" w:cs="Arial"/>
        </w:rPr>
        <w:t xml:space="preserve">DEQ currently has authority in our water quality standards rules to issue variances, but we have not utilized this option to date.  The purpose for reviewing the variance rule language is to improve the usefulness of this tool in appropriate circumstances.  </w:t>
      </w:r>
      <w:r w:rsidR="00B97FB0">
        <w:rPr>
          <w:rFonts w:eastAsia="Times New Roman" w:cs="Arial"/>
        </w:rPr>
        <w:t xml:space="preserve">As part </w:t>
      </w:r>
      <w:r w:rsidR="00A61E15">
        <w:rPr>
          <w:rFonts w:eastAsia="Times New Roman" w:cs="Arial"/>
        </w:rPr>
        <w:t>of these discussions, there have</w:t>
      </w:r>
      <w:r w:rsidR="00B97FB0">
        <w:rPr>
          <w:rFonts w:eastAsia="Times New Roman" w:cs="Arial"/>
        </w:rPr>
        <w:t xml:space="preserve"> been a number of concerns expressed by several of the stakeholders relating to proposed variance regulatory language.  In order to finalize language, DEQ</w:t>
      </w:r>
      <w:r w:rsidR="009C26BE">
        <w:rPr>
          <w:rFonts w:eastAsia="Times New Roman" w:cs="Arial"/>
        </w:rPr>
        <w:t xml:space="preserve"> staff is</w:t>
      </w:r>
      <w:r w:rsidR="00B97FB0">
        <w:rPr>
          <w:rFonts w:eastAsia="Times New Roman" w:cs="Arial"/>
        </w:rPr>
        <w:t xml:space="preserve"> provid</w:t>
      </w:r>
      <w:r w:rsidR="009C26BE">
        <w:rPr>
          <w:rFonts w:eastAsia="Times New Roman" w:cs="Arial"/>
        </w:rPr>
        <w:t>ing</w:t>
      </w:r>
      <w:r w:rsidR="00B97FB0">
        <w:rPr>
          <w:rFonts w:eastAsia="Times New Roman" w:cs="Arial"/>
        </w:rPr>
        <w:t xml:space="preserve"> recommendations in response to major concerns raised by these work group members.  </w:t>
      </w:r>
      <w:r>
        <w:rPr>
          <w:rFonts w:eastAsia="Times New Roman" w:cs="Arial"/>
        </w:rPr>
        <w:t xml:space="preserve"> </w:t>
      </w:r>
    </w:p>
    <w:p w:rsidR="00CA2427" w:rsidRPr="00DA25D3" w:rsidRDefault="00CA2427" w:rsidP="00887BEB">
      <w:pPr>
        <w:rPr>
          <w:rFonts w:eastAsia="Times New Roman" w:cs="Arial"/>
          <w:b/>
        </w:rPr>
      </w:pPr>
      <w:r w:rsidRPr="00DA25D3">
        <w:rPr>
          <w:rFonts w:eastAsia="Times New Roman" w:cs="Arial"/>
          <w:b/>
        </w:rPr>
        <w:t>Issues Raised from Rulemaking Work Group</w:t>
      </w:r>
      <w:r w:rsidR="00B762F3" w:rsidRPr="00DA25D3">
        <w:rPr>
          <w:rFonts w:eastAsia="Times New Roman" w:cs="Arial"/>
          <w:b/>
        </w:rPr>
        <w:t xml:space="preserve"> and DEQ Recommendation</w:t>
      </w:r>
    </w:p>
    <w:p w:rsidR="00CA2427" w:rsidRPr="00D001F0" w:rsidRDefault="00887BEB" w:rsidP="00887BEB">
      <w:pPr>
        <w:pStyle w:val="ListParagraph"/>
        <w:numPr>
          <w:ilvl w:val="0"/>
          <w:numId w:val="1"/>
        </w:numPr>
        <w:rPr>
          <w:rFonts w:eastAsia="Times New Roman" w:cs="Arial"/>
        </w:rPr>
      </w:pPr>
      <w:r w:rsidRPr="00D001F0">
        <w:rPr>
          <w:rFonts w:eastAsia="Times New Roman" w:cs="Arial"/>
          <w:b/>
        </w:rPr>
        <w:t>Aquatic Life Criteria</w:t>
      </w:r>
      <w:r w:rsidR="00CA2427" w:rsidRPr="00D001F0">
        <w:rPr>
          <w:rFonts w:eastAsia="Times New Roman" w:cs="Arial"/>
          <w:b/>
        </w:rPr>
        <w:t xml:space="preserve"> Eligibility for Variance</w:t>
      </w:r>
      <w:r w:rsidR="00B762F3" w:rsidRPr="00D001F0">
        <w:rPr>
          <w:rFonts w:eastAsia="Times New Roman" w:cs="Arial"/>
          <w:b/>
        </w:rPr>
        <w:t>s</w:t>
      </w:r>
    </w:p>
    <w:p w:rsidR="00D001F0" w:rsidRPr="00D001F0" w:rsidRDefault="00D001F0" w:rsidP="00CA2427">
      <w:pPr>
        <w:ind w:left="360"/>
        <w:rPr>
          <w:rFonts w:eastAsia="Times New Roman" w:cs="Arial"/>
          <w:u w:val="single"/>
        </w:rPr>
      </w:pPr>
      <w:r w:rsidRPr="00D001F0">
        <w:rPr>
          <w:rFonts w:eastAsia="Times New Roman" w:cs="Arial"/>
          <w:u w:val="single"/>
        </w:rPr>
        <w:t>Description</w:t>
      </w:r>
    </w:p>
    <w:p w:rsidR="00CA2427" w:rsidRDefault="00554FDB" w:rsidP="00CA2427">
      <w:pPr>
        <w:ind w:left="360"/>
        <w:rPr>
          <w:rFonts w:eastAsia="Times New Roman" w:cs="Arial"/>
        </w:rPr>
      </w:pPr>
      <w:r>
        <w:rPr>
          <w:rFonts w:eastAsia="Times New Roman" w:cs="Arial"/>
        </w:rPr>
        <w:t xml:space="preserve">The current </w:t>
      </w:r>
      <w:r w:rsidR="00CA2427">
        <w:rPr>
          <w:rFonts w:eastAsia="Times New Roman" w:cs="Arial"/>
        </w:rPr>
        <w:t xml:space="preserve">variance </w:t>
      </w:r>
      <w:r>
        <w:rPr>
          <w:rFonts w:eastAsia="Times New Roman" w:cs="Arial"/>
        </w:rPr>
        <w:t xml:space="preserve">rule and proposed revised </w:t>
      </w:r>
      <w:r w:rsidR="00CA2427">
        <w:rPr>
          <w:rFonts w:eastAsia="Times New Roman" w:cs="Arial"/>
        </w:rPr>
        <w:t>language allows facilities to apply for variances for</w:t>
      </w:r>
      <w:r>
        <w:rPr>
          <w:rFonts w:eastAsia="Times New Roman" w:cs="Arial"/>
        </w:rPr>
        <w:t xml:space="preserve"> any water quality criteria, including toxics criteria for </w:t>
      </w:r>
      <w:r w:rsidR="00CA2427">
        <w:rPr>
          <w:rFonts w:eastAsia="Times New Roman" w:cs="Arial"/>
        </w:rPr>
        <w:t>human health and aquatic life criteria, as long as certain criteria are met</w:t>
      </w:r>
      <w:r>
        <w:rPr>
          <w:rFonts w:eastAsia="Times New Roman" w:cs="Arial"/>
        </w:rPr>
        <w:t>.  P</w:t>
      </w:r>
      <w:r w:rsidR="00CA2427">
        <w:rPr>
          <w:rFonts w:eastAsia="Times New Roman" w:cs="Arial"/>
        </w:rPr>
        <w:t>articipants from the work gro</w:t>
      </w:r>
      <w:r w:rsidR="007E341E">
        <w:rPr>
          <w:rFonts w:eastAsia="Times New Roman" w:cs="Arial"/>
        </w:rPr>
        <w:t xml:space="preserve">up representing Columbia </w:t>
      </w:r>
      <w:proofErr w:type="spellStart"/>
      <w:r w:rsidR="007E341E">
        <w:rPr>
          <w:rFonts w:eastAsia="Times New Roman" w:cs="Arial"/>
        </w:rPr>
        <w:t>Riverkeeper</w:t>
      </w:r>
      <w:proofErr w:type="spellEnd"/>
      <w:r w:rsidR="00CA2427">
        <w:rPr>
          <w:rFonts w:eastAsia="Times New Roman" w:cs="Arial"/>
        </w:rPr>
        <w:t xml:space="preserve"> and NW Environmental Advocates</w:t>
      </w:r>
      <w:r w:rsidR="00DD700C">
        <w:rPr>
          <w:rFonts w:eastAsia="Times New Roman" w:cs="Arial"/>
        </w:rPr>
        <w:t xml:space="preserve"> have concerns about </w:t>
      </w:r>
      <w:r w:rsidR="00B762F3">
        <w:rPr>
          <w:rFonts w:eastAsia="Times New Roman" w:cs="Arial"/>
        </w:rPr>
        <w:t xml:space="preserve">facilities </w:t>
      </w:r>
      <w:r w:rsidR="00DD700C">
        <w:rPr>
          <w:rFonts w:eastAsia="Times New Roman" w:cs="Arial"/>
        </w:rPr>
        <w:t xml:space="preserve">applying for variances based on an </w:t>
      </w:r>
      <w:r w:rsidR="00B762F3">
        <w:rPr>
          <w:rFonts w:eastAsia="Times New Roman" w:cs="Arial"/>
        </w:rPr>
        <w:t>aquatic life criteria</w:t>
      </w:r>
      <w:r w:rsidR="00DD700C">
        <w:rPr>
          <w:rFonts w:eastAsia="Times New Roman" w:cs="Arial"/>
        </w:rPr>
        <w:t xml:space="preserve"> </w:t>
      </w:r>
      <w:proofErr w:type="spellStart"/>
      <w:r w:rsidR="00DD700C">
        <w:rPr>
          <w:rFonts w:eastAsia="Times New Roman" w:cs="Arial"/>
        </w:rPr>
        <w:t>exceedence</w:t>
      </w:r>
      <w:proofErr w:type="spellEnd"/>
      <w:r w:rsidR="00B762F3">
        <w:rPr>
          <w:rFonts w:eastAsia="Times New Roman" w:cs="Arial"/>
        </w:rPr>
        <w:t xml:space="preserve">.  </w:t>
      </w:r>
    </w:p>
    <w:p w:rsidR="00A90C2C" w:rsidRDefault="00A90C2C" w:rsidP="001D3D78">
      <w:pPr>
        <w:ind w:left="360" w:firstLine="360"/>
        <w:rPr>
          <w:rFonts w:eastAsia="Times New Roman" w:cs="Arial"/>
          <w:i/>
        </w:rPr>
      </w:pPr>
    </w:p>
    <w:p w:rsidR="00CA2427" w:rsidRPr="00B762F3" w:rsidRDefault="00A53FEB" w:rsidP="001D3D78">
      <w:pPr>
        <w:ind w:left="360" w:firstLine="360"/>
        <w:rPr>
          <w:rFonts w:eastAsia="Times New Roman" w:cs="Arial"/>
          <w:i/>
        </w:rPr>
      </w:pPr>
      <w:r>
        <w:rPr>
          <w:rFonts w:eastAsia="Times New Roman" w:cs="Arial"/>
          <w:i/>
        </w:rPr>
        <w:lastRenderedPageBreak/>
        <w:t xml:space="preserve">Columbia </w:t>
      </w:r>
      <w:proofErr w:type="spellStart"/>
      <w:r>
        <w:rPr>
          <w:rFonts w:eastAsia="Times New Roman" w:cs="Arial"/>
          <w:i/>
        </w:rPr>
        <w:t>Riverkeeper</w:t>
      </w:r>
      <w:proofErr w:type="spellEnd"/>
    </w:p>
    <w:p w:rsidR="001D3D78" w:rsidRPr="00D001F0" w:rsidRDefault="00887BEB" w:rsidP="00D001F0">
      <w:pPr>
        <w:ind w:left="720"/>
        <w:rPr>
          <w:rFonts w:eastAsia="Times New Roman" w:cs="Arial"/>
          <w:color w:val="365F91" w:themeColor="accent1" w:themeShade="BF"/>
        </w:rPr>
      </w:pPr>
      <w:r w:rsidRPr="00DD700C">
        <w:rPr>
          <w:rFonts w:eastAsia="Times New Roman" w:cs="Arial"/>
          <w:color w:val="365F91" w:themeColor="accent1" w:themeShade="BF"/>
        </w:rPr>
        <w:t>The rationale for revising variances for human health criteria pollutants does not apply to the unchanged aquatic life criteria.  Moreover, DEQ has not vetted the implications of revising Oregon's variance language for aquatic life criteria.  At this time, the revisions to the variance language reflect an implementation tool for adopting an accurate fish consumption rate in Oregon.  The rationale for revising, and in turn easing th</w:t>
      </w:r>
      <w:r w:rsidR="00A61E15">
        <w:rPr>
          <w:rFonts w:eastAsia="Times New Roman" w:cs="Arial"/>
          <w:color w:val="365F91" w:themeColor="accent1" w:themeShade="BF"/>
        </w:rPr>
        <w:t>e accessibility to, variances are</w:t>
      </w:r>
      <w:r w:rsidRPr="00DD700C">
        <w:rPr>
          <w:rFonts w:eastAsia="Times New Roman" w:cs="Arial"/>
          <w:color w:val="365F91" w:themeColor="accent1" w:themeShade="BF"/>
        </w:rPr>
        <w:t xml:space="preserve"> in no way associated with aquatic life criteria.  In the context of this rulemaking, DEQ is obligated to follow the EQC's directive.  That directive does not address increasing the accessibility to and ease in obtaining variances for water quality standards that p</w:t>
      </w:r>
      <w:r w:rsidR="00F32415" w:rsidRPr="00DD700C">
        <w:rPr>
          <w:rFonts w:eastAsia="Times New Roman" w:cs="Arial"/>
          <w:color w:val="365F91" w:themeColor="accent1" w:themeShade="BF"/>
        </w:rPr>
        <w:t xml:space="preserve">rotect aquatic life.  </w:t>
      </w:r>
    </w:p>
    <w:p w:rsidR="00F32415" w:rsidRPr="00DD700C" w:rsidRDefault="00DD700C" w:rsidP="00DD700C">
      <w:pPr>
        <w:rPr>
          <w:rFonts w:eastAsia="Times New Roman" w:cs="Arial"/>
          <w:i/>
        </w:rPr>
      </w:pPr>
      <w:r w:rsidRPr="00DD700C">
        <w:rPr>
          <w:rFonts w:eastAsia="Times New Roman" w:cs="Arial"/>
          <w:i/>
        </w:rPr>
        <w:t xml:space="preserve"> </w:t>
      </w:r>
      <w:r w:rsidR="001D3D78">
        <w:rPr>
          <w:rFonts w:eastAsia="Times New Roman" w:cs="Arial"/>
          <w:i/>
        </w:rPr>
        <w:tab/>
      </w:r>
      <w:r w:rsidRPr="00DD700C">
        <w:rPr>
          <w:rFonts w:eastAsia="Times New Roman" w:cs="Arial"/>
          <w:i/>
        </w:rPr>
        <w:t>NW Environmental Advocates</w:t>
      </w:r>
    </w:p>
    <w:p w:rsidR="00F32415" w:rsidRPr="002A6EC8" w:rsidRDefault="00F32415" w:rsidP="002A6EC8">
      <w:pPr>
        <w:ind w:left="720"/>
        <w:rPr>
          <w:color w:val="365F91" w:themeColor="accent1" w:themeShade="BF"/>
        </w:rPr>
      </w:pPr>
      <w:r w:rsidRPr="00CB329D">
        <w:rPr>
          <w:color w:val="365F91" w:themeColor="accent1" w:themeShade="BF"/>
        </w:rPr>
        <w:t>I think this is a mistake.  (1) we have not discussed how this applies to a wide range of pollutants, (2) this will require ESA consultation on EPA’s action on the rule, (3) the existing use protection requirement will be harder to address for aquatic life than for human health and (4) it does not appear that DEQ has thought about how this will work for aquatic life.</w:t>
      </w:r>
    </w:p>
    <w:p w:rsidR="00F37B42" w:rsidRPr="00D001F0" w:rsidRDefault="00DD700C" w:rsidP="00DD700C">
      <w:pPr>
        <w:rPr>
          <w:rFonts w:eastAsia="Times New Roman" w:cs="Arial"/>
          <w:u w:val="single"/>
        </w:rPr>
      </w:pPr>
      <w:r>
        <w:rPr>
          <w:rFonts w:eastAsia="Times New Roman" w:cs="Arial"/>
        </w:rPr>
        <w:t xml:space="preserve">      </w:t>
      </w:r>
      <w:r w:rsidR="003610B7">
        <w:rPr>
          <w:rFonts w:eastAsia="Times New Roman" w:cs="Arial"/>
        </w:rPr>
        <w:t xml:space="preserve">  </w:t>
      </w:r>
      <w:r w:rsidRPr="00D001F0">
        <w:rPr>
          <w:rFonts w:eastAsia="Times New Roman" w:cs="Arial"/>
          <w:u w:val="single"/>
        </w:rPr>
        <w:t>Recommendation</w:t>
      </w:r>
    </w:p>
    <w:p w:rsidR="006102FC" w:rsidRPr="006102FC" w:rsidRDefault="009C26BE" w:rsidP="002A6EC8">
      <w:pPr>
        <w:ind w:left="360"/>
        <w:rPr>
          <w:rFonts w:eastAsia="Times New Roman" w:cs="Arial"/>
        </w:rPr>
      </w:pPr>
      <w:r>
        <w:rPr>
          <w:rFonts w:eastAsia="Times New Roman" w:cs="Arial"/>
        </w:rPr>
        <w:t>The e</w:t>
      </w:r>
      <w:r w:rsidR="00F37B42">
        <w:rPr>
          <w:rFonts w:eastAsia="Times New Roman" w:cs="Arial"/>
        </w:rPr>
        <w:t xml:space="preserve">xisting variance </w:t>
      </w:r>
      <w:r>
        <w:rPr>
          <w:rFonts w:eastAsia="Times New Roman" w:cs="Arial"/>
        </w:rPr>
        <w:t>rule provision is broadly applicable, including</w:t>
      </w:r>
      <w:r w:rsidR="00F37B42">
        <w:rPr>
          <w:rFonts w:eastAsia="Times New Roman" w:cs="Arial"/>
        </w:rPr>
        <w:t xml:space="preserve"> aquatic life criteria.  </w:t>
      </w:r>
      <w:r w:rsidR="00686261">
        <w:rPr>
          <w:rFonts w:eastAsia="Times New Roman" w:cs="Arial"/>
        </w:rPr>
        <w:t xml:space="preserve">Consequently, </w:t>
      </w:r>
      <w:r>
        <w:rPr>
          <w:rFonts w:eastAsia="Times New Roman" w:cs="Arial"/>
        </w:rPr>
        <w:t xml:space="preserve">we </w:t>
      </w:r>
      <w:r w:rsidR="00F37B42">
        <w:rPr>
          <w:rFonts w:eastAsia="Times New Roman" w:cs="Arial"/>
        </w:rPr>
        <w:t xml:space="preserve">do not see a compelling reason to exclude </w:t>
      </w:r>
      <w:r w:rsidR="001D3D78">
        <w:rPr>
          <w:rFonts w:eastAsia="Times New Roman" w:cs="Arial"/>
        </w:rPr>
        <w:t xml:space="preserve">criteria associated with </w:t>
      </w:r>
      <w:r w:rsidR="00CE7F0B">
        <w:rPr>
          <w:rFonts w:eastAsia="Times New Roman" w:cs="Arial"/>
        </w:rPr>
        <w:t xml:space="preserve">aquatic life in the </w:t>
      </w:r>
      <w:r w:rsidR="00F37B42">
        <w:rPr>
          <w:rFonts w:eastAsia="Times New Roman" w:cs="Arial"/>
        </w:rPr>
        <w:t>proposed variance regulations.  T</w:t>
      </w:r>
      <w:r w:rsidR="004C6200">
        <w:rPr>
          <w:rFonts w:eastAsia="Times New Roman" w:cs="Arial"/>
        </w:rPr>
        <w:t xml:space="preserve">he proposed variance language has been developed to set up a framework for how variance requests are assessed and processed.  </w:t>
      </w:r>
      <w:r w:rsidR="00A90C2C">
        <w:rPr>
          <w:rFonts w:eastAsia="Times New Roman" w:cs="Arial"/>
        </w:rPr>
        <w:t xml:space="preserve">In addition, variances must be approved by EPA.  EPA’s approval action will trigger an ESA consultation for a variance from an aquatic life criterion if that variance may affect a threatened or endangered species. </w:t>
      </w:r>
      <w:r w:rsidR="00686261">
        <w:rPr>
          <w:rFonts w:eastAsia="Times New Roman" w:cs="Arial"/>
        </w:rPr>
        <w:t xml:space="preserve">  DEQ acknowledges that an ESA consultation could pose a challenge to the administrati</w:t>
      </w:r>
      <w:r>
        <w:rPr>
          <w:rFonts w:eastAsia="Times New Roman" w:cs="Arial"/>
        </w:rPr>
        <w:t>ve</w:t>
      </w:r>
      <w:r w:rsidR="00686261">
        <w:rPr>
          <w:rFonts w:eastAsia="Times New Roman" w:cs="Arial"/>
        </w:rPr>
        <w:t xml:space="preserve"> process; however, that should not preclude a discharger’s ability to request a variance.</w:t>
      </w:r>
      <w:r w:rsidR="00070F93">
        <w:rPr>
          <w:rFonts w:eastAsia="Times New Roman" w:cs="Arial"/>
        </w:rPr>
        <w:t xml:space="preserve">  Facilities should have the opportunity to provide documentation in support </w:t>
      </w:r>
      <w:r w:rsidR="002A6EC8">
        <w:rPr>
          <w:rFonts w:eastAsia="Times New Roman" w:cs="Arial"/>
        </w:rPr>
        <w:t xml:space="preserve">of </w:t>
      </w:r>
      <w:r w:rsidR="00070F93">
        <w:rPr>
          <w:rFonts w:eastAsia="Times New Roman" w:cs="Arial"/>
        </w:rPr>
        <w:t xml:space="preserve">a variance request. </w:t>
      </w:r>
    </w:p>
    <w:p w:rsidR="001D3D78" w:rsidRPr="00D001F0" w:rsidRDefault="00887BEB" w:rsidP="00887BEB">
      <w:pPr>
        <w:pStyle w:val="ListParagraph"/>
        <w:numPr>
          <w:ilvl w:val="0"/>
          <w:numId w:val="1"/>
        </w:numPr>
        <w:rPr>
          <w:rFonts w:eastAsia="Times New Roman" w:cs="Arial"/>
        </w:rPr>
      </w:pPr>
      <w:r w:rsidRPr="00D001F0">
        <w:rPr>
          <w:rFonts w:eastAsia="Calibri" w:cs="Arial"/>
          <w:b/>
        </w:rPr>
        <w:t xml:space="preserve">Variance </w:t>
      </w:r>
      <w:r w:rsidR="001D3D78" w:rsidRPr="00D001F0">
        <w:rPr>
          <w:rFonts w:eastAsia="Calibri" w:cs="Arial"/>
          <w:b/>
        </w:rPr>
        <w:t>Duration</w:t>
      </w:r>
    </w:p>
    <w:p w:rsidR="00D001F0" w:rsidRPr="00D001F0" w:rsidRDefault="00D001F0" w:rsidP="001D3D78">
      <w:pPr>
        <w:ind w:left="360"/>
        <w:rPr>
          <w:rFonts w:eastAsia="Calibri" w:cs="Arial"/>
          <w:u w:val="single"/>
        </w:rPr>
      </w:pPr>
      <w:r w:rsidRPr="00D001F0">
        <w:rPr>
          <w:rFonts w:eastAsia="Calibri" w:cs="Arial"/>
          <w:u w:val="single"/>
        </w:rPr>
        <w:t>Description</w:t>
      </w:r>
    </w:p>
    <w:p w:rsidR="00A83762" w:rsidRDefault="00A83762" w:rsidP="00D001F0">
      <w:pPr>
        <w:ind w:left="360"/>
        <w:rPr>
          <w:rFonts w:eastAsia="Calibri" w:cs="Arial"/>
        </w:rPr>
      </w:pPr>
      <w:r>
        <w:rPr>
          <w:rFonts w:eastAsia="Calibri" w:cs="Arial"/>
        </w:rPr>
        <w:t xml:space="preserve">In the existing variance regulation, a variance may not exceed </w:t>
      </w:r>
      <w:r w:rsidR="009C26BE">
        <w:rPr>
          <w:rFonts w:eastAsia="Calibri" w:cs="Arial"/>
        </w:rPr>
        <w:t>three</w:t>
      </w:r>
      <w:r>
        <w:rPr>
          <w:rFonts w:eastAsia="Calibri" w:cs="Arial"/>
        </w:rPr>
        <w:t xml:space="preserve"> years or the term of the NPDES permit, whichever is less.  The Department </w:t>
      </w:r>
      <w:r w:rsidR="009C26BE">
        <w:rPr>
          <w:rFonts w:eastAsia="Calibri" w:cs="Arial"/>
        </w:rPr>
        <w:t xml:space="preserve">proposes </w:t>
      </w:r>
      <w:r>
        <w:rPr>
          <w:rFonts w:eastAsia="Calibri" w:cs="Arial"/>
        </w:rPr>
        <w:t xml:space="preserve">changing the duration to coincide with the duration of a NPDES permit. </w:t>
      </w:r>
      <w:r w:rsidR="00A90C2C">
        <w:rPr>
          <w:rFonts w:eastAsia="Times New Roman" w:cs="Arial"/>
        </w:rPr>
        <w:t>P</w:t>
      </w:r>
      <w:r>
        <w:rPr>
          <w:rFonts w:eastAsia="Times New Roman" w:cs="Arial"/>
        </w:rPr>
        <w:t>articipants from the work gro</w:t>
      </w:r>
      <w:r w:rsidR="007E341E">
        <w:rPr>
          <w:rFonts w:eastAsia="Times New Roman" w:cs="Arial"/>
        </w:rPr>
        <w:t xml:space="preserve">up representing Columbia </w:t>
      </w:r>
      <w:proofErr w:type="spellStart"/>
      <w:r w:rsidR="007E341E">
        <w:rPr>
          <w:rFonts w:eastAsia="Times New Roman" w:cs="Arial"/>
        </w:rPr>
        <w:t>Riverkeeper</w:t>
      </w:r>
      <w:proofErr w:type="spellEnd"/>
      <w:r>
        <w:rPr>
          <w:rFonts w:eastAsia="Times New Roman" w:cs="Arial"/>
        </w:rPr>
        <w:t xml:space="preserve"> and NW Environmental Advocates have concerns with extending a variance beyond a 5 year permit term</w:t>
      </w:r>
      <w:r w:rsidR="003179EF">
        <w:rPr>
          <w:rFonts w:eastAsia="Times New Roman" w:cs="Arial"/>
        </w:rPr>
        <w:t xml:space="preserve"> which may occur if a permit is administratively extended</w:t>
      </w:r>
      <w:r>
        <w:rPr>
          <w:rFonts w:eastAsia="Times New Roman" w:cs="Arial"/>
        </w:rPr>
        <w:t xml:space="preserve">.  </w:t>
      </w:r>
      <w:r>
        <w:rPr>
          <w:rFonts w:eastAsia="Calibri" w:cs="Arial"/>
        </w:rPr>
        <w:t xml:space="preserve"> </w:t>
      </w:r>
    </w:p>
    <w:p w:rsidR="00C75F2C" w:rsidRDefault="00C75F2C" w:rsidP="00A83762">
      <w:pPr>
        <w:ind w:left="360" w:firstLine="360"/>
        <w:rPr>
          <w:rFonts w:eastAsia="Times New Roman" w:cs="Arial"/>
          <w:i/>
        </w:rPr>
      </w:pPr>
    </w:p>
    <w:p w:rsidR="00C75F2C" w:rsidRDefault="00C75F2C" w:rsidP="00A83762">
      <w:pPr>
        <w:ind w:left="360" w:firstLine="360"/>
        <w:rPr>
          <w:rFonts w:eastAsia="Times New Roman" w:cs="Arial"/>
          <w:i/>
        </w:rPr>
      </w:pPr>
    </w:p>
    <w:p w:rsidR="002A6EC8" w:rsidRDefault="002A6EC8" w:rsidP="00A83762">
      <w:pPr>
        <w:ind w:left="360" w:firstLine="360"/>
        <w:rPr>
          <w:rFonts w:eastAsia="Times New Roman" w:cs="Arial"/>
          <w:i/>
        </w:rPr>
      </w:pPr>
    </w:p>
    <w:p w:rsidR="00A83762" w:rsidRPr="00B762F3" w:rsidRDefault="00A53FEB" w:rsidP="00A83762">
      <w:pPr>
        <w:ind w:left="360" w:firstLine="360"/>
        <w:rPr>
          <w:rFonts w:eastAsia="Times New Roman" w:cs="Arial"/>
          <w:i/>
        </w:rPr>
      </w:pPr>
      <w:r>
        <w:rPr>
          <w:rFonts w:eastAsia="Times New Roman" w:cs="Arial"/>
          <w:i/>
        </w:rPr>
        <w:lastRenderedPageBreak/>
        <w:t xml:space="preserve">Columbia </w:t>
      </w:r>
      <w:proofErr w:type="spellStart"/>
      <w:r>
        <w:rPr>
          <w:rFonts w:eastAsia="Times New Roman" w:cs="Arial"/>
          <w:i/>
        </w:rPr>
        <w:t>Riverkeeper</w:t>
      </w:r>
      <w:proofErr w:type="spellEnd"/>
    </w:p>
    <w:p w:rsidR="00F32415" w:rsidRPr="00A83762" w:rsidRDefault="00887BEB" w:rsidP="00A83762">
      <w:pPr>
        <w:ind w:left="720"/>
        <w:rPr>
          <w:rFonts w:eastAsia="Times New Roman" w:cs="Arial"/>
          <w:color w:val="365F91" w:themeColor="accent1" w:themeShade="BF"/>
        </w:rPr>
      </w:pPr>
      <w:r w:rsidRPr="00A83762">
        <w:rPr>
          <w:rFonts w:eastAsia="Calibri" w:cs="Arial"/>
          <w:color w:val="365F91" w:themeColor="accent1" w:themeShade="BF"/>
        </w:rPr>
        <w:t>CRK appreciates that DEQ is proposing to align the term of a variance with, at most, a permit term.  CRK requests that DEQ remove any language that would allow a variance to stay in effect for longer than one permit term.</w:t>
      </w:r>
    </w:p>
    <w:p w:rsidR="00F32415" w:rsidRDefault="00A83762" w:rsidP="00F32415">
      <w:pPr>
        <w:pStyle w:val="ListParagraph"/>
        <w:rPr>
          <w:rFonts w:eastAsia="Calibri" w:cs="Arial"/>
          <w:u w:val="single"/>
        </w:rPr>
      </w:pPr>
      <w:r w:rsidRPr="00DD700C">
        <w:rPr>
          <w:rFonts w:eastAsia="Times New Roman" w:cs="Arial"/>
          <w:i/>
        </w:rPr>
        <w:t>NW Environmental Advocates</w:t>
      </w:r>
    </w:p>
    <w:p w:rsidR="00F32415" w:rsidRPr="00CB329D" w:rsidRDefault="00F32415" w:rsidP="00CB329D">
      <w:pPr>
        <w:ind w:left="720"/>
        <w:rPr>
          <w:color w:val="365F91" w:themeColor="accent1" w:themeShade="BF"/>
        </w:rPr>
      </w:pPr>
      <w:r w:rsidRPr="00CB329D">
        <w:rPr>
          <w:color w:val="365F91" w:themeColor="accent1" w:themeShade="BF"/>
        </w:rPr>
        <w:t xml:space="preserve">Even the GLI does not allow variances longer than 5 years or the term of a permit.  </w:t>
      </w:r>
      <w:proofErr w:type="gramStart"/>
      <w:r w:rsidRPr="00CB329D">
        <w:rPr>
          <w:color w:val="365F91" w:themeColor="accent1" w:themeShade="BF"/>
        </w:rPr>
        <w:t>40 CFR Pt. 132, App. F Procedure 2 B.</w:t>
      </w:r>
      <w:proofErr w:type="gramEnd"/>
      <w:r w:rsidRPr="00CB329D">
        <w:rPr>
          <w:color w:val="365F91" w:themeColor="accent1" w:themeShade="BF"/>
        </w:rPr>
        <w:t xml:space="preserve">  </w:t>
      </w:r>
      <w:r w:rsidR="00A90C2C" w:rsidRPr="00CB329D">
        <w:rPr>
          <w:color w:val="365F91" w:themeColor="accent1" w:themeShade="BF"/>
        </w:rPr>
        <w:t>“…shall not exceed five years or</w:t>
      </w:r>
      <w:r w:rsidRPr="00CB329D">
        <w:rPr>
          <w:color w:val="365F91" w:themeColor="accent1" w:themeShade="BF"/>
        </w:rPr>
        <w:t xml:space="preserve"> the term of the NPDES permit.”  </w:t>
      </w:r>
      <w:proofErr w:type="gramStart"/>
      <w:r w:rsidRPr="00CB329D">
        <w:rPr>
          <w:color w:val="365F91" w:themeColor="accent1" w:themeShade="BF"/>
        </w:rPr>
        <w:t>Plain language.</w:t>
      </w:r>
      <w:proofErr w:type="gramEnd"/>
      <w:r w:rsidRPr="00CB329D">
        <w:rPr>
          <w:color w:val="365F91" w:themeColor="accent1" w:themeShade="BF"/>
        </w:rPr>
        <w:t xml:space="preserve">  Why does DEQ think that GLI even applies to Oregon?  Why does DEQ think that it can go beyond GLI? </w:t>
      </w:r>
    </w:p>
    <w:p w:rsidR="004D0743" w:rsidRDefault="004D0743" w:rsidP="00F32415">
      <w:pPr>
        <w:pStyle w:val="CommentText"/>
        <w:ind w:left="720"/>
        <w:rPr>
          <w:rFonts w:asciiTheme="minorHAnsi" w:hAnsiTheme="minorHAnsi"/>
          <w:color w:val="365F91" w:themeColor="accent1" w:themeShade="BF"/>
          <w:sz w:val="22"/>
          <w:szCs w:val="22"/>
        </w:rPr>
      </w:pPr>
    </w:p>
    <w:p w:rsidR="004D0743" w:rsidRPr="007C49C2" w:rsidRDefault="004D0743" w:rsidP="004D0743">
      <w:pPr>
        <w:rPr>
          <w:rFonts w:eastAsia="Times New Roman" w:cs="Arial"/>
          <w:u w:val="single"/>
        </w:rPr>
      </w:pPr>
      <w:r>
        <w:rPr>
          <w:rFonts w:eastAsia="Times New Roman" w:cs="Arial"/>
        </w:rPr>
        <w:t xml:space="preserve">       </w:t>
      </w:r>
      <w:r w:rsidRPr="007C49C2">
        <w:rPr>
          <w:rFonts w:eastAsia="Times New Roman" w:cs="Arial"/>
          <w:u w:val="single"/>
        </w:rPr>
        <w:t>Recommendation</w:t>
      </w:r>
    </w:p>
    <w:p w:rsidR="0005422F" w:rsidRDefault="00B646DA" w:rsidP="001547C6">
      <w:pPr>
        <w:ind w:left="360"/>
      </w:pPr>
      <w:r>
        <w:rPr>
          <w:rFonts w:eastAsia="Calibri" w:cs="Arial"/>
        </w:rPr>
        <w:t xml:space="preserve">We </w:t>
      </w:r>
      <w:r w:rsidR="004D0743">
        <w:rPr>
          <w:rFonts w:eastAsia="Calibri" w:cs="Arial"/>
        </w:rPr>
        <w:t>recommend cha</w:t>
      </w:r>
      <w:r w:rsidR="00A90C2C">
        <w:rPr>
          <w:rFonts w:eastAsia="Calibri" w:cs="Arial"/>
        </w:rPr>
        <w:t>nging the duration of the variance</w:t>
      </w:r>
      <w:r w:rsidR="004D0743">
        <w:rPr>
          <w:rFonts w:eastAsia="Calibri" w:cs="Arial"/>
        </w:rPr>
        <w:t xml:space="preserve"> to coincide with the duration of a NPDES permit.  This alignment allows a variance to stay in effect until a new permit is reissued.  This dovetailing fosters efficiency in the administrative process for granting variances and provides the opportunity to satisfy the public notice and comment requirements for both the variance and NPDES permit at the same time.  </w:t>
      </w:r>
      <w:r w:rsidR="00A97091">
        <w:rPr>
          <w:rFonts w:eastAsia="Calibri" w:cs="Arial"/>
        </w:rPr>
        <w:t>If a permit is not reviewed within the 5 year timeframe, the variance will remain in effect until the</w:t>
      </w:r>
      <w:r w:rsidR="0084517F">
        <w:rPr>
          <w:rFonts w:eastAsia="Calibri" w:cs="Arial"/>
        </w:rPr>
        <w:t xml:space="preserve"> permit is reissued or revoked, </w:t>
      </w:r>
      <w:r w:rsidR="0084517F" w:rsidRPr="0084517F">
        <w:t xml:space="preserve">as long as the discharger submits to the Director an application for renewal of the NPDES permit </w:t>
      </w:r>
      <w:r w:rsidR="0005422F">
        <w:t xml:space="preserve">and variance </w:t>
      </w:r>
      <w:r w:rsidR="0084517F" w:rsidRPr="0084517F">
        <w:t>at least one hundred eighty days prior to the date of expiration of the NPDES permit.</w:t>
      </w:r>
      <w:r w:rsidR="0005422F">
        <w:t xml:space="preserve"> </w:t>
      </w:r>
      <w:r w:rsidR="001547C6">
        <w:t xml:space="preserve">  We propose revising </w:t>
      </w:r>
      <w:r w:rsidR="001547C6" w:rsidRPr="00013AD1">
        <w:t>language</w:t>
      </w:r>
      <w:r w:rsidR="001547C6">
        <w:t xml:space="preserve"> to the variance provision to reflect this clarification:</w:t>
      </w:r>
      <w:r w:rsidR="0005422F">
        <w:t xml:space="preserve"> </w:t>
      </w:r>
    </w:p>
    <w:p w:rsidR="0005422F" w:rsidRPr="003A7D2E" w:rsidRDefault="0005422F" w:rsidP="0005422F">
      <w:pPr>
        <w:autoSpaceDE w:val="0"/>
        <w:autoSpaceDN w:val="0"/>
        <w:adjustRightInd w:val="0"/>
        <w:ind w:firstLine="360"/>
        <w:rPr>
          <w:i/>
        </w:rPr>
      </w:pPr>
      <w:r w:rsidRPr="003A7D2E">
        <w:rPr>
          <w:i/>
        </w:rPr>
        <w:t>(3) Variance Duration.</w:t>
      </w:r>
    </w:p>
    <w:p w:rsidR="0005422F" w:rsidRPr="00BE7F3E" w:rsidRDefault="0005422F" w:rsidP="0005422F">
      <w:pPr>
        <w:autoSpaceDE w:val="0"/>
        <w:autoSpaceDN w:val="0"/>
        <w:adjustRightInd w:val="0"/>
        <w:ind w:left="720"/>
        <w:rPr>
          <w:i/>
          <w:color w:val="C00000"/>
        </w:rPr>
      </w:pPr>
      <w:r w:rsidRPr="003A7D2E">
        <w:rPr>
          <w:i/>
        </w:rPr>
        <w:t xml:space="preserve"> (a) The duration of the variance period must be specified as part of each variance and shall not exceed the term of the NPDES permit.  </w:t>
      </w:r>
      <w:r w:rsidRPr="0005422F">
        <w:rPr>
          <w:i/>
          <w:color w:val="C00000"/>
        </w:rPr>
        <w:t>The variance shall remain in effect in the event that a NPDES permit is administratively extended, as long as the discharger submits to the Director an application for renewal of the NPDES permit and variance at least one hundred eighty days prior to the date of expiration of the NPDES permit.</w:t>
      </w:r>
      <w:r>
        <w:rPr>
          <w:i/>
        </w:rPr>
        <w:t xml:space="preserve"> </w:t>
      </w:r>
      <w:r w:rsidR="00BE7F3E" w:rsidRPr="00BE7F3E">
        <w:rPr>
          <w:i/>
          <w:color w:val="C00000"/>
        </w:rPr>
        <w:t xml:space="preserve">The </w:t>
      </w:r>
      <w:proofErr w:type="spellStart"/>
      <w:r w:rsidR="00BE7F3E" w:rsidRPr="00BE7F3E">
        <w:rPr>
          <w:i/>
          <w:color w:val="C00000"/>
        </w:rPr>
        <w:t>permittee</w:t>
      </w:r>
      <w:proofErr w:type="spellEnd"/>
      <w:r w:rsidR="00BE7F3E" w:rsidRPr="00BE7F3E">
        <w:rPr>
          <w:i/>
          <w:color w:val="C00000"/>
        </w:rPr>
        <w:t xml:space="preserve"> must be in compliance with the effluent limitation sufficient to meet the underlying water quality standard upon the expiration of the variance.</w:t>
      </w:r>
    </w:p>
    <w:p w:rsidR="0070506F" w:rsidRPr="001547C6" w:rsidRDefault="00A90C2C" w:rsidP="001547C6">
      <w:pPr>
        <w:autoSpaceDE w:val="0"/>
        <w:autoSpaceDN w:val="0"/>
        <w:adjustRightInd w:val="0"/>
        <w:ind w:left="360"/>
        <w:rPr>
          <w:i/>
        </w:rPr>
      </w:pPr>
      <w:r>
        <w:rPr>
          <w:rFonts w:eastAsia="Calibri" w:cs="Arial"/>
        </w:rPr>
        <w:t xml:space="preserve">Permits may be administratively extended for several reasons, including limited staff resources, </w:t>
      </w:r>
      <w:r w:rsidR="009D1B24">
        <w:rPr>
          <w:rFonts w:eastAsia="Calibri" w:cs="Arial"/>
        </w:rPr>
        <w:t xml:space="preserve">aligning permit issuance on a watershed basis, </w:t>
      </w:r>
      <w:r>
        <w:rPr>
          <w:rFonts w:eastAsia="Calibri" w:cs="Arial"/>
        </w:rPr>
        <w:t>insufficient data</w:t>
      </w:r>
      <w:r w:rsidR="001547C6">
        <w:rPr>
          <w:rFonts w:eastAsia="Calibri" w:cs="Arial"/>
        </w:rPr>
        <w:t>,</w:t>
      </w:r>
      <w:r>
        <w:rPr>
          <w:rFonts w:eastAsia="Calibri" w:cs="Arial"/>
        </w:rPr>
        <w:t xml:space="preserve"> or legal challenges.  In these cases, it would not be practical for DEQ to revise or revoke the variance and modify the permit accordingly for that purpose alone.  Rather, in these situations, DEQ would </w:t>
      </w:r>
      <w:r w:rsidR="009D1B24">
        <w:rPr>
          <w:rFonts w:eastAsia="Calibri" w:cs="Arial"/>
        </w:rPr>
        <w:t>work</w:t>
      </w:r>
      <w:r>
        <w:rPr>
          <w:rFonts w:eastAsia="Calibri" w:cs="Arial"/>
        </w:rPr>
        <w:t xml:space="preserve"> to resolve all the issues with the permit and get it renewed, including making a decision about whether or not the variance should be renewed or modified.</w:t>
      </w:r>
    </w:p>
    <w:p w:rsidR="0070506F" w:rsidRDefault="006F64BC" w:rsidP="0084517F">
      <w:pPr>
        <w:ind w:left="360"/>
      </w:pPr>
      <w:r>
        <w:t>Generally, f</w:t>
      </w:r>
      <w:r w:rsidR="00E42026" w:rsidRPr="003610B7">
        <w:t>rom an environmental standpoint, it is very unlikely water quality conditions resulting from</w:t>
      </w:r>
      <w:r>
        <w:t xml:space="preserve"> dischargers who receive variances </w:t>
      </w:r>
      <w:r w:rsidR="00E42026" w:rsidRPr="003610B7">
        <w:t xml:space="preserve">will change significantly in a time period of less than 5 years.  </w:t>
      </w:r>
      <w:r w:rsidR="00A61E15" w:rsidRPr="003610B7">
        <w:t>Requirements under a</w:t>
      </w:r>
      <w:r w:rsidR="003610B7" w:rsidRPr="003610B7">
        <w:t>n existing</w:t>
      </w:r>
      <w:r w:rsidR="00A61E15" w:rsidRPr="003610B7">
        <w:t xml:space="preserve"> pollutant minimization plan</w:t>
      </w:r>
      <w:r w:rsidR="003610B7" w:rsidRPr="003610B7">
        <w:t xml:space="preserve"> for a variance</w:t>
      </w:r>
      <w:r w:rsidR="00A61E15" w:rsidRPr="003610B7">
        <w:t xml:space="preserve"> would still continue</w:t>
      </w:r>
      <w:r w:rsidR="003610B7" w:rsidRPr="003610B7">
        <w:t xml:space="preserve"> to apply</w:t>
      </w:r>
      <w:r w:rsidR="00A61E15" w:rsidRPr="003610B7">
        <w:t xml:space="preserve"> in the event that a permit was administratively extended.  </w:t>
      </w:r>
      <w:r w:rsidR="00A064E0">
        <w:t>In addition, dischargers will be required to submit an annual status report of their ap</w:t>
      </w:r>
      <w:r w:rsidR="0084517F">
        <w:t>proved PMP</w:t>
      </w:r>
      <w:r w:rsidR="0005422F">
        <w:t xml:space="preserve"> to the Department for review</w:t>
      </w:r>
      <w:r w:rsidR="0084517F">
        <w:t xml:space="preserve">.  Any inadequacies </w:t>
      </w:r>
      <w:r w:rsidR="0005422F">
        <w:t xml:space="preserve">will be </w:t>
      </w:r>
      <w:r w:rsidR="00A064E0">
        <w:t xml:space="preserve">rectified.   </w:t>
      </w:r>
    </w:p>
    <w:p w:rsidR="00A90C2C" w:rsidRPr="00697E2A" w:rsidRDefault="00A90C2C" w:rsidP="00A90C2C">
      <w:pPr>
        <w:tabs>
          <w:tab w:val="left" w:pos="-1440"/>
          <w:tab w:val="left" w:pos="-720"/>
        </w:tabs>
        <w:suppressAutoHyphens/>
        <w:spacing w:line="240" w:lineRule="atLeast"/>
        <w:ind w:left="360"/>
      </w:pPr>
      <w:r>
        <w:rPr>
          <w:rFonts w:cs="Arial"/>
        </w:rPr>
        <w:t>In addition, if information is made available during a triennial review process that circumstances have changed and the variance is no longer appropriate, the variance could be terminated.</w:t>
      </w:r>
    </w:p>
    <w:p w:rsidR="007C49C2" w:rsidRPr="0070506F" w:rsidRDefault="00A97091" w:rsidP="0070506F">
      <w:pPr>
        <w:ind w:left="360"/>
        <w:rPr>
          <w:rFonts w:eastAsia="Calibri" w:cs="Arial"/>
        </w:rPr>
      </w:pPr>
      <w:r>
        <w:rPr>
          <w:rFonts w:eastAsia="Calibri" w:cs="Arial"/>
        </w:rPr>
        <w:t xml:space="preserve"> </w:t>
      </w:r>
      <w:r w:rsidR="007C49C2" w:rsidRPr="007C49C2">
        <w:rPr>
          <w:rFonts w:cs="Arial"/>
          <w:u w:val="single"/>
        </w:rPr>
        <w:t>Supporting Information</w:t>
      </w:r>
    </w:p>
    <w:p w:rsidR="00697E2A" w:rsidRDefault="00A43269" w:rsidP="00407F2A">
      <w:pPr>
        <w:ind w:left="360"/>
      </w:pPr>
      <w:r>
        <w:t xml:space="preserve">There are no specific regulations which have addressed the duration of a variance, nor has there been policy </w:t>
      </w:r>
      <w:r w:rsidR="0070506F">
        <w:t xml:space="preserve">guidance </w:t>
      </w:r>
      <w:r>
        <w:t xml:space="preserve">documentation from EPA limiting the duration of a variance.  The most relevant </w:t>
      </w:r>
      <w:hyperlink r:id="rId8" w:history="1">
        <w:r>
          <w:rPr>
            <w:rStyle w:val="Hyperlink"/>
          </w:rPr>
          <w:t>memo</w:t>
        </w:r>
      </w:hyperlink>
      <w:r>
        <w:t xml:space="preserve"> regarding duration of variances was written in 1992 from EPA’s Office of General Counsel to EPA R</w:t>
      </w:r>
      <w:r w:rsidR="0070506F">
        <w:t>egion 8, where it was concluded</w:t>
      </w:r>
      <w:r>
        <w:t xml:space="preserve"> that variances were not required, by regulation, to be limited to 3 years.</w:t>
      </w:r>
    </w:p>
    <w:p w:rsidR="007C49C2" w:rsidRPr="007C49C2" w:rsidRDefault="000B455B" w:rsidP="00407F2A">
      <w:pPr>
        <w:ind w:left="360"/>
      </w:pPr>
      <w:r w:rsidRPr="007C49C2">
        <w:t xml:space="preserve">Section 303(c) of the CWA requires states to conduct a triennial review of their water quality standards.  If the state adopts new or revised water quality standards, they must be submitted to </w:t>
      </w:r>
      <w:r w:rsidRPr="00407F2A">
        <w:t xml:space="preserve">EPA for approval.  A variance is considered a temporary change to a water quality standard, so would fall under this three year review requirement.  However, section 303(c) does not require an expiration and re-adoption of standards every three years, rather it is an opportunity to identify what standards need to be revised based on updated science or other circumstances.  </w:t>
      </w:r>
      <w:r w:rsidR="007C49C2" w:rsidRPr="00407F2A">
        <w:t>If during a triennial review process information is submitted to the Department showing that the conditions on which the variance was based and/or the justification for the variance are no longer valid, the variance could be terminated by the Department.</w:t>
      </w:r>
      <w:r w:rsidR="007C49C2" w:rsidRPr="007C49C2">
        <w:t xml:space="preserve">  </w:t>
      </w:r>
    </w:p>
    <w:p w:rsidR="002A6EC8" w:rsidRPr="007E341E" w:rsidRDefault="00F32415" w:rsidP="007E341E">
      <w:pPr>
        <w:ind w:left="360"/>
        <w:rPr>
          <w:rFonts w:eastAsia="Calibri" w:cs="Arial"/>
        </w:rPr>
      </w:pPr>
      <w:r w:rsidRPr="00C44FB0">
        <w:t>DEQ’s proposed reg</w:t>
      </w:r>
      <w:r w:rsidR="00C44FB0" w:rsidRPr="00C44FB0">
        <w:t>ulatory</w:t>
      </w:r>
      <w:r w:rsidRPr="00C44FB0">
        <w:t xml:space="preserve"> language </w:t>
      </w:r>
      <w:r w:rsidR="00A7116D">
        <w:t xml:space="preserve">for duration of a variance </w:t>
      </w:r>
      <w:r w:rsidR="0084517F">
        <w:t>is similar to language found in Ohio’s</w:t>
      </w:r>
      <w:r w:rsidR="00B66943" w:rsidRPr="00C44FB0">
        <w:rPr>
          <w:rStyle w:val="FootnoteReference"/>
        </w:rPr>
        <w:footnoteReference w:id="1"/>
      </w:r>
      <w:r w:rsidR="0084517F">
        <w:t xml:space="preserve"> </w:t>
      </w:r>
      <w:r w:rsidR="00A7116D">
        <w:t xml:space="preserve">multiple discharger </w:t>
      </w:r>
      <w:r w:rsidR="0084517F">
        <w:t>variance</w:t>
      </w:r>
      <w:r w:rsidR="00A7116D">
        <w:t>s for mercury</w:t>
      </w:r>
      <w:r w:rsidR="0084517F">
        <w:t xml:space="preserve"> regulations.  Michigan</w:t>
      </w:r>
      <w:r w:rsidR="00B66943" w:rsidRPr="00C44FB0">
        <w:rPr>
          <w:rStyle w:val="FootnoteReference"/>
        </w:rPr>
        <w:footnoteReference w:id="2"/>
      </w:r>
      <w:r w:rsidR="0084517F">
        <w:t xml:space="preserve"> allows variances to remain in effect, as long as the NPDES permit is in effect.</w:t>
      </w:r>
      <w:r w:rsidR="00887BEB" w:rsidRPr="00407F2A">
        <w:rPr>
          <w:rFonts w:eastAsia="Calibri" w:cs="Arial"/>
        </w:rPr>
        <w:t> </w:t>
      </w:r>
    </w:p>
    <w:p w:rsidR="0072642D" w:rsidRPr="00D001F0" w:rsidRDefault="000E3579" w:rsidP="00E53FB3">
      <w:pPr>
        <w:pStyle w:val="ListParagraph"/>
        <w:numPr>
          <w:ilvl w:val="0"/>
          <w:numId w:val="1"/>
        </w:numPr>
      </w:pPr>
      <w:r w:rsidRPr="00D001F0">
        <w:rPr>
          <w:b/>
        </w:rPr>
        <w:t>Existing Use Protection</w:t>
      </w:r>
      <w:r w:rsidRPr="00D001F0">
        <w:t xml:space="preserve"> </w:t>
      </w:r>
    </w:p>
    <w:p w:rsidR="00D001F0" w:rsidRPr="003610B7" w:rsidRDefault="00D001F0" w:rsidP="003610B7">
      <w:pPr>
        <w:ind w:firstLine="360"/>
        <w:rPr>
          <w:u w:val="single"/>
        </w:rPr>
      </w:pPr>
      <w:r w:rsidRPr="003610B7">
        <w:rPr>
          <w:u w:val="single"/>
        </w:rPr>
        <w:t>Description</w:t>
      </w:r>
    </w:p>
    <w:p w:rsidR="00DA25D3" w:rsidRDefault="00EA28F3" w:rsidP="009658A4">
      <w:pPr>
        <w:ind w:left="360"/>
      </w:pPr>
      <w:r>
        <w:t>40 CFR 131.10(g)</w:t>
      </w:r>
      <w:r>
        <w:rPr>
          <w:rStyle w:val="FootnoteReference"/>
        </w:rPr>
        <w:footnoteReference w:id="3"/>
      </w:r>
      <w:r>
        <w:t xml:space="preserve"> and (h</w:t>
      </w:r>
      <w:proofErr w:type="gramStart"/>
      <w:r>
        <w:t>)(</w:t>
      </w:r>
      <w:proofErr w:type="gramEnd"/>
      <w:r>
        <w:t xml:space="preserve">1) address existing uses and removal of a use.  Essentially, a variance cannot be granted if it results in a removal of an existing use.  However, </w:t>
      </w:r>
      <w:r w:rsidR="005B0748">
        <w:t xml:space="preserve">the degree to which an existing use must be protected has not </w:t>
      </w:r>
      <w:r w:rsidR="002A6EC8">
        <w:t xml:space="preserve">been </w:t>
      </w:r>
      <w:r w:rsidR="005B0748">
        <w:t>clearly</w:t>
      </w:r>
      <w:r w:rsidR="002A6EC8">
        <w:t xml:space="preserve"> </w:t>
      </w:r>
      <w:r w:rsidR="00D719F0">
        <w:t xml:space="preserve">defined by EPA.  </w:t>
      </w:r>
      <w:r w:rsidR="00515AF0">
        <w:t>Before making</w:t>
      </w:r>
      <w:r w:rsidR="003610B7">
        <w:t xml:space="preserve"> a determination of whether or not a variance results in a removal of an existing use</w:t>
      </w:r>
      <w:r w:rsidR="00691BFC">
        <w:t xml:space="preserve">, the existing use must </w:t>
      </w:r>
      <w:r w:rsidR="00515AF0">
        <w:t xml:space="preserve">also </w:t>
      </w:r>
      <w:r w:rsidR="00691BFC">
        <w:t xml:space="preserve">be identified.  </w:t>
      </w:r>
      <w:r w:rsidR="00D63DB6">
        <w:t>Existing use</w:t>
      </w:r>
      <w:r w:rsidR="00515AF0">
        <w:t xml:space="preserve"> is defined by whether or not the use has </w:t>
      </w:r>
      <w:r w:rsidR="00D63DB6">
        <w:t xml:space="preserve">actually been attained </w:t>
      </w:r>
      <w:r w:rsidR="00A90C2C">
        <w:t xml:space="preserve">in the water body </w:t>
      </w:r>
      <w:r w:rsidR="00D63DB6">
        <w:t xml:space="preserve">on or after November 28, </w:t>
      </w:r>
      <w:r w:rsidR="00515AF0">
        <w:t>1975, as well as determining the highest level of water quality t</w:t>
      </w:r>
      <w:r w:rsidR="00D63DB6">
        <w:t>hat has been achieved since that date</w:t>
      </w:r>
      <w:r w:rsidR="00515AF0">
        <w:t xml:space="preserve">. </w:t>
      </w:r>
      <w:r w:rsidR="00D719F0">
        <w:t>Several participants r</w:t>
      </w:r>
      <w:r w:rsidR="007E341E">
        <w:t xml:space="preserve">epresenting the Columbia </w:t>
      </w:r>
      <w:proofErr w:type="spellStart"/>
      <w:r w:rsidR="007E341E">
        <w:t>Riverkeeper</w:t>
      </w:r>
      <w:proofErr w:type="spellEnd"/>
      <w:r w:rsidR="00D719F0">
        <w:t xml:space="preserve"> and NW Environmental Advocates have concerns that DEQ is not sufficiently addressing this requirement as part of revising the variance regulations. </w:t>
      </w:r>
      <w:r w:rsidR="00D63DB6">
        <w:t xml:space="preserve"> </w:t>
      </w:r>
    </w:p>
    <w:p w:rsidR="00D719F0" w:rsidRPr="00C75F2C" w:rsidRDefault="00D719F0" w:rsidP="00C75F2C">
      <w:pPr>
        <w:ind w:firstLine="720"/>
        <w:rPr>
          <w:i/>
        </w:rPr>
      </w:pPr>
      <w:r w:rsidRPr="00C75F2C">
        <w:rPr>
          <w:i/>
        </w:rPr>
        <w:t>NW Environm</w:t>
      </w:r>
      <w:r w:rsidR="00A53FEB">
        <w:rPr>
          <w:i/>
        </w:rPr>
        <w:t xml:space="preserve">ental Advocates (Columbia </w:t>
      </w:r>
      <w:proofErr w:type="spellStart"/>
      <w:r w:rsidR="00A53FEB">
        <w:rPr>
          <w:i/>
        </w:rPr>
        <w:t>Riverkeeper</w:t>
      </w:r>
      <w:proofErr w:type="spellEnd"/>
      <w:r w:rsidRPr="00C75F2C">
        <w:rPr>
          <w:i/>
        </w:rPr>
        <w:t xml:space="preserve"> concur</w:t>
      </w:r>
      <w:r w:rsidR="007E341E">
        <w:rPr>
          <w:i/>
        </w:rPr>
        <w:t>s</w:t>
      </w:r>
      <w:r w:rsidRPr="00C75F2C">
        <w:rPr>
          <w:i/>
        </w:rPr>
        <w:t>)</w:t>
      </w:r>
    </w:p>
    <w:p w:rsidR="00CE2BC6" w:rsidRPr="00407F2A" w:rsidRDefault="00E53FB3" w:rsidP="00407F2A">
      <w:pPr>
        <w:ind w:left="720"/>
        <w:rPr>
          <w:color w:val="365F91" w:themeColor="accent1" w:themeShade="BF"/>
        </w:rPr>
      </w:pPr>
      <w:r w:rsidRPr="00C75F2C">
        <w:rPr>
          <w:color w:val="365F91" w:themeColor="accent1" w:themeShade="BF"/>
        </w:rPr>
        <w:t>As will be repeated elsewhere in comments, a variance cannot waive existing use protection.  See 40 CFR 131.10(g) and (h</w:t>
      </w:r>
      <w:proofErr w:type="gramStart"/>
      <w:r w:rsidRPr="00C75F2C">
        <w:rPr>
          <w:color w:val="365F91" w:themeColor="accent1" w:themeShade="BF"/>
        </w:rPr>
        <w:t>)(</w:t>
      </w:r>
      <w:proofErr w:type="gramEnd"/>
      <w:r w:rsidRPr="00C75F2C">
        <w:rPr>
          <w:color w:val="365F91" w:themeColor="accent1" w:themeShade="BF"/>
        </w:rPr>
        <w:t>1).  This simply must be discussed in this paper.  In order to not waive existing use protection, first the existing uses must be identified.  Second, it has to be made clear that this is a real requirement.</w:t>
      </w:r>
    </w:p>
    <w:p w:rsidR="00E74683" w:rsidRPr="00013AD1" w:rsidRDefault="001A713B" w:rsidP="003610B7">
      <w:pPr>
        <w:ind w:firstLine="360"/>
      </w:pPr>
      <w:r w:rsidRPr="003610B7">
        <w:rPr>
          <w:u w:val="single"/>
        </w:rPr>
        <w:t>Recommendation:</w:t>
      </w:r>
      <w:r w:rsidRPr="00013AD1">
        <w:t xml:space="preserve">  </w:t>
      </w:r>
    </w:p>
    <w:p w:rsidR="00A458BA" w:rsidRDefault="00B646DA" w:rsidP="003610B7">
      <w:pPr>
        <w:ind w:left="360"/>
      </w:pPr>
      <w:r>
        <w:t xml:space="preserve">We </w:t>
      </w:r>
      <w:r w:rsidR="005B0748">
        <w:t xml:space="preserve">agree that existing uses cannot be </w:t>
      </w:r>
      <w:r w:rsidR="00965F08">
        <w:t xml:space="preserve">waived </w:t>
      </w:r>
      <w:r w:rsidR="005B0748">
        <w:t>when determining whether or not to grant a varia</w:t>
      </w:r>
      <w:r w:rsidR="00965F08">
        <w:t>nce request from a discharger; however, the scale of this determination needs to be considered</w:t>
      </w:r>
      <w:r w:rsidR="0070506F">
        <w:t xml:space="preserve"> as part of this analysis</w:t>
      </w:r>
      <w:r w:rsidR="00965F08">
        <w:t>.  Removal of an existing use</w:t>
      </w:r>
      <w:r w:rsidR="00F73EC9">
        <w:t xml:space="preserve"> per 40 CFR 131.10(g) specifically</w:t>
      </w:r>
      <w:r w:rsidR="00965F08">
        <w:t xml:space="preserve"> relates to removing a </w:t>
      </w:r>
      <w:r w:rsidR="00A90C2C">
        <w:t>designated</w:t>
      </w:r>
      <w:r w:rsidR="00F73EC9">
        <w:t xml:space="preserve"> use when conducting a Use Attainability Analysis</w:t>
      </w:r>
      <w:r w:rsidR="00965F08">
        <w:t>.  When appl</w:t>
      </w:r>
      <w:r w:rsidR="00F73EC9">
        <w:t xml:space="preserve">ied to a variance, the analysis </w:t>
      </w:r>
      <w:r>
        <w:t>is most appropriately related to</w:t>
      </w:r>
      <w:r w:rsidR="00F73EC9">
        <w:t xml:space="preserve"> whether or not the discharge under a variance scenario results in a removal of an existing use for that </w:t>
      </w:r>
      <w:proofErr w:type="spellStart"/>
      <w:r w:rsidR="00F73EC9">
        <w:t>waterbody</w:t>
      </w:r>
      <w:proofErr w:type="spellEnd"/>
      <w:r w:rsidR="00F73EC9">
        <w:t xml:space="preserve">.  One way of evaluating whether or not the </w:t>
      </w:r>
      <w:r w:rsidR="00A3543A">
        <w:t xml:space="preserve">existing </w:t>
      </w:r>
      <w:r w:rsidR="00F73EC9">
        <w:t>use is protected is by examining any changes to discharge loads.  For example, if the discharge pollutant load proposed under a variance scenario is the same</w:t>
      </w:r>
      <w:r w:rsidR="00A3543A">
        <w:t xml:space="preserve"> as (or lower than</w:t>
      </w:r>
      <w:r w:rsidR="00F73EC9">
        <w:t>)</w:t>
      </w:r>
      <w:r w:rsidR="00A3543A">
        <w:t xml:space="preserve"> </w:t>
      </w:r>
      <w:r w:rsidR="00F73EC9">
        <w:t xml:space="preserve">the load under the previous permit, </w:t>
      </w:r>
      <w:r>
        <w:t>we conclude that it is</w:t>
      </w:r>
      <w:r w:rsidR="00F73EC9">
        <w:t xml:space="preserve"> reasonable to assume that there would not be a corresponding </w:t>
      </w:r>
      <w:r w:rsidR="00A458BA">
        <w:t xml:space="preserve">removal of an existing use.   </w:t>
      </w:r>
      <w:r>
        <w:t>We cannot envision a scenario where a variance would be given to a facility seeking to increase their load.</w:t>
      </w:r>
      <w:r w:rsidR="00407F2A">
        <w:t xml:space="preserve">  P</w:t>
      </w:r>
      <w:r w:rsidR="00140F5F">
        <w:t>roposed variance permit conditions</w:t>
      </w:r>
      <w:r w:rsidR="00636F6D">
        <w:t xml:space="preserve"> require that dischargers </w:t>
      </w:r>
      <w:r w:rsidR="00140F5F">
        <w:t xml:space="preserve">have a permit </w:t>
      </w:r>
      <w:r w:rsidR="00636F6D">
        <w:t xml:space="preserve">which represents the best effluent quality that they can achieve and can be no </w:t>
      </w:r>
      <w:r w:rsidR="00140F5F">
        <w:t>less stringent than that achieved under the previous permit.</w:t>
      </w:r>
      <w:r>
        <w:t xml:space="preserve"> </w:t>
      </w:r>
    </w:p>
    <w:p w:rsidR="00013AD1" w:rsidRDefault="00A458BA" w:rsidP="00C75F2C">
      <w:pPr>
        <w:ind w:left="360"/>
      </w:pPr>
      <w:r>
        <w:t>To affirm the applicability of the existing use</w:t>
      </w:r>
      <w:r w:rsidRPr="00013AD1">
        <w:t xml:space="preserve"> requirement when determining wheth</w:t>
      </w:r>
      <w:r>
        <w:t xml:space="preserve">er or not to grant a variance, </w:t>
      </w:r>
      <w:r w:rsidR="00636F6D">
        <w:t xml:space="preserve">we </w:t>
      </w:r>
      <w:r w:rsidR="009D1B24">
        <w:t xml:space="preserve">propose </w:t>
      </w:r>
      <w:r w:rsidR="00013AD1">
        <w:t xml:space="preserve">adding </w:t>
      </w:r>
      <w:r w:rsidR="009E01B4" w:rsidRPr="00013AD1">
        <w:t>language</w:t>
      </w:r>
      <w:r w:rsidR="00013AD1">
        <w:t xml:space="preserve"> </w:t>
      </w:r>
      <w:r w:rsidR="009D1B24">
        <w:t xml:space="preserve">to </w:t>
      </w:r>
      <w:r w:rsidR="00013AD1">
        <w:t>the</w:t>
      </w:r>
      <w:r>
        <w:t xml:space="preserve"> variance provision:</w:t>
      </w:r>
    </w:p>
    <w:p w:rsidR="004A67D7" w:rsidRDefault="0079227C" w:rsidP="002A6EC8">
      <w:pPr>
        <w:pStyle w:val="NormalWeb"/>
        <w:ind w:left="360"/>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w:t>
      </w:r>
      <w:r w:rsidRPr="0079227C">
        <w:rPr>
          <w:rFonts w:asciiTheme="minorHAnsi" w:hAnsiTheme="minorHAnsi"/>
          <w:i/>
          <w:color w:val="C00000"/>
          <w:sz w:val="22"/>
          <w:szCs w:val="22"/>
        </w:rPr>
        <w:t>must demonstrate that a loss of an existing use</w:t>
      </w:r>
      <w:r w:rsidR="009D1B24">
        <w:rPr>
          <w:rFonts w:asciiTheme="minorHAnsi" w:hAnsiTheme="minorHAnsi"/>
          <w:i/>
          <w:color w:val="C00000"/>
          <w:sz w:val="22"/>
          <w:szCs w:val="22"/>
        </w:rPr>
        <w:t xml:space="preserve"> would not result from the granting of the variance</w:t>
      </w:r>
      <w:r w:rsidRPr="0079227C">
        <w:rPr>
          <w:rFonts w:asciiTheme="minorHAnsi" w:hAnsiTheme="minorHAnsi"/>
          <w:i/>
          <w:color w:val="C00000"/>
          <w:sz w:val="22"/>
          <w:szCs w:val="22"/>
        </w:rPr>
        <w:t xml:space="preserve"> </w:t>
      </w:r>
      <w:r w:rsidRPr="003A7D2E">
        <w:rPr>
          <w:rFonts w:asciiTheme="minorHAnsi" w:hAnsiTheme="minorHAnsi"/>
          <w:i/>
          <w:sz w:val="22"/>
          <w:szCs w:val="22"/>
        </w:rPr>
        <w:t>and that attaining the water quality standard is not feasible for one of the following reasons:</w:t>
      </w:r>
    </w:p>
    <w:p w:rsidR="007E341E" w:rsidRDefault="007E341E" w:rsidP="002A6EC8">
      <w:pPr>
        <w:pStyle w:val="NormalWeb"/>
        <w:ind w:left="360"/>
        <w:rPr>
          <w:rFonts w:asciiTheme="minorHAnsi" w:hAnsiTheme="minorHAnsi"/>
          <w:i/>
          <w:sz w:val="22"/>
          <w:szCs w:val="22"/>
        </w:rPr>
      </w:pPr>
    </w:p>
    <w:p w:rsidR="007E341E" w:rsidRDefault="007E341E" w:rsidP="002A6EC8">
      <w:pPr>
        <w:pStyle w:val="NormalWeb"/>
        <w:ind w:left="360"/>
        <w:rPr>
          <w:rFonts w:asciiTheme="minorHAnsi" w:hAnsiTheme="minorHAnsi"/>
          <w:i/>
          <w:sz w:val="22"/>
          <w:szCs w:val="22"/>
        </w:rPr>
      </w:pPr>
    </w:p>
    <w:p w:rsidR="007E341E" w:rsidRPr="002A6EC8" w:rsidRDefault="007E341E" w:rsidP="002A6EC8">
      <w:pPr>
        <w:pStyle w:val="NormalWeb"/>
        <w:ind w:left="360"/>
        <w:rPr>
          <w:rFonts w:asciiTheme="minorHAnsi" w:hAnsiTheme="minorHAnsi"/>
          <w:i/>
          <w:sz w:val="22"/>
          <w:szCs w:val="22"/>
        </w:rPr>
      </w:pPr>
    </w:p>
    <w:p w:rsidR="00445FEB" w:rsidRPr="00D001F0" w:rsidRDefault="000E3579" w:rsidP="005555BD">
      <w:pPr>
        <w:pStyle w:val="ListParagraph"/>
        <w:numPr>
          <w:ilvl w:val="0"/>
          <w:numId w:val="1"/>
        </w:numPr>
      </w:pPr>
      <w:r w:rsidRPr="00D001F0">
        <w:rPr>
          <w:b/>
        </w:rPr>
        <w:t>Applicability of NPS BMPs</w:t>
      </w:r>
      <w:r w:rsidRPr="00D001F0">
        <w:t xml:space="preserve"> </w:t>
      </w:r>
    </w:p>
    <w:p w:rsidR="0070506F" w:rsidRPr="00CE2BC6" w:rsidRDefault="0070506F" w:rsidP="00CE2BC6">
      <w:pPr>
        <w:ind w:firstLine="360"/>
        <w:rPr>
          <w:u w:val="single"/>
        </w:rPr>
      </w:pPr>
      <w:r w:rsidRPr="00CE2BC6">
        <w:rPr>
          <w:u w:val="single"/>
        </w:rPr>
        <w:t>Description</w:t>
      </w:r>
    </w:p>
    <w:p w:rsidR="00C75F2C" w:rsidRDefault="006A0D40" w:rsidP="00407F2A">
      <w:pPr>
        <w:ind w:left="360"/>
      </w:pPr>
      <w:r>
        <w:t>40 CFR 131.10(h)(2)</w:t>
      </w:r>
      <w:r>
        <w:rPr>
          <w:rStyle w:val="FootnoteReference"/>
        </w:rPr>
        <w:footnoteReference w:id="4"/>
      </w:r>
      <w:r>
        <w:t xml:space="preserve"> addresses </w:t>
      </w:r>
      <w:r w:rsidR="00A3543A">
        <w:t>the evaluation of whether or not a use could be attained in a water body if the water body were not being impacted by point or nonpoint sources of pollution.  The state must demonstrate that a designated use (</w:t>
      </w:r>
      <w:r w:rsidR="009D1B24">
        <w:t>identified in</w:t>
      </w:r>
      <w:r w:rsidR="00A3543A">
        <w:t xml:space="preserve"> CWA section 101(a)) is not attainable before the use can be removed.  </w:t>
      </w:r>
      <w:r w:rsidR="00F62917">
        <w:t>NW Environmental Advocates has expressed concern regarding how DEQ intends to apply this requirement, g</w:t>
      </w:r>
      <w:r w:rsidR="003845EE">
        <w:t>iven that a variance request is discharger</w:t>
      </w:r>
      <w:r w:rsidR="00F62917">
        <w:t>-</w:t>
      </w:r>
      <w:r w:rsidR="003845EE">
        <w:t xml:space="preserve">specific, and is not a request for removal of a designated use for a </w:t>
      </w:r>
      <w:proofErr w:type="spellStart"/>
      <w:r w:rsidR="003845EE">
        <w:t>w</w:t>
      </w:r>
      <w:r w:rsidR="00F34802">
        <w:t>aterbody</w:t>
      </w:r>
      <w:proofErr w:type="spellEnd"/>
      <w:r w:rsidR="00F62917">
        <w:t>. NWEA</w:t>
      </w:r>
      <w:r w:rsidR="00AF55B0">
        <w:t xml:space="preserve"> </w:t>
      </w:r>
      <w:r w:rsidR="003845EE">
        <w:t>propose</w:t>
      </w:r>
      <w:r w:rsidR="00AF55B0">
        <w:t>s</w:t>
      </w:r>
      <w:r w:rsidR="003845EE">
        <w:t xml:space="preserve"> that </w:t>
      </w:r>
      <w:r w:rsidR="00F62917">
        <w:t>DEQ interpret the federal requirement at 40 CFR 131.10(h</w:t>
      </w:r>
      <w:proofErr w:type="gramStart"/>
      <w:r w:rsidR="00F62917">
        <w:t>)(</w:t>
      </w:r>
      <w:proofErr w:type="gramEnd"/>
      <w:r w:rsidR="00F62917">
        <w:t>2) to</w:t>
      </w:r>
      <w:r w:rsidR="003845EE">
        <w:t xml:space="preserve"> apply to BMPs </w:t>
      </w:r>
      <w:r w:rsidR="00F62917">
        <w:t xml:space="preserve">both </w:t>
      </w:r>
      <w:r w:rsidR="003845EE">
        <w:t>within the immediate control of the discharger</w:t>
      </w:r>
      <w:r w:rsidR="00F62917">
        <w:t xml:space="preserve"> and those activities outside of its control</w:t>
      </w:r>
      <w:r w:rsidR="003845EE">
        <w:t>.</w:t>
      </w:r>
    </w:p>
    <w:p w:rsidR="00445FEB" w:rsidRPr="00C75F2C" w:rsidRDefault="00445FEB" w:rsidP="00C75F2C">
      <w:pPr>
        <w:ind w:firstLine="720"/>
        <w:rPr>
          <w:i/>
        </w:rPr>
      </w:pPr>
      <w:r w:rsidRPr="00C75F2C">
        <w:rPr>
          <w:i/>
        </w:rPr>
        <w:t>NW Environmental Advocates</w:t>
      </w:r>
    </w:p>
    <w:p w:rsidR="005555BD" w:rsidRPr="00C75F2C" w:rsidRDefault="005555BD" w:rsidP="00C75F2C">
      <w:pPr>
        <w:ind w:left="720"/>
        <w:rPr>
          <w:color w:val="365F91" w:themeColor="accent1" w:themeShade="BF"/>
        </w:rPr>
      </w:pPr>
      <w:r w:rsidRPr="00C75F2C">
        <w:rPr>
          <w:color w:val="365F91" w:themeColor="accent1" w:themeShade="BF"/>
        </w:rPr>
        <w:t>Along the same lines, DEQ may not remove designated uses if they can be attained by cost effective and reasonable NPS BMPs.  See 40 CFR 131.10(h</w:t>
      </w:r>
      <w:proofErr w:type="gramStart"/>
      <w:r w:rsidRPr="00C75F2C">
        <w:rPr>
          <w:color w:val="365F91" w:themeColor="accent1" w:themeShade="BF"/>
        </w:rPr>
        <w:t>)(</w:t>
      </w:r>
      <w:proofErr w:type="gramEnd"/>
      <w:r w:rsidRPr="00C75F2C">
        <w:rPr>
          <w:color w:val="365F91" w:themeColor="accent1" w:themeShade="BF"/>
        </w:rPr>
        <w:t xml:space="preserve">2).  This language shows up in the DEQ rule language but is otherwise completely ignored by DEQ in this paper.  </w:t>
      </w:r>
    </w:p>
    <w:p w:rsidR="005555BD" w:rsidRPr="002A6EC8" w:rsidRDefault="005555BD" w:rsidP="002A6EC8">
      <w:pPr>
        <w:ind w:left="720"/>
        <w:rPr>
          <w:color w:val="365F91" w:themeColor="accent1" w:themeShade="BF"/>
        </w:rPr>
      </w:pPr>
      <w:r w:rsidRPr="002A6EC8">
        <w:rPr>
          <w:color w:val="365F91" w:themeColor="accent1" w:themeShade="BF"/>
        </w:rPr>
        <w:t xml:space="preserve">A variance must demonstrate that implementation of all cost-effective and reasonable best management practices for nonpoint sources cannot correct the underlying water quality problem:  It would be my suggestion that DEQ look at creating a mechanism to evaluate what it knows about the BMPs in force at the time of the variance application, devise a method of evaluating whether the BMPs improve, require collection of data to demonstrate an improvements in water quality as a result, etc.  The fact is that DEQ has given no consideration to this provision and that this provision is not only federal law but it dovetails perfectly with the Commission’s charge no. 3.  </w:t>
      </w:r>
    </w:p>
    <w:p w:rsidR="005555BD" w:rsidRDefault="005555BD" w:rsidP="005555BD">
      <w:pPr>
        <w:pStyle w:val="CommentText"/>
        <w:ind w:left="720"/>
        <w:rPr>
          <w:sz w:val="22"/>
          <w:szCs w:val="22"/>
        </w:rPr>
      </w:pPr>
    </w:p>
    <w:p w:rsidR="005555BD" w:rsidRPr="005555BD" w:rsidRDefault="006A0D40" w:rsidP="00C75F2C">
      <w:pPr>
        <w:autoSpaceDE w:val="0"/>
        <w:autoSpaceDN w:val="0"/>
        <w:adjustRightInd w:val="0"/>
        <w:spacing w:after="0" w:line="240" w:lineRule="auto"/>
        <w:ind w:left="720"/>
        <w:rPr>
          <w:rFonts w:cs="TimesNewRoman,Bold"/>
          <w:bCs/>
        </w:rPr>
      </w:pPr>
      <w:r>
        <w:t>[</w:t>
      </w:r>
      <w:r w:rsidR="00E44F9C">
        <w:t>Also refer to NWEA</w:t>
      </w:r>
      <w:r w:rsidR="005555BD">
        <w:t xml:space="preserve">’s memo of 2/10/10, </w:t>
      </w:r>
      <w:r w:rsidR="005555BD" w:rsidRPr="005555BD">
        <w:rPr>
          <w:rFonts w:cs="TimesNewRoman,Bold"/>
          <w:bCs/>
          <w:i/>
        </w:rPr>
        <w:t>Proposed Method of Addressing Non-Point Source Requirements of 40 C.F.R. § 131.10(h</w:t>
      </w:r>
      <w:proofErr w:type="gramStart"/>
      <w:r w:rsidR="005555BD" w:rsidRPr="005555BD">
        <w:rPr>
          <w:rFonts w:cs="TimesNewRoman,Bold"/>
          <w:bCs/>
          <w:i/>
        </w:rPr>
        <w:t>)(</w:t>
      </w:r>
      <w:proofErr w:type="gramEnd"/>
      <w:r w:rsidR="005555BD" w:rsidRPr="005555BD">
        <w:rPr>
          <w:rFonts w:cs="TimesNewRoman,Bold"/>
          <w:bCs/>
          <w:i/>
        </w:rPr>
        <w:t>2) When Considering Variance Requests.</w:t>
      </w:r>
      <w:r>
        <w:rPr>
          <w:rFonts w:cs="TimesNewRoman,Bold"/>
          <w:bCs/>
          <w:i/>
        </w:rPr>
        <w:t>]</w:t>
      </w:r>
    </w:p>
    <w:p w:rsidR="001141F6" w:rsidRDefault="001141F6" w:rsidP="001141F6">
      <w:pPr>
        <w:tabs>
          <w:tab w:val="left" w:pos="-1440"/>
          <w:tab w:val="left" w:pos="-720"/>
        </w:tabs>
        <w:suppressAutoHyphens/>
        <w:spacing w:line="240" w:lineRule="atLeast"/>
        <w:rPr>
          <w:rFonts w:eastAsia="Times New Roman"/>
        </w:rPr>
      </w:pPr>
    </w:p>
    <w:p w:rsidR="006A0D40" w:rsidRPr="006A0D40" w:rsidRDefault="00817624" w:rsidP="00CE2BC6">
      <w:pPr>
        <w:tabs>
          <w:tab w:val="left" w:pos="-1440"/>
          <w:tab w:val="left" w:pos="-720"/>
        </w:tabs>
        <w:suppressAutoHyphens/>
        <w:spacing w:line="240" w:lineRule="atLeast"/>
        <w:ind w:firstLine="360"/>
      </w:pPr>
      <w:r w:rsidRPr="001141F6">
        <w:rPr>
          <w:u w:val="single"/>
        </w:rPr>
        <w:t>Recommendation:</w:t>
      </w:r>
      <w:r w:rsidRPr="006A0D40">
        <w:t xml:space="preserve">  </w:t>
      </w:r>
    </w:p>
    <w:p w:rsidR="00773563" w:rsidRDefault="00F62917" w:rsidP="00CE2BC6">
      <w:pPr>
        <w:tabs>
          <w:tab w:val="left" w:pos="-1440"/>
          <w:tab w:val="left" w:pos="-720"/>
        </w:tabs>
        <w:suppressAutoHyphens/>
        <w:spacing w:line="240" w:lineRule="atLeast"/>
        <w:ind w:left="360"/>
      </w:pPr>
      <w:r>
        <w:t>We do</w:t>
      </w:r>
      <w:r w:rsidR="0004069D">
        <w:t xml:space="preserve"> not agree that 40 CFR 131.10(h</w:t>
      </w:r>
      <w:proofErr w:type="gramStart"/>
      <w:r w:rsidR="0004069D">
        <w:t>)(</w:t>
      </w:r>
      <w:proofErr w:type="gramEnd"/>
      <w:r w:rsidR="0004069D">
        <w:t>2) applies to cost effective and reasonable BMPs</w:t>
      </w:r>
      <w:r w:rsidR="001141F6">
        <w:t xml:space="preserve"> which are</w:t>
      </w:r>
      <w:r w:rsidR="0004069D">
        <w:t xml:space="preserve"> outside the control of the discharger applying for a variance.   </w:t>
      </w:r>
      <w:r w:rsidR="00773563">
        <w:t xml:space="preserve">Although DEQ could choose to broaden the definition of this language, the practical implementation of a variance as a compliance tool would be jeopardized by placing an unreasonable burden on both the discharger and DEQ staff to conduct the rigorous BMP analysis.  </w:t>
      </w:r>
    </w:p>
    <w:p w:rsidR="00BD4E10" w:rsidRDefault="00773563" w:rsidP="002A6EC8">
      <w:pPr>
        <w:ind w:left="360"/>
      </w:pPr>
      <w:r w:rsidRPr="006A0D40">
        <w:t xml:space="preserve">EPA has previously </w:t>
      </w:r>
      <w:r w:rsidR="00F62917">
        <w:t>interpreted this requirement to mean</w:t>
      </w:r>
      <w:r w:rsidR="00F62917" w:rsidRPr="006A0D40">
        <w:t xml:space="preserve"> </w:t>
      </w:r>
      <w:r w:rsidRPr="006A0D40">
        <w:t xml:space="preserve">that BMPs </w:t>
      </w:r>
      <w:r w:rsidR="00F62917">
        <w:t>required to</w:t>
      </w:r>
      <w:r w:rsidRPr="006A0D40">
        <w:t xml:space="preserve"> be implemented </w:t>
      </w:r>
      <w:r w:rsidR="00F62917">
        <w:t>prior to granting a</w:t>
      </w:r>
      <w:r w:rsidRPr="006A0D40">
        <w:t xml:space="preserve"> variance should be limited to those </w:t>
      </w:r>
      <w:r w:rsidR="00F62917">
        <w:t xml:space="preserve">BMPs </w:t>
      </w:r>
      <w:r w:rsidRPr="006A0D40">
        <w:t>that may be implemented by a particular discharger (</w:t>
      </w:r>
      <w:r w:rsidRPr="00CE2BC6">
        <w:rPr>
          <w:i/>
        </w:rPr>
        <w:t>See</w:t>
      </w:r>
      <w:r w:rsidRPr="006A0D40">
        <w:t xml:space="preserve"> </w:t>
      </w:r>
      <w:r w:rsidRPr="00CE2BC6">
        <w:rPr>
          <w:bCs/>
          <w:i/>
        </w:rPr>
        <w:t>Water Quality Guidance for the Great Lakes System: Supplementary Information Document (SID)</w:t>
      </w:r>
      <w:r w:rsidRPr="00CE2BC6">
        <w:rPr>
          <w:rFonts w:ascii="Arial Narrow" w:hAnsi="Arial Narrow" w:cs="Arial Narrow"/>
        </w:rPr>
        <w:t xml:space="preserve"> (</w:t>
      </w:r>
      <w:r w:rsidRPr="00CE2BC6">
        <w:rPr>
          <w:bCs/>
        </w:rPr>
        <w:t xml:space="preserve">EPA-820-B-95-001, March 1995). Part of this rationale relates to the applicability of the variance request.  </w:t>
      </w:r>
      <w:r w:rsidR="009D1B24">
        <w:rPr>
          <w:bCs/>
        </w:rPr>
        <w:t>V</w:t>
      </w:r>
      <w:r w:rsidRPr="00CE2BC6">
        <w:rPr>
          <w:bCs/>
        </w:rPr>
        <w:t>ariance</w:t>
      </w:r>
      <w:r w:rsidR="009D1B24">
        <w:rPr>
          <w:bCs/>
        </w:rPr>
        <w:t>s, as described by DEQ’s regulations,</w:t>
      </w:r>
      <w:r w:rsidRPr="00CE2BC6">
        <w:rPr>
          <w:bCs/>
        </w:rPr>
        <w:t xml:space="preserve"> </w:t>
      </w:r>
      <w:r w:rsidR="009D1B24">
        <w:rPr>
          <w:bCs/>
        </w:rPr>
        <w:t>are</w:t>
      </w:r>
      <w:r w:rsidRPr="00CE2BC6">
        <w:rPr>
          <w:bCs/>
        </w:rPr>
        <w:t xml:space="preserve"> facility-specific, and </w:t>
      </w:r>
      <w:r w:rsidR="009D1B24">
        <w:rPr>
          <w:bCs/>
        </w:rPr>
        <w:t>do</w:t>
      </w:r>
      <w:r w:rsidR="009D1B24" w:rsidRPr="00CE2BC6">
        <w:rPr>
          <w:bCs/>
        </w:rPr>
        <w:t xml:space="preserve"> </w:t>
      </w:r>
      <w:r w:rsidRPr="00CE2BC6">
        <w:rPr>
          <w:bCs/>
        </w:rPr>
        <w:t xml:space="preserve">not </w:t>
      </w:r>
      <w:r w:rsidR="009D1B24">
        <w:rPr>
          <w:bCs/>
        </w:rPr>
        <w:t>result in</w:t>
      </w:r>
      <w:r w:rsidRPr="00CE2BC6">
        <w:rPr>
          <w:bCs/>
        </w:rPr>
        <w:t xml:space="preserve"> </w:t>
      </w:r>
      <w:r w:rsidR="009D1B24" w:rsidRPr="00CE2BC6">
        <w:rPr>
          <w:bCs/>
        </w:rPr>
        <w:t>remov</w:t>
      </w:r>
      <w:r w:rsidR="009D1B24">
        <w:rPr>
          <w:bCs/>
        </w:rPr>
        <w:t>ing the</w:t>
      </w:r>
      <w:r w:rsidRPr="00CE2BC6">
        <w:rPr>
          <w:bCs/>
        </w:rPr>
        <w:t xml:space="preserve"> designated use on a </w:t>
      </w:r>
      <w:proofErr w:type="spellStart"/>
      <w:r w:rsidRPr="00CE2BC6">
        <w:rPr>
          <w:bCs/>
        </w:rPr>
        <w:t>waterbody</w:t>
      </w:r>
      <w:proofErr w:type="spellEnd"/>
      <w:r w:rsidRPr="00CE2BC6">
        <w:rPr>
          <w:bCs/>
        </w:rPr>
        <w:t xml:space="preserve"> segment.  </w:t>
      </w:r>
      <w:r w:rsidR="009D1B24">
        <w:rPr>
          <w:bCs/>
        </w:rPr>
        <w:t>Rather, the effect of the variance is to change the water quality standards applicable to the facility, and keep the underlying water quality standards in effect for all other purposes. Nonetheless, w</w:t>
      </w:r>
      <w:r w:rsidR="00F62917" w:rsidRPr="00CE2BC6">
        <w:rPr>
          <w:bCs/>
        </w:rPr>
        <w:t xml:space="preserve">e </w:t>
      </w:r>
      <w:r w:rsidRPr="00CE2BC6">
        <w:rPr>
          <w:bCs/>
        </w:rPr>
        <w:t xml:space="preserve">agree that </w:t>
      </w:r>
      <w:r w:rsidRPr="006A0D40">
        <w:t xml:space="preserve">if the </w:t>
      </w:r>
      <w:proofErr w:type="spellStart"/>
      <w:r w:rsidRPr="006A0D40">
        <w:t>permittee</w:t>
      </w:r>
      <w:proofErr w:type="spellEnd"/>
      <w:r w:rsidRPr="006A0D40">
        <w:t xml:space="preserve"> can implement cost</w:t>
      </w:r>
      <w:r w:rsidR="00F62917">
        <w:t>-</w:t>
      </w:r>
      <w:r w:rsidRPr="006A0D40">
        <w:t xml:space="preserve">effective and reasonable BMPs for nonpoint sources over which it has control, the </w:t>
      </w:r>
      <w:proofErr w:type="spellStart"/>
      <w:r w:rsidRPr="006A0D40">
        <w:t>permittee</w:t>
      </w:r>
      <w:proofErr w:type="spellEnd"/>
      <w:r w:rsidRPr="006A0D40">
        <w:t xml:space="preserve"> should implement those BMPs </w:t>
      </w:r>
      <w:r w:rsidR="009D1B24">
        <w:t xml:space="preserve">either </w:t>
      </w:r>
      <w:r w:rsidRPr="006A0D40">
        <w:t>before requesting a variance for its point source discharge</w:t>
      </w:r>
      <w:r w:rsidR="009D1B24">
        <w:t xml:space="preserve"> or as part of the requirements the facility would implement as part of its variance</w:t>
      </w:r>
      <w:r w:rsidRPr="006A0D40">
        <w:t xml:space="preserve">.  </w:t>
      </w:r>
      <w:r w:rsidR="009D1B24">
        <w:t>R</w:t>
      </w:r>
      <w:r w:rsidRPr="006A0D40">
        <w:t>equiring a discharger to implement</w:t>
      </w:r>
      <w:r w:rsidR="009D1B24">
        <w:t xml:space="preserve"> all</w:t>
      </w:r>
      <w:r w:rsidRPr="006A0D40">
        <w:t xml:space="preserve"> BMPs to address NPSs of pollutants upstream should not be a prerequisite for DEQ </w:t>
      </w:r>
      <w:r w:rsidR="00F62917">
        <w:t>to grant</w:t>
      </w:r>
      <w:r w:rsidRPr="006A0D40">
        <w:t xml:space="preserve"> a variance request. </w:t>
      </w:r>
      <w:r w:rsidR="00E44F9C">
        <w:t xml:space="preserve"> For example, </w:t>
      </w:r>
      <w:r w:rsidR="00E00928">
        <w:t xml:space="preserve">if a discharger owned and/or controlled large tracts of land which contributed to nonpoint sources of pollution impacting its point source discharge, it would be incumbent upon the discharger to implement BMPs to reduce pollutant levels </w:t>
      </w:r>
      <w:r w:rsidR="00114041">
        <w:t xml:space="preserve">as part of its approved PMP.  However, DEQ envisions BMP implementation occurring as part of the PMP in the variance request, rather than as a prerequisite for variance approval. </w:t>
      </w:r>
    </w:p>
    <w:p w:rsidR="00BD4E10" w:rsidRPr="006A0D40" w:rsidRDefault="00CD269C" w:rsidP="002A6EC8">
      <w:pPr>
        <w:ind w:left="360"/>
      </w:pPr>
      <w:r>
        <w:t>NW Environmental Advocates developed a memo</w:t>
      </w:r>
      <w:r>
        <w:rPr>
          <w:rStyle w:val="FootnoteReference"/>
        </w:rPr>
        <w:footnoteReference w:id="5"/>
      </w:r>
      <w:r>
        <w:t xml:space="preserve"> which proposed a method of addressing nonpoint source requirements when considering a variance request.  </w:t>
      </w:r>
      <w:r w:rsidR="00BD4E10" w:rsidRPr="006A0D40">
        <w:t xml:space="preserve">The “BMP Analysis” </w:t>
      </w:r>
      <w:r w:rsidR="00F62917">
        <w:t>described in</w:t>
      </w:r>
      <w:r w:rsidR="006A0D40">
        <w:t xml:space="preserve"> the memo is </w:t>
      </w:r>
      <w:r w:rsidR="00DA3E69">
        <w:t xml:space="preserve">similar to the extensive types of analyses that may </w:t>
      </w:r>
      <w:r w:rsidR="00BD4E10" w:rsidRPr="006A0D40">
        <w:t>be performed in the context of a TMDL or in evaluating the effectiveness of individual BMPs</w:t>
      </w:r>
      <w:r w:rsidR="00DA3E69">
        <w:t>. Given the likely scenario of a discharger requesting a variance prior to TMDL development</w:t>
      </w:r>
      <w:r w:rsidR="00BD4E10" w:rsidRPr="006A0D40">
        <w:t xml:space="preserve">, it is likely that an analysis performed (pre or post TMDL) would </w:t>
      </w:r>
      <w:r w:rsidR="00DA3E69">
        <w:t>conclude</w:t>
      </w:r>
      <w:r w:rsidR="00DA3E69" w:rsidRPr="006A0D40">
        <w:t xml:space="preserve"> </w:t>
      </w:r>
      <w:r w:rsidR="00BD4E10" w:rsidRPr="006A0D40">
        <w:t xml:space="preserve">that the BMPs currently in place would not be sufficient to reduce the pollutant level needed for the discharger to meet WQBELs.    If </w:t>
      </w:r>
      <w:r w:rsidR="00DA3E69">
        <w:t xml:space="preserve">the “BMP Analysis” described in the memo is </w:t>
      </w:r>
      <w:r w:rsidR="00994E25">
        <w:t>followed</w:t>
      </w:r>
      <w:r w:rsidR="00BD4E10" w:rsidRPr="006A0D40">
        <w:t xml:space="preserve">, the discharger would then be responsible for funding and implementing BMPs on public and private lands to </w:t>
      </w:r>
      <w:r w:rsidR="00F62917">
        <w:t>achieve</w:t>
      </w:r>
      <w:r w:rsidR="00F62917" w:rsidRPr="006A0D40">
        <w:t xml:space="preserve"> </w:t>
      </w:r>
      <w:r w:rsidR="00BD4E10" w:rsidRPr="006A0D40">
        <w:t xml:space="preserve">load reductions needed </w:t>
      </w:r>
      <w:r w:rsidR="00F62917">
        <w:t xml:space="preserve">for the </w:t>
      </w:r>
      <w:proofErr w:type="spellStart"/>
      <w:r w:rsidR="00F62917">
        <w:t>waterbody</w:t>
      </w:r>
      <w:proofErr w:type="spellEnd"/>
      <w:r w:rsidR="00F62917">
        <w:t xml:space="preserve"> to meet water quality standards</w:t>
      </w:r>
      <w:r w:rsidR="00BD4E10" w:rsidRPr="006A0D40">
        <w:t xml:space="preserve">, or at the very least, reduce loads to the maximum extent practical </w:t>
      </w:r>
      <w:r w:rsidR="00F62917">
        <w:t>prior to</w:t>
      </w:r>
      <w:r w:rsidR="00BD4E10" w:rsidRPr="006A0D40">
        <w:t xml:space="preserve"> request</w:t>
      </w:r>
      <w:r w:rsidR="00F62917">
        <w:t>ing</w:t>
      </w:r>
      <w:r w:rsidR="00BD4E10" w:rsidRPr="006A0D40">
        <w:t xml:space="preserve"> a variance. </w:t>
      </w:r>
      <w:r w:rsidR="001A11FF">
        <w:t xml:space="preserve"> </w:t>
      </w:r>
      <w:r w:rsidR="00DA3E69">
        <w:t xml:space="preserve">We </w:t>
      </w:r>
      <w:r w:rsidR="001A11FF" w:rsidRPr="006A0D40">
        <w:t xml:space="preserve">anticipate that </w:t>
      </w:r>
      <w:r w:rsidR="00DA3E69">
        <w:t>facilities are likely to request a v</w:t>
      </w:r>
      <w:r w:rsidR="001A11FF" w:rsidRPr="006A0D40">
        <w:t xml:space="preserve">ariance </w:t>
      </w:r>
      <w:r w:rsidR="00DA3E69">
        <w:t>prior to</w:t>
      </w:r>
      <w:r w:rsidR="001A11FF" w:rsidRPr="006A0D40">
        <w:t xml:space="preserve"> TMDL </w:t>
      </w:r>
      <w:r w:rsidR="00DA3E69">
        <w:t>completion. As a result</w:t>
      </w:r>
      <w:r w:rsidR="001A11FF" w:rsidRPr="006A0D40">
        <w:t>, the kind of analysis described in this memo would most likely not be completed yet.</w:t>
      </w:r>
    </w:p>
    <w:p w:rsidR="001141F6" w:rsidRDefault="00A3543A" w:rsidP="002A6EC8">
      <w:pPr>
        <w:ind w:left="360"/>
      </w:pPr>
      <w:r>
        <w:t>There is also uncertainty about</w:t>
      </w:r>
      <w:r w:rsidR="00BD4E10" w:rsidRPr="006A0D40">
        <w:t xml:space="preserve"> what the status of compliance would be for the discharger while th</w:t>
      </w:r>
      <w:r w:rsidR="00E320C1">
        <w:t>e BMP</w:t>
      </w:r>
      <w:r w:rsidR="00BD4E10" w:rsidRPr="006A0D40">
        <w:t xml:space="preserve"> analysis was being performed by DEQ staff.  Dischargers could be vulnerable to th</w:t>
      </w:r>
      <w:r w:rsidR="00773563">
        <w:t>ird party lawsuits if WQBELs were</w:t>
      </w:r>
      <w:r w:rsidR="00BD4E10" w:rsidRPr="006A0D40">
        <w:t xml:space="preserve"> exceeded and a</w:t>
      </w:r>
      <w:r w:rsidR="00773563">
        <w:t xml:space="preserve"> compliance mechanism </w:t>
      </w:r>
      <w:r w:rsidR="00BD4E10" w:rsidRPr="006A0D40">
        <w:t>was not in place.  This requirement would also add a significant burden to DEQ staff in th</w:t>
      </w:r>
      <w:r w:rsidR="003D20E0">
        <w:t xml:space="preserve">e variance request process and would </w:t>
      </w:r>
      <w:r w:rsidR="00BD4E10" w:rsidRPr="006A0D40">
        <w:t>render this tool as too burdensome to implement.  The “BMP A</w:t>
      </w:r>
      <w:r w:rsidR="00601A11">
        <w:t>nalysis” or something similar could be</w:t>
      </w:r>
      <w:r w:rsidR="00BD4E10" w:rsidRPr="006A0D40">
        <w:t xml:space="preserve"> appropriate in a TMDL context where D</w:t>
      </w:r>
      <w:r w:rsidR="00773563">
        <w:t xml:space="preserve">esignated </w:t>
      </w:r>
      <w:r w:rsidR="00BD4E10" w:rsidRPr="006A0D40">
        <w:t>M</w:t>
      </w:r>
      <w:r w:rsidR="00773563">
        <w:t>anagement Agencies</w:t>
      </w:r>
      <w:r w:rsidR="00BD4E10" w:rsidRPr="006A0D40">
        <w:t xml:space="preserve"> are accountable for load reductions and assessing effectiveness of BMPs</w:t>
      </w:r>
      <w:r w:rsidR="00773563">
        <w:t>, but this rigorous analysis should</w:t>
      </w:r>
      <w:r w:rsidR="00BD4E10" w:rsidRPr="006A0D40">
        <w:t xml:space="preserve"> not be applicable to an individual discharger’s request for a variance. </w:t>
      </w:r>
    </w:p>
    <w:p w:rsidR="007E341E" w:rsidRDefault="007E341E" w:rsidP="00CE2BC6">
      <w:pPr>
        <w:ind w:firstLine="360"/>
        <w:rPr>
          <w:u w:val="single"/>
        </w:rPr>
      </w:pPr>
    </w:p>
    <w:p w:rsidR="003B741D" w:rsidRDefault="003B741D" w:rsidP="00CE2BC6">
      <w:pPr>
        <w:ind w:firstLine="360"/>
        <w:rPr>
          <w:u w:val="single"/>
        </w:rPr>
      </w:pPr>
      <w:r w:rsidRPr="00F34802">
        <w:rPr>
          <w:u w:val="single"/>
        </w:rPr>
        <w:t>Supporting Information</w:t>
      </w:r>
    </w:p>
    <w:p w:rsidR="00F43FA3" w:rsidRPr="00CE2BC6" w:rsidRDefault="00F34100" w:rsidP="00CE2BC6">
      <w:pPr>
        <w:ind w:left="360"/>
        <w:rPr>
          <w:rFonts w:eastAsia="Times New Roman"/>
        </w:rPr>
      </w:pPr>
      <w:r>
        <w:t xml:space="preserve">In the </w:t>
      </w:r>
      <w:r w:rsidRPr="00F43FA3">
        <w:t>Great Lake</w:t>
      </w:r>
      <w:r w:rsidR="00DA3E69">
        <w:t>s</w:t>
      </w:r>
      <w:r w:rsidRPr="00F43FA3">
        <w:t xml:space="preserve"> Initiative Supplementary Information Document</w:t>
      </w:r>
      <w:r w:rsidR="0004069D">
        <w:t>,</w:t>
      </w:r>
      <w:r w:rsidR="00F43FA3">
        <w:t xml:space="preserve"> </w:t>
      </w:r>
      <w:r w:rsidR="00F43FA3" w:rsidRPr="00CE2BC6">
        <w:rPr>
          <w:rFonts w:eastAsia="Times New Roman"/>
        </w:rPr>
        <w:t xml:space="preserve">EPA received comments </w:t>
      </w:r>
      <w:r w:rsidR="00141B25">
        <w:rPr>
          <w:rFonts w:eastAsia="Times New Roman"/>
        </w:rPr>
        <w:t>regarding the interpretation of</w:t>
      </w:r>
      <w:r w:rsidR="00F43FA3" w:rsidRPr="00CE2BC6">
        <w:rPr>
          <w:rFonts w:eastAsia="Times New Roman"/>
        </w:rPr>
        <w:t xml:space="preserve"> 40 CFR 131.10(h</w:t>
      </w:r>
      <w:proofErr w:type="gramStart"/>
      <w:r w:rsidR="00F43FA3" w:rsidRPr="00CE2BC6">
        <w:rPr>
          <w:rFonts w:eastAsia="Times New Roman"/>
        </w:rPr>
        <w:t>)(</w:t>
      </w:r>
      <w:proofErr w:type="gramEnd"/>
      <w:r w:rsidR="00F43FA3" w:rsidRPr="00CE2BC6">
        <w:rPr>
          <w:rFonts w:eastAsia="Times New Roman"/>
        </w:rPr>
        <w:t>2) means</w:t>
      </w:r>
      <w:r w:rsidR="00141B25">
        <w:rPr>
          <w:rFonts w:eastAsia="Times New Roman"/>
        </w:rPr>
        <w:t xml:space="preserve"> in the context of issuing variances</w:t>
      </w:r>
      <w:r w:rsidR="00F43FA3" w:rsidRPr="00CE2BC6">
        <w:rPr>
          <w:rFonts w:eastAsia="Times New Roman"/>
        </w:rPr>
        <w:t>.  The following is an excerpt from the G</w:t>
      </w:r>
      <w:r w:rsidR="00DA3E69" w:rsidRPr="00CE2BC6">
        <w:rPr>
          <w:rFonts w:eastAsia="Times New Roman"/>
        </w:rPr>
        <w:t xml:space="preserve">reat </w:t>
      </w:r>
      <w:r w:rsidR="00F43FA3" w:rsidRPr="00CE2BC6">
        <w:rPr>
          <w:rFonts w:eastAsia="Times New Roman"/>
        </w:rPr>
        <w:t>L</w:t>
      </w:r>
      <w:r w:rsidR="00DA3E69" w:rsidRPr="00CE2BC6">
        <w:rPr>
          <w:rFonts w:eastAsia="Times New Roman"/>
        </w:rPr>
        <w:t xml:space="preserve">akes </w:t>
      </w:r>
      <w:r w:rsidR="00F43FA3" w:rsidRPr="00CE2BC6">
        <w:rPr>
          <w:rFonts w:eastAsia="Times New Roman"/>
        </w:rPr>
        <w:t>I</w:t>
      </w:r>
      <w:r w:rsidR="00DA3E69" w:rsidRPr="00CE2BC6">
        <w:rPr>
          <w:rFonts w:eastAsia="Times New Roman"/>
        </w:rPr>
        <w:t>nitiative Supplementary Information Document</w:t>
      </w:r>
      <w:r w:rsidR="00F43FA3" w:rsidRPr="00CE2BC6">
        <w:rPr>
          <w:rFonts w:eastAsia="Times New Roman"/>
        </w:rPr>
        <w:t xml:space="preserve"> in response to this:</w:t>
      </w:r>
    </w:p>
    <w:p w:rsidR="00F43FA3" w:rsidRPr="00F43FA3" w:rsidRDefault="00F43FA3" w:rsidP="00F43FA3">
      <w:pPr>
        <w:pStyle w:val="ListParagraph"/>
        <w:tabs>
          <w:tab w:val="left" w:pos="-1440"/>
          <w:tab w:val="left" w:pos="-720"/>
        </w:tabs>
        <w:suppressAutoHyphens/>
        <w:spacing w:line="240" w:lineRule="atLeast"/>
        <w:rPr>
          <w:u w:val="single"/>
        </w:rPr>
      </w:pPr>
    </w:p>
    <w:p w:rsidR="00F43FA3" w:rsidRPr="00F43FA3" w:rsidRDefault="00F43FA3" w:rsidP="00F43FA3">
      <w:pPr>
        <w:pStyle w:val="ListParagraph"/>
        <w:tabs>
          <w:tab w:val="left" w:pos="-1440"/>
          <w:tab w:val="left" w:pos="-720"/>
        </w:tabs>
        <w:suppressAutoHyphens/>
        <w:spacing w:line="240" w:lineRule="atLeast"/>
        <w:ind w:left="1440"/>
      </w:pPr>
      <w:r w:rsidRPr="00F43FA3">
        <w:rPr>
          <w:u w:val="single"/>
        </w:rPr>
        <w:t>Comment:</w:t>
      </w:r>
      <w:r w:rsidR="001141F6">
        <w:t xml:space="preserve">  Several </w:t>
      </w:r>
      <w:proofErr w:type="spellStart"/>
      <w:r w:rsidR="001141F6">
        <w:t>commente</w:t>
      </w:r>
      <w:r w:rsidRPr="00F43FA3">
        <w:t>rs</w:t>
      </w:r>
      <w:proofErr w:type="spellEnd"/>
      <w:r w:rsidRPr="00F43FA3">
        <w:t xml:space="preserve"> suggested that EPA should eliminate the requirement of Best Management Practices as a condition for obtaining a variance.  Other </w:t>
      </w:r>
      <w:proofErr w:type="spellStart"/>
      <w:r w:rsidRPr="00F43FA3">
        <w:t>commenters</w:t>
      </w:r>
      <w:proofErr w:type="spellEnd"/>
      <w:r w:rsidRPr="00F43FA3">
        <w:t xml:space="preserve"> stated that the BMP requirement should be clarified, or that B</w:t>
      </w:r>
      <w:r w:rsidR="001141F6">
        <w:t>MPs should be limited to those t</w:t>
      </w:r>
      <w:r w:rsidRPr="00F43FA3">
        <w:t xml:space="preserve">hat may be implemented by a particular discharger on a reasonable and </w:t>
      </w:r>
      <w:proofErr w:type="spellStart"/>
      <w:r w:rsidRPr="00F43FA3">
        <w:t>cost</w:t>
      </w:r>
      <w:r w:rsidRPr="00F43FA3">
        <w:noBreakHyphen/>
        <w:t>effective</w:t>
      </w:r>
      <w:proofErr w:type="spellEnd"/>
      <w:r w:rsidRPr="00F43FA3">
        <w:t xml:space="preserve"> basis.</w:t>
      </w:r>
    </w:p>
    <w:p w:rsidR="00F43FA3" w:rsidRPr="00F43FA3" w:rsidRDefault="00F43FA3" w:rsidP="00F43FA3">
      <w:pPr>
        <w:pStyle w:val="ListParagraph"/>
        <w:tabs>
          <w:tab w:val="left" w:pos="-1440"/>
          <w:tab w:val="left" w:pos="-720"/>
        </w:tabs>
        <w:suppressAutoHyphens/>
        <w:spacing w:line="240" w:lineRule="atLeast"/>
      </w:pPr>
    </w:p>
    <w:p w:rsidR="00DA25D3" w:rsidRDefault="00F43FA3" w:rsidP="002842A2">
      <w:pPr>
        <w:pStyle w:val="ListParagraph"/>
        <w:tabs>
          <w:tab w:val="left" w:pos="-1440"/>
          <w:tab w:val="left" w:pos="-720"/>
        </w:tabs>
        <w:suppressAutoHyphens/>
        <w:spacing w:line="240" w:lineRule="atLeast"/>
        <w:ind w:left="1440"/>
      </w:pPr>
      <w:r w:rsidRPr="00F43FA3">
        <w:rPr>
          <w:u w:val="single"/>
        </w:rPr>
        <w:t>Response:</w:t>
      </w:r>
      <w:r w:rsidRPr="00F43FA3">
        <w:t xml:space="preserve">  EPA disagrees that the BMP requirement should be eliminated.  EPA agrees, however, that the BMPs that must be implemented before a variance may be granted should be limited to those that may be implemented by a particular discharger.  WQS variances are not intended to allow water quality that is already below standards to be further degraded.  In addition, as stated in procedure 2.F.1, the purpose of variances are to improve water quality as much as possible by requiring effluent limitations that represent the level of water quality achievable by the </w:t>
      </w:r>
      <w:proofErr w:type="spellStart"/>
      <w:r w:rsidRPr="00F43FA3">
        <w:t>permittee</w:t>
      </w:r>
      <w:proofErr w:type="spellEnd"/>
      <w:r w:rsidRPr="00F43FA3">
        <w:t xml:space="preserve">.  If the </w:t>
      </w:r>
      <w:proofErr w:type="spellStart"/>
      <w:r w:rsidRPr="00F43FA3">
        <w:t>permittee</w:t>
      </w:r>
      <w:proofErr w:type="spellEnd"/>
      <w:r w:rsidRPr="00F43FA3">
        <w:t xml:space="preserve"> can implement cost effective and reasonable BMPs for nonpoint sour</w:t>
      </w:r>
      <w:r w:rsidR="001A11FF">
        <w:t xml:space="preserve">ces, over which it has </w:t>
      </w:r>
      <w:proofErr w:type="gramStart"/>
      <w:r w:rsidR="001A11FF">
        <w:t>control,</w:t>
      </w:r>
      <w:r w:rsidR="00BA0DE4">
        <w:t xml:space="preserve"> </w:t>
      </w:r>
      <w:r w:rsidRPr="00F43FA3">
        <w:t>that</w:t>
      </w:r>
      <w:proofErr w:type="gramEnd"/>
      <w:r w:rsidRPr="00F43FA3">
        <w:t xml:space="preserve"> will attain water quality standards, the </w:t>
      </w:r>
      <w:proofErr w:type="spellStart"/>
      <w:r w:rsidRPr="00F43FA3">
        <w:t>permittee</w:t>
      </w:r>
      <w:proofErr w:type="spellEnd"/>
      <w:r w:rsidRPr="00F43FA3">
        <w:t xml:space="preserve"> should implement those BMPs rather than requesting a variance for its point source discharge.  If implementing such BMPs will improve water quality but not meet the standards, implementation by the </w:t>
      </w:r>
      <w:proofErr w:type="spellStart"/>
      <w:r w:rsidRPr="00F43FA3">
        <w:t>permittee</w:t>
      </w:r>
      <w:proofErr w:type="spellEnd"/>
      <w:r w:rsidRPr="00F43FA3">
        <w:t xml:space="preserve"> will result in a reduced variance request and an overall improvement in water quality.</w:t>
      </w:r>
    </w:p>
    <w:p w:rsidR="00603F68" w:rsidRDefault="00CE2BC6" w:rsidP="00633966">
      <w:pPr>
        <w:rPr>
          <w:rFonts w:eastAsia="Times New Roman" w:cs="Arial"/>
        </w:rPr>
      </w:pPr>
      <w:r>
        <w:rPr>
          <w:rFonts w:eastAsia="Times New Roman" w:cs="Arial"/>
          <w:b/>
        </w:rPr>
        <w:t xml:space="preserve">5)    </w:t>
      </w:r>
      <w:r w:rsidR="00603F68" w:rsidRPr="00363DE4">
        <w:rPr>
          <w:rFonts w:eastAsia="Times New Roman" w:cs="Arial"/>
          <w:b/>
        </w:rPr>
        <w:t>Applicability of Variances to New Facilities and Expanded Industrial Activities</w:t>
      </w:r>
    </w:p>
    <w:p w:rsidR="00633966" w:rsidRPr="00633966" w:rsidRDefault="00633966" w:rsidP="00CE2BC6">
      <w:pPr>
        <w:rPr>
          <w:rFonts w:eastAsia="Times New Roman" w:cs="Arial"/>
          <w:u w:val="single"/>
        </w:rPr>
      </w:pPr>
      <w:r w:rsidRPr="00633966">
        <w:rPr>
          <w:rFonts w:eastAsia="Times New Roman" w:cs="Arial"/>
          <w:u w:val="single"/>
        </w:rPr>
        <w:t>Description</w:t>
      </w:r>
    </w:p>
    <w:p w:rsidR="00603F68" w:rsidRPr="00FA44A6" w:rsidRDefault="00603F68" w:rsidP="00CE2BC6">
      <w:pPr>
        <w:rPr>
          <w:i/>
          <w:color w:val="C00000"/>
        </w:rPr>
      </w:pPr>
      <w:r>
        <w:rPr>
          <w:rFonts w:eastAsia="Times New Roman" w:cs="Arial"/>
        </w:rPr>
        <w:t xml:space="preserve">In the proposed variance regulations, variances would not </w:t>
      </w:r>
      <w:r w:rsidR="00141B25">
        <w:rPr>
          <w:rFonts w:eastAsia="Times New Roman" w:cs="Arial"/>
        </w:rPr>
        <w:t xml:space="preserve">generally </w:t>
      </w:r>
      <w:r>
        <w:rPr>
          <w:rFonts w:eastAsia="Times New Roman" w:cs="Arial"/>
        </w:rPr>
        <w:t xml:space="preserve">be granted to new facilities.  This rationale is based on the assumption that new facilities should be able to mitigate and implement compliance strategies before discharging to a </w:t>
      </w:r>
      <w:proofErr w:type="spellStart"/>
      <w:r>
        <w:rPr>
          <w:rFonts w:eastAsia="Times New Roman" w:cs="Arial"/>
        </w:rPr>
        <w:t>waterbody</w:t>
      </w:r>
      <w:proofErr w:type="spellEnd"/>
      <w:r>
        <w:rPr>
          <w:rFonts w:eastAsia="Times New Roman" w:cs="Arial"/>
        </w:rPr>
        <w:t xml:space="preserve">, in keeping with the overall objectives of the CWA.  However, there may be circumstances in which a new facility may be allowed a variance based on social or environmental benefits.  </w:t>
      </w:r>
      <w:r w:rsidR="00636F6D">
        <w:rPr>
          <w:rFonts w:eastAsia="Times New Roman" w:cs="Arial"/>
        </w:rPr>
        <w:t xml:space="preserve">For example, leaking septic </w:t>
      </w:r>
      <w:r w:rsidR="00BA0DE4">
        <w:rPr>
          <w:rFonts w:eastAsia="Times New Roman" w:cs="Arial"/>
        </w:rPr>
        <w:t>systems may be</w:t>
      </w:r>
      <w:r w:rsidR="00636F6D">
        <w:rPr>
          <w:rFonts w:eastAsia="Times New Roman" w:cs="Arial"/>
        </w:rPr>
        <w:t xml:space="preserve"> impacting a nearby </w:t>
      </w:r>
      <w:proofErr w:type="spellStart"/>
      <w:r w:rsidR="00636F6D">
        <w:rPr>
          <w:rFonts w:eastAsia="Times New Roman" w:cs="Arial"/>
        </w:rPr>
        <w:t>waterbody</w:t>
      </w:r>
      <w:proofErr w:type="spellEnd"/>
      <w:r w:rsidR="00636F6D">
        <w:rPr>
          <w:rFonts w:eastAsia="Times New Roman" w:cs="Arial"/>
        </w:rPr>
        <w:t>.  An analysis is completed and is determined that building a POTW to centrally t</w:t>
      </w:r>
      <w:r w:rsidR="00BA0DE4">
        <w:rPr>
          <w:rFonts w:eastAsia="Times New Roman" w:cs="Arial"/>
        </w:rPr>
        <w:t xml:space="preserve">reat wastewater from </w:t>
      </w:r>
      <w:r w:rsidR="00636F6D">
        <w:rPr>
          <w:rFonts w:eastAsia="Times New Roman" w:cs="Arial"/>
        </w:rPr>
        <w:t xml:space="preserve">homes is </w:t>
      </w:r>
      <w:r w:rsidR="00BA0DE4">
        <w:rPr>
          <w:rFonts w:eastAsia="Times New Roman" w:cs="Arial"/>
        </w:rPr>
        <w:t>more environmentally preferable than</w:t>
      </w:r>
      <w:r w:rsidR="00636F6D">
        <w:rPr>
          <w:rFonts w:eastAsia="Times New Roman" w:cs="Arial"/>
        </w:rPr>
        <w:t xml:space="preserve"> </w:t>
      </w:r>
      <w:r w:rsidR="00BA0DE4">
        <w:rPr>
          <w:rFonts w:eastAsia="Times New Roman" w:cs="Arial"/>
        </w:rPr>
        <w:t xml:space="preserve">retaining individual </w:t>
      </w:r>
      <w:r w:rsidR="00636F6D">
        <w:rPr>
          <w:rFonts w:eastAsia="Times New Roman" w:cs="Arial"/>
        </w:rPr>
        <w:t xml:space="preserve">septic systems.  </w:t>
      </w:r>
      <w:r>
        <w:rPr>
          <w:rFonts w:eastAsia="Times New Roman" w:cs="Arial"/>
        </w:rPr>
        <w:t xml:space="preserve">Industry and members representing municipalities support these exceptions for new </w:t>
      </w:r>
      <w:proofErr w:type="gramStart"/>
      <w:r>
        <w:rPr>
          <w:rFonts w:eastAsia="Times New Roman" w:cs="Arial"/>
        </w:rPr>
        <w:t>facilities,</w:t>
      </w:r>
      <w:proofErr w:type="gramEnd"/>
      <w:r>
        <w:rPr>
          <w:rFonts w:eastAsia="Times New Roman" w:cs="Arial"/>
        </w:rPr>
        <w:t xml:space="preserve"> howe</w:t>
      </w:r>
      <w:r w:rsidR="007E341E">
        <w:rPr>
          <w:rFonts w:eastAsia="Times New Roman" w:cs="Arial"/>
        </w:rPr>
        <w:t xml:space="preserve">ver, the Columbia </w:t>
      </w:r>
      <w:proofErr w:type="spellStart"/>
      <w:r w:rsidR="007E341E">
        <w:rPr>
          <w:rFonts w:eastAsia="Times New Roman" w:cs="Arial"/>
        </w:rPr>
        <w:t>Riverkeeper</w:t>
      </w:r>
      <w:proofErr w:type="spellEnd"/>
      <w:r>
        <w:rPr>
          <w:rFonts w:eastAsia="Times New Roman" w:cs="Arial"/>
        </w:rPr>
        <w:t xml:space="preserve"> representative has concerns about its inclusion.</w:t>
      </w:r>
      <w:r w:rsidR="00B51AD9">
        <w:rPr>
          <w:rFonts w:eastAsia="Times New Roman" w:cs="Arial"/>
        </w:rPr>
        <w:t xml:space="preserve">  The comments below were submitted previous to the work group discussion in January 2010.</w:t>
      </w:r>
    </w:p>
    <w:p w:rsidR="00603F68" w:rsidRPr="0012525F" w:rsidRDefault="007E341E" w:rsidP="00C75F2C">
      <w:pPr>
        <w:ind w:firstLine="720"/>
        <w:rPr>
          <w:rFonts w:eastAsia="Times New Roman" w:cs="Arial"/>
          <w:i/>
        </w:rPr>
      </w:pPr>
      <w:r>
        <w:rPr>
          <w:rFonts w:eastAsia="Times New Roman" w:cs="Arial"/>
          <w:i/>
        </w:rPr>
        <w:t xml:space="preserve">Columbia </w:t>
      </w:r>
      <w:proofErr w:type="spellStart"/>
      <w:r>
        <w:rPr>
          <w:rFonts w:eastAsia="Times New Roman" w:cs="Arial"/>
          <w:i/>
        </w:rPr>
        <w:t>Riverkeeper</w:t>
      </w:r>
      <w:proofErr w:type="spellEnd"/>
      <w:r w:rsidR="00603F68" w:rsidRPr="0012525F">
        <w:rPr>
          <w:rFonts w:eastAsia="Times New Roman" w:cs="Arial"/>
          <w:i/>
        </w:rPr>
        <w:t xml:space="preserve"> </w:t>
      </w:r>
    </w:p>
    <w:p w:rsidR="00603F68" w:rsidRPr="00FA44A6" w:rsidRDefault="00603F68" w:rsidP="00C75F2C">
      <w:pPr>
        <w:ind w:left="720"/>
        <w:rPr>
          <w:rFonts w:eastAsia="Times New Roman" w:cs="Arial"/>
          <w:color w:val="365F91" w:themeColor="accent1" w:themeShade="BF"/>
        </w:rPr>
      </w:pPr>
      <w:r w:rsidRPr="00FA44A6">
        <w:rPr>
          <w:rFonts w:eastAsia="Times New Roman" w:cs="Arial"/>
          <w:color w:val="365F91" w:themeColor="accent1" w:themeShade="BF"/>
        </w:rPr>
        <w:t xml:space="preserve">RWG members have raised the question of whether the variance rule could apply to new facilities.  This issue had not been discussed at any meeting.  For example, DEQ had not explained why it is appropriate to authorize a new facility to discharge pollution that exceeds a WQS, but obtain a variance to make the discharge "legal."  This is an important point: at its core, how does DEQ justify allowing variances for new facilities given CWA sec. 101(a) ("The objective of this Act is to </w:t>
      </w:r>
      <w:r w:rsidRPr="00FA44A6">
        <w:rPr>
          <w:rStyle w:val="Strong"/>
          <w:rFonts w:eastAsia="Times New Roman" w:cs="Arial"/>
          <w:color w:val="365F91" w:themeColor="accent1" w:themeShade="BF"/>
        </w:rPr>
        <w:t xml:space="preserve">restore </w:t>
      </w:r>
      <w:r w:rsidRPr="00FA44A6">
        <w:rPr>
          <w:rFonts w:eastAsia="Times New Roman" w:cs="Arial"/>
          <w:color w:val="365F91" w:themeColor="accent1" w:themeShade="BF"/>
        </w:rPr>
        <w:t xml:space="preserve">and </w:t>
      </w:r>
      <w:r w:rsidRPr="00FA44A6">
        <w:rPr>
          <w:rStyle w:val="Strong"/>
          <w:rFonts w:eastAsia="Times New Roman" w:cs="Arial"/>
          <w:color w:val="365F91" w:themeColor="accent1" w:themeShade="BF"/>
        </w:rPr>
        <w:t>maintain</w:t>
      </w:r>
      <w:r w:rsidRPr="00FA44A6">
        <w:rPr>
          <w:rFonts w:eastAsia="Times New Roman" w:cs="Arial"/>
          <w:color w:val="365F91" w:themeColor="accent1" w:themeShade="BF"/>
        </w:rPr>
        <w:t xml:space="preserve"> the chemical, physical, and biological integrity of the Nation's waters")?   Similarly, the purpose of the rulemaking is to protect human health and improve water quality.  While implementation tools are part of the rulemaking package, DEQ is not obligated to reach so far as to allow additional water quality degradation in the form of new facilities with new pollutant discharges that exceed WQS.  </w:t>
      </w:r>
    </w:p>
    <w:p w:rsidR="00603F68" w:rsidRDefault="00603F68" w:rsidP="00603F68">
      <w:pPr>
        <w:pStyle w:val="ListParagraph"/>
        <w:tabs>
          <w:tab w:val="left" w:pos="-1440"/>
          <w:tab w:val="left" w:pos="-720"/>
        </w:tabs>
        <w:suppressAutoHyphens/>
        <w:spacing w:line="240" w:lineRule="atLeast"/>
        <w:ind w:left="0"/>
      </w:pPr>
    </w:p>
    <w:p w:rsidR="00603F68" w:rsidRDefault="00603F68" w:rsidP="00603F68">
      <w:pPr>
        <w:pStyle w:val="ListParagraph"/>
        <w:tabs>
          <w:tab w:val="left" w:pos="-1440"/>
          <w:tab w:val="left" w:pos="-720"/>
        </w:tabs>
        <w:suppressAutoHyphens/>
        <w:spacing w:line="240" w:lineRule="atLeast"/>
        <w:ind w:left="0"/>
        <w:rPr>
          <w:u w:val="single"/>
        </w:rPr>
      </w:pPr>
      <w:r w:rsidRPr="0044305D">
        <w:rPr>
          <w:u w:val="single"/>
        </w:rPr>
        <w:t>Recommendation</w:t>
      </w:r>
    </w:p>
    <w:p w:rsidR="00603F68" w:rsidRPr="0044305D" w:rsidRDefault="00BA0DE4" w:rsidP="00CE2BC6">
      <w:pPr>
        <w:tabs>
          <w:tab w:val="left" w:pos="-1440"/>
          <w:tab w:val="left" w:pos="-720"/>
        </w:tabs>
        <w:suppressAutoHyphens/>
        <w:spacing w:line="240" w:lineRule="atLeast"/>
      </w:pPr>
      <w:r>
        <w:t>In principle</w:t>
      </w:r>
      <w:r w:rsidR="00603F68">
        <w:t xml:space="preserve">, DEQ does not intend to grant variances for new facilities, however, DEQ does recommend including several exceptions to new facilities that wish to apply for a variance.  </w:t>
      </w:r>
      <w:r w:rsidR="00603F68" w:rsidRPr="00CE2BC6">
        <w:rPr>
          <w:rFonts w:eastAsia="Times New Roman" w:cs="Arial"/>
        </w:rPr>
        <w:t>Below is proposed language to address such circumstances:</w:t>
      </w:r>
    </w:p>
    <w:p w:rsidR="00603F68" w:rsidRPr="0044305D" w:rsidRDefault="00603F68" w:rsidP="00633966">
      <w:pPr>
        <w:pStyle w:val="NormalWeb"/>
        <w:ind w:left="720"/>
        <w:rPr>
          <w:rFonts w:asciiTheme="minorHAnsi" w:hAnsiTheme="minorHAnsi"/>
          <w:i/>
          <w:sz w:val="22"/>
          <w:szCs w:val="22"/>
        </w:rPr>
      </w:pPr>
      <w:r w:rsidRPr="0044305D">
        <w:rPr>
          <w:rFonts w:asciiTheme="minorHAnsi" w:hAnsiTheme="minorHAnsi"/>
          <w:i/>
          <w:sz w:val="22"/>
          <w:szCs w:val="22"/>
        </w:rPr>
        <w:t>(1) Applicability.   The Commission or Department may grant point source variances from the water quality standards in this Division where the requirements in sections (1) through (8) of this Rule are met.</w:t>
      </w:r>
    </w:p>
    <w:p w:rsidR="00603F68" w:rsidRPr="0044305D" w:rsidRDefault="00603F68" w:rsidP="00603F68">
      <w:pPr>
        <w:pStyle w:val="NormalWeb"/>
        <w:ind w:left="720"/>
        <w:rPr>
          <w:rFonts w:asciiTheme="minorHAnsi" w:hAnsiTheme="minorHAnsi"/>
          <w:i/>
          <w:sz w:val="22"/>
          <w:szCs w:val="22"/>
        </w:rPr>
      </w:pPr>
      <w:r w:rsidRPr="0044305D">
        <w:rPr>
          <w:rFonts w:asciiTheme="minorHAnsi" w:hAnsiTheme="minorHAnsi"/>
          <w:i/>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603F68" w:rsidRPr="0044305D" w:rsidRDefault="00603F68" w:rsidP="00603F68">
      <w:pPr>
        <w:pStyle w:val="NormalWeb"/>
        <w:ind w:firstLine="720"/>
        <w:rPr>
          <w:rFonts w:asciiTheme="minorHAnsi" w:hAnsiTheme="minorHAnsi"/>
          <w:i/>
          <w:sz w:val="22"/>
          <w:szCs w:val="22"/>
        </w:rPr>
      </w:pPr>
      <w:r w:rsidRPr="0044305D">
        <w:rPr>
          <w:rFonts w:asciiTheme="minorHAnsi" w:hAnsiTheme="minorHAnsi"/>
          <w:i/>
          <w:sz w:val="22"/>
          <w:szCs w:val="22"/>
        </w:rPr>
        <w:t>(b) A water quality standard variance may not be granted if:</w:t>
      </w:r>
    </w:p>
    <w:p w:rsidR="00603F68" w:rsidRPr="0044305D" w:rsidRDefault="00603F68" w:rsidP="00603F68">
      <w:pPr>
        <w:pStyle w:val="NormalWeb"/>
        <w:ind w:left="1440"/>
        <w:rPr>
          <w:rFonts w:asciiTheme="minorHAnsi" w:hAnsiTheme="minorHAnsi"/>
          <w:i/>
          <w:sz w:val="22"/>
          <w:szCs w:val="22"/>
        </w:rPr>
      </w:pPr>
      <w:r w:rsidRPr="0044305D">
        <w:rPr>
          <w:rFonts w:asciiTheme="minorHAnsi" w:hAnsiTheme="minorHAnsi"/>
          <w:i/>
          <w:sz w:val="22"/>
          <w:szCs w:val="22"/>
        </w:rPr>
        <w:t>(A) The standard will be attained by implementing technology-based effluent limits required under sections 301(b) and 306 of the federal Clean Water Act, and by the discharger implementing cost-effective and reasonable best management practices for nonpoint source control;</w:t>
      </w:r>
    </w:p>
    <w:p w:rsidR="00603F68" w:rsidRPr="0044305D" w:rsidRDefault="00603F68" w:rsidP="00603F68">
      <w:pPr>
        <w:pStyle w:val="NormalWeb"/>
        <w:ind w:left="1440"/>
        <w:rPr>
          <w:rFonts w:asciiTheme="minorHAnsi" w:hAnsiTheme="minorHAnsi"/>
          <w:i/>
          <w:sz w:val="22"/>
          <w:szCs w:val="22"/>
        </w:rPr>
      </w:pPr>
      <w:r w:rsidRPr="0044305D">
        <w:rPr>
          <w:rFonts w:asciiTheme="minorHAnsi" w:hAnsiTheme="minorHAnsi"/>
          <w:i/>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603F68" w:rsidRPr="0044305D" w:rsidRDefault="00603F68" w:rsidP="00603F68">
      <w:pPr>
        <w:pStyle w:val="NormalWeb"/>
        <w:ind w:left="1440"/>
        <w:rPr>
          <w:rFonts w:asciiTheme="minorHAnsi" w:hAnsiTheme="minorHAnsi"/>
          <w:i/>
          <w:sz w:val="22"/>
          <w:szCs w:val="22"/>
        </w:rPr>
      </w:pPr>
      <w:r w:rsidRPr="0044305D">
        <w:rPr>
          <w:rFonts w:asciiTheme="minorHAnsi" w:hAnsiTheme="minorHAnsi"/>
          <w:i/>
          <w:sz w:val="22"/>
          <w:szCs w:val="22"/>
        </w:rPr>
        <w:t xml:space="preserve">(C) The </w:t>
      </w:r>
      <w:r>
        <w:rPr>
          <w:rFonts w:asciiTheme="minorHAnsi" w:hAnsiTheme="minorHAnsi"/>
          <w:i/>
          <w:sz w:val="22"/>
          <w:szCs w:val="22"/>
        </w:rPr>
        <w:t xml:space="preserve">conditions allowed by the </w:t>
      </w:r>
      <w:r w:rsidRPr="0044305D">
        <w:rPr>
          <w:rFonts w:asciiTheme="minorHAnsi" w:hAnsiTheme="minorHAnsi"/>
          <w:i/>
          <w:sz w:val="22"/>
          <w:szCs w:val="22"/>
        </w:rPr>
        <w:t>variance would result in an unreasonable risk to health;</w:t>
      </w:r>
    </w:p>
    <w:p w:rsidR="00603F68" w:rsidRPr="0044305D" w:rsidRDefault="00603F68" w:rsidP="00603F68">
      <w:pPr>
        <w:pStyle w:val="NormalWeb"/>
        <w:ind w:left="1440"/>
        <w:rPr>
          <w:rFonts w:asciiTheme="minorHAnsi" w:hAnsiTheme="minorHAnsi"/>
          <w:i/>
          <w:color w:val="C00000"/>
          <w:sz w:val="22"/>
          <w:szCs w:val="22"/>
        </w:rPr>
      </w:pPr>
      <w:r w:rsidRPr="0044305D">
        <w:rPr>
          <w:rFonts w:asciiTheme="minorHAnsi" w:hAnsiTheme="minorHAnsi"/>
          <w:i/>
          <w:color w:val="C00000"/>
          <w:sz w:val="22"/>
          <w:szCs w:val="22"/>
        </w:rPr>
        <w:t>(D) A source requesting a variance is a new facility, unless a proposed variance for a new facility:</w:t>
      </w:r>
    </w:p>
    <w:p w:rsidR="00603F68" w:rsidRPr="0044305D" w:rsidRDefault="00603F68" w:rsidP="00603F68">
      <w:pPr>
        <w:pStyle w:val="NormalWeb"/>
        <w:numPr>
          <w:ilvl w:val="0"/>
          <w:numId w:val="6"/>
        </w:numPr>
        <w:rPr>
          <w:rFonts w:asciiTheme="minorHAnsi" w:hAnsiTheme="minorHAnsi"/>
          <w:i/>
          <w:color w:val="C00000"/>
          <w:sz w:val="22"/>
          <w:szCs w:val="22"/>
        </w:rPr>
      </w:pPr>
      <w:r w:rsidRPr="0044305D">
        <w:rPr>
          <w:rFonts w:asciiTheme="minorHAnsi" w:hAnsiTheme="minorHAnsi"/>
          <w:i/>
          <w:color w:val="C00000"/>
          <w:sz w:val="22"/>
          <w:szCs w:val="22"/>
        </w:rPr>
        <w:t xml:space="preserve">Prevents or mitigates a threat to public health or welfare; </w:t>
      </w:r>
    </w:p>
    <w:p w:rsidR="00603F68" w:rsidRPr="0044305D" w:rsidRDefault="00603F68" w:rsidP="00603F68">
      <w:pPr>
        <w:pStyle w:val="NormalWeb"/>
        <w:numPr>
          <w:ilvl w:val="0"/>
          <w:numId w:val="6"/>
        </w:numPr>
        <w:rPr>
          <w:rFonts w:asciiTheme="minorHAnsi" w:hAnsiTheme="minorHAnsi"/>
          <w:i/>
          <w:color w:val="C00000"/>
          <w:sz w:val="22"/>
          <w:szCs w:val="22"/>
        </w:rPr>
      </w:pPr>
      <w:r w:rsidRPr="0044305D">
        <w:rPr>
          <w:rFonts w:asciiTheme="minorHAnsi" w:hAnsiTheme="minorHAnsi"/>
          <w:i/>
          <w:color w:val="C00000"/>
          <w:sz w:val="22"/>
          <w:szCs w:val="22"/>
        </w:rPr>
        <w:t xml:space="preserve">Provides a net environmental benefit; or </w:t>
      </w:r>
    </w:p>
    <w:p w:rsidR="00603F68" w:rsidRPr="0044305D" w:rsidRDefault="00603F68" w:rsidP="00603F68">
      <w:pPr>
        <w:pStyle w:val="NormalWeb"/>
        <w:numPr>
          <w:ilvl w:val="0"/>
          <w:numId w:val="6"/>
        </w:numPr>
        <w:rPr>
          <w:rFonts w:asciiTheme="minorHAnsi" w:hAnsiTheme="minorHAnsi"/>
          <w:i/>
          <w:color w:val="C00000"/>
          <w:sz w:val="22"/>
          <w:szCs w:val="22"/>
        </w:rPr>
      </w:pPr>
      <w:r w:rsidRPr="0044305D">
        <w:rPr>
          <w:rFonts w:asciiTheme="minorHAnsi" w:hAnsiTheme="minorHAnsi"/>
          <w:i/>
          <w:color w:val="C00000"/>
          <w:sz w:val="22"/>
          <w:szCs w:val="22"/>
        </w:rPr>
        <w:t>Remediates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244CCF" w:rsidRPr="00244CCF" w:rsidRDefault="00244CCF" w:rsidP="00244CCF">
      <w:pPr>
        <w:autoSpaceDE w:val="0"/>
        <w:autoSpaceDN w:val="0"/>
        <w:adjustRightInd w:val="0"/>
        <w:jc w:val="both"/>
      </w:pPr>
      <w:r>
        <w:t xml:space="preserve">Rulemaking Work Group members discussed this issue fairly extensively at the January 2009 meeting in which variances were discussed.  Many members were concerned with applying a blanket disallowance on new facilities which could apply for variances and requested that DEQ identify situations where variances could be allowed.  The language above was developed in response to this request.  </w:t>
      </w:r>
      <w:r w:rsidR="00141B25">
        <w:t xml:space="preserve">If appropriate, DEQ would </w:t>
      </w:r>
      <w:r>
        <w:t xml:space="preserve">prefer to use a compliance schedule for new facilities </w:t>
      </w:r>
      <w:r w:rsidR="00141B25">
        <w:t xml:space="preserve">where </w:t>
      </w:r>
      <w:r>
        <w:t xml:space="preserve">needed to achieve water quality standards. </w:t>
      </w:r>
      <w:r w:rsidRPr="00244CCF">
        <w:t xml:space="preserve">However, allowing a compliance schedule for new sources and dischargers may only occur on a limited basis.  DEQ may issue compliance schedules for new sources or new dischargers that are under construction and have not begun discharging if </w:t>
      </w:r>
      <w:r w:rsidRPr="00244CCF">
        <w:rPr>
          <w:u w:val="single"/>
        </w:rPr>
        <w:t>all</w:t>
      </w:r>
      <w:r w:rsidRPr="00244CCF">
        <w:t xml:space="preserve"> of the following are true: </w:t>
      </w:r>
    </w:p>
    <w:p w:rsidR="00244CCF" w:rsidRPr="00244CCF" w:rsidRDefault="00244CCF" w:rsidP="00244CCF">
      <w:pPr>
        <w:numPr>
          <w:ilvl w:val="0"/>
          <w:numId w:val="7"/>
        </w:numPr>
        <w:autoSpaceDE w:val="0"/>
        <w:autoSpaceDN w:val="0"/>
        <w:adjustRightInd w:val="0"/>
        <w:spacing w:after="0" w:line="240" w:lineRule="auto"/>
        <w:jc w:val="both"/>
      </w:pPr>
      <w:r w:rsidRPr="00244CCF">
        <w:t xml:space="preserve">This is the first NPDES permit to be issued for the source, </w:t>
      </w:r>
    </w:p>
    <w:p w:rsidR="00244CCF" w:rsidRPr="00244CCF" w:rsidRDefault="00244CCF" w:rsidP="00244CCF">
      <w:pPr>
        <w:numPr>
          <w:ilvl w:val="0"/>
          <w:numId w:val="7"/>
        </w:numPr>
        <w:autoSpaceDE w:val="0"/>
        <w:autoSpaceDN w:val="0"/>
        <w:adjustRightInd w:val="0"/>
        <w:spacing w:after="0" w:line="240" w:lineRule="auto"/>
        <w:jc w:val="both"/>
      </w:pPr>
      <w:r w:rsidRPr="00244CCF">
        <w:t>A new, revised or newly interpreted water quality standard was issued less than three years before commencement of the relevant discharge (see 40 CFR § 122.47(a)(2)), and</w:t>
      </w:r>
    </w:p>
    <w:p w:rsidR="00244CCF" w:rsidRDefault="00244CCF" w:rsidP="002842A2">
      <w:pPr>
        <w:pStyle w:val="ListParagraph"/>
        <w:numPr>
          <w:ilvl w:val="0"/>
          <w:numId w:val="7"/>
        </w:numPr>
        <w:spacing w:after="0" w:line="240" w:lineRule="auto"/>
        <w:contextualSpacing w:val="0"/>
        <w:jc w:val="both"/>
        <w:rPr>
          <w:rFonts w:cs="Times New Roman"/>
        </w:rPr>
      </w:pPr>
      <w:r w:rsidRPr="00244CCF">
        <w:rPr>
          <w:rFonts w:cs="Times New Roman"/>
        </w:rPr>
        <w:t>The new, revised or newly interpreted standard was issued or revised after commencement of construction.</w:t>
      </w:r>
    </w:p>
    <w:p w:rsidR="002842A2" w:rsidRPr="002842A2" w:rsidRDefault="002842A2" w:rsidP="002842A2">
      <w:pPr>
        <w:pStyle w:val="ListParagraph"/>
        <w:spacing w:after="0" w:line="240" w:lineRule="auto"/>
        <w:ind w:left="360"/>
        <w:contextualSpacing w:val="0"/>
        <w:jc w:val="both"/>
        <w:rPr>
          <w:rFonts w:cs="Times New Roman"/>
        </w:rPr>
      </w:pPr>
    </w:p>
    <w:p w:rsidR="00244CCF" w:rsidRDefault="00244CCF" w:rsidP="00BF3B67">
      <w:r>
        <w:t>Staff would closely analyze any requests from expanding facilities or newly permitted facilities to determine if a variance was warranted.</w:t>
      </w:r>
    </w:p>
    <w:p w:rsidR="00244CCF" w:rsidRDefault="00244CCF" w:rsidP="00603F68">
      <w:pPr>
        <w:pStyle w:val="ListParagraph"/>
        <w:tabs>
          <w:tab w:val="left" w:pos="-1440"/>
          <w:tab w:val="left" w:pos="-720"/>
        </w:tabs>
        <w:suppressAutoHyphens/>
        <w:spacing w:line="240" w:lineRule="atLeast"/>
        <w:ind w:left="0"/>
        <w:rPr>
          <w:i/>
          <w:color w:val="C00000"/>
        </w:rPr>
      </w:pPr>
    </w:p>
    <w:p w:rsidR="00603F68" w:rsidRPr="00F43FA3" w:rsidRDefault="00603F68" w:rsidP="00603F68">
      <w:pPr>
        <w:pStyle w:val="ListParagraph"/>
        <w:tabs>
          <w:tab w:val="left" w:pos="-1440"/>
          <w:tab w:val="left" w:pos="-720"/>
        </w:tabs>
        <w:suppressAutoHyphens/>
        <w:spacing w:line="240" w:lineRule="atLeast"/>
        <w:ind w:left="0"/>
      </w:pPr>
    </w:p>
    <w:sectPr w:rsidR="00603F68" w:rsidRPr="00F43FA3" w:rsidSect="008E2BC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FEB" w:rsidRDefault="00A53FEB" w:rsidP="00887BEB">
      <w:pPr>
        <w:spacing w:after="0" w:line="240" w:lineRule="auto"/>
      </w:pPr>
      <w:r>
        <w:separator/>
      </w:r>
    </w:p>
  </w:endnote>
  <w:endnote w:type="continuationSeparator" w:id="0">
    <w:p w:rsidR="00A53FEB" w:rsidRDefault="00A53FEB" w:rsidP="00887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59766"/>
      <w:docPartObj>
        <w:docPartGallery w:val="Page Numbers (Bottom of Page)"/>
        <w:docPartUnique/>
      </w:docPartObj>
    </w:sdtPr>
    <w:sdtContent>
      <w:sdt>
        <w:sdtPr>
          <w:id w:val="565050477"/>
          <w:docPartObj>
            <w:docPartGallery w:val="Page Numbers (Top of Page)"/>
            <w:docPartUnique/>
          </w:docPartObj>
        </w:sdtPr>
        <w:sdtContent>
          <w:p w:rsidR="00A53FEB" w:rsidRDefault="00A53FE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E341E">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E341E">
              <w:rPr>
                <w:b/>
                <w:noProof/>
              </w:rPr>
              <w:t>10</w:t>
            </w:r>
            <w:r>
              <w:rPr>
                <w:b/>
                <w:sz w:val="24"/>
                <w:szCs w:val="24"/>
              </w:rPr>
              <w:fldChar w:fldCharType="end"/>
            </w:r>
          </w:p>
        </w:sdtContent>
      </w:sdt>
    </w:sdtContent>
  </w:sdt>
  <w:p w:rsidR="00A53FEB" w:rsidRDefault="00A53F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FEB" w:rsidRDefault="00A53FEB" w:rsidP="00887BEB">
      <w:pPr>
        <w:spacing w:after="0" w:line="240" w:lineRule="auto"/>
      </w:pPr>
      <w:r>
        <w:separator/>
      </w:r>
    </w:p>
  </w:footnote>
  <w:footnote w:type="continuationSeparator" w:id="0">
    <w:p w:rsidR="00A53FEB" w:rsidRDefault="00A53FEB" w:rsidP="00887BEB">
      <w:pPr>
        <w:spacing w:after="0" w:line="240" w:lineRule="auto"/>
      </w:pPr>
      <w:r>
        <w:continuationSeparator/>
      </w:r>
    </w:p>
  </w:footnote>
  <w:footnote w:id="1">
    <w:p w:rsidR="00A53FEB" w:rsidRPr="00A7116D" w:rsidRDefault="00A53FEB" w:rsidP="00A7116D">
      <w:pPr>
        <w:autoSpaceDE w:val="0"/>
        <w:autoSpaceDN w:val="0"/>
        <w:adjustRightInd w:val="0"/>
        <w:spacing w:after="0" w:line="240" w:lineRule="auto"/>
        <w:rPr>
          <w:rFonts w:cs="Times New Roman"/>
          <w:sz w:val="20"/>
          <w:szCs w:val="20"/>
        </w:rPr>
      </w:pPr>
      <w:r w:rsidRPr="0070506F">
        <w:rPr>
          <w:rStyle w:val="FootnoteReference"/>
          <w:sz w:val="20"/>
          <w:szCs w:val="20"/>
        </w:rPr>
        <w:footnoteRef/>
      </w:r>
      <w:r w:rsidRPr="0070506F">
        <w:rPr>
          <w:sz w:val="20"/>
          <w:szCs w:val="20"/>
        </w:rPr>
        <w:t xml:space="preserve">  </w:t>
      </w:r>
      <w:proofErr w:type="gramStart"/>
      <w:r>
        <w:rPr>
          <w:sz w:val="20"/>
          <w:szCs w:val="20"/>
        </w:rPr>
        <w:t>“</w:t>
      </w:r>
      <w:r w:rsidRPr="00A7116D">
        <w:rPr>
          <w:rFonts w:cs="Times New Roman"/>
          <w:sz w:val="20"/>
          <w:szCs w:val="20"/>
        </w:rPr>
        <w:t>Maximum time frame for variances.</w:t>
      </w:r>
      <w:proofErr w:type="gramEnd"/>
      <w:r w:rsidRPr="00A7116D">
        <w:rPr>
          <w:rFonts w:cs="Times New Roman"/>
          <w:sz w:val="20"/>
          <w:szCs w:val="20"/>
        </w:rPr>
        <w:t xml:space="preserve"> A WQS variance sha</w:t>
      </w:r>
      <w:r>
        <w:rPr>
          <w:rFonts w:cs="Times New Roman"/>
          <w:sz w:val="20"/>
          <w:szCs w:val="20"/>
        </w:rPr>
        <w:t xml:space="preserve">ll not exceed five years or the </w:t>
      </w:r>
      <w:r w:rsidRPr="00A7116D">
        <w:rPr>
          <w:rFonts w:cs="Times New Roman"/>
          <w:sz w:val="20"/>
          <w:szCs w:val="20"/>
        </w:rPr>
        <w:t>term of the NPDES permit, whichever is less, with th</w:t>
      </w:r>
      <w:r>
        <w:rPr>
          <w:rFonts w:cs="Times New Roman"/>
          <w:sz w:val="20"/>
          <w:szCs w:val="20"/>
        </w:rPr>
        <w:t xml:space="preserve">e exception that a WQS variance </w:t>
      </w:r>
      <w:r w:rsidRPr="00A7116D">
        <w:rPr>
          <w:rFonts w:cs="Times New Roman"/>
          <w:sz w:val="20"/>
          <w:szCs w:val="20"/>
        </w:rPr>
        <w:t xml:space="preserve">may remain in effect beyond the term of the NPDES </w:t>
      </w:r>
      <w:r>
        <w:rPr>
          <w:rFonts w:cs="Times New Roman"/>
          <w:sz w:val="20"/>
          <w:szCs w:val="20"/>
        </w:rPr>
        <w:t xml:space="preserve">permit if, at least one hundred </w:t>
      </w:r>
      <w:r w:rsidRPr="00A7116D">
        <w:rPr>
          <w:rFonts w:cs="Times New Roman"/>
          <w:sz w:val="20"/>
          <w:szCs w:val="20"/>
        </w:rPr>
        <w:t>eighty days prior to the date of expiration of the NPDE</w:t>
      </w:r>
      <w:r>
        <w:rPr>
          <w:rFonts w:cs="Times New Roman"/>
          <w:sz w:val="20"/>
          <w:szCs w:val="20"/>
        </w:rPr>
        <w:t xml:space="preserve">S permit, the applicant submits </w:t>
      </w:r>
      <w:r w:rsidRPr="00A7116D">
        <w:rPr>
          <w:rFonts w:cs="Times New Roman"/>
          <w:sz w:val="20"/>
          <w:szCs w:val="20"/>
        </w:rPr>
        <w:t>to the director an application for renewal of the N</w:t>
      </w:r>
      <w:r>
        <w:rPr>
          <w:rFonts w:cs="Times New Roman"/>
          <w:sz w:val="20"/>
          <w:szCs w:val="20"/>
        </w:rPr>
        <w:t xml:space="preserve">PDES permit, in accordance with </w:t>
      </w:r>
      <w:r w:rsidRPr="00A7116D">
        <w:rPr>
          <w:rFonts w:cs="Times New Roman"/>
          <w:sz w:val="20"/>
          <w:szCs w:val="20"/>
        </w:rPr>
        <w:t xml:space="preserve">Chapter 119. </w:t>
      </w:r>
      <w:proofErr w:type="gramStart"/>
      <w:r w:rsidRPr="00A7116D">
        <w:rPr>
          <w:rFonts w:cs="Times New Roman"/>
          <w:sz w:val="20"/>
          <w:szCs w:val="20"/>
        </w:rPr>
        <w:t>of</w:t>
      </w:r>
      <w:proofErr w:type="gramEnd"/>
      <w:r w:rsidRPr="00A7116D">
        <w:rPr>
          <w:rFonts w:cs="Times New Roman"/>
          <w:sz w:val="20"/>
          <w:szCs w:val="20"/>
        </w:rPr>
        <w:t xml:space="preserve"> the Revised Code and paragrap</w:t>
      </w:r>
      <w:r>
        <w:rPr>
          <w:rFonts w:cs="Times New Roman"/>
          <w:sz w:val="20"/>
          <w:szCs w:val="20"/>
        </w:rPr>
        <w:t xml:space="preserve">h (C) of rule 3745-33-04 of the </w:t>
      </w:r>
      <w:r w:rsidRPr="00A7116D">
        <w:rPr>
          <w:rFonts w:cs="Times New Roman"/>
          <w:sz w:val="20"/>
          <w:szCs w:val="20"/>
        </w:rPr>
        <w:t xml:space="preserve">Administrative Code, and an application for renewal of </w:t>
      </w:r>
      <w:r>
        <w:rPr>
          <w:rFonts w:cs="Times New Roman"/>
          <w:sz w:val="20"/>
          <w:szCs w:val="20"/>
        </w:rPr>
        <w:t xml:space="preserve">the variance in accordance with </w:t>
      </w:r>
      <w:r w:rsidRPr="00A7116D">
        <w:rPr>
          <w:rFonts w:cs="Times New Roman"/>
          <w:sz w:val="20"/>
          <w:szCs w:val="20"/>
        </w:rPr>
        <w:t>paragraph (D)(8) of this rule. Such a variance shall rema</w:t>
      </w:r>
      <w:r>
        <w:rPr>
          <w:rFonts w:cs="Times New Roman"/>
          <w:sz w:val="20"/>
          <w:szCs w:val="20"/>
        </w:rPr>
        <w:t xml:space="preserve">in in effect until the director </w:t>
      </w:r>
      <w:r w:rsidRPr="00A7116D">
        <w:rPr>
          <w:rFonts w:cs="Times New Roman"/>
          <w:sz w:val="20"/>
          <w:szCs w:val="20"/>
        </w:rPr>
        <w:t>issues a final action on the NPDES permit renewal applica</w:t>
      </w:r>
      <w:r>
        <w:rPr>
          <w:rFonts w:cs="Times New Roman"/>
          <w:sz w:val="20"/>
          <w:szCs w:val="20"/>
        </w:rPr>
        <w:t xml:space="preserve">tion unless the application for </w:t>
      </w:r>
      <w:r w:rsidRPr="00A7116D">
        <w:rPr>
          <w:rFonts w:cs="Times New Roman"/>
          <w:sz w:val="20"/>
          <w:szCs w:val="20"/>
        </w:rPr>
        <w:t>renewal of the variance is not substantially complete o</w:t>
      </w:r>
      <w:r>
        <w:rPr>
          <w:rFonts w:cs="Times New Roman"/>
          <w:sz w:val="20"/>
          <w:szCs w:val="20"/>
        </w:rPr>
        <w:t xml:space="preserve">r not submitted within the time </w:t>
      </w:r>
      <w:r w:rsidRPr="00A7116D">
        <w:rPr>
          <w:rFonts w:cs="Times New Roman"/>
          <w:sz w:val="20"/>
          <w:szCs w:val="20"/>
        </w:rPr>
        <w:t xml:space="preserve">required in this paragraph, or unless the </w:t>
      </w:r>
      <w:proofErr w:type="spellStart"/>
      <w:r w:rsidRPr="00A7116D">
        <w:rPr>
          <w:rFonts w:cs="Times New Roman"/>
          <w:sz w:val="20"/>
          <w:szCs w:val="20"/>
        </w:rPr>
        <w:t>permittee</w:t>
      </w:r>
      <w:proofErr w:type="spellEnd"/>
      <w:r w:rsidRPr="00A7116D">
        <w:rPr>
          <w:rFonts w:cs="Times New Roman"/>
          <w:sz w:val="20"/>
          <w:szCs w:val="20"/>
        </w:rPr>
        <w:t xml:space="preserve"> did no</w:t>
      </w:r>
      <w:r>
        <w:rPr>
          <w:rFonts w:cs="Times New Roman"/>
          <w:sz w:val="20"/>
          <w:szCs w:val="20"/>
        </w:rPr>
        <w:t xml:space="preserve">t substantially comply with the </w:t>
      </w:r>
      <w:r w:rsidRPr="00A7116D">
        <w:rPr>
          <w:rFonts w:cs="Times New Roman"/>
          <w:sz w:val="20"/>
          <w:szCs w:val="20"/>
        </w:rPr>
        <w:t>3745-33-</w:t>
      </w:r>
      <w:r>
        <w:rPr>
          <w:rFonts w:cs="Times New Roman"/>
          <w:sz w:val="20"/>
          <w:szCs w:val="20"/>
        </w:rPr>
        <w:t xml:space="preserve">07 9 </w:t>
      </w:r>
      <w:r w:rsidRPr="00A7116D">
        <w:rPr>
          <w:rFonts w:cs="Times New Roman"/>
          <w:sz w:val="20"/>
          <w:szCs w:val="20"/>
        </w:rPr>
        <w:t>conditions of the existing variance. The director shall</w:t>
      </w:r>
      <w:r>
        <w:rPr>
          <w:rFonts w:cs="Times New Roman"/>
          <w:sz w:val="20"/>
          <w:szCs w:val="20"/>
        </w:rPr>
        <w:t xml:space="preserve"> review and modify as necessary </w:t>
      </w:r>
      <w:r w:rsidRPr="00A7116D">
        <w:rPr>
          <w:rFonts w:cs="Times New Roman"/>
          <w:sz w:val="20"/>
          <w:szCs w:val="20"/>
        </w:rPr>
        <w:t>WQS variances as part of each WQS review pursuant to section 303(c) of the act.</w:t>
      </w:r>
      <w:r>
        <w:rPr>
          <w:rFonts w:cs="Times New Roman"/>
          <w:sz w:val="20"/>
          <w:szCs w:val="20"/>
        </w:rPr>
        <w:t>”</w:t>
      </w:r>
      <w:r w:rsidRPr="00A7116D">
        <w:rPr>
          <w:sz w:val="20"/>
          <w:szCs w:val="20"/>
        </w:rPr>
        <w:t xml:space="preserve"> </w:t>
      </w:r>
    </w:p>
    <w:p w:rsidR="00A53FEB" w:rsidRDefault="00A53FEB" w:rsidP="00B66943">
      <w:pPr>
        <w:pStyle w:val="FootnoteText"/>
      </w:pPr>
      <w:r>
        <w:tab/>
      </w:r>
    </w:p>
  </w:footnote>
  <w:footnote w:id="2">
    <w:p w:rsidR="00A53FEB" w:rsidRPr="0070506F" w:rsidRDefault="00A53FEB" w:rsidP="00B66943">
      <w:pPr>
        <w:pStyle w:val="PlainText"/>
        <w:rPr>
          <w:rFonts w:asciiTheme="minorHAnsi" w:hAnsiTheme="minorHAnsi"/>
          <w:sz w:val="20"/>
          <w:szCs w:val="20"/>
        </w:rPr>
      </w:pPr>
      <w:r w:rsidRPr="0070506F">
        <w:rPr>
          <w:rStyle w:val="FootnoteReference"/>
          <w:sz w:val="20"/>
          <w:szCs w:val="20"/>
        </w:rPr>
        <w:footnoteRef/>
      </w:r>
      <w:r w:rsidRPr="0070506F">
        <w:rPr>
          <w:sz w:val="20"/>
          <w:szCs w:val="20"/>
        </w:rPr>
        <w:t xml:space="preserve"> </w:t>
      </w:r>
      <w:r w:rsidRPr="0070506F">
        <w:rPr>
          <w:rFonts w:asciiTheme="minorHAnsi" w:hAnsiTheme="minorHAnsi"/>
          <w:sz w:val="20"/>
          <w:szCs w:val="20"/>
        </w:rPr>
        <w:t xml:space="preserve">"The duration of a water quality variance shall not exceed the term of the NPDES permit.  If the time frame of the variance is the same as the permit term, then the variance shall stay in effect until the permit is reissued or revoked." </w:t>
      </w:r>
    </w:p>
    <w:p w:rsidR="00A53FEB" w:rsidRPr="0070506F" w:rsidRDefault="00A53FEB" w:rsidP="00B66943">
      <w:pPr>
        <w:pStyle w:val="FootnoteText"/>
      </w:pPr>
    </w:p>
  </w:footnote>
  <w:footnote w:id="3">
    <w:p w:rsidR="00A53FEB" w:rsidRDefault="00A53FEB">
      <w:pPr>
        <w:pStyle w:val="FootnoteText"/>
      </w:pPr>
      <w:r>
        <w:rPr>
          <w:rStyle w:val="FootnoteReference"/>
        </w:rPr>
        <w:footnoteRef/>
      </w:r>
      <w:r>
        <w:t xml:space="preserve"> 40 CFR 131.10(g) States may remove a designated use which is not an existing use, as defined in §131.3, or establish sub-categories of a use if the State can demonstrate that attaining the designated use is not feasible because:</w:t>
      </w:r>
    </w:p>
  </w:footnote>
  <w:footnote w:id="4">
    <w:p w:rsidR="00A53FEB" w:rsidRDefault="00A53FEB">
      <w:pPr>
        <w:pStyle w:val="FootnoteText"/>
      </w:pPr>
      <w:r>
        <w:rPr>
          <w:rStyle w:val="FootnoteReference"/>
        </w:rPr>
        <w:footnoteRef/>
      </w:r>
      <w:r>
        <w:t xml:space="preserve">  40 CFR 131.10(h)</w:t>
      </w:r>
      <w:r w:rsidRPr="00A3543A">
        <w:t xml:space="preserve"> </w:t>
      </w:r>
      <w:r>
        <w:t>States may not remove designated uses if: …(2) Such uses will be attained by implementing effluent limits required under sections 301(b) and 306 of the Act and by implementing cost-effective and reasonable best management practices for nonpoint source control.</w:t>
      </w:r>
    </w:p>
  </w:footnote>
  <w:footnote w:id="5">
    <w:p w:rsidR="00A53FEB" w:rsidRPr="001A11FF" w:rsidRDefault="00A53FEB" w:rsidP="001A11FF">
      <w:pPr>
        <w:autoSpaceDE w:val="0"/>
        <w:autoSpaceDN w:val="0"/>
        <w:adjustRightInd w:val="0"/>
        <w:spacing w:after="0" w:line="240" w:lineRule="auto"/>
        <w:rPr>
          <w:rFonts w:cs="TimesNewRoman,Bold"/>
          <w:bCs/>
        </w:rPr>
      </w:pPr>
      <w:r>
        <w:rPr>
          <w:rStyle w:val="FootnoteReference"/>
        </w:rPr>
        <w:footnoteRef/>
      </w:r>
      <w:r>
        <w:t xml:space="preserve"> Nina Bell.  </w:t>
      </w:r>
      <w:r w:rsidRPr="00CD269C">
        <w:rPr>
          <w:rFonts w:cs="TimesNewRoman,Bold"/>
          <w:bCs/>
        </w:rPr>
        <w:t>Proposed Method of Addressing N</w:t>
      </w:r>
      <w:r>
        <w:rPr>
          <w:rFonts w:cs="TimesNewRoman,Bold"/>
          <w:bCs/>
        </w:rPr>
        <w:t xml:space="preserve">on-Point Source Requirements of </w:t>
      </w:r>
      <w:r w:rsidRPr="00CD269C">
        <w:rPr>
          <w:rFonts w:cs="TimesNewRoman,Bold"/>
          <w:bCs/>
        </w:rPr>
        <w:t>40 C.F.R. § 131.10(h</w:t>
      </w:r>
      <w:proofErr w:type="gramStart"/>
      <w:r w:rsidRPr="00CD269C">
        <w:rPr>
          <w:rFonts w:cs="TimesNewRoman,Bold"/>
          <w:bCs/>
        </w:rPr>
        <w:t>)(</w:t>
      </w:r>
      <w:proofErr w:type="gramEnd"/>
      <w:r w:rsidRPr="00CD269C">
        <w:rPr>
          <w:rFonts w:cs="TimesNewRoman,Bold"/>
          <w:bCs/>
        </w:rPr>
        <w:t>2) When Considering Variance Requests.</w:t>
      </w:r>
      <w:r>
        <w:rPr>
          <w:rFonts w:cs="TimesNewRoman,Bold"/>
          <w:bCs/>
        </w:rPr>
        <w:t xml:space="preserve">  February 10,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EB" w:rsidRDefault="00A53FEB">
    <w:pPr>
      <w:pStyle w:val="Header"/>
    </w:pPr>
    <w:r>
      <w:t xml:space="preserve">Toxics Rulemaking:  Variance Decision Memo </w:t>
    </w:r>
    <w:r>
      <w:tab/>
    </w:r>
    <w:r>
      <w:tab/>
      <w:t xml:space="preserve">     May 13, 2010                                                                                                                                               </w:t>
    </w:r>
  </w:p>
  <w:p w:rsidR="00A53FEB" w:rsidRDefault="00A53F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22C669A"/>
    <w:multiLevelType w:val="hybridMultilevel"/>
    <w:tmpl w:val="64D6F446"/>
    <w:lvl w:ilvl="0" w:tplc="255C862A">
      <w:start w:val="4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770F8B"/>
    <w:multiLevelType w:val="hybridMultilevel"/>
    <w:tmpl w:val="CD105B1A"/>
    <w:lvl w:ilvl="0" w:tplc="A650EC88">
      <w:start w:val="40"/>
      <w:numFmt w:val="bullet"/>
      <w:lvlText w:val=""/>
      <w:lvlJc w:val="left"/>
      <w:pPr>
        <w:ind w:left="1080" w:hanging="360"/>
      </w:pPr>
      <w:rPr>
        <w:rFonts w:ascii="Symbol" w:eastAsia="Times New Roman" w:hAnsi="Symbol"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
    <w:nsid w:val="67A021E1"/>
    <w:multiLevelType w:val="hybridMultilevel"/>
    <w:tmpl w:val="73447E78"/>
    <w:lvl w:ilvl="0" w:tplc="6FEC0C30">
      <w:start w:val="4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D2E5A5A"/>
    <w:multiLevelType w:val="hybridMultilevel"/>
    <w:tmpl w:val="D85CBFC8"/>
    <w:lvl w:ilvl="0" w:tplc="2D50A578">
      <w:start w:val="1"/>
      <w:numFmt w:val="decimal"/>
      <w:lvlText w:val="%1."/>
      <w:lvlJc w:val="left"/>
      <w:pPr>
        <w:ind w:left="720" w:hanging="360"/>
      </w:pPr>
      <w:rPr>
        <w:rFonts w:hint="default"/>
      </w:rPr>
    </w:lvl>
    <w:lvl w:ilvl="1" w:tplc="04090003">
      <w:numFmt w:val="bullet"/>
      <w:lvlText w:val="-"/>
      <w:lvlJc w:val="left"/>
      <w:pPr>
        <w:ind w:left="1440" w:hanging="360"/>
      </w:pPr>
      <w:rPr>
        <w:rFonts w:ascii="Calibri" w:eastAsia="Times New Roman" w:hAnsi="Calibri" w:cs="Times New Roman"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74717114"/>
    <w:multiLevelType w:val="hybridMultilevel"/>
    <w:tmpl w:val="BDB20EB6"/>
    <w:lvl w:ilvl="0" w:tplc="37A2896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7DA907FB"/>
    <w:multiLevelType w:val="hybridMultilevel"/>
    <w:tmpl w:val="6E7CE368"/>
    <w:lvl w:ilvl="0" w:tplc="0409000F">
      <w:start w:val="1"/>
      <w:numFmt w:val="decimal"/>
      <w:lvlText w:val="%1)"/>
      <w:lvlJc w:val="left"/>
      <w:pPr>
        <w:ind w:left="720" w:hanging="360"/>
      </w:pPr>
      <w:rPr>
        <w:rFonts w:hint="default"/>
        <w:b/>
      </w:rPr>
    </w:lvl>
    <w:lvl w:ilvl="1" w:tplc="FBF8EA4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887BEB"/>
    <w:rsid w:val="00013AD1"/>
    <w:rsid w:val="0004069D"/>
    <w:rsid w:val="0005422F"/>
    <w:rsid w:val="00057A69"/>
    <w:rsid w:val="0006306E"/>
    <w:rsid w:val="00070F93"/>
    <w:rsid w:val="00097826"/>
    <w:rsid w:val="000A4053"/>
    <w:rsid w:val="000B455B"/>
    <w:rsid w:val="000E3579"/>
    <w:rsid w:val="000F0715"/>
    <w:rsid w:val="00114041"/>
    <w:rsid w:val="001141F6"/>
    <w:rsid w:val="00140F5F"/>
    <w:rsid w:val="00141B25"/>
    <w:rsid w:val="001547C6"/>
    <w:rsid w:val="00194016"/>
    <w:rsid w:val="00197779"/>
    <w:rsid w:val="001A11FF"/>
    <w:rsid w:val="001A713B"/>
    <w:rsid w:val="001B6949"/>
    <w:rsid w:val="001D3D78"/>
    <w:rsid w:val="00244CCF"/>
    <w:rsid w:val="002842A2"/>
    <w:rsid w:val="002A6EC8"/>
    <w:rsid w:val="003179EF"/>
    <w:rsid w:val="003345F9"/>
    <w:rsid w:val="003610B7"/>
    <w:rsid w:val="00375B14"/>
    <w:rsid w:val="00383899"/>
    <w:rsid w:val="003845EE"/>
    <w:rsid w:val="003876CF"/>
    <w:rsid w:val="003B5EBF"/>
    <w:rsid w:val="003B741D"/>
    <w:rsid w:val="003D20E0"/>
    <w:rsid w:val="00407F2A"/>
    <w:rsid w:val="004344BA"/>
    <w:rsid w:val="00445FEB"/>
    <w:rsid w:val="004967F7"/>
    <w:rsid w:val="004A67D7"/>
    <w:rsid w:val="004B5018"/>
    <w:rsid w:val="004C6200"/>
    <w:rsid w:val="004D0743"/>
    <w:rsid w:val="004F599B"/>
    <w:rsid w:val="00515AF0"/>
    <w:rsid w:val="00554FDB"/>
    <w:rsid w:val="005555BD"/>
    <w:rsid w:val="005B0748"/>
    <w:rsid w:val="005E781F"/>
    <w:rsid w:val="00601A11"/>
    <w:rsid w:val="00603F68"/>
    <w:rsid w:val="006102FC"/>
    <w:rsid w:val="00633966"/>
    <w:rsid w:val="00636F6D"/>
    <w:rsid w:val="006418B5"/>
    <w:rsid w:val="00686261"/>
    <w:rsid w:val="006901F7"/>
    <w:rsid w:val="00691BFC"/>
    <w:rsid w:val="00697E2A"/>
    <w:rsid w:val="006A0D40"/>
    <w:rsid w:val="006F64BC"/>
    <w:rsid w:val="0070506F"/>
    <w:rsid w:val="007246AE"/>
    <w:rsid w:val="0072642D"/>
    <w:rsid w:val="00762636"/>
    <w:rsid w:val="00773563"/>
    <w:rsid w:val="0079227C"/>
    <w:rsid w:val="007A08D2"/>
    <w:rsid w:val="007C49C2"/>
    <w:rsid w:val="007D7F67"/>
    <w:rsid w:val="007E341E"/>
    <w:rsid w:val="00817624"/>
    <w:rsid w:val="0084517F"/>
    <w:rsid w:val="008726CE"/>
    <w:rsid w:val="00887BEB"/>
    <w:rsid w:val="008C104D"/>
    <w:rsid w:val="008E2BC6"/>
    <w:rsid w:val="00933329"/>
    <w:rsid w:val="009612A5"/>
    <w:rsid w:val="009658A4"/>
    <w:rsid w:val="00965F08"/>
    <w:rsid w:val="009707BA"/>
    <w:rsid w:val="00994E25"/>
    <w:rsid w:val="009C26BE"/>
    <w:rsid w:val="009D1B24"/>
    <w:rsid w:val="009D1F55"/>
    <w:rsid w:val="009E01B4"/>
    <w:rsid w:val="00A064E0"/>
    <w:rsid w:val="00A3543A"/>
    <w:rsid w:val="00A43269"/>
    <w:rsid w:val="00A458BA"/>
    <w:rsid w:val="00A53FEB"/>
    <w:rsid w:val="00A61E15"/>
    <w:rsid w:val="00A7116D"/>
    <w:rsid w:val="00A83762"/>
    <w:rsid w:val="00A90C2C"/>
    <w:rsid w:val="00A97091"/>
    <w:rsid w:val="00AB149F"/>
    <w:rsid w:val="00AF55B0"/>
    <w:rsid w:val="00B51AD9"/>
    <w:rsid w:val="00B646DA"/>
    <w:rsid w:val="00B66943"/>
    <w:rsid w:val="00B73655"/>
    <w:rsid w:val="00B762F3"/>
    <w:rsid w:val="00B77C0C"/>
    <w:rsid w:val="00B97FB0"/>
    <w:rsid w:val="00BA0DE4"/>
    <w:rsid w:val="00BA41A8"/>
    <w:rsid w:val="00BD4E10"/>
    <w:rsid w:val="00BE7F3E"/>
    <w:rsid w:val="00BF3B67"/>
    <w:rsid w:val="00C30155"/>
    <w:rsid w:val="00C44FB0"/>
    <w:rsid w:val="00C75F2C"/>
    <w:rsid w:val="00C851DD"/>
    <w:rsid w:val="00CA2427"/>
    <w:rsid w:val="00CB329D"/>
    <w:rsid w:val="00CB5E6B"/>
    <w:rsid w:val="00CD269C"/>
    <w:rsid w:val="00CE2BC6"/>
    <w:rsid w:val="00CE7F0B"/>
    <w:rsid w:val="00D001F0"/>
    <w:rsid w:val="00D63DB6"/>
    <w:rsid w:val="00D719F0"/>
    <w:rsid w:val="00DA25D3"/>
    <w:rsid w:val="00DA3E69"/>
    <w:rsid w:val="00DD6B34"/>
    <w:rsid w:val="00DD700C"/>
    <w:rsid w:val="00E00928"/>
    <w:rsid w:val="00E320C1"/>
    <w:rsid w:val="00E42026"/>
    <w:rsid w:val="00E44F9C"/>
    <w:rsid w:val="00E53FB3"/>
    <w:rsid w:val="00E73261"/>
    <w:rsid w:val="00E74683"/>
    <w:rsid w:val="00E82C5A"/>
    <w:rsid w:val="00EA28F3"/>
    <w:rsid w:val="00EA6C06"/>
    <w:rsid w:val="00EE2E7A"/>
    <w:rsid w:val="00F05F9E"/>
    <w:rsid w:val="00F2656C"/>
    <w:rsid w:val="00F32415"/>
    <w:rsid w:val="00F34100"/>
    <w:rsid w:val="00F34802"/>
    <w:rsid w:val="00F37B42"/>
    <w:rsid w:val="00F43FA3"/>
    <w:rsid w:val="00F61055"/>
    <w:rsid w:val="00F62917"/>
    <w:rsid w:val="00F72469"/>
    <w:rsid w:val="00F73EC9"/>
    <w:rsid w:val="00FB1BAD"/>
    <w:rsid w:val="00FC0052"/>
    <w:rsid w:val="00FF6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BEB"/>
  </w:style>
  <w:style w:type="paragraph" w:styleId="Footer">
    <w:name w:val="footer"/>
    <w:basedOn w:val="Normal"/>
    <w:link w:val="FooterChar"/>
    <w:uiPriority w:val="99"/>
    <w:unhideWhenUsed/>
    <w:rsid w:val="00887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BEB"/>
  </w:style>
  <w:style w:type="paragraph" w:styleId="BalloonText">
    <w:name w:val="Balloon Text"/>
    <w:basedOn w:val="Normal"/>
    <w:link w:val="BalloonTextChar"/>
    <w:uiPriority w:val="99"/>
    <w:semiHidden/>
    <w:unhideWhenUsed/>
    <w:rsid w:val="00887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BEB"/>
    <w:rPr>
      <w:rFonts w:ascii="Tahoma" w:hAnsi="Tahoma" w:cs="Tahoma"/>
      <w:sz w:val="16"/>
      <w:szCs w:val="16"/>
    </w:rPr>
  </w:style>
  <w:style w:type="paragraph" w:styleId="ListParagraph">
    <w:name w:val="List Paragraph"/>
    <w:basedOn w:val="Normal"/>
    <w:link w:val="ListParagraphChar"/>
    <w:uiPriority w:val="99"/>
    <w:qFormat/>
    <w:rsid w:val="00887BEB"/>
    <w:pPr>
      <w:ind w:left="720"/>
      <w:contextualSpacing/>
    </w:pPr>
  </w:style>
  <w:style w:type="paragraph" w:styleId="CommentText">
    <w:name w:val="annotation text"/>
    <w:basedOn w:val="Normal"/>
    <w:link w:val="CommentTextChar"/>
    <w:semiHidden/>
    <w:rsid w:val="001A71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A713B"/>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F3241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32415"/>
    <w:rPr>
      <w:rFonts w:ascii="Consolas" w:hAnsi="Consolas"/>
      <w:sz w:val="21"/>
      <w:szCs w:val="21"/>
    </w:rPr>
  </w:style>
  <w:style w:type="character" w:styleId="CommentReference">
    <w:name w:val="annotation reference"/>
    <w:basedOn w:val="DefaultParagraphFont"/>
    <w:semiHidden/>
    <w:unhideWhenUsed/>
    <w:rsid w:val="00E82C5A"/>
    <w:rPr>
      <w:sz w:val="16"/>
      <w:szCs w:val="16"/>
    </w:rPr>
  </w:style>
  <w:style w:type="paragraph" w:styleId="CommentSubject">
    <w:name w:val="annotation subject"/>
    <w:basedOn w:val="CommentText"/>
    <w:next w:val="CommentText"/>
    <w:link w:val="CommentSubjectChar"/>
    <w:uiPriority w:val="99"/>
    <w:semiHidden/>
    <w:unhideWhenUsed/>
    <w:rsid w:val="00E82C5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82C5A"/>
    <w:rPr>
      <w:b/>
      <w:bCs/>
    </w:rPr>
  </w:style>
  <w:style w:type="paragraph" w:styleId="FootnoteText">
    <w:name w:val="footnote text"/>
    <w:basedOn w:val="Normal"/>
    <w:link w:val="FootnoteTextChar"/>
    <w:uiPriority w:val="99"/>
    <w:semiHidden/>
    <w:unhideWhenUsed/>
    <w:rsid w:val="00C44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FB0"/>
    <w:rPr>
      <w:sz w:val="20"/>
      <w:szCs w:val="20"/>
    </w:rPr>
  </w:style>
  <w:style w:type="character" w:styleId="FootnoteReference">
    <w:name w:val="footnote reference"/>
    <w:basedOn w:val="DefaultParagraphFont"/>
    <w:uiPriority w:val="99"/>
    <w:semiHidden/>
    <w:unhideWhenUsed/>
    <w:rsid w:val="00C44FB0"/>
    <w:rPr>
      <w:vertAlign w:val="superscript"/>
    </w:rPr>
  </w:style>
  <w:style w:type="character" w:styleId="Hyperlink">
    <w:name w:val="Hyperlink"/>
    <w:basedOn w:val="DefaultParagraphFont"/>
    <w:uiPriority w:val="99"/>
    <w:unhideWhenUsed/>
    <w:rsid w:val="00A43269"/>
    <w:rPr>
      <w:color w:val="0000FF" w:themeColor="hyperlink"/>
      <w:u w:val="single"/>
    </w:rPr>
  </w:style>
  <w:style w:type="character" w:styleId="Strong">
    <w:name w:val="Strong"/>
    <w:basedOn w:val="DefaultParagraphFont"/>
    <w:uiPriority w:val="22"/>
    <w:qFormat/>
    <w:rsid w:val="00603F68"/>
    <w:rPr>
      <w:b/>
      <w:bCs/>
    </w:rPr>
  </w:style>
  <w:style w:type="paragraph" w:styleId="NormalWeb">
    <w:name w:val="Normal (Web)"/>
    <w:basedOn w:val="Normal"/>
    <w:uiPriority w:val="99"/>
    <w:unhideWhenUsed/>
    <w:rsid w:val="00603F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07F2A"/>
    <w:pPr>
      <w:spacing w:after="0" w:line="240" w:lineRule="auto"/>
    </w:pPr>
  </w:style>
  <w:style w:type="character" w:customStyle="1" w:styleId="ListParagraphChar">
    <w:name w:val="List Paragraph Char"/>
    <w:basedOn w:val="DefaultParagraphFont"/>
    <w:link w:val="ListParagraph"/>
    <w:uiPriority w:val="99"/>
    <w:locked/>
    <w:rsid w:val="00244CCF"/>
  </w:style>
</w:styles>
</file>

<file path=word/webSettings.xml><?xml version="1.0" encoding="utf-8"?>
<w:webSettings xmlns:r="http://schemas.openxmlformats.org/officeDocument/2006/relationships" xmlns:w="http://schemas.openxmlformats.org/wordprocessingml/2006/main">
  <w:divs>
    <w:div w:id="1175732922">
      <w:bodyDiv w:val="1"/>
      <w:marLeft w:val="0"/>
      <w:marRight w:val="0"/>
      <w:marTop w:val="0"/>
      <w:marBottom w:val="0"/>
      <w:divBdr>
        <w:top w:val="none" w:sz="0" w:space="0" w:color="auto"/>
        <w:left w:val="none" w:sz="0" w:space="0" w:color="auto"/>
        <w:bottom w:val="none" w:sz="0" w:space="0" w:color="auto"/>
        <w:right w:val="none" w:sz="0" w:space="0" w:color="auto"/>
      </w:divBdr>
    </w:div>
    <w:div w:id="209997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waterscience/standards/library/variancemem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67736-AFB8-427D-BD08-5009EC62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3727</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3</cp:revision>
  <cp:lastPrinted>2010-05-13T19:34:00Z</cp:lastPrinted>
  <dcterms:created xsi:type="dcterms:W3CDTF">2010-05-13T20:47:00Z</dcterms:created>
  <dcterms:modified xsi:type="dcterms:W3CDTF">2010-05-13T21:34:00Z</dcterms:modified>
</cp:coreProperties>
</file>