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72A" w:rsidRPr="00C70CDB" w:rsidRDefault="00A0072A" w:rsidP="00A0072A">
      <w:pPr>
        <w:spacing w:after="0" w:line="240" w:lineRule="auto"/>
        <w:jc w:val="center"/>
        <w:rPr>
          <w:b/>
          <w:sz w:val="32"/>
          <w:szCs w:val="32"/>
        </w:rPr>
      </w:pPr>
      <w:r w:rsidRPr="00C70CDB">
        <w:rPr>
          <w:b/>
          <w:sz w:val="32"/>
          <w:szCs w:val="32"/>
        </w:rPr>
        <w:t>MEMO</w:t>
      </w:r>
    </w:p>
    <w:p w:rsidR="00A0072A" w:rsidRDefault="00A0072A" w:rsidP="00CC0AA0">
      <w:pPr>
        <w:spacing w:after="0" w:line="240" w:lineRule="auto"/>
        <w:rPr>
          <w:b/>
          <w:sz w:val="24"/>
          <w:szCs w:val="24"/>
        </w:rPr>
      </w:pPr>
    </w:p>
    <w:p w:rsidR="00CC0AA0" w:rsidRPr="00D357DB" w:rsidRDefault="00CC0AA0" w:rsidP="00CC0AA0">
      <w:pPr>
        <w:spacing w:after="0" w:line="240" w:lineRule="auto"/>
        <w:rPr>
          <w:b/>
          <w:sz w:val="24"/>
          <w:szCs w:val="24"/>
        </w:rPr>
      </w:pPr>
      <w:r w:rsidRPr="00D357DB">
        <w:rPr>
          <w:b/>
          <w:sz w:val="24"/>
          <w:szCs w:val="24"/>
        </w:rPr>
        <w:t xml:space="preserve">Date:  May </w:t>
      </w:r>
      <w:r w:rsidR="005A307B">
        <w:rPr>
          <w:b/>
          <w:sz w:val="24"/>
          <w:szCs w:val="24"/>
        </w:rPr>
        <w:t>13</w:t>
      </w:r>
      <w:r w:rsidRPr="00D357DB">
        <w:rPr>
          <w:b/>
          <w:sz w:val="24"/>
          <w:szCs w:val="24"/>
        </w:rPr>
        <w:t>, 2010</w:t>
      </w:r>
    </w:p>
    <w:p w:rsidR="00CC0AA0" w:rsidRPr="00D357DB" w:rsidRDefault="00CC0AA0" w:rsidP="00CC0AA0">
      <w:pPr>
        <w:spacing w:after="0" w:line="240" w:lineRule="auto"/>
        <w:rPr>
          <w:b/>
          <w:sz w:val="24"/>
          <w:szCs w:val="24"/>
        </w:rPr>
      </w:pPr>
    </w:p>
    <w:p w:rsidR="00CC0AA0" w:rsidRPr="00D357DB" w:rsidRDefault="00CC0AA0" w:rsidP="00CC0AA0">
      <w:pPr>
        <w:spacing w:after="0" w:line="240" w:lineRule="auto"/>
        <w:rPr>
          <w:b/>
          <w:sz w:val="24"/>
          <w:szCs w:val="24"/>
        </w:rPr>
      </w:pPr>
      <w:r w:rsidRPr="00D357DB">
        <w:rPr>
          <w:b/>
          <w:sz w:val="24"/>
          <w:szCs w:val="24"/>
        </w:rPr>
        <w:t>To:  Non-NPDES Elements of Water Quality Toxics Rulemaking Workgroup</w:t>
      </w:r>
    </w:p>
    <w:p w:rsidR="00CC0AA0" w:rsidRPr="00D357DB" w:rsidRDefault="00CC0AA0" w:rsidP="00CC0AA0">
      <w:pPr>
        <w:spacing w:after="0" w:line="240" w:lineRule="auto"/>
        <w:rPr>
          <w:b/>
          <w:sz w:val="24"/>
          <w:szCs w:val="24"/>
        </w:rPr>
      </w:pPr>
    </w:p>
    <w:p w:rsidR="00CC0AA0" w:rsidRPr="00D357DB" w:rsidRDefault="00CC0AA0" w:rsidP="00CC0AA0">
      <w:pPr>
        <w:spacing w:after="120" w:line="240" w:lineRule="auto"/>
        <w:ind w:left="540" w:hanging="540"/>
        <w:rPr>
          <w:b/>
          <w:sz w:val="24"/>
          <w:szCs w:val="24"/>
        </w:rPr>
      </w:pPr>
      <w:r w:rsidRPr="00D357DB">
        <w:rPr>
          <w:b/>
          <w:sz w:val="24"/>
          <w:szCs w:val="24"/>
        </w:rPr>
        <w:t>From:  DEQ Water Quality Division</w:t>
      </w:r>
    </w:p>
    <w:p w:rsidR="00BC1C29" w:rsidRPr="00D357DB" w:rsidRDefault="00CC0AA0" w:rsidP="00CC0AA0">
      <w:pPr>
        <w:spacing w:after="120" w:line="240" w:lineRule="auto"/>
        <w:ind w:left="540" w:hanging="540"/>
        <w:rPr>
          <w:b/>
          <w:sz w:val="24"/>
          <w:szCs w:val="24"/>
        </w:rPr>
      </w:pPr>
      <w:r w:rsidRPr="00D357DB">
        <w:rPr>
          <w:b/>
          <w:sz w:val="24"/>
          <w:szCs w:val="24"/>
        </w:rPr>
        <w:t xml:space="preserve">Re:  </w:t>
      </w:r>
      <w:r w:rsidR="00D478DF" w:rsidRPr="00D357DB">
        <w:rPr>
          <w:b/>
          <w:sz w:val="24"/>
          <w:szCs w:val="24"/>
        </w:rPr>
        <w:t xml:space="preserve">Scoping Evaluation for </w:t>
      </w:r>
      <w:r w:rsidRPr="00D357DB">
        <w:rPr>
          <w:b/>
          <w:sz w:val="24"/>
          <w:szCs w:val="24"/>
        </w:rPr>
        <w:t>N</w:t>
      </w:r>
      <w:r w:rsidR="00D478DF" w:rsidRPr="00D357DB">
        <w:rPr>
          <w:b/>
          <w:sz w:val="24"/>
          <w:szCs w:val="24"/>
        </w:rPr>
        <w:t>on-NPDES Elements of Water Quality Toxics Rulemaking</w:t>
      </w:r>
    </w:p>
    <w:p w:rsidR="00BC1C29" w:rsidRPr="00D357DB" w:rsidRDefault="00BC1C29" w:rsidP="00BC1C29">
      <w:pPr>
        <w:spacing w:after="120" w:line="240" w:lineRule="auto"/>
        <w:rPr>
          <w:b/>
          <w:sz w:val="24"/>
          <w:szCs w:val="24"/>
        </w:rPr>
      </w:pPr>
    </w:p>
    <w:p w:rsidR="00D72CAA" w:rsidRPr="00D72CAA" w:rsidRDefault="00D72CAA" w:rsidP="00D72CAA">
      <w:pPr>
        <w:spacing w:after="120" w:line="240" w:lineRule="auto"/>
        <w:rPr>
          <w:bCs/>
          <w:sz w:val="24"/>
          <w:szCs w:val="24"/>
        </w:rPr>
      </w:pPr>
      <w:r w:rsidRPr="00D72CAA">
        <w:rPr>
          <w:sz w:val="24"/>
          <w:szCs w:val="24"/>
        </w:rPr>
        <w:t>This memo presents DEQ’s s</w:t>
      </w:r>
      <w:r w:rsidRPr="00D72CAA">
        <w:rPr>
          <w:bCs/>
          <w:sz w:val="24"/>
          <w:szCs w:val="24"/>
        </w:rPr>
        <w:t xml:space="preserve">taff analysis and </w:t>
      </w:r>
      <w:r w:rsidR="0058504A">
        <w:rPr>
          <w:bCs/>
          <w:sz w:val="24"/>
          <w:szCs w:val="24"/>
        </w:rPr>
        <w:t>final decisions</w:t>
      </w:r>
      <w:r>
        <w:rPr>
          <w:bCs/>
          <w:sz w:val="24"/>
          <w:szCs w:val="24"/>
        </w:rPr>
        <w:t xml:space="preserve"> </w:t>
      </w:r>
      <w:r w:rsidRPr="00D72CAA">
        <w:rPr>
          <w:bCs/>
          <w:sz w:val="24"/>
          <w:szCs w:val="24"/>
        </w:rPr>
        <w:t xml:space="preserve">for Non-NPDES </w:t>
      </w:r>
      <w:r>
        <w:rPr>
          <w:bCs/>
          <w:sz w:val="24"/>
          <w:szCs w:val="24"/>
        </w:rPr>
        <w:t>e</w:t>
      </w:r>
      <w:r w:rsidRPr="00D72CAA">
        <w:rPr>
          <w:bCs/>
          <w:sz w:val="24"/>
          <w:szCs w:val="24"/>
        </w:rPr>
        <w:t xml:space="preserve">lements of </w:t>
      </w:r>
      <w:r>
        <w:rPr>
          <w:bCs/>
          <w:sz w:val="24"/>
          <w:szCs w:val="24"/>
        </w:rPr>
        <w:t>the w</w:t>
      </w:r>
      <w:r w:rsidRPr="00D72CAA">
        <w:rPr>
          <w:bCs/>
          <w:sz w:val="24"/>
          <w:szCs w:val="24"/>
        </w:rPr>
        <w:t xml:space="preserve">ater </w:t>
      </w:r>
      <w:r>
        <w:rPr>
          <w:bCs/>
          <w:sz w:val="24"/>
          <w:szCs w:val="24"/>
        </w:rPr>
        <w:t>q</w:t>
      </w:r>
      <w:r w:rsidRPr="00D72CAA">
        <w:rPr>
          <w:bCs/>
          <w:sz w:val="24"/>
          <w:szCs w:val="24"/>
        </w:rPr>
        <w:t xml:space="preserve">uality </w:t>
      </w:r>
      <w:r>
        <w:rPr>
          <w:bCs/>
          <w:sz w:val="24"/>
          <w:szCs w:val="24"/>
        </w:rPr>
        <w:t>toxics r</w:t>
      </w:r>
      <w:r w:rsidRPr="00D72CAA">
        <w:rPr>
          <w:bCs/>
          <w:sz w:val="24"/>
          <w:szCs w:val="24"/>
        </w:rPr>
        <w:t xml:space="preserve">ulemaking.  Specifically, </w:t>
      </w:r>
      <w:r>
        <w:rPr>
          <w:bCs/>
          <w:sz w:val="24"/>
          <w:szCs w:val="24"/>
        </w:rPr>
        <w:t xml:space="preserve">it identifies those </w:t>
      </w:r>
      <w:r w:rsidRPr="00D72CAA">
        <w:rPr>
          <w:bCs/>
          <w:sz w:val="24"/>
          <w:szCs w:val="24"/>
        </w:rPr>
        <w:t xml:space="preserve">items </w:t>
      </w:r>
      <w:r w:rsidR="0058504A">
        <w:rPr>
          <w:bCs/>
          <w:sz w:val="24"/>
          <w:szCs w:val="24"/>
        </w:rPr>
        <w:t>recommended</w:t>
      </w:r>
      <w:r w:rsidRPr="00D72CAA">
        <w:rPr>
          <w:bCs/>
          <w:sz w:val="24"/>
          <w:szCs w:val="24"/>
        </w:rPr>
        <w:t xml:space="preserve"> </w:t>
      </w:r>
      <w:r w:rsidR="0058504A">
        <w:rPr>
          <w:bCs/>
          <w:sz w:val="24"/>
          <w:szCs w:val="24"/>
        </w:rPr>
        <w:t xml:space="preserve">by both DEQ and stakeholders </w:t>
      </w:r>
      <w:r>
        <w:rPr>
          <w:bCs/>
          <w:sz w:val="24"/>
          <w:szCs w:val="24"/>
        </w:rPr>
        <w:t>t</w:t>
      </w:r>
      <w:r w:rsidRPr="00D72CAA">
        <w:rPr>
          <w:bCs/>
          <w:sz w:val="24"/>
          <w:szCs w:val="24"/>
        </w:rPr>
        <w:t xml:space="preserve">o be included in the </w:t>
      </w:r>
      <w:r w:rsidR="0058504A" w:rsidRPr="00D72CAA">
        <w:rPr>
          <w:bCs/>
          <w:sz w:val="24"/>
          <w:szCs w:val="24"/>
        </w:rPr>
        <w:t>rule-making</w:t>
      </w:r>
      <w:r w:rsidR="0058504A">
        <w:rPr>
          <w:bCs/>
          <w:sz w:val="24"/>
          <w:szCs w:val="24"/>
        </w:rPr>
        <w:t xml:space="preserve"> </w:t>
      </w:r>
      <w:r w:rsidRPr="00D72CAA">
        <w:rPr>
          <w:bCs/>
          <w:sz w:val="24"/>
          <w:szCs w:val="24"/>
        </w:rPr>
        <w:t>package</w:t>
      </w:r>
      <w:r>
        <w:rPr>
          <w:bCs/>
          <w:sz w:val="24"/>
          <w:szCs w:val="24"/>
        </w:rPr>
        <w:t>.</w:t>
      </w:r>
      <w:r w:rsidR="00CF1A3C" w:rsidRPr="00CF1A3C">
        <w:rPr>
          <w:sz w:val="24"/>
          <w:szCs w:val="24"/>
        </w:rPr>
        <w:t xml:space="preserve"> </w:t>
      </w:r>
      <w:r w:rsidR="00CF1A3C">
        <w:rPr>
          <w:sz w:val="24"/>
          <w:szCs w:val="24"/>
        </w:rPr>
        <w:t xml:space="preserve">DEQ appreciates the hard work the </w:t>
      </w:r>
      <w:r w:rsidR="00CF1A3C" w:rsidRPr="00D357DB">
        <w:rPr>
          <w:sz w:val="24"/>
          <w:szCs w:val="24"/>
        </w:rPr>
        <w:t>Non-NPDES Elements of Water Quality Toxics Rulemaking</w:t>
      </w:r>
      <w:r w:rsidR="00CF1A3C" w:rsidRPr="00CC0AA0">
        <w:rPr>
          <w:b/>
          <w:sz w:val="24"/>
          <w:szCs w:val="24"/>
        </w:rPr>
        <w:t xml:space="preserve"> </w:t>
      </w:r>
      <w:r w:rsidR="00CF1A3C">
        <w:rPr>
          <w:sz w:val="24"/>
          <w:szCs w:val="24"/>
        </w:rPr>
        <w:t xml:space="preserve">Workgroup has provided.  </w:t>
      </w:r>
    </w:p>
    <w:p w:rsidR="0058504A" w:rsidRPr="00C70CDB" w:rsidRDefault="0058504A" w:rsidP="0058504A">
      <w:pPr>
        <w:pStyle w:val="Heading2"/>
        <w:spacing w:line="360" w:lineRule="auto"/>
        <w:rPr>
          <w:sz w:val="28"/>
          <w:szCs w:val="28"/>
        </w:rPr>
      </w:pPr>
      <w:r>
        <w:rPr>
          <w:sz w:val="28"/>
          <w:szCs w:val="28"/>
        </w:rPr>
        <w:t>Introduction</w:t>
      </w:r>
    </w:p>
    <w:p w:rsidR="00CC0AA0" w:rsidRDefault="00CC0AA0" w:rsidP="00CC0AA0">
      <w:pPr>
        <w:spacing w:after="120" w:line="240" w:lineRule="auto"/>
        <w:rPr>
          <w:sz w:val="24"/>
          <w:szCs w:val="24"/>
        </w:rPr>
      </w:pPr>
      <w:r>
        <w:rPr>
          <w:sz w:val="24"/>
          <w:szCs w:val="24"/>
        </w:rPr>
        <w:t>T</w:t>
      </w:r>
      <w:r w:rsidR="00EE0D86" w:rsidRPr="0054630C">
        <w:rPr>
          <w:sz w:val="24"/>
          <w:szCs w:val="24"/>
        </w:rPr>
        <w:t xml:space="preserve">he EQC </w:t>
      </w:r>
      <w:r>
        <w:rPr>
          <w:sz w:val="24"/>
          <w:szCs w:val="24"/>
        </w:rPr>
        <w:t xml:space="preserve">issued a </w:t>
      </w:r>
      <w:r w:rsidR="00EE0D86" w:rsidRPr="0054630C">
        <w:rPr>
          <w:sz w:val="24"/>
          <w:szCs w:val="24"/>
        </w:rPr>
        <w:t xml:space="preserve">directive to </w:t>
      </w:r>
      <w:r>
        <w:rPr>
          <w:sz w:val="24"/>
          <w:szCs w:val="24"/>
        </w:rPr>
        <w:t xml:space="preserve">DEQ to </w:t>
      </w:r>
      <w:r w:rsidR="00EE0D86" w:rsidRPr="0054630C">
        <w:rPr>
          <w:sz w:val="24"/>
          <w:szCs w:val="24"/>
        </w:rPr>
        <w:t xml:space="preserve">develop rules or other implementation strategies to reduce toxic pollution from sources not </w:t>
      </w:r>
      <w:r w:rsidR="001A10E0">
        <w:rPr>
          <w:sz w:val="24"/>
          <w:szCs w:val="24"/>
        </w:rPr>
        <w:t xml:space="preserve">regulated by </w:t>
      </w:r>
      <w:r w:rsidR="00EE0D86" w:rsidRPr="0054630C">
        <w:rPr>
          <w:sz w:val="24"/>
          <w:szCs w:val="24"/>
        </w:rPr>
        <w:t>permit</w:t>
      </w:r>
      <w:r w:rsidR="001A10E0">
        <w:rPr>
          <w:sz w:val="24"/>
          <w:szCs w:val="24"/>
        </w:rPr>
        <w:t>s</w:t>
      </w:r>
      <w:r w:rsidR="00EE0D86" w:rsidRPr="0054630C">
        <w:rPr>
          <w:sz w:val="24"/>
          <w:szCs w:val="24"/>
        </w:rPr>
        <w:t xml:space="preserve"> under the </w:t>
      </w:r>
      <w:r w:rsidR="00323B30">
        <w:rPr>
          <w:sz w:val="24"/>
          <w:szCs w:val="24"/>
        </w:rPr>
        <w:t>federal</w:t>
      </w:r>
      <w:r w:rsidR="00A0072A">
        <w:rPr>
          <w:sz w:val="24"/>
          <w:szCs w:val="24"/>
        </w:rPr>
        <w:t xml:space="preserve"> </w:t>
      </w:r>
      <w:r w:rsidR="00EE0D86" w:rsidRPr="0054630C">
        <w:rPr>
          <w:sz w:val="24"/>
          <w:szCs w:val="24"/>
        </w:rPr>
        <w:t xml:space="preserve">Clean Water Act.  </w:t>
      </w:r>
      <w:r w:rsidRPr="0054630C">
        <w:rPr>
          <w:sz w:val="24"/>
          <w:szCs w:val="24"/>
        </w:rPr>
        <w:t xml:space="preserve">Many ideas have been generated </w:t>
      </w:r>
      <w:r>
        <w:rPr>
          <w:sz w:val="24"/>
          <w:szCs w:val="24"/>
        </w:rPr>
        <w:t xml:space="preserve">by the workgroup and DEQ staff </w:t>
      </w:r>
      <w:r w:rsidRPr="0054630C">
        <w:rPr>
          <w:sz w:val="24"/>
          <w:szCs w:val="24"/>
        </w:rPr>
        <w:t xml:space="preserve">to address </w:t>
      </w:r>
      <w:r>
        <w:rPr>
          <w:sz w:val="24"/>
          <w:szCs w:val="24"/>
        </w:rPr>
        <w:t xml:space="preserve">this directive.  </w:t>
      </w:r>
      <w:r w:rsidR="00EE0D86" w:rsidRPr="0054630C">
        <w:rPr>
          <w:sz w:val="24"/>
          <w:szCs w:val="24"/>
        </w:rPr>
        <w:t xml:space="preserve">In order for DEQ to adhere to our rulemaking timeline, </w:t>
      </w:r>
      <w:r w:rsidR="00C70CDB">
        <w:rPr>
          <w:sz w:val="24"/>
          <w:szCs w:val="24"/>
        </w:rPr>
        <w:t xml:space="preserve">DEQ </w:t>
      </w:r>
      <w:r w:rsidR="003D1BF3">
        <w:rPr>
          <w:sz w:val="24"/>
          <w:szCs w:val="24"/>
        </w:rPr>
        <w:t>made a final decision</w:t>
      </w:r>
      <w:r w:rsidR="00EE0D86" w:rsidRPr="0054630C">
        <w:rPr>
          <w:sz w:val="24"/>
          <w:szCs w:val="24"/>
        </w:rPr>
        <w:t xml:space="preserve"> on the scope of the water quality rulemaking package </w:t>
      </w:r>
      <w:r w:rsidR="00EE0D86">
        <w:rPr>
          <w:sz w:val="24"/>
          <w:szCs w:val="24"/>
        </w:rPr>
        <w:t>at the beginning of May</w:t>
      </w:r>
      <w:r w:rsidR="00EE0D86" w:rsidRPr="0054630C">
        <w:rPr>
          <w:sz w:val="24"/>
          <w:szCs w:val="24"/>
        </w:rPr>
        <w:t xml:space="preserve"> 2010.  Items that are not included in this rulemaking package will be considered under the agency’s </w:t>
      </w:r>
      <w:r w:rsidR="00EE0D86">
        <w:rPr>
          <w:sz w:val="24"/>
          <w:szCs w:val="24"/>
        </w:rPr>
        <w:t>cross-media</w:t>
      </w:r>
      <w:r w:rsidR="00BC1C29">
        <w:rPr>
          <w:sz w:val="24"/>
          <w:szCs w:val="24"/>
        </w:rPr>
        <w:t xml:space="preserve"> Toxics Reduction Strategy.</w:t>
      </w:r>
    </w:p>
    <w:p w:rsidR="00EE0D86" w:rsidRPr="0054630C" w:rsidRDefault="00EE0D86" w:rsidP="00CC0AA0">
      <w:pPr>
        <w:spacing w:after="120" w:line="240" w:lineRule="auto"/>
        <w:rPr>
          <w:sz w:val="24"/>
          <w:szCs w:val="24"/>
        </w:rPr>
      </w:pPr>
      <w:r w:rsidRPr="0054630C">
        <w:rPr>
          <w:sz w:val="24"/>
          <w:szCs w:val="24"/>
        </w:rPr>
        <w:t xml:space="preserve">In addition, </w:t>
      </w:r>
      <w:r w:rsidR="003D1BF3">
        <w:rPr>
          <w:sz w:val="24"/>
          <w:szCs w:val="24"/>
        </w:rPr>
        <w:t>the Workgroup can choose to continue to meet to develop recommendations</w:t>
      </w:r>
      <w:r w:rsidR="003D1BF3" w:rsidRPr="0054630C">
        <w:rPr>
          <w:sz w:val="24"/>
          <w:szCs w:val="24"/>
        </w:rPr>
        <w:t xml:space="preserve"> to DEQ </w:t>
      </w:r>
      <w:r w:rsidR="003D1BF3">
        <w:rPr>
          <w:sz w:val="24"/>
          <w:szCs w:val="24"/>
        </w:rPr>
        <w:t xml:space="preserve">or to the EQC </w:t>
      </w:r>
      <w:r w:rsidR="003D1BF3" w:rsidRPr="0054630C">
        <w:rPr>
          <w:sz w:val="24"/>
          <w:szCs w:val="24"/>
        </w:rPr>
        <w:t>about further actions</w:t>
      </w:r>
      <w:r w:rsidR="003D1BF3">
        <w:rPr>
          <w:sz w:val="24"/>
          <w:szCs w:val="24"/>
        </w:rPr>
        <w:t xml:space="preserve"> </w:t>
      </w:r>
      <w:r>
        <w:rPr>
          <w:sz w:val="24"/>
          <w:szCs w:val="24"/>
        </w:rPr>
        <w:t>following completion of the rule development work by the</w:t>
      </w:r>
      <w:r w:rsidRPr="0054630C">
        <w:rPr>
          <w:sz w:val="24"/>
          <w:szCs w:val="24"/>
        </w:rPr>
        <w:t xml:space="preserve"> Workgroup </w:t>
      </w:r>
      <w:r>
        <w:rPr>
          <w:sz w:val="24"/>
          <w:szCs w:val="24"/>
        </w:rPr>
        <w:t>estimated to</w:t>
      </w:r>
      <w:r w:rsidR="003D1BF3">
        <w:rPr>
          <w:sz w:val="24"/>
          <w:szCs w:val="24"/>
        </w:rPr>
        <w:t xml:space="preserve"> be completed by September 2010.  Further actions could include </w:t>
      </w:r>
      <w:r>
        <w:rPr>
          <w:sz w:val="24"/>
          <w:szCs w:val="24"/>
        </w:rPr>
        <w:t>additional rulemakings</w:t>
      </w:r>
      <w:r w:rsidRPr="0054630C">
        <w:rPr>
          <w:sz w:val="24"/>
          <w:szCs w:val="24"/>
        </w:rPr>
        <w:t>, working w</w:t>
      </w:r>
      <w:r>
        <w:rPr>
          <w:sz w:val="24"/>
          <w:szCs w:val="24"/>
        </w:rPr>
        <w:t xml:space="preserve">ith partner agencies, voluntary or incentive-based </w:t>
      </w:r>
      <w:r w:rsidRPr="0054630C">
        <w:rPr>
          <w:sz w:val="24"/>
          <w:szCs w:val="24"/>
        </w:rPr>
        <w:t>programs, etc.</w:t>
      </w:r>
      <w:r>
        <w:rPr>
          <w:sz w:val="24"/>
          <w:szCs w:val="24"/>
        </w:rPr>
        <w:t xml:space="preserve"> DEQ will reserve time at the end of our series of meetings focused on the rulemaking package to provide an opportunity for the Rulemaking Workgroup to discuss and decide if they wish to pursue development of any additional recommendations.</w:t>
      </w:r>
    </w:p>
    <w:p w:rsidR="00EE0D86" w:rsidRDefault="00EE0D86" w:rsidP="00BC1C29">
      <w:pPr>
        <w:spacing w:after="120" w:line="240" w:lineRule="auto"/>
        <w:rPr>
          <w:sz w:val="24"/>
          <w:szCs w:val="24"/>
        </w:rPr>
      </w:pPr>
      <w:r w:rsidRPr="0054630C">
        <w:rPr>
          <w:sz w:val="24"/>
          <w:szCs w:val="24"/>
        </w:rPr>
        <w:t>D</w:t>
      </w:r>
      <w:r w:rsidR="00EC47DA">
        <w:rPr>
          <w:sz w:val="24"/>
          <w:szCs w:val="24"/>
        </w:rPr>
        <w:t>EQ</w:t>
      </w:r>
      <w:r w:rsidRPr="0054630C">
        <w:rPr>
          <w:sz w:val="24"/>
          <w:szCs w:val="24"/>
        </w:rPr>
        <w:t xml:space="preserve"> </w:t>
      </w:r>
      <w:r>
        <w:rPr>
          <w:sz w:val="24"/>
          <w:szCs w:val="24"/>
        </w:rPr>
        <w:t xml:space="preserve">has </w:t>
      </w:r>
      <w:r w:rsidRPr="0054630C">
        <w:rPr>
          <w:sz w:val="24"/>
          <w:szCs w:val="24"/>
        </w:rPr>
        <w:t>evaluate</w:t>
      </w:r>
      <w:r>
        <w:rPr>
          <w:sz w:val="24"/>
          <w:szCs w:val="24"/>
        </w:rPr>
        <w:t>d</w:t>
      </w:r>
      <w:r w:rsidRPr="0054630C">
        <w:rPr>
          <w:sz w:val="24"/>
          <w:szCs w:val="24"/>
        </w:rPr>
        <w:t xml:space="preserve"> the </w:t>
      </w:r>
      <w:r>
        <w:rPr>
          <w:sz w:val="24"/>
          <w:szCs w:val="24"/>
        </w:rPr>
        <w:t xml:space="preserve">actions and policies </w:t>
      </w:r>
      <w:r w:rsidRPr="0054630C">
        <w:rPr>
          <w:sz w:val="24"/>
          <w:szCs w:val="24"/>
        </w:rPr>
        <w:t xml:space="preserve">identified by stakeholders </w:t>
      </w:r>
      <w:r>
        <w:rPr>
          <w:sz w:val="24"/>
          <w:szCs w:val="24"/>
        </w:rPr>
        <w:t>and determined whether they will be included in the scope of the current rulemaking effort.  The five questions listed below have been used to evaluate each suggested priority idea:</w:t>
      </w:r>
    </w:p>
    <w:p w:rsidR="00EE0D86" w:rsidRDefault="00EE0D86" w:rsidP="00D357DB">
      <w:pPr>
        <w:numPr>
          <w:ilvl w:val="0"/>
          <w:numId w:val="38"/>
        </w:numPr>
        <w:spacing w:after="120" w:line="240" w:lineRule="auto"/>
        <w:rPr>
          <w:sz w:val="24"/>
          <w:szCs w:val="24"/>
        </w:rPr>
      </w:pPr>
      <w:r>
        <w:rPr>
          <w:sz w:val="24"/>
          <w:szCs w:val="24"/>
        </w:rPr>
        <w:t>Is the proposed item one that the EQC has the authority to adopt or is there a statutory impediment to EQC adoption?</w:t>
      </w:r>
    </w:p>
    <w:p w:rsidR="00EE0D86" w:rsidRDefault="00EE0D86" w:rsidP="00D357DB">
      <w:pPr>
        <w:numPr>
          <w:ilvl w:val="0"/>
          <w:numId w:val="38"/>
        </w:numPr>
        <w:spacing w:after="120" w:line="240" w:lineRule="auto"/>
        <w:rPr>
          <w:sz w:val="24"/>
          <w:szCs w:val="24"/>
        </w:rPr>
      </w:pPr>
      <w:r>
        <w:rPr>
          <w:sz w:val="24"/>
          <w:szCs w:val="24"/>
        </w:rPr>
        <w:t>Does DEQ, ODA, or ODF already have authority in rule or statute for the proposed item?  If yes, is implementation of the proposed item required or discretionary by the OAR or ORS?</w:t>
      </w:r>
    </w:p>
    <w:p w:rsidR="00EE0D86" w:rsidRDefault="00EE0D86" w:rsidP="00D357DB">
      <w:pPr>
        <w:numPr>
          <w:ilvl w:val="0"/>
          <w:numId w:val="38"/>
        </w:numPr>
        <w:spacing w:after="120" w:line="240" w:lineRule="auto"/>
        <w:rPr>
          <w:sz w:val="24"/>
          <w:szCs w:val="24"/>
        </w:rPr>
      </w:pPr>
      <w:r>
        <w:rPr>
          <w:sz w:val="24"/>
          <w:szCs w:val="24"/>
        </w:rPr>
        <w:lastRenderedPageBreak/>
        <w:t>Is the proposed action or policy something that is appropriate to adopt as an administrative rule?  Does it need to be adopted as a rule, or could it be implemented through guidance (IMD), initiative or other project or program?</w:t>
      </w:r>
    </w:p>
    <w:p w:rsidR="00EE0D86" w:rsidRDefault="00EE0D86" w:rsidP="00D357DB">
      <w:pPr>
        <w:numPr>
          <w:ilvl w:val="0"/>
          <w:numId w:val="38"/>
        </w:numPr>
        <w:spacing w:after="120" w:line="240" w:lineRule="auto"/>
        <w:rPr>
          <w:sz w:val="24"/>
          <w:szCs w:val="24"/>
        </w:rPr>
      </w:pPr>
      <w:r>
        <w:rPr>
          <w:sz w:val="24"/>
          <w:szCs w:val="24"/>
        </w:rPr>
        <w:t>If the proposed action or policy is appropriate to adopt as an administrative rule, should it be included in the current rulemaking package?  In order to answer this question, DEQ will consider the following:</w:t>
      </w:r>
    </w:p>
    <w:p w:rsidR="00EE0D86" w:rsidRDefault="00EE0D86" w:rsidP="00BC1C29">
      <w:pPr>
        <w:pStyle w:val="ListParagraph"/>
        <w:numPr>
          <w:ilvl w:val="0"/>
          <w:numId w:val="1"/>
        </w:numPr>
        <w:spacing w:after="120" w:line="240" w:lineRule="auto"/>
        <w:rPr>
          <w:sz w:val="24"/>
          <w:szCs w:val="24"/>
        </w:rPr>
      </w:pPr>
      <w:r>
        <w:rPr>
          <w:sz w:val="24"/>
          <w:szCs w:val="24"/>
        </w:rPr>
        <w:t>The timeline of this project</w:t>
      </w:r>
      <w:r w:rsidR="00EC47DA">
        <w:rPr>
          <w:sz w:val="24"/>
          <w:szCs w:val="24"/>
        </w:rPr>
        <w:t>.</w:t>
      </w:r>
    </w:p>
    <w:p w:rsidR="00EE0D86" w:rsidRDefault="00EE0D86" w:rsidP="00BC1C29">
      <w:pPr>
        <w:pStyle w:val="ListParagraph"/>
        <w:numPr>
          <w:ilvl w:val="0"/>
          <w:numId w:val="1"/>
        </w:numPr>
        <w:spacing w:after="120" w:line="240" w:lineRule="auto"/>
        <w:rPr>
          <w:sz w:val="24"/>
          <w:szCs w:val="24"/>
        </w:rPr>
      </w:pPr>
      <w:r>
        <w:rPr>
          <w:sz w:val="24"/>
          <w:szCs w:val="24"/>
        </w:rPr>
        <w:t xml:space="preserve">Probability that scope and issues can be addressed in timeframe of this rule. </w:t>
      </w:r>
    </w:p>
    <w:p w:rsidR="00EE0D86" w:rsidRDefault="00EE0D86" w:rsidP="00BC1C29">
      <w:pPr>
        <w:pStyle w:val="ListParagraph"/>
        <w:numPr>
          <w:ilvl w:val="0"/>
          <w:numId w:val="1"/>
        </w:numPr>
        <w:spacing w:after="120" w:line="240" w:lineRule="auto"/>
        <w:rPr>
          <w:sz w:val="24"/>
          <w:szCs w:val="24"/>
        </w:rPr>
      </w:pPr>
      <w:r>
        <w:rPr>
          <w:sz w:val="24"/>
          <w:szCs w:val="24"/>
        </w:rPr>
        <w:t>Is it appropriately a water quality program rule?</w:t>
      </w:r>
    </w:p>
    <w:p w:rsidR="00EE0D86" w:rsidRDefault="00EE0D86" w:rsidP="00BC1C29">
      <w:pPr>
        <w:pStyle w:val="ListParagraph"/>
        <w:numPr>
          <w:ilvl w:val="0"/>
          <w:numId w:val="1"/>
        </w:numPr>
        <w:spacing w:after="120" w:line="240" w:lineRule="auto"/>
        <w:rPr>
          <w:sz w:val="24"/>
          <w:szCs w:val="24"/>
        </w:rPr>
      </w:pPr>
      <w:r>
        <w:rPr>
          <w:sz w:val="24"/>
          <w:szCs w:val="24"/>
        </w:rPr>
        <w:t>Would the proposed action significantly reduce toxics in the environment?</w:t>
      </w:r>
    </w:p>
    <w:p w:rsidR="00EE0D86" w:rsidRDefault="00EE0D86" w:rsidP="00BC1C29">
      <w:pPr>
        <w:pStyle w:val="ListParagraph"/>
        <w:numPr>
          <w:ilvl w:val="0"/>
          <w:numId w:val="1"/>
        </w:numPr>
        <w:spacing w:after="120" w:line="240" w:lineRule="auto"/>
        <w:rPr>
          <w:sz w:val="24"/>
          <w:szCs w:val="24"/>
        </w:rPr>
      </w:pPr>
      <w:r>
        <w:rPr>
          <w:sz w:val="24"/>
          <w:szCs w:val="24"/>
        </w:rPr>
        <w:t>Are the affected stakeholders involved in the current process?</w:t>
      </w:r>
    </w:p>
    <w:p w:rsidR="00EE0D86" w:rsidRPr="00BC1C29" w:rsidRDefault="00EE0D86" w:rsidP="00BC1C29">
      <w:pPr>
        <w:pStyle w:val="ListParagraph"/>
        <w:numPr>
          <w:ilvl w:val="0"/>
          <w:numId w:val="1"/>
        </w:numPr>
        <w:spacing w:after="120" w:line="240" w:lineRule="auto"/>
        <w:rPr>
          <w:sz w:val="24"/>
          <w:szCs w:val="24"/>
        </w:rPr>
      </w:pPr>
      <w:r>
        <w:rPr>
          <w:sz w:val="24"/>
          <w:szCs w:val="24"/>
        </w:rPr>
        <w:t>Would it require significant new funding/resources to implement?</w:t>
      </w:r>
    </w:p>
    <w:p w:rsidR="00EE0D86" w:rsidRDefault="00EE0D86" w:rsidP="00EC47DA">
      <w:pPr>
        <w:numPr>
          <w:ilvl w:val="0"/>
          <w:numId w:val="38"/>
        </w:numPr>
        <w:spacing w:after="120" w:line="240" w:lineRule="auto"/>
        <w:rPr>
          <w:sz w:val="24"/>
          <w:szCs w:val="24"/>
        </w:rPr>
      </w:pPr>
      <w:r>
        <w:rPr>
          <w:sz w:val="24"/>
          <w:szCs w:val="24"/>
        </w:rPr>
        <w:t xml:space="preserve">Is critical information about the proposed action or rule available so that timely evaluation and action by DEQ is feasible? </w:t>
      </w:r>
    </w:p>
    <w:p w:rsidR="00CF1A3C" w:rsidRDefault="00CF1A3C" w:rsidP="00CF1A3C">
      <w:pPr>
        <w:spacing w:after="120" w:line="240" w:lineRule="auto"/>
        <w:ind w:left="720"/>
        <w:rPr>
          <w:sz w:val="24"/>
          <w:szCs w:val="24"/>
        </w:rPr>
      </w:pPr>
    </w:p>
    <w:p w:rsidR="00CF1A3C" w:rsidRPr="009221DE" w:rsidRDefault="00CF1A3C" w:rsidP="00CF1A3C">
      <w:pPr>
        <w:spacing w:after="120" w:line="240" w:lineRule="auto"/>
        <w:rPr>
          <w:sz w:val="24"/>
          <w:szCs w:val="24"/>
        </w:rPr>
      </w:pPr>
    </w:p>
    <w:p w:rsidR="00A00EA3" w:rsidRPr="00C70CDB" w:rsidRDefault="005C05C7" w:rsidP="00D72CAA">
      <w:pPr>
        <w:pStyle w:val="Heading2"/>
        <w:spacing w:line="360" w:lineRule="auto"/>
        <w:rPr>
          <w:sz w:val="28"/>
          <w:szCs w:val="28"/>
        </w:rPr>
      </w:pPr>
      <w:r w:rsidRPr="00C70CDB">
        <w:rPr>
          <w:sz w:val="28"/>
          <w:szCs w:val="28"/>
        </w:rPr>
        <w:t>Staff Analysis and Conclusions</w:t>
      </w:r>
    </w:p>
    <w:p w:rsidR="00AD2D8A" w:rsidRPr="00C70CDB" w:rsidRDefault="005C05C7" w:rsidP="00A7400C">
      <w:pPr>
        <w:pStyle w:val="Heading3"/>
        <w:rPr>
          <w:sz w:val="28"/>
          <w:szCs w:val="28"/>
          <w:u w:val="single"/>
        </w:rPr>
      </w:pPr>
      <w:r w:rsidRPr="00C70CDB">
        <w:rPr>
          <w:sz w:val="28"/>
          <w:szCs w:val="28"/>
          <w:u w:val="single"/>
        </w:rPr>
        <w:t xml:space="preserve">Items </w:t>
      </w:r>
      <w:r w:rsidR="00C70CDB" w:rsidRPr="00C70CDB">
        <w:rPr>
          <w:sz w:val="28"/>
          <w:szCs w:val="28"/>
          <w:u w:val="single"/>
        </w:rPr>
        <w:t xml:space="preserve">Determined </w:t>
      </w:r>
      <w:r w:rsidR="00D72CAA">
        <w:rPr>
          <w:sz w:val="28"/>
          <w:szCs w:val="28"/>
          <w:u w:val="single"/>
        </w:rPr>
        <w:t>t</w:t>
      </w:r>
      <w:r w:rsidR="00D72CAA" w:rsidRPr="00C70CDB">
        <w:rPr>
          <w:sz w:val="28"/>
          <w:szCs w:val="28"/>
          <w:u w:val="single"/>
        </w:rPr>
        <w:t xml:space="preserve">o </w:t>
      </w:r>
      <w:r w:rsidR="00D72CAA">
        <w:rPr>
          <w:sz w:val="28"/>
          <w:szCs w:val="28"/>
          <w:u w:val="single"/>
        </w:rPr>
        <w:t>b</w:t>
      </w:r>
      <w:r w:rsidR="00C70CDB" w:rsidRPr="00C70CDB">
        <w:rPr>
          <w:sz w:val="28"/>
          <w:szCs w:val="28"/>
          <w:u w:val="single"/>
        </w:rPr>
        <w:t xml:space="preserve">e Included </w:t>
      </w:r>
      <w:r w:rsidR="00D72CAA">
        <w:rPr>
          <w:sz w:val="28"/>
          <w:szCs w:val="28"/>
          <w:u w:val="single"/>
        </w:rPr>
        <w:t>i</w:t>
      </w:r>
      <w:r w:rsidR="00C70CDB" w:rsidRPr="00C70CDB">
        <w:rPr>
          <w:sz w:val="28"/>
          <w:szCs w:val="28"/>
          <w:u w:val="single"/>
        </w:rPr>
        <w:t xml:space="preserve">n </w:t>
      </w:r>
      <w:r w:rsidR="00D72CAA">
        <w:rPr>
          <w:sz w:val="28"/>
          <w:szCs w:val="28"/>
          <w:u w:val="single"/>
        </w:rPr>
        <w:t>t</w:t>
      </w:r>
      <w:r w:rsidR="00C70CDB" w:rsidRPr="00C70CDB">
        <w:rPr>
          <w:sz w:val="28"/>
          <w:szCs w:val="28"/>
          <w:u w:val="single"/>
        </w:rPr>
        <w:t xml:space="preserve">he </w:t>
      </w:r>
      <w:r w:rsidRPr="00C70CDB">
        <w:rPr>
          <w:sz w:val="28"/>
          <w:szCs w:val="28"/>
          <w:u w:val="single"/>
        </w:rPr>
        <w:t>Rule Package</w:t>
      </w:r>
    </w:p>
    <w:p w:rsidR="000F775F" w:rsidRPr="00C70CDB" w:rsidRDefault="000F775F" w:rsidP="000F775F">
      <w:pPr>
        <w:pStyle w:val="Heading4"/>
        <w:rPr>
          <w:sz w:val="24"/>
          <w:szCs w:val="24"/>
        </w:rPr>
      </w:pPr>
      <w:r w:rsidRPr="00C70CDB">
        <w:rPr>
          <w:sz w:val="24"/>
          <w:szCs w:val="24"/>
        </w:rPr>
        <w:t>Summary</w:t>
      </w:r>
    </w:p>
    <w:p w:rsidR="0031792D" w:rsidRDefault="00AD2D8A" w:rsidP="009221DE">
      <w:pPr>
        <w:spacing w:after="0"/>
        <w:rPr>
          <w:sz w:val="24"/>
          <w:szCs w:val="24"/>
        </w:rPr>
      </w:pPr>
      <w:r>
        <w:rPr>
          <w:sz w:val="24"/>
          <w:szCs w:val="24"/>
        </w:rPr>
        <w:t>Based on the staff an</w:t>
      </w:r>
      <w:r w:rsidR="00B54CE6">
        <w:rPr>
          <w:sz w:val="24"/>
          <w:szCs w:val="24"/>
        </w:rPr>
        <w:t xml:space="preserve">alysis, DEQ determined that </w:t>
      </w:r>
      <w:r w:rsidR="00084564">
        <w:rPr>
          <w:sz w:val="24"/>
          <w:szCs w:val="24"/>
        </w:rPr>
        <w:t>the following</w:t>
      </w:r>
      <w:r w:rsidR="00B54CE6">
        <w:rPr>
          <w:sz w:val="24"/>
          <w:szCs w:val="24"/>
        </w:rPr>
        <w:t xml:space="preserve"> items should be </w:t>
      </w:r>
      <w:r w:rsidR="00631A59">
        <w:rPr>
          <w:sz w:val="24"/>
          <w:szCs w:val="24"/>
        </w:rPr>
        <w:t xml:space="preserve">considered for this rulemaking.  </w:t>
      </w:r>
    </w:p>
    <w:p w:rsidR="008E53BB" w:rsidRPr="00C70CDB" w:rsidRDefault="00C15BF0" w:rsidP="00D72CAA">
      <w:pPr>
        <w:pStyle w:val="Heading4"/>
        <w:numPr>
          <w:ilvl w:val="0"/>
          <w:numId w:val="41"/>
        </w:numPr>
        <w:spacing w:line="240" w:lineRule="auto"/>
        <w:rPr>
          <w:sz w:val="24"/>
          <w:szCs w:val="24"/>
        </w:rPr>
      </w:pPr>
      <w:proofErr w:type="gramStart"/>
      <w:r w:rsidRPr="00C70CDB">
        <w:rPr>
          <w:sz w:val="24"/>
          <w:szCs w:val="24"/>
        </w:rPr>
        <w:t>ANTIDEGRADATION</w:t>
      </w:r>
      <w:r>
        <w:rPr>
          <w:sz w:val="24"/>
          <w:szCs w:val="24"/>
        </w:rPr>
        <w:t>.</w:t>
      </w:r>
      <w:proofErr w:type="gramEnd"/>
      <w:r w:rsidR="00141C5D" w:rsidRPr="00C70CDB">
        <w:rPr>
          <w:sz w:val="24"/>
          <w:szCs w:val="24"/>
        </w:rPr>
        <w:t xml:space="preserve">  Control </w:t>
      </w:r>
      <w:r w:rsidR="00D241FD" w:rsidRPr="00C70CDB">
        <w:rPr>
          <w:sz w:val="24"/>
          <w:szCs w:val="24"/>
        </w:rPr>
        <w:t xml:space="preserve">toxic pollutants by clarifying </w:t>
      </w:r>
      <w:proofErr w:type="spellStart"/>
      <w:r w:rsidR="00D241FD" w:rsidRPr="00C70CDB">
        <w:rPr>
          <w:sz w:val="24"/>
          <w:szCs w:val="24"/>
        </w:rPr>
        <w:t>A</w:t>
      </w:r>
      <w:r w:rsidR="00141C5D" w:rsidRPr="00C70CDB">
        <w:rPr>
          <w:sz w:val="24"/>
          <w:szCs w:val="24"/>
        </w:rPr>
        <w:t>ntidegradation</w:t>
      </w:r>
      <w:proofErr w:type="spellEnd"/>
      <w:r w:rsidR="00141C5D" w:rsidRPr="00C70CDB">
        <w:rPr>
          <w:sz w:val="24"/>
          <w:szCs w:val="24"/>
        </w:rPr>
        <w:t xml:space="preserve"> policy for nonpoint sources</w:t>
      </w:r>
      <w:r w:rsidR="008700BE">
        <w:rPr>
          <w:sz w:val="24"/>
          <w:szCs w:val="24"/>
        </w:rPr>
        <w:t>.</w:t>
      </w:r>
    </w:p>
    <w:p w:rsidR="00141C5D" w:rsidRDefault="00D241FD" w:rsidP="00D72CAA">
      <w:pPr>
        <w:spacing w:before="120" w:line="240" w:lineRule="auto"/>
        <w:ind w:left="360"/>
      </w:pPr>
      <w:r>
        <w:t xml:space="preserve">Existing statute gives </w:t>
      </w:r>
      <w:r w:rsidR="00D72CAA">
        <w:t xml:space="preserve">the </w:t>
      </w:r>
      <w:r>
        <w:t xml:space="preserve">EQC </w:t>
      </w:r>
      <w:r w:rsidR="00352086">
        <w:t>authority</w:t>
      </w:r>
      <w:r w:rsidR="00D72CAA">
        <w:t xml:space="preserve"> to c</w:t>
      </w:r>
      <w:r w:rsidR="00D72CAA" w:rsidRPr="00D72CAA">
        <w:t xml:space="preserve">ontrol toxic pollutants </w:t>
      </w:r>
      <w:r w:rsidR="00C15BF0" w:rsidRPr="00D72CAA">
        <w:t>fr</w:t>
      </w:r>
      <w:r w:rsidR="00C15BF0">
        <w:t>om</w:t>
      </w:r>
      <w:r w:rsidR="00C15BF0" w:rsidRPr="00D72CAA">
        <w:t xml:space="preserve"> nonpoint sources</w:t>
      </w:r>
      <w:r w:rsidR="00C15BF0">
        <w:t xml:space="preserve"> </w:t>
      </w:r>
      <w:r w:rsidR="00D72CAA">
        <w:t xml:space="preserve">through the state’s </w:t>
      </w:r>
      <w:proofErr w:type="spellStart"/>
      <w:r w:rsidR="00C15BF0">
        <w:t>a</w:t>
      </w:r>
      <w:r w:rsidR="00D72CAA" w:rsidRPr="00D72CAA">
        <w:t>ntidegradation</w:t>
      </w:r>
      <w:proofErr w:type="spellEnd"/>
      <w:r w:rsidR="00D72CAA" w:rsidRPr="00D72CAA">
        <w:t xml:space="preserve"> policy</w:t>
      </w:r>
      <w:r w:rsidR="00C15BF0">
        <w:t xml:space="preserve"> </w:t>
      </w:r>
      <w:r>
        <w:t xml:space="preserve">in </w:t>
      </w:r>
      <w:r w:rsidR="0031792D">
        <w:t>Div</w:t>
      </w:r>
      <w:r>
        <w:t>ision 41</w:t>
      </w:r>
      <w:r w:rsidR="00C15BF0">
        <w:t xml:space="preserve">. </w:t>
      </w:r>
      <w:r>
        <w:t xml:space="preserve"> </w:t>
      </w:r>
      <w:r w:rsidR="00C15BF0">
        <w:t>H</w:t>
      </w:r>
      <w:r>
        <w:t xml:space="preserve">owever, there is no implementation guidance </w:t>
      </w:r>
      <w:r w:rsidR="008E53BB">
        <w:t>as to how the</w:t>
      </w:r>
      <w:r>
        <w:t xml:space="preserve"> p</w:t>
      </w:r>
      <w:r w:rsidR="008E53BB">
        <w:t>olicy applies to</w:t>
      </w:r>
      <w:r>
        <w:t xml:space="preserve"> non</w:t>
      </w:r>
      <w:r w:rsidR="008E53BB">
        <w:t xml:space="preserve">point sources.  To achieve the goal of clarifying the policy, rulemaking is not necessary but could be beneficial.  Alternatively, it could be achieved </w:t>
      </w:r>
      <w:r w:rsidR="00084564">
        <w:t>by expanding the</w:t>
      </w:r>
      <w:r w:rsidR="008E53BB">
        <w:t xml:space="preserve"> </w:t>
      </w:r>
      <w:r w:rsidR="00C15BF0">
        <w:t xml:space="preserve">current DEQ </w:t>
      </w:r>
      <w:r w:rsidR="008E53BB">
        <w:t>Internal Management Directive</w:t>
      </w:r>
      <w:r w:rsidR="00084564">
        <w:t xml:space="preserve"> to include nonpoint sources</w:t>
      </w:r>
      <w:r w:rsidR="008E53BB">
        <w:t xml:space="preserve">.  </w:t>
      </w:r>
    </w:p>
    <w:p w:rsidR="0092098F" w:rsidRPr="00D72CAA" w:rsidRDefault="0092098F" w:rsidP="00C15BF0">
      <w:pPr>
        <w:pStyle w:val="Heading5"/>
        <w:spacing w:after="120"/>
        <w:ind w:left="360"/>
        <w:rPr>
          <w:u w:val="single"/>
        </w:rPr>
      </w:pPr>
      <w:r w:rsidRPr="00D72CAA">
        <w:rPr>
          <w:u w:val="single"/>
        </w:rPr>
        <w:t>The following stakeholder proposal will be further evaluated through this item</w:t>
      </w:r>
      <w:r w:rsidR="00EC47DA" w:rsidRPr="00D72CAA">
        <w:rPr>
          <w:u w:val="single"/>
        </w:rPr>
        <w:t>:</w:t>
      </w:r>
    </w:p>
    <w:p w:rsidR="00A2158F" w:rsidRPr="00EC47DA" w:rsidRDefault="00A2158F" w:rsidP="00791FA8">
      <w:pPr>
        <w:pStyle w:val="ListParagraph"/>
        <w:numPr>
          <w:ilvl w:val="0"/>
          <w:numId w:val="19"/>
        </w:numPr>
        <w:spacing w:after="0"/>
        <w:rPr>
          <w:i/>
          <w:sz w:val="24"/>
          <w:szCs w:val="24"/>
        </w:rPr>
      </w:pPr>
      <w:r w:rsidRPr="00EC47DA">
        <w:rPr>
          <w:i/>
          <w:sz w:val="24"/>
          <w:szCs w:val="24"/>
        </w:rPr>
        <w:t xml:space="preserve">Clarify the relationship between the numeric toxics criteria and the </w:t>
      </w:r>
      <w:proofErr w:type="spellStart"/>
      <w:r w:rsidRPr="00EC47DA">
        <w:rPr>
          <w:i/>
          <w:sz w:val="24"/>
          <w:szCs w:val="24"/>
        </w:rPr>
        <w:t>antidegradation</w:t>
      </w:r>
      <w:proofErr w:type="spellEnd"/>
      <w:r w:rsidRPr="00EC47DA">
        <w:rPr>
          <w:i/>
          <w:sz w:val="24"/>
          <w:szCs w:val="24"/>
        </w:rPr>
        <w:t xml:space="preserve"> requirements for nonpoint sources</w:t>
      </w:r>
      <w:r w:rsidR="00EC47DA" w:rsidRPr="00EC47DA">
        <w:rPr>
          <w:i/>
          <w:sz w:val="24"/>
          <w:szCs w:val="24"/>
        </w:rPr>
        <w:t>.</w:t>
      </w:r>
      <w:r w:rsidRPr="00EC47DA">
        <w:rPr>
          <w:i/>
          <w:sz w:val="24"/>
          <w:szCs w:val="24"/>
        </w:rPr>
        <w:t xml:space="preserve"> </w:t>
      </w:r>
    </w:p>
    <w:p w:rsidR="00141C5D" w:rsidRPr="00063801" w:rsidRDefault="00C15BF0" w:rsidP="00D72CAA">
      <w:pPr>
        <w:pStyle w:val="Heading4"/>
        <w:numPr>
          <w:ilvl w:val="0"/>
          <w:numId w:val="41"/>
        </w:numPr>
        <w:spacing w:after="120" w:line="240" w:lineRule="auto"/>
        <w:rPr>
          <w:sz w:val="24"/>
          <w:szCs w:val="24"/>
        </w:rPr>
      </w:pPr>
      <w:proofErr w:type="gramStart"/>
      <w:r w:rsidRPr="00063801">
        <w:rPr>
          <w:sz w:val="24"/>
          <w:szCs w:val="24"/>
        </w:rPr>
        <w:t>SEDIMENTATION AND TOXIC POLLUTANTS.</w:t>
      </w:r>
      <w:proofErr w:type="gramEnd"/>
      <w:r w:rsidR="00141C5D" w:rsidRPr="00063801">
        <w:rPr>
          <w:sz w:val="24"/>
          <w:szCs w:val="24"/>
        </w:rPr>
        <w:t xml:space="preserve">  Control toxic p</w:t>
      </w:r>
      <w:r w:rsidR="0079705C" w:rsidRPr="00063801">
        <w:rPr>
          <w:sz w:val="24"/>
          <w:szCs w:val="24"/>
        </w:rPr>
        <w:t>ollutants by regulating erosion</w:t>
      </w:r>
      <w:r w:rsidR="008700BE">
        <w:rPr>
          <w:sz w:val="24"/>
          <w:szCs w:val="24"/>
        </w:rPr>
        <w:t>.</w:t>
      </w:r>
    </w:p>
    <w:p w:rsidR="0070650E" w:rsidRDefault="008E53BB" w:rsidP="00D72CAA">
      <w:pPr>
        <w:ind w:left="360"/>
        <w:rPr>
          <w:sz w:val="24"/>
          <w:szCs w:val="24"/>
        </w:rPr>
      </w:pPr>
      <w:r w:rsidRPr="00D83AA0">
        <w:rPr>
          <w:sz w:val="24"/>
          <w:szCs w:val="24"/>
        </w:rPr>
        <w:t>Existing statute and narrative criteria in Division 41 give</w:t>
      </w:r>
      <w:r w:rsidR="00C15BF0">
        <w:rPr>
          <w:sz w:val="24"/>
          <w:szCs w:val="24"/>
        </w:rPr>
        <w:t>s</w:t>
      </w:r>
      <w:r w:rsidRPr="00D83AA0">
        <w:rPr>
          <w:sz w:val="24"/>
          <w:szCs w:val="24"/>
        </w:rPr>
        <w:t xml:space="preserve"> DEQ authority to control toxic pollutants</w:t>
      </w:r>
      <w:r w:rsidR="00EC47DA">
        <w:rPr>
          <w:sz w:val="24"/>
          <w:szCs w:val="24"/>
        </w:rPr>
        <w:t>.</w:t>
      </w:r>
      <w:r w:rsidRPr="00D83AA0">
        <w:rPr>
          <w:sz w:val="24"/>
          <w:szCs w:val="24"/>
        </w:rPr>
        <w:t xml:space="preserve"> </w:t>
      </w:r>
      <w:r w:rsidR="00C70CDB">
        <w:rPr>
          <w:sz w:val="24"/>
          <w:szCs w:val="24"/>
        </w:rPr>
        <w:t xml:space="preserve"> </w:t>
      </w:r>
      <w:r w:rsidR="00EC47DA">
        <w:rPr>
          <w:sz w:val="24"/>
          <w:szCs w:val="24"/>
        </w:rPr>
        <w:t>Total Suspended Solids (</w:t>
      </w:r>
      <w:r w:rsidR="0077693A" w:rsidRPr="00D83AA0">
        <w:rPr>
          <w:sz w:val="24"/>
          <w:szCs w:val="24"/>
        </w:rPr>
        <w:t>TSS</w:t>
      </w:r>
      <w:r w:rsidR="00EC47DA">
        <w:rPr>
          <w:sz w:val="24"/>
          <w:szCs w:val="24"/>
        </w:rPr>
        <w:t>)</w:t>
      </w:r>
      <w:r w:rsidR="0077693A" w:rsidRPr="00D83AA0">
        <w:rPr>
          <w:sz w:val="24"/>
          <w:szCs w:val="24"/>
        </w:rPr>
        <w:t xml:space="preserve"> and turbidity ha</w:t>
      </w:r>
      <w:r w:rsidR="00084564">
        <w:rPr>
          <w:sz w:val="24"/>
          <w:szCs w:val="24"/>
        </w:rPr>
        <w:t>ve</w:t>
      </w:r>
      <w:r w:rsidR="0077693A" w:rsidRPr="00D83AA0">
        <w:rPr>
          <w:sz w:val="24"/>
          <w:szCs w:val="24"/>
        </w:rPr>
        <w:t xml:space="preserve"> been used in the TMDL program </w:t>
      </w:r>
      <w:r w:rsidR="0077693A" w:rsidRPr="00D83AA0">
        <w:rPr>
          <w:sz w:val="24"/>
          <w:szCs w:val="24"/>
        </w:rPr>
        <w:lastRenderedPageBreak/>
        <w:t xml:space="preserve">as a surrogate for some toxic pollutants.  </w:t>
      </w:r>
      <w:r w:rsidR="0070650E">
        <w:rPr>
          <w:sz w:val="24"/>
          <w:szCs w:val="24"/>
        </w:rPr>
        <w:t>However</w:t>
      </w:r>
      <w:r w:rsidR="0077693A" w:rsidRPr="00D83AA0">
        <w:rPr>
          <w:sz w:val="24"/>
          <w:szCs w:val="24"/>
        </w:rPr>
        <w:t xml:space="preserve">, </w:t>
      </w:r>
      <w:r w:rsidRPr="00D83AA0">
        <w:rPr>
          <w:sz w:val="24"/>
          <w:szCs w:val="24"/>
        </w:rPr>
        <w:t xml:space="preserve">implementation guidance for controlling erosion to prevent </w:t>
      </w:r>
      <w:r w:rsidR="0077693A" w:rsidRPr="00D83AA0">
        <w:rPr>
          <w:sz w:val="24"/>
          <w:szCs w:val="24"/>
        </w:rPr>
        <w:t>or restore impaired streams from toxic pollution has not been developed.</w:t>
      </w:r>
    </w:p>
    <w:p w:rsidR="00A0072A" w:rsidRDefault="0070650E" w:rsidP="00D72CAA">
      <w:pPr>
        <w:ind w:left="360"/>
        <w:rPr>
          <w:sz w:val="24"/>
          <w:szCs w:val="24"/>
        </w:rPr>
      </w:pPr>
      <w:r>
        <w:rPr>
          <w:sz w:val="24"/>
          <w:szCs w:val="24"/>
        </w:rPr>
        <w:t xml:space="preserve">DEQ </w:t>
      </w:r>
      <w:r w:rsidR="00F66D15">
        <w:rPr>
          <w:sz w:val="24"/>
          <w:szCs w:val="24"/>
        </w:rPr>
        <w:t xml:space="preserve">will continue to solicit </w:t>
      </w:r>
      <w:r>
        <w:rPr>
          <w:sz w:val="24"/>
          <w:szCs w:val="24"/>
        </w:rPr>
        <w:t xml:space="preserve">input from </w:t>
      </w:r>
      <w:r w:rsidR="00C70CDB" w:rsidRPr="00D357DB">
        <w:rPr>
          <w:sz w:val="24"/>
          <w:szCs w:val="24"/>
        </w:rPr>
        <w:t xml:space="preserve">Non-NPDES </w:t>
      </w:r>
      <w:r>
        <w:rPr>
          <w:sz w:val="24"/>
          <w:szCs w:val="24"/>
        </w:rPr>
        <w:t>Work</w:t>
      </w:r>
      <w:r w:rsidR="00A0072A">
        <w:rPr>
          <w:sz w:val="24"/>
          <w:szCs w:val="24"/>
        </w:rPr>
        <w:t>g</w:t>
      </w:r>
      <w:r>
        <w:rPr>
          <w:sz w:val="24"/>
          <w:szCs w:val="24"/>
        </w:rPr>
        <w:t xml:space="preserve">roup members on the appropriateness of the following approaches to address sedimentation and toxic pollutants: </w:t>
      </w:r>
    </w:p>
    <w:p w:rsidR="00A0072A" w:rsidRDefault="00A0072A" w:rsidP="00D72CAA">
      <w:pPr>
        <w:numPr>
          <w:ilvl w:val="0"/>
          <w:numId w:val="40"/>
        </w:numPr>
        <w:spacing w:after="0" w:line="240" w:lineRule="auto"/>
        <w:ind w:left="1080"/>
        <w:rPr>
          <w:sz w:val="24"/>
          <w:szCs w:val="24"/>
        </w:rPr>
      </w:pPr>
      <w:r>
        <w:rPr>
          <w:sz w:val="24"/>
          <w:szCs w:val="24"/>
        </w:rPr>
        <w:t>A</w:t>
      </w:r>
      <w:r w:rsidR="0070650E">
        <w:rPr>
          <w:sz w:val="24"/>
          <w:szCs w:val="24"/>
        </w:rPr>
        <w:t xml:space="preserve">ddress by Implementation Ready TMDLs; </w:t>
      </w:r>
    </w:p>
    <w:p w:rsidR="00A0072A" w:rsidRDefault="0070650E" w:rsidP="00D72CAA">
      <w:pPr>
        <w:numPr>
          <w:ilvl w:val="0"/>
          <w:numId w:val="40"/>
        </w:numPr>
        <w:spacing w:after="0" w:line="240" w:lineRule="auto"/>
        <w:ind w:left="1080"/>
        <w:rPr>
          <w:sz w:val="24"/>
          <w:szCs w:val="24"/>
        </w:rPr>
      </w:pPr>
      <w:r>
        <w:rPr>
          <w:sz w:val="24"/>
          <w:szCs w:val="24"/>
        </w:rPr>
        <w:t xml:space="preserve">IMD development; </w:t>
      </w:r>
    </w:p>
    <w:p w:rsidR="00A0072A" w:rsidRDefault="00C70CDB" w:rsidP="00D72CAA">
      <w:pPr>
        <w:numPr>
          <w:ilvl w:val="0"/>
          <w:numId w:val="40"/>
        </w:numPr>
        <w:spacing w:after="0" w:line="240" w:lineRule="auto"/>
        <w:ind w:left="1080"/>
        <w:rPr>
          <w:sz w:val="24"/>
          <w:szCs w:val="24"/>
        </w:rPr>
      </w:pPr>
      <w:r>
        <w:rPr>
          <w:sz w:val="24"/>
          <w:szCs w:val="24"/>
        </w:rPr>
        <w:t>P</w:t>
      </w:r>
      <w:r w:rsidR="0070650E">
        <w:rPr>
          <w:sz w:val="24"/>
          <w:szCs w:val="24"/>
        </w:rPr>
        <w:t xml:space="preserve">olicy direction from the EQC; </w:t>
      </w:r>
      <w:r w:rsidR="00A0072A">
        <w:rPr>
          <w:sz w:val="24"/>
          <w:szCs w:val="24"/>
        </w:rPr>
        <w:t>or</w:t>
      </w:r>
    </w:p>
    <w:p w:rsidR="00141C5D" w:rsidRPr="00D83AA0" w:rsidRDefault="0070650E" w:rsidP="00D72CAA">
      <w:pPr>
        <w:numPr>
          <w:ilvl w:val="0"/>
          <w:numId w:val="40"/>
        </w:numPr>
        <w:spacing w:after="0" w:line="240" w:lineRule="auto"/>
        <w:ind w:left="1080"/>
        <w:rPr>
          <w:sz w:val="24"/>
          <w:szCs w:val="24"/>
        </w:rPr>
      </w:pPr>
      <w:r>
        <w:rPr>
          <w:sz w:val="24"/>
          <w:szCs w:val="24"/>
        </w:rPr>
        <w:t>Division 41 rule language change.</w:t>
      </w:r>
      <w:r w:rsidR="0077693A" w:rsidRPr="00D83AA0">
        <w:rPr>
          <w:sz w:val="24"/>
          <w:szCs w:val="24"/>
        </w:rPr>
        <w:t xml:space="preserve"> </w:t>
      </w:r>
    </w:p>
    <w:p w:rsidR="0092098F" w:rsidRPr="00C70CDB" w:rsidRDefault="0092098F" w:rsidP="00C15BF0">
      <w:pPr>
        <w:pStyle w:val="Heading5"/>
        <w:spacing w:after="120"/>
        <w:ind w:left="360"/>
        <w:rPr>
          <w:u w:val="single"/>
        </w:rPr>
      </w:pPr>
      <w:r w:rsidRPr="00C70CDB">
        <w:rPr>
          <w:u w:val="single"/>
        </w:rPr>
        <w:t>The following stakeholder proposals will be further evaluated through this item</w:t>
      </w:r>
    </w:p>
    <w:p w:rsidR="00A2158F" w:rsidRPr="00A2158F" w:rsidRDefault="00A2158F" w:rsidP="00631A59">
      <w:pPr>
        <w:pStyle w:val="ListParagraph"/>
        <w:numPr>
          <w:ilvl w:val="0"/>
          <w:numId w:val="30"/>
        </w:numPr>
      </w:pPr>
      <w:r w:rsidRPr="00A2158F">
        <w:rPr>
          <w:sz w:val="24"/>
          <w:szCs w:val="24"/>
        </w:rPr>
        <w:t xml:space="preserve">Add narrative prohibition on controllable erosion in </w:t>
      </w:r>
      <w:r w:rsidR="0079705C">
        <w:rPr>
          <w:sz w:val="24"/>
          <w:szCs w:val="24"/>
        </w:rPr>
        <w:t>Division 41.</w:t>
      </w:r>
    </w:p>
    <w:p w:rsidR="00A2158F" w:rsidRDefault="00A2158F" w:rsidP="00C15BF0">
      <w:pPr>
        <w:pStyle w:val="ListParagraph"/>
        <w:numPr>
          <w:ilvl w:val="0"/>
          <w:numId w:val="31"/>
        </w:numPr>
        <w:spacing w:after="0" w:line="240" w:lineRule="auto"/>
        <w:rPr>
          <w:sz w:val="24"/>
          <w:szCs w:val="24"/>
        </w:rPr>
      </w:pPr>
      <w:r>
        <w:rPr>
          <w:sz w:val="24"/>
          <w:szCs w:val="24"/>
        </w:rPr>
        <w:t xml:space="preserve">Require </w:t>
      </w:r>
      <w:r w:rsidR="0079705C">
        <w:rPr>
          <w:sz w:val="24"/>
          <w:szCs w:val="24"/>
        </w:rPr>
        <w:t xml:space="preserve">in Division 41 </w:t>
      </w:r>
      <w:r>
        <w:rPr>
          <w:sz w:val="24"/>
          <w:szCs w:val="24"/>
        </w:rPr>
        <w:t>the use of an enhanced USLE to calculate and limit controllable erosion rates in Water Quality rules</w:t>
      </w:r>
      <w:r w:rsidR="00C15BF0">
        <w:rPr>
          <w:sz w:val="24"/>
          <w:szCs w:val="24"/>
        </w:rPr>
        <w:t>.</w:t>
      </w:r>
    </w:p>
    <w:p w:rsidR="00141C5D" w:rsidRPr="00063801" w:rsidRDefault="00C15BF0" w:rsidP="00C15BF0">
      <w:pPr>
        <w:pStyle w:val="Heading4"/>
        <w:numPr>
          <w:ilvl w:val="0"/>
          <w:numId w:val="41"/>
        </w:numPr>
        <w:spacing w:after="120" w:line="240" w:lineRule="auto"/>
        <w:rPr>
          <w:sz w:val="24"/>
          <w:szCs w:val="24"/>
        </w:rPr>
      </w:pPr>
      <w:r w:rsidRPr="00063801">
        <w:rPr>
          <w:i w:val="0"/>
          <w:sz w:val="24"/>
          <w:szCs w:val="24"/>
        </w:rPr>
        <w:t>“IMPLEMENTATION READY</w:t>
      </w:r>
      <w:proofErr w:type="gramStart"/>
      <w:r w:rsidRPr="00063801">
        <w:rPr>
          <w:i w:val="0"/>
          <w:sz w:val="24"/>
          <w:szCs w:val="24"/>
        </w:rPr>
        <w:t>“ TMDLS</w:t>
      </w:r>
      <w:proofErr w:type="gramEnd"/>
      <w:r w:rsidR="00323B30" w:rsidRPr="00063801">
        <w:rPr>
          <w:i w:val="0"/>
          <w:sz w:val="24"/>
          <w:szCs w:val="24"/>
        </w:rPr>
        <w:t xml:space="preserve">.  </w:t>
      </w:r>
      <w:r w:rsidR="00141C5D" w:rsidRPr="00063801">
        <w:rPr>
          <w:sz w:val="24"/>
          <w:szCs w:val="24"/>
        </w:rPr>
        <w:t>Control toxic pollutants by requiring specific management measures in TMDL basins</w:t>
      </w:r>
      <w:r w:rsidR="008700BE">
        <w:rPr>
          <w:sz w:val="24"/>
          <w:szCs w:val="24"/>
        </w:rPr>
        <w:t>.</w:t>
      </w:r>
    </w:p>
    <w:p w:rsidR="00A2158F" w:rsidRDefault="006D4135" w:rsidP="00C15BF0">
      <w:pPr>
        <w:spacing w:after="0"/>
        <w:ind w:left="360"/>
        <w:rPr>
          <w:sz w:val="24"/>
          <w:szCs w:val="24"/>
        </w:rPr>
      </w:pPr>
      <w:r>
        <w:rPr>
          <w:sz w:val="24"/>
          <w:szCs w:val="24"/>
        </w:rPr>
        <w:t xml:space="preserve">DEQ has </w:t>
      </w:r>
      <w:r w:rsidR="00352086">
        <w:rPr>
          <w:sz w:val="24"/>
          <w:szCs w:val="24"/>
        </w:rPr>
        <w:t>authority</w:t>
      </w:r>
      <w:r>
        <w:rPr>
          <w:sz w:val="24"/>
          <w:szCs w:val="24"/>
        </w:rPr>
        <w:t xml:space="preserve"> to require specific management measures </w:t>
      </w:r>
      <w:r w:rsidR="00626975">
        <w:rPr>
          <w:sz w:val="24"/>
          <w:szCs w:val="24"/>
        </w:rPr>
        <w:t>under current TMDL rule (Division 42)</w:t>
      </w:r>
      <w:r w:rsidR="00084564">
        <w:rPr>
          <w:sz w:val="24"/>
          <w:szCs w:val="24"/>
        </w:rPr>
        <w:t xml:space="preserve"> and there is specific language </w:t>
      </w:r>
      <w:r w:rsidR="00637D1B">
        <w:rPr>
          <w:sz w:val="24"/>
          <w:szCs w:val="24"/>
        </w:rPr>
        <w:t xml:space="preserve">in the rule </w:t>
      </w:r>
      <w:r w:rsidR="00084564">
        <w:rPr>
          <w:sz w:val="24"/>
          <w:szCs w:val="24"/>
        </w:rPr>
        <w:t xml:space="preserve">for agriculture and forestry.  DEQ could develop similar language for </w:t>
      </w:r>
      <w:proofErr w:type="spellStart"/>
      <w:r w:rsidR="00084564">
        <w:rPr>
          <w:sz w:val="24"/>
          <w:szCs w:val="24"/>
        </w:rPr>
        <w:t>stormwater</w:t>
      </w:r>
      <w:proofErr w:type="spellEnd"/>
      <w:r w:rsidR="00084564">
        <w:rPr>
          <w:sz w:val="24"/>
          <w:szCs w:val="24"/>
        </w:rPr>
        <w:t xml:space="preserve">.  </w:t>
      </w:r>
      <w:r w:rsidR="00626975">
        <w:rPr>
          <w:sz w:val="24"/>
          <w:szCs w:val="24"/>
        </w:rPr>
        <w:t xml:space="preserve">Revision of </w:t>
      </w:r>
      <w:r w:rsidR="00D83AA0">
        <w:rPr>
          <w:sz w:val="24"/>
          <w:szCs w:val="24"/>
        </w:rPr>
        <w:t>the TMDL rule</w:t>
      </w:r>
      <w:r w:rsidR="00626975">
        <w:rPr>
          <w:sz w:val="24"/>
          <w:szCs w:val="24"/>
        </w:rPr>
        <w:t xml:space="preserve"> to address </w:t>
      </w:r>
      <w:proofErr w:type="spellStart"/>
      <w:r>
        <w:rPr>
          <w:sz w:val="24"/>
          <w:szCs w:val="24"/>
        </w:rPr>
        <w:t>stormwater</w:t>
      </w:r>
      <w:proofErr w:type="spellEnd"/>
      <w:r>
        <w:rPr>
          <w:sz w:val="24"/>
          <w:szCs w:val="24"/>
        </w:rPr>
        <w:t xml:space="preserve"> management </w:t>
      </w:r>
      <w:r w:rsidR="00D83AA0">
        <w:rPr>
          <w:sz w:val="24"/>
          <w:szCs w:val="24"/>
        </w:rPr>
        <w:t xml:space="preserve">could stay within the timeframe of the Toxics </w:t>
      </w:r>
      <w:r w:rsidR="00323B30">
        <w:rPr>
          <w:sz w:val="24"/>
          <w:szCs w:val="24"/>
        </w:rPr>
        <w:t>Rulemaking;</w:t>
      </w:r>
      <w:r w:rsidR="00D83AA0">
        <w:rPr>
          <w:sz w:val="24"/>
          <w:szCs w:val="24"/>
        </w:rPr>
        <w:t xml:space="preserve"> however, participation of additional stakeholders may</w:t>
      </w:r>
      <w:r w:rsidR="00304AE1">
        <w:rPr>
          <w:sz w:val="24"/>
          <w:szCs w:val="24"/>
        </w:rPr>
        <w:t xml:space="preserve"> </w:t>
      </w:r>
      <w:r w:rsidR="00D83AA0">
        <w:rPr>
          <w:sz w:val="24"/>
          <w:szCs w:val="24"/>
        </w:rPr>
        <w:t xml:space="preserve">be </w:t>
      </w:r>
      <w:r w:rsidR="00637D1B">
        <w:rPr>
          <w:sz w:val="24"/>
          <w:szCs w:val="24"/>
        </w:rPr>
        <w:t>beneficial</w:t>
      </w:r>
      <w:r w:rsidR="00D83AA0">
        <w:rPr>
          <w:sz w:val="24"/>
          <w:szCs w:val="24"/>
        </w:rPr>
        <w:t xml:space="preserve">.  </w:t>
      </w:r>
    </w:p>
    <w:p w:rsidR="00D83AA0" w:rsidRDefault="00D83AA0" w:rsidP="00C15BF0">
      <w:pPr>
        <w:spacing w:after="0"/>
        <w:ind w:left="360"/>
        <w:rPr>
          <w:sz w:val="24"/>
          <w:szCs w:val="24"/>
        </w:rPr>
      </w:pPr>
    </w:p>
    <w:p w:rsidR="00626975" w:rsidRDefault="00323B30" w:rsidP="00C15BF0">
      <w:pPr>
        <w:spacing w:after="0"/>
        <w:ind w:left="360"/>
        <w:rPr>
          <w:sz w:val="24"/>
          <w:szCs w:val="24"/>
        </w:rPr>
      </w:pPr>
      <w:r>
        <w:rPr>
          <w:sz w:val="24"/>
          <w:szCs w:val="24"/>
        </w:rPr>
        <w:t xml:space="preserve">DEQ has authority to develop “Implementation ready” TMDLs under existing statute and rules for traditional nonpoint sources.  Therefore, rulemaking is not needed.  </w:t>
      </w:r>
      <w:r w:rsidR="00F66D15">
        <w:rPr>
          <w:sz w:val="24"/>
          <w:szCs w:val="24"/>
        </w:rPr>
        <w:t xml:space="preserve">There are, however, potential benefits to inserting explicit language in rule to clarify EQC’s intent.  </w:t>
      </w:r>
      <w:r w:rsidR="00C51FD5">
        <w:rPr>
          <w:sz w:val="24"/>
          <w:szCs w:val="24"/>
        </w:rPr>
        <w:t>A</w:t>
      </w:r>
      <w:r w:rsidR="00B107A0">
        <w:rPr>
          <w:sz w:val="24"/>
          <w:szCs w:val="24"/>
        </w:rPr>
        <w:t>n In</w:t>
      </w:r>
      <w:r w:rsidR="00C51FD5">
        <w:rPr>
          <w:sz w:val="24"/>
          <w:szCs w:val="24"/>
        </w:rPr>
        <w:t xml:space="preserve">ternal Management Directive should </w:t>
      </w:r>
      <w:r w:rsidR="00F66D15">
        <w:rPr>
          <w:sz w:val="24"/>
          <w:szCs w:val="24"/>
        </w:rPr>
        <w:t xml:space="preserve">also </w:t>
      </w:r>
      <w:r w:rsidR="00C51FD5">
        <w:rPr>
          <w:sz w:val="24"/>
          <w:szCs w:val="24"/>
        </w:rPr>
        <w:t xml:space="preserve">be </w:t>
      </w:r>
      <w:r w:rsidR="00F66D15">
        <w:rPr>
          <w:sz w:val="24"/>
          <w:szCs w:val="24"/>
        </w:rPr>
        <w:t>considered</w:t>
      </w:r>
      <w:r w:rsidR="00C51FD5">
        <w:rPr>
          <w:sz w:val="24"/>
          <w:szCs w:val="24"/>
        </w:rPr>
        <w:t xml:space="preserve"> in order to clarify DEQ expectations </w:t>
      </w:r>
      <w:r w:rsidR="00B107A0">
        <w:rPr>
          <w:sz w:val="24"/>
          <w:szCs w:val="24"/>
        </w:rPr>
        <w:t>wi</w:t>
      </w:r>
      <w:r w:rsidR="00C51FD5">
        <w:rPr>
          <w:sz w:val="24"/>
          <w:szCs w:val="24"/>
        </w:rPr>
        <w:t xml:space="preserve">th the stakeholders.  </w:t>
      </w:r>
    </w:p>
    <w:p w:rsidR="00A2158F" w:rsidRPr="00C70CDB" w:rsidRDefault="0092098F" w:rsidP="00C15BF0">
      <w:pPr>
        <w:pStyle w:val="Heading5"/>
        <w:spacing w:after="120"/>
        <w:ind w:left="360"/>
        <w:rPr>
          <w:u w:val="single"/>
        </w:rPr>
      </w:pPr>
      <w:r w:rsidRPr="00C70CDB">
        <w:rPr>
          <w:u w:val="single"/>
        </w:rPr>
        <w:t>The following s</w:t>
      </w:r>
      <w:r w:rsidR="00A2158F" w:rsidRPr="00C70CDB">
        <w:rPr>
          <w:u w:val="single"/>
        </w:rPr>
        <w:t>takeholder proposal</w:t>
      </w:r>
      <w:r w:rsidRPr="00C70CDB">
        <w:rPr>
          <w:u w:val="single"/>
        </w:rPr>
        <w:t>s</w:t>
      </w:r>
      <w:r w:rsidR="004248ED" w:rsidRPr="00C70CDB">
        <w:rPr>
          <w:u w:val="single"/>
        </w:rPr>
        <w:t xml:space="preserve"> will be further evaluated</w:t>
      </w:r>
      <w:r w:rsidR="00A2158F" w:rsidRPr="00C70CDB">
        <w:rPr>
          <w:u w:val="single"/>
        </w:rPr>
        <w:t xml:space="preserve"> through this item</w:t>
      </w:r>
      <w:r w:rsidR="00C15BF0">
        <w:rPr>
          <w:u w:val="single"/>
        </w:rPr>
        <w:t>:</w:t>
      </w:r>
    </w:p>
    <w:p w:rsidR="00A2158F" w:rsidRDefault="00A2158F" w:rsidP="00C15BF0">
      <w:pPr>
        <w:pStyle w:val="ListParagraph"/>
        <w:numPr>
          <w:ilvl w:val="0"/>
          <w:numId w:val="23"/>
        </w:numPr>
        <w:spacing w:after="0" w:line="240" w:lineRule="auto"/>
        <w:ind w:left="900" w:hanging="540"/>
        <w:rPr>
          <w:sz w:val="24"/>
          <w:szCs w:val="24"/>
        </w:rPr>
      </w:pPr>
      <w:r>
        <w:rPr>
          <w:sz w:val="24"/>
          <w:szCs w:val="24"/>
        </w:rPr>
        <w:t>Require that surrogate measures be clear and easily applied as to how to meet TMDL load allocations</w:t>
      </w:r>
    </w:p>
    <w:p w:rsidR="00060587" w:rsidRDefault="00060587" w:rsidP="00C15BF0">
      <w:pPr>
        <w:pStyle w:val="ListParagraph"/>
        <w:numPr>
          <w:ilvl w:val="0"/>
          <w:numId w:val="33"/>
        </w:numPr>
        <w:spacing w:after="0" w:line="240" w:lineRule="auto"/>
        <w:ind w:left="900" w:hanging="540"/>
        <w:rPr>
          <w:sz w:val="24"/>
          <w:szCs w:val="24"/>
        </w:rPr>
      </w:pPr>
      <w:r>
        <w:rPr>
          <w:sz w:val="24"/>
          <w:szCs w:val="24"/>
        </w:rPr>
        <w:t xml:space="preserve">Develop design specifications for riparian buffer strips and require in Water Quality rules </w:t>
      </w:r>
    </w:p>
    <w:p w:rsidR="006D4135" w:rsidRDefault="00060587" w:rsidP="00C15BF0">
      <w:pPr>
        <w:pStyle w:val="ListParagraph"/>
        <w:numPr>
          <w:ilvl w:val="0"/>
          <w:numId w:val="33"/>
        </w:numPr>
        <w:spacing w:after="0" w:line="240" w:lineRule="auto"/>
        <w:ind w:left="900" w:hanging="540"/>
        <w:rPr>
          <w:sz w:val="24"/>
          <w:szCs w:val="24"/>
        </w:rPr>
      </w:pPr>
      <w:r>
        <w:rPr>
          <w:sz w:val="24"/>
          <w:szCs w:val="24"/>
        </w:rPr>
        <w:t xml:space="preserve">Add that agricultural land owners must implement specific practices to be in compliance with Water Quality Standards </w:t>
      </w:r>
    </w:p>
    <w:p w:rsidR="004248ED" w:rsidRPr="00C15BF0" w:rsidRDefault="004248ED" w:rsidP="00C15BF0">
      <w:pPr>
        <w:pStyle w:val="ListParagraph"/>
        <w:numPr>
          <w:ilvl w:val="0"/>
          <w:numId w:val="35"/>
        </w:numPr>
        <w:spacing w:after="0" w:line="240" w:lineRule="auto"/>
        <w:ind w:left="900" w:hanging="540"/>
        <w:rPr>
          <w:sz w:val="24"/>
          <w:szCs w:val="24"/>
        </w:rPr>
      </w:pPr>
      <w:r w:rsidRPr="00C15BF0">
        <w:rPr>
          <w:sz w:val="24"/>
          <w:szCs w:val="24"/>
        </w:rPr>
        <w:t>Change the TMDL rules to require an individual load allocation be given to significant air deposition and land sources of pollutants subject to TMDLs</w:t>
      </w:r>
    </w:p>
    <w:p w:rsidR="004331BB" w:rsidRPr="008700BE" w:rsidRDefault="008700BE" w:rsidP="00C51FD5">
      <w:pPr>
        <w:spacing w:after="0"/>
        <w:rPr>
          <w:rFonts w:ascii="Cambria" w:hAnsi="Cambria"/>
          <w:b/>
          <w:i/>
          <w:sz w:val="24"/>
          <w:szCs w:val="24"/>
        </w:rPr>
      </w:pPr>
      <w:r>
        <w:rPr>
          <w:sz w:val="24"/>
          <w:szCs w:val="24"/>
        </w:rPr>
        <w:br w:type="page"/>
      </w:r>
    </w:p>
    <w:p w:rsidR="00952D35" w:rsidRPr="00C15BF0" w:rsidRDefault="00627541" w:rsidP="00D72CAA">
      <w:pPr>
        <w:pStyle w:val="Heading4"/>
        <w:numPr>
          <w:ilvl w:val="0"/>
          <w:numId w:val="41"/>
        </w:numPr>
        <w:rPr>
          <w:sz w:val="24"/>
          <w:szCs w:val="24"/>
        </w:rPr>
      </w:pPr>
      <w:r>
        <w:rPr>
          <w:sz w:val="24"/>
          <w:szCs w:val="24"/>
        </w:rPr>
        <w:lastRenderedPageBreak/>
        <w:t>Division 41 Rule Changes (</w:t>
      </w:r>
      <w:r w:rsidR="00063801" w:rsidRPr="00C15BF0">
        <w:rPr>
          <w:sz w:val="24"/>
          <w:szCs w:val="24"/>
        </w:rPr>
        <w:t>STAKEHOLDER PROPOSALS</w:t>
      </w:r>
      <w:r w:rsidR="00CF1A3C">
        <w:rPr>
          <w:sz w:val="24"/>
          <w:szCs w:val="24"/>
        </w:rPr>
        <w:t xml:space="preserve"> t</w:t>
      </w:r>
      <w:r w:rsidR="00323B30" w:rsidRPr="00C15BF0">
        <w:rPr>
          <w:sz w:val="24"/>
          <w:szCs w:val="24"/>
        </w:rPr>
        <w:t>hat</w:t>
      </w:r>
      <w:r w:rsidR="00177A19" w:rsidRPr="00C15BF0">
        <w:rPr>
          <w:sz w:val="24"/>
          <w:szCs w:val="24"/>
        </w:rPr>
        <w:t xml:space="preserve"> will be addressed together</w:t>
      </w:r>
      <w:r>
        <w:rPr>
          <w:sz w:val="24"/>
          <w:szCs w:val="24"/>
        </w:rPr>
        <w:t>)</w:t>
      </w:r>
    </w:p>
    <w:p w:rsidR="00E05B2B" w:rsidRPr="00063801" w:rsidRDefault="00E05B2B" w:rsidP="00C15BF0">
      <w:pPr>
        <w:spacing w:after="120"/>
        <w:ind w:left="360"/>
        <w:rPr>
          <w:sz w:val="24"/>
          <w:szCs w:val="24"/>
        </w:rPr>
      </w:pPr>
      <w:r w:rsidRPr="00C15BF0">
        <w:rPr>
          <w:sz w:val="24"/>
          <w:szCs w:val="24"/>
        </w:rPr>
        <w:t xml:space="preserve">A few </w:t>
      </w:r>
      <w:r w:rsidR="00177A19" w:rsidRPr="00C15BF0">
        <w:rPr>
          <w:sz w:val="24"/>
          <w:szCs w:val="24"/>
        </w:rPr>
        <w:t>of the stakeholder proposals attempted to correct the concern that the language in Division 41 around nonpoint source pollution regulation was not consistent with the intent of associated statutes.  DEQ will revise the Division 41 language to be consistent with associated ORS for the following items</w:t>
      </w:r>
      <w:r w:rsidR="00063801">
        <w:rPr>
          <w:sz w:val="24"/>
          <w:szCs w:val="24"/>
        </w:rPr>
        <w:t>:</w:t>
      </w:r>
      <w:r w:rsidR="00177A19" w:rsidRPr="00C15BF0">
        <w:rPr>
          <w:sz w:val="24"/>
          <w:szCs w:val="24"/>
        </w:rPr>
        <w:t xml:space="preserve">  </w:t>
      </w:r>
    </w:p>
    <w:p w:rsidR="0079705C" w:rsidRPr="00063801" w:rsidRDefault="004248ED" w:rsidP="008700BE">
      <w:pPr>
        <w:spacing w:after="120" w:line="240" w:lineRule="auto"/>
        <w:ind w:left="360"/>
        <w:rPr>
          <w:rStyle w:val="Strong"/>
          <w:bCs w:val="0"/>
          <w:sz w:val="24"/>
          <w:szCs w:val="24"/>
        </w:rPr>
      </w:pPr>
      <w:r w:rsidRPr="00063801">
        <w:rPr>
          <w:b/>
          <w:sz w:val="24"/>
          <w:szCs w:val="24"/>
        </w:rPr>
        <w:t>#3</w:t>
      </w:r>
      <w:r w:rsidR="003D1BF3" w:rsidRPr="00063801">
        <w:rPr>
          <w:b/>
          <w:sz w:val="24"/>
          <w:szCs w:val="24"/>
        </w:rPr>
        <w:tab/>
      </w:r>
      <w:proofErr w:type="gramStart"/>
      <w:r w:rsidR="000646AF" w:rsidRPr="00063801">
        <w:rPr>
          <w:b/>
          <w:sz w:val="24"/>
          <w:szCs w:val="24"/>
        </w:rPr>
        <w:t>Clarify</w:t>
      </w:r>
      <w:proofErr w:type="gramEnd"/>
      <w:r w:rsidR="000646AF" w:rsidRPr="00063801">
        <w:rPr>
          <w:b/>
          <w:sz w:val="24"/>
          <w:szCs w:val="24"/>
        </w:rPr>
        <w:t xml:space="preserve"> the statutory requirement that logging practices </w:t>
      </w:r>
      <w:r w:rsidR="00AD2091" w:rsidRPr="00063801">
        <w:rPr>
          <w:b/>
          <w:sz w:val="24"/>
          <w:szCs w:val="24"/>
        </w:rPr>
        <w:t xml:space="preserve">must conform with Water </w:t>
      </w:r>
      <w:r w:rsidR="0099540E">
        <w:rPr>
          <w:b/>
          <w:sz w:val="24"/>
          <w:szCs w:val="24"/>
        </w:rPr>
        <w:tab/>
      </w:r>
      <w:r w:rsidR="00AD2091" w:rsidRPr="00063801">
        <w:rPr>
          <w:b/>
          <w:sz w:val="24"/>
          <w:szCs w:val="24"/>
        </w:rPr>
        <w:t xml:space="preserve">Quality </w:t>
      </w:r>
      <w:r w:rsidR="000646AF" w:rsidRPr="00063801">
        <w:rPr>
          <w:b/>
          <w:sz w:val="24"/>
          <w:szCs w:val="24"/>
        </w:rPr>
        <w:t xml:space="preserve">Standards </w:t>
      </w:r>
    </w:p>
    <w:p w:rsidR="00BC1C29" w:rsidRPr="0099540E" w:rsidRDefault="000646AF" w:rsidP="00063801">
      <w:pPr>
        <w:spacing w:after="120"/>
        <w:ind w:left="360"/>
        <w:rPr>
          <w:sz w:val="24"/>
          <w:szCs w:val="24"/>
        </w:rPr>
      </w:pPr>
      <w:r w:rsidRPr="00063801">
        <w:rPr>
          <w:sz w:val="24"/>
          <w:szCs w:val="24"/>
        </w:rPr>
        <w:t>Language in Division 41 Water Quali</w:t>
      </w:r>
      <w:r w:rsidR="00BE32F4" w:rsidRPr="00063801">
        <w:rPr>
          <w:sz w:val="24"/>
          <w:szCs w:val="24"/>
        </w:rPr>
        <w:t xml:space="preserve">ty Standards </w:t>
      </w:r>
      <w:r w:rsidR="00956EBE">
        <w:rPr>
          <w:sz w:val="24"/>
          <w:szCs w:val="24"/>
        </w:rPr>
        <w:t xml:space="preserve">340-041-0007 Statewide Narrative Criteria and </w:t>
      </w:r>
      <w:r w:rsidR="00BE32F4" w:rsidRPr="00063801">
        <w:rPr>
          <w:sz w:val="24"/>
          <w:szCs w:val="24"/>
        </w:rPr>
        <w:t>340-041-0061</w:t>
      </w:r>
      <w:r w:rsidR="00323B30" w:rsidRPr="00063801">
        <w:rPr>
          <w:sz w:val="24"/>
          <w:szCs w:val="24"/>
        </w:rPr>
        <w:t xml:space="preserve"> (</w:t>
      </w:r>
      <w:r w:rsidR="00BE32F4" w:rsidRPr="00063801">
        <w:rPr>
          <w:sz w:val="24"/>
          <w:szCs w:val="24"/>
        </w:rPr>
        <w:t xml:space="preserve">11) </w:t>
      </w:r>
      <w:r w:rsidR="00956EBE">
        <w:rPr>
          <w:sz w:val="24"/>
          <w:szCs w:val="24"/>
        </w:rPr>
        <w:t>and</w:t>
      </w:r>
      <w:r w:rsidR="0079705C" w:rsidRPr="00063801">
        <w:rPr>
          <w:sz w:val="24"/>
          <w:szCs w:val="24"/>
        </w:rPr>
        <w:t xml:space="preserve"> (12) </w:t>
      </w:r>
      <w:r w:rsidR="00956EBE">
        <w:rPr>
          <w:sz w:val="24"/>
          <w:szCs w:val="24"/>
        </w:rPr>
        <w:t xml:space="preserve">Other Implementation of Water Quality Criteria </w:t>
      </w:r>
      <w:r w:rsidRPr="00063801">
        <w:rPr>
          <w:sz w:val="24"/>
          <w:szCs w:val="24"/>
        </w:rPr>
        <w:t xml:space="preserve">could be interpreted differently than specified in related statutes.  </w:t>
      </w:r>
      <w:r w:rsidR="00BE32F4" w:rsidRPr="00063801">
        <w:rPr>
          <w:sz w:val="24"/>
          <w:szCs w:val="24"/>
        </w:rPr>
        <w:t xml:space="preserve">In order to clarify the </w:t>
      </w:r>
      <w:r w:rsidR="00F66D15" w:rsidRPr="00063801">
        <w:rPr>
          <w:sz w:val="24"/>
          <w:szCs w:val="24"/>
        </w:rPr>
        <w:t xml:space="preserve">intent of the statutes, sections of Division 41 will be revised to bring </w:t>
      </w:r>
      <w:r w:rsidR="004028A8" w:rsidRPr="00063801">
        <w:rPr>
          <w:sz w:val="24"/>
          <w:szCs w:val="24"/>
        </w:rPr>
        <w:t xml:space="preserve">consistency between Division 41 and </w:t>
      </w:r>
      <w:r w:rsidR="00BE32F4" w:rsidRPr="00063801">
        <w:rPr>
          <w:sz w:val="24"/>
          <w:szCs w:val="24"/>
        </w:rPr>
        <w:t>statutory requirement</w:t>
      </w:r>
      <w:r w:rsidR="004028A8" w:rsidRPr="00063801">
        <w:rPr>
          <w:sz w:val="24"/>
          <w:szCs w:val="24"/>
        </w:rPr>
        <w:t>s under ORS527.765 and 770</w:t>
      </w:r>
      <w:r w:rsidR="0099540E">
        <w:rPr>
          <w:sz w:val="24"/>
          <w:szCs w:val="24"/>
        </w:rPr>
        <w:t xml:space="preserve"> </w:t>
      </w:r>
      <w:r w:rsidR="0099540E" w:rsidRPr="0099540E">
        <w:rPr>
          <w:sz w:val="24"/>
          <w:szCs w:val="24"/>
        </w:rPr>
        <w:t xml:space="preserve">by </w:t>
      </w:r>
      <w:r w:rsidR="00323B30">
        <w:rPr>
          <w:sz w:val="24"/>
          <w:szCs w:val="24"/>
        </w:rPr>
        <w:t>clarifying</w:t>
      </w:r>
      <w:r w:rsidR="0099540E" w:rsidRPr="0099540E">
        <w:rPr>
          <w:sz w:val="24"/>
          <w:szCs w:val="24"/>
        </w:rPr>
        <w:t xml:space="preserve"> the statutory requirement that logging practices must conform </w:t>
      </w:r>
      <w:proofErr w:type="gramStart"/>
      <w:r w:rsidR="0099540E" w:rsidRPr="0099540E">
        <w:rPr>
          <w:sz w:val="24"/>
          <w:szCs w:val="24"/>
        </w:rPr>
        <w:t>with</w:t>
      </w:r>
      <w:proofErr w:type="gramEnd"/>
      <w:r w:rsidR="0099540E" w:rsidRPr="0099540E">
        <w:rPr>
          <w:sz w:val="24"/>
          <w:szCs w:val="24"/>
        </w:rPr>
        <w:t xml:space="preserve"> Water Quality Standards</w:t>
      </w:r>
      <w:r w:rsidR="00BE32F4" w:rsidRPr="0099540E">
        <w:rPr>
          <w:sz w:val="24"/>
          <w:szCs w:val="24"/>
        </w:rPr>
        <w:t xml:space="preserve">.  </w:t>
      </w:r>
    </w:p>
    <w:p w:rsidR="00177A19" w:rsidRPr="00063801" w:rsidRDefault="00177A19" w:rsidP="008700BE">
      <w:pPr>
        <w:spacing w:after="120" w:line="240" w:lineRule="auto"/>
        <w:ind w:left="360"/>
        <w:rPr>
          <w:rStyle w:val="Strong"/>
          <w:sz w:val="24"/>
          <w:szCs w:val="24"/>
        </w:rPr>
      </w:pPr>
      <w:r w:rsidRPr="00063801">
        <w:rPr>
          <w:rStyle w:val="Strong"/>
          <w:sz w:val="24"/>
          <w:szCs w:val="24"/>
        </w:rPr>
        <w:t>#4</w:t>
      </w:r>
      <w:r w:rsidRPr="00063801">
        <w:rPr>
          <w:rStyle w:val="Strong"/>
          <w:sz w:val="24"/>
          <w:szCs w:val="24"/>
        </w:rPr>
        <w:tab/>
        <w:t xml:space="preserve">Clarify in Division 41 that nonpoint sources are required to comply with TMDL load </w:t>
      </w:r>
      <w:r w:rsidR="0099540E">
        <w:rPr>
          <w:rStyle w:val="Strong"/>
          <w:sz w:val="24"/>
          <w:szCs w:val="24"/>
        </w:rPr>
        <w:tab/>
      </w:r>
      <w:r w:rsidRPr="00063801">
        <w:rPr>
          <w:rStyle w:val="Strong"/>
          <w:sz w:val="24"/>
          <w:szCs w:val="24"/>
        </w:rPr>
        <w:t>allocations</w:t>
      </w:r>
    </w:p>
    <w:p w:rsidR="00177A19" w:rsidRPr="00063801" w:rsidRDefault="00177A19" w:rsidP="00063801">
      <w:pPr>
        <w:spacing w:after="120"/>
        <w:ind w:left="360"/>
        <w:rPr>
          <w:sz w:val="24"/>
          <w:szCs w:val="24"/>
        </w:rPr>
      </w:pPr>
      <w:r w:rsidRPr="00063801">
        <w:rPr>
          <w:sz w:val="24"/>
          <w:szCs w:val="24"/>
        </w:rPr>
        <w:t xml:space="preserve">The language in Division 41 will be further clarified by explicitly stating that nonpoint sources need to comply with TMDL load allocations.  </w:t>
      </w:r>
    </w:p>
    <w:p w:rsidR="00AD2091" w:rsidRPr="00063801" w:rsidRDefault="003D1BF3" w:rsidP="00063801">
      <w:pPr>
        <w:spacing w:after="120"/>
        <w:ind w:left="360"/>
        <w:rPr>
          <w:b/>
          <w:sz w:val="24"/>
          <w:szCs w:val="24"/>
        </w:rPr>
      </w:pPr>
      <w:r w:rsidRPr="00063801">
        <w:rPr>
          <w:b/>
          <w:sz w:val="24"/>
          <w:szCs w:val="24"/>
        </w:rPr>
        <w:t>#7</w:t>
      </w:r>
      <w:r w:rsidRPr="00063801">
        <w:rPr>
          <w:b/>
          <w:sz w:val="24"/>
          <w:szCs w:val="24"/>
        </w:rPr>
        <w:tab/>
      </w:r>
      <w:r w:rsidR="00AD2091" w:rsidRPr="00063801">
        <w:rPr>
          <w:b/>
          <w:sz w:val="24"/>
          <w:szCs w:val="24"/>
        </w:rPr>
        <w:t xml:space="preserve">Clarify nonpoint sources that are not covered under the Oregon Forest Practices Act </w:t>
      </w:r>
    </w:p>
    <w:p w:rsidR="00177A19" w:rsidRPr="00063801" w:rsidRDefault="00AD2091" w:rsidP="00063801">
      <w:pPr>
        <w:spacing w:after="120"/>
        <w:ind w:left="360"/>
        <w:rPr>
          <w:sz w:val="24"/>
          <w:szCs w:val="24"/>
        </w:rPr>
      </w:pPr>
      <w:r w:rsidRPr="00063801">
        <w:rPr>
          <w:sz w:val="24"/>
          <w:szCs w:val="24"/>
        </w:rPr>
        <w:t xml:space="preserve">Forest Practices Act (FPA) regulates nonpoint sources of pollution related to commercial forest activities.  </w:t>
      </w:r>
      <w:r w:rsidR="00323B30" w:rsidRPr="00063801">
        <w:rPr>
          <w:sz w:val="24"/>
          <w:szCs w:val="24"/>
        </w:rPr>
        <w:t>Many activities</w:t>
      </w:r>
      <w:r w:rsidRPr="00063801">
        <w:rPr>
          <w:sz w:val="24"/>
          <w:szCs w:val="24"/>
        </w:rPr>
        <w:t xml:space="preserve"> are not regulated under FPA but are subject to Agricultural Water Quality Management Program, Water Quality Standards, an</w:t>
      </w:r>
      <w:r w:rsidR="00F66D15" w:rsidRPr="00063801">
        <w:rPr>
          <w:sz w:val="24"/>
          <w:szCs w:val="24"/>
        </w:rPr>
        <w:t>d other regulations.  DEQ will consider revising Division 41</w:t>
      </w:r>
      <w:r w:rsidRPr="00063801">
        <w:rPr>
          <w:sz w:val="24"/>
          <w:szCs w:val="24"/>
        </w:rPr>
        <w:t xml:space="preserve"> to clarify which nonpoint sources are regulated under DEQ authority.</w:t>
      </w:r>
    </w:p>
    <w:p w:rsidR="00952D35" w:rsidRPr="00063801" w:rsidRDefault="008700BE" w:rsidP="00D72CAA">
      <w:pPr>
        <w:pStyle w:val="Heading4"/>
        <w:numPr>
          <w:ilvl w:val="0"/>
          <w:numId w:val="41"/>
        </w:numPr>
        <w:rPr>
          <w:sz w:val="24"/>
          <w:szCs w:val="24"/>
        </w:rPr>
      </w:pPr>
      <w:proofErr w:type="gramStart"/>
      <w:r w:rsidRPr="00063801">
        <w:rPr>
          <w:sz w:val="24"/>
          <w:szCs w:val="24"/>
        </w:rPr>
        <w:t>STAKEHOLDER PROPOSALS</w:t>
      </w:r>
      <w:r w:rsidR="00323B30">
        <w:rPr>
          <w:sz w:val="24"/>
          <w:szCs w:val="24"/>
        </w:rPr>
        <w:t>.</w:t>
      </w:r>
      <w:proofErr w:type="gramEnd"/>
      <w:r w:rsidR="00323B30" w:rsidRPr="00063801">
        <w:rPr>
          <w:sz w:val="24"/>
          <w:szCs w:val="24"/>
        </w:rPr>
        <w:t xml:space="preserve">  </w:t>
      </w:r>
      <w:proofErr w:type="gramStart"/>
      <w:r w:rsidR="00952D35" w:rsidRPr="00063801">
        <w:rPr>
          <w:sz w:val="24"/>
          <w:szCs w:val="24"/>
        </w:rPr>
        <w:t>that</w:t>
      </w:r>
      <w:proofErr w:type="gramEnd"/>
      <w:r w:rsidR="00952D35" w:rsidRPr="00063801">
        <w:rPr>
          <w:sz w:val="24"/>
          <w:szCs w:val="24"/>
        </w:rPr>
        <w:t xml:space="preserve"> will be addressed as a stand-alone item </w:t>
      </w:r>
    </w:p>
    <w:p w:rsidR="003D1BF3" w:rsidRPr="00063801" w:rsidRDefault="003D1BF3" w:rsidP="004331BB">
      <w:pPr>
        <w:spacing w:after="120"/>
        <w:ind w:left="900" w:hanging="540"/>
        <w:rPr>
          <w:b/>
          <w:sz w:val="24"/>
          <w:szCs w:val="24"/>
        </w:rPr>
      </w:pPr>
      <w:r w:rsidRPr="00063801">
        <w:rPr>
          <w:b/>
          <w:sz w:val="24"/>
          <w:szCs w:val="24"/>
        </w:rPr>
        <w:t>#14</w:t>
      </w:r>
      <w:r w:rsidR="008700BE">
        <w:rPr>
          <w:b/>
          <w:sz w:val="24"/>
          <w:szCs w:val="24"/>
        </w:rPr>
        <w:tab/>
      </w:r>
      <w:r w:rsidRPr="00063801">
        <w:rPr>
          <w:b/>
          <w:sz w:val="24"/>
          <w:szCs w:val="24"/>
        </w:rPr>
        <w:t xml:space="preserve">Establish options for going beyond pretreatment for industrial and commercial facilities where treatment/management may not otherwise be required </w:t>
      </w:r>
    </w:p>
    <w:p w:rsidR="003D1BF3" w:rsidRPr="00063801" w:rsidRDefault="003D1BF3" w:rsidP="008700BE">
      <w:pPr>
        <w:spacing w:after="120"/>
        <w:ind w:left="360"/>
        <w:rPr>
          <w:sz w:val="24"/>
          <w:szCs w:val="24"/>
        </w:rPr>
      </w:pPr>
      <w:r w:rsidRPr="00063801">
        <w:rPr>
          <w:sz w:val="24"/>
          <w:szCs w:val="24"/>
        </w:rPr>
        <w:t xml:space="preserve">A small </w:t>
      </w:r>
      <w:r w:rsidR="004331BB">
        <w:rPr>
          <w:sz w:val="24"/>
          <w:szCs w:val="24"/>
        </w:rPr>
        <w:t xml:space="preserve">Non NPDES </w:t>
      </w:r>
      <w:r w:rsidRPr="00063801">
        <w:rPr>
          <w:sz w:val="24"/>
          <w:szCs w:val="24"/>
        </w:rPr>
        <w:t xml:space="preserve">workgroup has formed and </w:t>
      </w:r>
      <w:r w:rsidR="004028A8" w:rsidRPr="00063801">
        <w:rPr>
          <w:sz w:val="24"/>
          <w:szCs w:val="24"/>
        </w:rPr>
        <w:t>met</w:t>
      </w:r>
      <w:r w:rsidRPr="00063801">
        <w:rPr>
          <w:sz w:val="24"/>
          <w:szCs w:val="24"/>
        </w:rPr>
        <w:t xml:space="preserve"> to discuss this topic on April 30</w:t>
      </w:r>
      <w:r w:rsidR="00323B30">
        <w:rPr>
          <w:sz w:val="24"/>
          <w:szCs w:val="24"/>
        </w:rPr>
        <w:t>, 2010</w:t>
      </w:r>
      <w:r w:rsidR="004028A8" w:rsidRPr="00063801">
        <w:rPr>
          <w:sz w:val="24"/>
          <w:szCs w:val="24"/>
        </w:rPr>
        <w:t>.  The small workgroup</w:t>
      </w:r>
      <w:r w:rsidRPr="00063801">
        <w:rPr>
          <w:sz w:val="24"/>
          <w:szCs w:val="24"/>
        </w:rPr>
        <w:t xml:space="preserve"> generate</w:t>
      </w:r>
      <w:r w:rsidR="004028A8" w:rsidRPr="00063801">
        <w:rPr>
          <w:sz w:val="24"/>
          <w:szCs w:val="24"/>
        </w:rPr>
        <w:t>d</w:t>
      </w:r>
      <w:r w:rsidRPr="00063801">
        <w:rPr>
          <w:sz w:val="24"/>
          <w:szCs w:val="24"/>
        </w:rPr>
        <w:t xml:space="preserve"> ideas for expanding the concept of pretreatment.  As a</w:t>
      </w:r>
      <w:r w:rsidR="004028A8" w:rsidRPr="00063801">
        <w:rPr>
          <w:sz w:val="24"/>
          <w:szCs w:val="24"/>
        </w:rPr>
        <w:t xml:space="preserve"> starting point, the group </w:t>
      </w:r>
      <w:r w:rsidRPr="00063801">
        <w:rPr>
          <w:sz w:val="24"/>
          <w:szCs w:val="24"/>
        </w:rPr>
        <w:t>work</w:t>
      </w:r>
      <w:r w:rsidR="004028A8" w:rsidRPr="00063801">
        <w:rPr>
          <w:sz w:val="24"/>
          <w:szCs w:val="24"/>
        </w:rPr>
        <w:t>ed</w:t>
      </w:r>
      <w:r w:rsidRPr="00063801">
        <w:rPr>
          <w:sz w:val="24"/>
          <w:szCs w:val="24"/>
        </w:rPr>
        <w:t xml:space="preserve"> through the ideas presented in the November 11, 2009 version of the Mixed Media Subcommittees’ memo on Pretreatment.  </w:t>
      </w:r>
      <w:r w:rsidR="00952D35" w:rsidRPr="00063801">
        <w:rPr>
          <w:sz w:val="24"/>
          <w:szCs w:val="24"/>
        </w:rPr>
        <w:t>The extent of the overall proposal is still to be determined</w:t>
      </w:r>
      <w:r w:rsidR="004331BB">
        <w:rPr>
          <w:sz w:val="24"/>
          <w:szCs w:val="24"/>
        </w:rPr>
        <w:t xml:space="preserve">.  </w:t>
      </w:r>
      <w:r w:rsidR="00952D35" w:rsidRPr="00063801">
        <w:rPr>
          <w:sz w:val="24"/>
          <w:szCs w:val="24"/>
        </w:rPr>
        <w:t xml:space="preserve"> </w:t>
      </w:r>
      <w:r w:rsidRPr="00063801">
        <w:rPr>
          <w:sz w:val="24"/>
          <w:szCs w:val="24"/>
        </w:rPr>
        <w:t>As the group discusse</w:t>
      </w:r>
      <w:r w:rsidR="004028A8" w:rsidRPr="00063801">
        <w:rPr>
          <w:sz w:val="24"/>
          <w:szCs w:val="24"/>
        </w:rPr>
        <w:t>d</w:t>
      </w:r>
      <w:r w:rsidRPr="00063801">
        <w:rPr>
          <w:sz w:val="24"/>
          <w:szCs w:val="24"/>
        </w:rPr>
        <w:t xml:space="preserve"> ideas, </w:t>
      </w:r>
      <w:r w:rsidR="00952D35" w:rsidRPr="00063801">
        <w:rPr>
          <w:sz w:val="24"/>
          <w:szCs w:val="24"/>
        </w:rPr>
        <w:t xml:space="preserve">it became apparent that </w:t>
      </w:r>
      <w:r w:rsidRPr="00063801">
        <w:rPr>
          <w:sz w:val="24"/>
          <w:szCs w:val="24"/>
        </w:rPr>
        <w:t xml:space="preserve">some </w:t>
      </w:r>
      <w:r w:rsidR="00952D35" w:rsidRPr="00063801">
        <w:rPr>
          <w:sz w:val="24"/>
          <w:szCs w:val="24"/>
        </w:rPr>
        <w:t>would become</w:t>
      </w:r>
      <w:r w:rsidRPr="00063801">
        <w:rPr>
          <w:sz w:val="24"/>
          <w:szCs w:val="24"/>
        </w:rPr>
        <w:t xml:space="preserve"> p</w:t>
      </w:r>
      <w:r w:rsidR="004028A8" w:rsidRPr="00063801">
        <w:rPr>
          <w:sz w:val="24"/>
          <w:szCs w:val="24"/>
        </w:rPr>
        <w:t>roposals</w:t>
      </w:r>
      <w:r w:rsidRPr="00063801">
        <w:rPr>
          <w:sz w:val="24"/>
          <w:szCs w:val="24"/>
        </w:rPr>
        <w:t xml:space="preserve"> for the rulemaking as rules or recommendations.</w:t>
      </w:r>
      <w:r w:rsidR="00952D35" w:rsidRPr="00063801">
        <w:rPr>
          <w:sz w:val="24"/>
          <w:szCs w:val="24"/>
        </w:rPr>
        <w:t xml:space="preserve"> </w:t>
      </w:r>
      <w:r w:rsidRPr="00063801">
        <w:rPr>
          <w:sz w:val="24"/>
          <w:szCs w:val="24"/>
        </w:rPr>
        <w:t xml:space="preserve"> Other</w:t>
      </w:r>
      <w:r w:rsidR="00952D35" w:rsidRPr="00063801">
        <w:rPr>
          <w:sz w:val="24"/>
          <w:szCs w:val="24"/>
        </w:rPr>
        <w:t xml:space="preserve"> ideas</w:t>
      </w:r>
      <w:r w:rsidR="004331BB">
        <w:rPr>
          <w:sz w:val="24"/>
          <w:szCs w:val="24"/>
        </w:rPr>
        <w:t>,</w:t>
      </w:r>
      <w:r w:rsidRPr="00063801">
        <w:rPr>
          <w:sz w:val="24"/>
          <w:szCs w:val="24"/>
        </w:rPr>
        <w:t xml:space="preserve"> such as those that would have FTE/Fiscal</w:t>
      </w:r>
      <w:r w:rsidR="00952D35" w:rsidRPr="00063801">
        <w:rPr>
          <w:sz w:val="24"/>
          <w:szCs w:val="24"/>
        </w:rPr>
        <w:t xml:space="preserve"> impacts for the agency</w:t>
      </w:r>
      <w:r w:rsidR="004331BB">
        <w:rPr>
          <w:sz w:val="24"/>
          <w:szCs w:val="24"/>
        </w:rPr>
        <w:t>,</w:t>
      </w:r>
      <w:r w:rsidRPr="00063801">
        <w:rPr>
          <w:sz w:val="24"/>
          <w:szCs w:val="24"/>
        </w:rPr>
        <w:t xml:space="preserve"> </w:t>
      </w:r>
      <w:r w:rsidR="004028A8" w:rsidRPr="00063801">
        <w:rPr>
          <w:sz w:val="24"/>
          <w:szCs w:val="24"/>
        </w:rPr>
        <w:t>did not</w:t>
      </w:r>
      <w:r w:rsidRPr="00063801">
        <w:rPr>
          <w:sz w:val="24"/>
          <w:szCs w:val="24"/>
        </w:rPr>
        <w:t xml:space="preserve"> meet the evaluation criteria for this rulemaking and will need to be addressed separately.  </w:t>
      </w:r>
    </w:p>
    <w:p w:rsidR="00952D35" w:rsidRPr="003D1BF3" w:rsidRDefault="00952D35" w:rsidP="003D1BF3">
      <w:pPr>
        <w:spacing w:after="120"/>
      </w:pPr>
    </w:p>
    <w:p w:rsidR="0031792D" w:rsidRDefault="005C05C7" w:rsidP="003D1BF3">
      <w:pPr>
        <w:rPr>
          <w:rStyle w:val="Heading3Char"/>
          <w:rFonts w:eastAsia="Calibri"/>
          <w:sz w:val="28"/>
          <w:szCs w:val="28"/>
          <w:u w:val="single"/>
        </w:rPr>
      </w:pPr>
      <w:r w:rsidRPr="005C05C7">
        <w:rPr>
          <w:rStyle w:val="Heading3Char"/>
          <w:rFonts w:eastAsia="Calibri"/>
          <w:sz w:val="28"/>
          <w:szCs w:val="28"/>
          <w:u w:val="single"/>
        </w:rPr>
        <w:t xml:space="preserve">Items </w:t>
      </w:r>
      <w:r w:rsidR="00D72CAA" w:rsidRPr="005C05C7">
        <w:rPr>
          <w:rStyle w:val="Heading3Char"/>
          <w:rFonts w:eastAsia="Calibri"/>
          <w:sz w:val="28"/>
          <w:szCs w:val="28"/>
          <w:u w:val="single"/>
        </w:rPr>
        <w:t xml:space="preserve">Determined Not </w:t>
      </w:r>
      <w:r w:rsidR="008700BE">
        <w:rPr>
          <w:rStyle w:val="Heading3Char"/>
          <w:rFonts w:eastAsia="Calibri"/>
          <w:sz w:val="28"/>
          <w:szCs w:val="28"/>
          <w:u w:val="single"/>
        </w:rPr>
        <w:t>t</w:t>
      </w:r>
      <w:r w:rsidR="00D72CAA" w:rsidRPr="005C05C7">
        <w:rPr>
          <w:rStyle w:val="Heading3Char"/>
          <w:rFonts w:eastAsia="Calibri"/>
          <w:sz w:val="28"/>
          <w:szCs w:val="28"/>
          <w:u w:val="single"/>
        </w:rPr>
        <w:t xml:space="preserve">o </w:t>
      </w:r>
      <w:r w:rsidR="008700BE">
        <w:rPr>
          <w:rStyle w:val="Heading3Char"/>
          <w:rFonts w:eastAsia="Calibri"/>
          <w:sz w:val="28"/>
          <w:szCs w:val="28"/>
          <w:u w:val="single"/>
        </w:rPr>
        <w:t>b</w:t>
      </w:r>
      <w:r w:rsidR="00D72CAA" w:rsidRPr="005C05C7">
        <w:rPr>
          <w:rStyle w:val="Heading3Char"/>
          <w:rFonts w:eastAsia="Calibri"/>
          <w:sz w:val="28"/>
          <w:szCs w:val="28"/>
          <w:u w:val="single"/>
        </w:rPr>
        <w:t xml:space="preserve">e Included </w:t>
      </w:r>
      <w:r w:rsidR="008700BE">
        <w:rPr>
          <w:rStyle w:val="Heading3Char"/>
          <w:rFonts w:eastAsia="Calibri"/>
          <w:sz w:val="28"/>
          <w:szCs w:val="28"/>
          <w:u w:val="single"/>
        </w:rPr>
        <w:t>i</w:t>
      </w:r>
      <w:r w:rsidR="00D72CAA" w:rsidRPr="005C05C7">
        <w:rPr>
          <w:rStyle w:val="Heading3Char"/>
          <w:rFonts w:eastAsia="Calibri"/>
          <w:sz w:val="28"/>
          <w:szCs w:val="28"/>
          <w:u w:val="single"/>
        </w:rPr>
        <w:t xml:space="preserve">n </w:t>
      </w:r>
      <w:r w:rsidR="008700BE">
        <w:rPr>
          <w:rStyle w:val="Heading3Char"/>
          <w:rFonts w:eastAsia="Calibri"/>
          <w:sz w:val="28"/>
          <w:szCs w:val="28"/>
          <w:u w:val="single"/>
        </w:rPr>
        <w:t>t</w:t>
      </w:r>
      <w:r w:rsidR="00D72CAA" w:rsidRPr="005C05C7">
        <w:rPr>
          <w:rStyle w:val="Heading3Char"/>
          <w:rFonts w:eastAsia="Calibri"/>
          <w:sz w:val="28"/>
          <w:szCs w:val="28"/>
          <w:u w:val="single"/>
        </w:rPr>
        <w:t xml:space="preserve">he </w:t>
      </w:r>
      <w:r w:rsidRPr="005C05C7">
        <w:rPr>
          <w:rStyle w:val="Heading3Char"/>
          <w:rFonts w:eastAsia="Calibri"/>
          <w:sz w:val="28"/>
          <w:szCs w:val="28"/>
          <w:u w:val="single"/>
        </w:rPr>
        <w:t>Rule Package</w:t>
      </w:r>
    </w:p>
    <w:p w:rsidR="00F909B4" w:rsidRPr="00C70CDB" w:rsidRDefault="00F909B4" w:rsidP="00F909B4">
      <w:pPr>
        <w:pStyle w:val="Heading4"/>
        <w:rPr>
          <w:sz w:val="24"/>
          <w:szCs w:val="24"/>
        </w:rPr>
      </w:pPr>
      <w:r w:rsidRPr="00C70CDB">
        <w:rPr>
          <w:sz w:val="24"/>
          <w:szCs w:val="24"/>
        </w:rPr>
        <w:t>Summary</w:t>
      </w:r>
    </w:p>
    <w:p w:rsidR="00637D1B" w:rsidRDefault="00F909B4" w:rsidP="009E7925">
      <w:pPr>
        <w:spacing w:after="0"/>
      </w:pPr>
      <w:r>
        <w:rPr>
          <w:sz w:val="24"/>
          <w:szCs w:val="24"/>
        </w:rPr>
        <w:t xml:space="preserve">Based on the staff analysis, DEQ determined that the following items should </w:t>
      </w:r>
      <w:r w:rsidR="009E7925">
        <w:rPr>
          <w:sz w:val="24"/>
          <w:szCs w:val="24"/>
        </w:rPr>
        <w:t xml:space="preserve">not </w:t>
      </w:r>
      <w:r>
        <w:rPr>
          <w:sz w:val="24"/>
          <w:szCs w:val="24"/>
        </w:rPr>
        <w:t xml:space="preserve">be considered for this rulemaking.  </w:t>
      </w:r>
      <w:r w:rsidR="00637D1B">
        <w:t>These items are part of the inventory being considered by the T</w:t>
      </w:r>
      <w:r w:rsidR="00537BFE">
        <w:t xml:space="preserve">oxics Reduction Strategy, and </w:t>
      </w:r>
      <w:r w:rsidR="00637D1B">
        <w:t xml:space="preserve">will be further evaluated as part of that process.  </w:t>
      </w:r>
    </w:p>
    <w:p w:rsidR="009E7925" w:rsidRPr="009E7925" w:rsidRDefault="009E7925" w:rsidP="009E7925">
      <w:pPr>
        <w:spacing w:after="0"/>
        <w:rPr>
          <w:sz w:val="24"/>
          <w:szCs w:val="24"/>
        </w:rPr>
      </w:pPr>
    </w:p>
    <w:p w:rsidR="00F619E4" w:rsidRPr="00063801" w:rsidRDefault="00F619E4" w:rsidP="00F619E4">
      <w:pPr>
        <w:spacing w:after="120" w:line="240" w:lineRule="auto"/>
        <w:ind w:left="360"/>
        <w:rPr>
          <w:sz w:val="24"/>
          <w:szCs w:val="24"/>
        </w:rPr>
      </w:pPr>
      <w:r w:rsidRPr="00063801">
        <w:rPr>
          <w:b/>
          <w:sz w:val="24"/>
          <w:szCs w:val="24"/>
        </w:rPr>
        <w:t>#2</w:t>
      </w:r>
      <w:r w:rsidRPr="00063801">
        <w:rPr>
          <w:b/>
          <w:sz w:val="24"/>
          <w:szCs w:val="24"/>
        </w:rPr>
        <w:tab/>
        <w:t xml:space="preserve">Remove shields in rule for individual landowners for nonpoint source pollution in </w:t>
      </w:r>
      <w:r>
        <w:rPr>
          <w:b/>
          <w:sz w:val="24"/>
          <w:szCs w:val="24"/>
        </w:rPr>
        <w:tab/>
      </w:r>
      <w:r w:rsidRPr="00063801">
        <w:rPr>
          <w:b/>
          <w:sz w:val="24"/>
          <w:szCs w:val="24"/>
        </w:rPr>
        <w:t>Water Quality Standards</w:t>
      </w:r>
      <w:r w:rsidRPr="00063801">
        <w:rPr>
          <w:sz w:val="24"/>
          <w:szCs w:val="24"/>
        </w:rPr>
        <w:t xml:space="preserve"> </w:t>
      </w:r>
    </w:p>
    <w:p w:rsidR="00F619E4" w:rsidRPr="00063801" w:rsidRDefault="00F619E4" w:rsidP="00F619E4">
      <w:pPr>
        <w:spacing w:after="120"/>
        <w:ind w:left="360"/>
        <w:rPr>
          <w:sz w:val="24"/>
          <w:szCs w:val="24"/>
        </w:rPr>
      </w:pPr>
      <w:r w:rsidRPr="00CF1A3C">
        <w:rPr>
          <w:sz w:val="24"/>
          <w:szCs w:val="24"/>
        </w:rPr>
        <w:t>Under ORS 527.770, forest operators conducting or proposing to conduct according to the Forest practices act (FPA) in good faith are considered in compliance with Water Quality Standards.  It therefore requires a statutory change to remove existing shields for fore</w:t>
      </w:r>
      <w:r>
        <w:rPr>
          <w:sz w:val="24"/>
          <w:szCs w:val="24"/>
        </w:rPr>
        <w:t xml:space="preserve">stry.  For agriculture, EQC </w:t>
      </w:r>
      <w:r w:rsidRPr="00CF1A3C">
        <w:rPr>
          <w:sz w:val="24"/>
          <w:szCs w:val="24"/>
        </w:rPr>
        <w:t xml:space="preserve">made a policy decision to </w:t>
      </w:r>
      <w:r w:rsidR="00637D1B">
        <w:rPr>
          <w:sz w:val="24"/>
          <w:szCs w:val="24"/>
        </w:rPr>
        <w:t>include</w:t>
      </w:r>
      <w:r w:rsidR="00637D1B" w:rsidRPr="00CF1A3C">
        <w:rPr>
          <w:sz w:val="24"/>
          <w:szCs w:val="24"/>
        </w:rPr>
        <w:t xml:space="preserve"> </w:t>
      </w:r>
      <w:r w:rsidRPr="00CF1A3C">
        <w:rPr>
          <w:sz w:val="24"/>
          <w:szCs w:val="24"/>
        </w:rPr>
        <w:t xml:space="preserve">a similar </w:t>
      </w:r>
      <w:r w:rsidR="00637D1B">
        <w:rPr>
          <w:sz w:val="24"/>
          <w:szCs w:val="24"/>
        </w:rPr>
        <w:t>provision</w:t>
      </w:r>
      <w:r w:rsidR="00637D1B" w:rsidRPr="00CF1A3C">
        <w:rPr>
          <w:sz w:val="24"/>
          <w:szCs w:val="24"/>
        </w:rPr>
        <w:t xml:space="preserve"> </w:t>
      </w:r>
      <w:r w:rsidR="00637D1B">
        <w:rPr>
          <w:sz w:val="24"/>
          <w:szCs w:val="24"/>
        </w:rPr>
        <w:t>to</w:t>
      </w:r>
      <w:r w:rsidR="00637D1B" w:rsidRPr="00CF1A3C">
        <w:rPr>
          <w:sz w:val="24"/>
          <w:szCs w:val="24"/>
        </w:rPr>
        <w:t xml:space="preserve"> </w:t>
      </w:r>
      <w:r w:rsidRPr="00CF1A3C">
        <w:rPr>
          <w:sz w:val="24"/>
          <w:szCs w:val="24"/>
        </w:rPr>
        <w:t>producers and land owners who comply with Agricultural Water Quality Management Area rules for temperature.</w:t>
      </w:r>
      <w:r>
        <w:rPr>
          <w:sz w:val="24"/>
          <w:szCs w:val="24"/>
        </w:rPr>
        <w:t xml:space="preserve">  DEQ will not </w:t>
      </w:r>
      <w:r w:rsidRPr="00063801">
        <w:rPr>
          <w:sz w:val="24"/>
          <w:szCs w:val="24"/>
        </w:rPr>
        <w:t xml:space="preserve">revise the rule language </w:t>
      </w:r>
      <w:r>
        <w:rPr>
          <w:sz w:val="24"/>
          <w:szCs w:val="24"/>
        </w:rPr>
        <w:t xml:space="preserve">in OAR 340-041-0028 at this time.  </w:t>
      </w:r>
    </w:p>
    <w:p w:rsidR="00275E76" w:rsidRPr="004331BB" w:rsidRDefault="00275E76" w:rsidP="004331BB">
      <w:pPr>
        <w:spacing w:after="120" w:line="240" w:lineRule="auto"/>
        <w:ind w:left="900" w:hanging="540"/>
        <w:rPr>
          <w:rStyle w:val="Strong"/>
          <w:sz w:val="24"/>
          <w:szCs w:val="24"/>
        </w:rPr>
      </w:pPr>
      <w:r w:rsidRPr="004331BB">
        <w:rPr>
          <w:rStyle w:val="Strong"/>
          <w:sz w:val="24"/>
          <w:szCs w:val="24"/>
        </w:rPr>
        <w:t>#10</w:t>
      </w:r>
      <w:r w:rsidRPr="004331BB">
        <w:rPr>
          <w:rStyle w:val="Strong"/>
          <w:sz w:val="24"/>
          <w:szCs w:val="24"/>
        </w:rPr>
        <w:tab/>
      </w:r>
      <w:proofErr w:type="gramStart"/>
      <w:r w:rsidRPr="004331BB">
        <w:rPr>
          <w:rStyle w:val="Strong"/>
          <w:sz w:val="24"/>
          <w:szCs w:val="24"/>
        </w:rPr>
        <w:t>R</w:t>
      </w:r>
      <w:r w:rsidR="00632460" w:rsidRPr="004331BB">
        <w:rPr>
          <w:rStyle w:val="Strong"/>
          <w:sz w:val="24"/>
          <w:szCs w:val="24"/>
        </w:rPr>
        <w:t>equire</w:t>
      </w:r>
      <w:proofErr w:type="gramEnd"/>
      <w:r w:rsidR="00632460" w:rsidRPr="004331BB">
        <w:rPr>
          <w:rStyle w:val="Strong"/>
          <w:sz w:val="24"/>
          <w:szCs w:val="24"/>
        </w:rPr>
        <w:t xml:space="preserve"> </w:t>
      </w:r>
      <w:r w:rsidR="003164F8" w:rsidRPr="004331BB">
        <w:rPr>
          <w:rStyle w:val="Strong"/>
          <w:sz w:val="24"/>
          <w:szCs w:val="24"/>
        </w:rPr>
        <w:t xml:space="preserve">that </w:t>
      </w:r>
      <w:r w:rsidRPr="004331BB">
        <w:rPr>
          <w:rStyle w:val="Strong"/>
          <w:sz w:val="24"/>
          <w:szCs w:val="24"/>
        </w:rPr>
        <w:t>fertilizers be restricted to agronomic rates in Division 41</w:t>
      </w:r>
    </w:p>
    <w:p w:rsidR="00275E76" w:rsidRPr="004331BB" w:rsidRDefault="00325CA6" w:rsidP="004331BB">
      <w:pPr>
        <w:ind w:left="360"/>
        <w:rPr>
          <w:rStyle w:val="Strong"/>
          <w:b w:val="0"/>
          <w:sz w:val="24"/>
          <w:szCs w:val="24"/>
        </w:rPr>
      </w:pPr>
      <w:r w:rsidRPr="004331BB">
        <w:rPr>
          <w:rStyle w:val="Strong"/>
          <w:b w:val="0"/>
          <w:sz w:val="24"/>
          <w:szCs w:val="24"/>
        </w:rPr>
        <w:t>Under Division 50 (</w:t>
      </w:r>
      <w:proofErr w:type="spellStart"/>
      <w:r w:rsidRPr="004331BB">
        <w:rPr>
          <w:rStyle w:val="Strong"/>
          <w:b w:val="0"/>
          <w:sz w:val="24"/>
          <w:szCs w:val="24"/>
        </w:rPr>
        <w:t>Biosolids</w:t>
      </w:r>
      <w:proofErr w:type="spellEnd"/>
      <w:r w:rsidRPr="004331BB">
        <w:rPr>
          <w:rStyle w:val="Strong"/>
          <w:b w:val="0"/>
          <w:sz w:val="24"/>
          <w:szCs w:val="24"/>
        </w:rPr>
        <w:t xml:space="preserve">)”Agronomic Application Rate” is defined as </w:t>
      </w:r>
      <w:r w:rsidRPr="004331BB">
        <w:rPr>
          <w:sz w:val="24"/>
          <w:szCs w:val="24"/>
        </w:rPr>
        <w:t xml:space="preserve">a rate of </w:t>
      </w:r>
      <w:proofErr w:type="spellStart"/>
      <w:r w:rsidRPr="004331BB">
        <w:rPr>
          <w:sz w:val="24"/>
          <w:szCs w:val="24"/>
        </w:rPr>
        <w:t>biosolids</w:t>
      </w:r>
      <w:proofErr w:type="spellEnd"/>
      <w:r w:rsidRPr="004331BB">
        <w:rPr>
          <w:sz w:val="24"/>
          <w:szCs w:val="24"/>
        </w:rPr>
        <w:t xml:space="preserve"> or domestic </w:t>
      </w:r>
      <w:proofErr w:type="spellStart"/>
      <w:r w:rsidRPr="004331BB">
        <w:rPr>
          <w:sz w:val="24"/>
          <w:szCs w:val="24"/>
        </w:rPr>
        <w:t>septage</w:t>
      </w:r>
      <w:proofErr w:type="spellEnd"/>
      <w:r w:rsidRPr="004331BB">
        <w:rPr>
          <w:sz w:val="24"/>
          <w:szCs w:val="24"/>
        </w:rPr>
        <w:t xml:space="preserve"> application which matches nutrient requirements for </w:t>
      </w:r>
      <w:r w:rsidR="004331BB">
        <w:rPr>
          <w:sz w:val="24"/>
          <w:szCs w:val="24"/>
        </w:rPr>
        <w:t xml:space="preserve">a </w:t>
      </w:r>
      <w:r w:rsidRPr="004331BB">
        <w:rPr>
          <w:sz w:val="24"/>
          <w:szCs w:val="24"/>
        </w:rPr>
        <w:t xml:space="preserve">specific crop on an annual basis.  Application at the rate may or may not </w:t>
      </w:r>
      <w:r w:rsidRPr="004331BB">
        <w:rPr>
          <w:rStyle w:val="Strong"/>
          <w:b w:val="0"/>
          <w:sz w:val="24"/>
          <w:szCs w:val="24"/>
        </w:rPr>
        <w:t xml:space="preserve">result in excess runoff or contamination of groundwater.  DEQ </w:t>
      </w:r>
      <w:r w:rsidR="00632460" w:rsidRPr="004331BB">
        <w:rPr>
          <w:rStyle w:val="Strong"/>
          <w:b w:val="0"/>
          <w:sz w:val="24"/>
          <w:szCs w:val="24"/>
        </w:rPr>
        <w:t>will be</w:t>
      </w:r>
      <w:r w:rsidRPr="004331BB">
        <w:rPr>
          <w:rStyle w:val="Strong"/>
          <w:b w:val="0"/>
          <w:sz w:val="24"/>
          <w:szCs w:val="24"/>
        </w:rPr>
        <w:t xml:space="preserve"> </w:t>
      </w:r>
      <w:r w:rsidR="00632460" w:rsidRPr="004331BB">
        <w:rPr>
          <w:rStyle w:val="Strong"/>
          <w:b w:val="0"/>
          <w:sz w:val="24"/>
          <w:szCs w:val="24"/>
        </w:rPr>
        <w:t xml:space="preserve">taking a comprehensive look at issues related to nutrients during </w:t>
      </w:r>
      <w:r w:rsidR="00F57E25">
        <w:rPr>
          <w:rStyle w:val="Strong"/>
          <w:b w:val="0"/>
          <w:sz w:val="24"/>
          <w:szCs w:val="24"/>
        </w:rPr>
        <w:t xml:space="preserve">the </w:t>
      </w:r>
      <w:r w:rsidR="00632460" w:rsidRPr="004331BB">
        <w:rPr>
          <w:rStyle w:val="Strong"/>
          <w:b w:val="0"/>
          <w:sz w:val="24"/>
          <w:szCs w:val="24"/>
        </w:rPr>
        <w:t xml:space="preserve">upcoming nutrient standards rulemaking and plans to </w:t>
      </w:r>
      <w:r w:rsidR="00323B30" w:rsidRPr="004331BB">
        <w:rPr>
          <w:rStyle w:val="Strong"/>
          <w:b w:val="0"/>
          <w:sz w:val="24"/>
          <w:szCs w:val="24"/>
        </w:rPr>
        <w:t>look</w:t>
      </w:r>
      <w:r w:rsidR="00632460" w:rsidRPr="004331BB">
        <w:rPr>
          <w:rStyle w:val="Strong"/>
          <w:b w:val="0"/>
          <w:sz w:val="24"/>
          <w:szCs w:val="24"/>
        </w:rPr>
        <w:t xml:space="preserve"> at agronomic rates at that time.  </w:t>
      </w:r>
      <w:r w:rsidRPr="004331BB">
        <w:rPr>
          <w:rStyle w:val="Strong"/>
          <w:b w:val="0"/>
          <w:sz w:val="24"/>
          <w:szCs w:val="24"/>
        </w:rPr>
        <w:t xml:space="preserve"> </w:t>
      </w:r>
    </w:p>
    <w:p w:rsidR="00060587" w:rsidRPr="004331BB" w:rsidRDefault="003D1BF3" w:rsidP="004331BB">
      <w:pPr>
        <w:spacing w:after="120" w:line="240" w:lineRule="auto"/>
        <w:ind w:left="900" w:hanging="540"/>
        <w:rPr>
          <w:b/>
          <w:sz w:val="24"/>
          <w:szCs w:val="24"/>
        </w:rPr>
      </w:pPr>
      <w:r w:rsidRPr="004331BB">
        <w:rPr>
          <w:b/>
          <w:sz w:val="24"/>
          <w:szCs w:val="24"/>
        </w:rPr>
        <w:t>#21</w:t>
      </w:r>
      <w:r w:rsidRPr="004331BB">
        <w:rPr>
          <w:b/>
          <w:sz w:val="24"/>
          <w:szCs w:val="24"/>
        </w:rPr>
        <w:tab/>
      </w:r>
      <w:r w:rsidR="00AD2D8A" w:rsidRPr="004331BB">
        <w:rPr>
          <w:b/>
          <w:sz w:val="24"/>
          <w:szCs w:val="24"/>
        </w:rPr>
        <w:t>Establish standards for metals and other “non-nutritive” toxics in fertilizers</w:t>
      </w:r>
      <w:r w:rsidR="001F0131" w:rsidRPr="004331BB">
        <w:rPr>
          <w:b/>
          <w:sz w:val="24"/>
          <w:szCs w:val="24"/>
        </w:rPr>
        <w:t xml:space="preserve"> in Water Quality rules</w:t>
      </w:r>
      <w:r w:rsidR="008139CB" w:rsidRPr="004331BB">
        <w:rPr>
          <w:b/>
          <w:sz w:val="24"/>
          <w:szCs w:val="24"/>
        </w:rPr>
        <w:t xml:space="preserve"> </w:t>
      </w:r>
    </w:p>
    <w:p w:rsidR="008139CB" w:rsidRPr="004331BB" w:rsidRDefault="008139CB" w:rsidP="004331BB">
      <w:pPr>
        <w:spacing w:after="120" w:line="240" w:lineRule="auto"/>
        <w:ind w:left="360"/>
        <w:rPr>
          <w:sz w:val="24"/>
          <w:szCs w:val="24"/>
        </w:rPr>
      </w:pPr>
      <w:r w:rsidRPr="004331BB">
        <w:rPr>
          <w:sz w:val="24"/>
          <w:szCs w:val="24"/>
        </w:rPr>
        <w:t xml:space="preserve">Department of Agriculture has </w:t>
      </w:r>
      <w:r w:rsidR="00352086" w:rsidRPr="004331BB">
        <w:rPr>
          <w:sz w:val="24"/>
          <w:szCs w:val="24"/>
        </w:rPr>
        <w:t>authority</w:t>
      </w:r>
      <w:r w:rsidRPr="004331BB">
        <w:rPr>
          <w:sz w:val="24"/>
          <w:szCs w:val="24"/>
        </w:rPr>
        <w:t xml:space="preserve"> to regulate </w:t>
      </w:r>
      <w:r w:rsidR="000F775F" w:rsidRPr="004331BB">
        <w:rPr>
          <w:sz w:val="24"/>
          <w:szCs w:val="24"/>
        </w:rPr>
        <w:t xml:space="preserve">the level of metals in fertilizers </w:t>
      </w:r>
      <w:r w:rsidRPr="004331BB">
        <w:rPr>
          <w:sz w:val="24"/>
          <w:szCs w:val="24"/>
        </w:rPr>
        <w:t xml:space="preserve">and standards for metals in fertilizers </w:t>
      </w:r>
      <w:r w:rsidR="000F775F" w:rsidRPr="004331BB">
        <w:rPr>
          <w:sz w:val="24"/>
          <w:szCs w:val="24"/>
        </w:rPr>
        <w:t xml:space="preserve">are set under ORS 561.190 and 633, </w:t>
      </w:r>
      <w:r w:rsidR="00323B30" w:rsidRPr="004331BB">
        <w:rPr>
          <w:sz w:val="24"/>
          <w:szCs w:val="24"/>
        </w:rPr>
        <w:t>and</w:t>
      </w:r>
      <w:r w:rsidR="000F775F" w:rsidRPr="004331BB">
        <w:rPr>
          <w:sz w:val="24"/>
          <w:szCs w:val="24"/>
        </w:rPr>
        <w:t xml:space="preserve"> </w:t>
      </w:r>
      <w:r w:rsidRPr="004331BB">
        <w:rPr>
          <w:sz w:val="24"/>
          <w:szCs w:val="24"/>
        </w:rPr>
        <w:t>Division 59, Fertilizers</w:t>
      </w:r>
      <w:r w:rsidR="000F775F" w:rsidRPr="004331BB">
        <w:rPr>
          <w:sz w:val="24"/>
          <w:szCs w:val="24"/>
        </w:rPr>
        <w:t xml:space="preserve">, Agricultural Minerals, Limes rule.  In order for DEQ to set standards for fertilizers, statutory change is needed.  </w:t>
      </w:r>
    </w:p>
    <w:p w:rsidR="00AD2D8A" w:rsidRPr="004331BB" w:rsidRDefault="003D1BF3" w:rsidP="00F57E25">
      <w:pPr>
        <w:tabs>
          <w:tab w:val="left" w:pos="900"/>
        </w:tabs>
        <w:spacing w:after="120" w:line="240" w:lineRule="auto"/>
        <w:ind w:left="360"/>
        <w:rPr>
          <w:b/>
          <w:sz w:val="24"/>
          <w:szCs w:val="24"/>
        </w:rPr>
      </w:pPr>
      <w:r w:rsidRPr="004331BB">
        <w:rPr>
          <w:b/>
          <w:sz w:val="24"/>
          <w:szCs w:val="24"/>
        </w:rPr>
        <w:t>#23</w:t>
      </w:r>
      <w:r w:rsidRPr="004331BB">
        <w:rPr>
          <w:b/>
          <w:sz w:val="24"/>
          <w:szCs w:val="24"/>
        </w:rPr>
        <w:tab/>
      </w:r>
      <w:r w:rsidR="00AD2D8A" w:rsidRPr="004331BB">
        <w:rPr>
          <w:b/>
          <w:sz w:val="24"/>
          <w:szCs w:val="24"/>
        </w:rPr>
        <w:t>Limit homeowner application</w:t>
      </w:r>
      <w:r w:rsidRPr="004331BB">
        <w:rPr>
          <w:b/>
          <w:sz w:val="24"/>
          <w:szCs w:val="24"/>
        </w:rPr>
        <w:t>s</w:t>
      </w:r>
      <w:r w:rsidR="00AD2D8A" w:rsidRPr="004331BB">
        <w:rPr>
          <w:b/>
          <w:sz w:val="24"/>
          <w:szCs w:val="24"/>
        </w:rPr>
        <w:t xml:space="preserve"> for some pesticides</w:t>
      </w:r>
      <w:r w:rsidR="001F0131" w:rsidRPr="004331BB">
        <w:rPr>
          <w:b/>
          <w:sz w:val="24"/>
          <w:szCs w:val="24"/>
        </w:rPr>
        <w:t xml:space="preserve"> in Water Quality rules</w:t>
      </w:r>
      <w:r w:rsidR="008139CB" w:rsidRPr="004331BB">
        <w:rPr>
          <w:b/>
          <w:sz w:val="24"/>
          <w:szCs w:val="24"/>
        </w:rPr>
        <w:t xml:space="preserve"> </w:t>
      </w:r>
    </w:p>
    <w:p w:rsidR="009E7925" w:rsidRDefault="00E262C1" w:rsidP="00F619E4">
      <w:pPr>
        <w:spacing w:after="120" w:line="240" w:lineRule="auto"/>
        <w:ind w:left="360"/>
        <w:rPr>
          <w:sz w:val="24"/>
          <w:szCs w:val="24"/>
        </w:rPr>
      </w:pPr>
      <w:r w:rsidRPr="004331BB">
        <w:rPr>
          <w:sz w:val="24"/>
          <w:szCs w:val="24"/>
        </w:rPr>
        <w:t xml:space="preserve">ODA has authority under </w:t>
      </w:r>
      <w:r w:rsidR="00F57E25">
        <w:rPr>
          <w:sz w:val="24"/>
          <w:szCs w:val="24"/>
        </w:rPr>
        <w:t xml:space="preserve">the </w:t>
      </w:r>
      <w:r w:rsidRPr="004331BB">
        <w:rPr>
          <w:sz w:val="24"/>
          <w:szCs w:val="24"/>
        </w:rPr>
        <w:t xml:space="preserve">Federal Insecticide, Fungicide, and </w:t>
      </w:r>
      <w:proofErr w:type="spellStart"/>
      <w:r w:rsidRPr="004331BB">
        <w:rPr>
          <w:sz w:val="24"/>
          <w:szCs w:val="24"/>
        </w:rPr>
        <w:t>Rodenticide</w:t>
      </w:r>
      <w:proofErr w:type="spellEnd"/>
      <w:r w:rsidRPr="004331BB">
        <w:rPr>
          <w:sz w:val="24"/>
          <w:szCs w:val="24"/>
        </w:rPr>
        <w:t xml:space="preserve"> Act.  EQC does not have authority to regulate </w:t>
      </w:r>
      <w:r w:rsidR="00D46F92" w:rsidRPr="004331BB">
        <w:rPr>
          <w:sz w:val="24"/>
          <w:szCs w:val="24"/>
        </w:rPr>
        <w:t xml:space="preserve">home </w:t>
      </w:r>
      <w:r w:rsidRPr="004331BB">
        <w:rPr>
          <w:sz w:val="24"/>
          <w:szCs w:val="24"/>
        </w:rPr>
        <w:t>pesticide</w:t>
      </w:r>
      <w:r w:rsidR="00D46F92" w:rsidRPr="004331BB">
        <w:rPr>
          <w:sz w:val="24"/>
          <w:szCs w:val="24"/>
        </w:rPr>
        <w:t xml:space="preserve"> uses</w:t>
      </w:r>
      <w:r w:rsidR="0070650E" w:rsidRPr="004331BB">
        <w:rPr>
          <w:sz w:val="24"/>
          <w:szCs w:val="24"/>
        </w:rPr>
        <w:t>.  H</w:t>
      </w:r>
      <w:r w:rsidRPr="004331BB">
        <w:rPr>
          <w:sz w:val="24"/>
          <w:szCs w:val="24"/>
        </w:rPr>
        <w:t xml:space="preserve">owever, DEQ </w:t>
      </w:r>
      <w:r w:rsidR="00FC466B" w:rsidRPr="004331BB">
        <w:rPr>
          <w:sz w:val="24"/>
          <w:szCs w:val="24"/>
        </w:rPr>
        <w:t xml:space="preserve">has participated and funded </w:t>
      </w:r>
      <w:r w:rsidR="00D46F92" w:rsidRPr="004331BB">
        <w:rPr>
          <w:sz w:val="24"/>
          <w:szCs w:val="24"/>
        </w:rPr>
        <w:t>educat</w:t>
      </w:r>
      <w:r w:rsidR="00FC466B" w:rsidRPr="004331BB">
        <w:rPr>
          <w:sz w:val="24"/>
          <w:szCs w:val="24"/>
        </w:rPr>
        <w:t>ion of</w:t>
      </w:r>
      <w:r w:rsidR="00D46F92" w:rsidRPr="004331BB">
        <w:rPr>
          <w:sz w:val="24"/>
          <w:szCs w:val="24"/>
        </w:rPr>
        <w:t xml:space="preserve"> the public and shares </w:t>
      </w:r>
      <w:r w:rsidRPr="004331BB">
        <w:rPr>
          <w:sz w:val="24"/>
          <w:szCs w:val="24"/>
        </w:rPr>
        <w:t>information</w:t>
      </w:r>
      <w:r w:rsidR="00FC466B" w:rsidRPr="004331BB">
        <w:rPr>
          <w:sz w:val="24"/>
          <w:szCs w:val="24"/>
        </w:rPr>
        <w:t xml:space="preserve"> regarding pesticides and water quality</w:t>
      </w:r>
      <w:r w:rsidRPr="004331BB">
        <w:rPr>
          <w:sz w:val="24"/>
          <w:szCs w:val="24"/>
        </w:rPr>
        <w:t xml:space="preserve">.  </w:t>
      </w:r>
    </w:p>
    <w:p w:rsidR="009E7925" w:rsidRDefault="009E7925">
      <w:pPr>
        <w:spacing w:after="0" w:line="240" w:lineRule="auto"/>
        <w:rPr>
          <w:sz w:val="24"/>
          <w:szCs w:val="24"/>
        </w:rPr>
      </w:pPr>
      <w:r>
        <w:rPr>
          <w:sz w:val="24"/>
          <w:szCs w:val="24"/>
        </w:rPr>
        <w:br w:type="page"/>
      </w:r>
    </w:p>
    <w:p w:rsidR="00AD2D8A" w:rsidRPr="004331BB" w:rsidRDefault="003D1BF3" w:rsidP="009E7925">
      <w:pPr>
        <w:spacing w:after="120" w:line="240" w:lineRule="auto"/>
        <w:ind w:left="360"/>
        <w:rPr>
          <w:b/>
          <w:sz w:val="24"/>
          <w:szCs w:val="24"/>
        </w:rPr>
      </w:pPr>
      <w:r w:rsidRPr="004331BB">
        <w:rPr>
          <w:b/>
          <w:sz w:val="24"/>
          <w:szCs w:val="24"/>
        </w:rPr>
        <w:lastRenderedPageBreak/>
        <w:t>#29</w:t>
      </w:r>
      <w:r w:rsidR="009E7925">
        <w:rPr>
          <w:b/>
          <w:sz w:val="24"/>
          <w:szCs w:val="24"/>
        </w:rPr>
        <w:t xml:space="preserve">    </w:t>
      </w:r>
      <w:r w:rsidR="00AD2D8A" w:rsidRPr="004331BB">
        <w:rPr>
          <w:b/>
          <w:sz w:val="24"/>
          <w:szCs w:val="24"/>
        </w:rPr>
        <w:t>Substitute pesticides and practices to reduce use of listed pesticides in highway and road maintenance, as well as at vector control districts</w:t>
      </w:r>
      <w:r w:rsidR="001F0131" w:rsidRPr="004331BB">
        <w:rPr>
          <w:b/>
          <w:sz w:val="24"/>
          <w:szCs w:val="24"/>
        </w:rPr>
        <w:t xml:space="preserve"> </w:t>
      </w:r>
    </w:p>
    <w:p w:rsidR="00637D1B" w:rsidRDefault="0070650E" w:rsidP="00637D1B">
      <w:pPr>
        <w:spacing w:after="120" w:line="240" w:lineRule="auto"/>
        <w:ind w:left="360"/>
        <w:rPr>
          <w:sz w:val="24"/>
          <w:szCs w:val="24"/>
        </w:rPr>
      </w:pPr>
      <w:r w:rsidRPr="004331BB">
        <w:rPr>
          <w:sz w:val="24"/>
          <w:szCs w:val="24"/>
        </w:rPr>
        <w:t xml:space="preserve">ODA has authority under Federal Insecticide, Fungicide, and </w:t>
      </w:r>
      <w:proofErr w:type="spellStart"/>
      <w:r w:rsidRPr="004331BB">
        <w:rPr>
          <w:sz w:val="24"/>
          <w:szCs w:val="24"/>
        </w:rPr>
        <w:t>Rodenticide</w:t>
      </w:r>
      <w:proofErr w:type="spellEnd"/>
      <w:r w:rsidRPr="004331BB">
        <w:rPr>
          <w:sz w:val="24"/>
          <w:szCs w:val="24"/>
        </w:rPr>
        <w:t xml:space="preserve"> Act</w:t>
      </w:r>
      <w:r w:rsidR="00323B30" w:rsidRPr="004331BB">
        <w:rPr>
          <w:sz w:val="24"/>
          <w:szCs w:val="24"/>
        </w:rPr>
        <w:t xml:space="preserve">.  </w:t>
      </w:r>
      <w:r w:rsidRPr="004331BB">
        <w:rPr>
          <w:sz w:val="24"/>
          <w:szCs w:val="24"/>
        </w:rPr>
        <w:t xml:space="preserve"> </w:t>
      </w:r>
      <w:r w:rsidR="008139CB" w:rsidRPr="004331BB">
        <w:rPr>
          <w:sz w:val="24"/>
          <w:szCs w:val="24"/>
        </w:rPr>
        <w:t xml:space="preserve">EQC does not have </w:t>
      </w:r>
      <w:r w:rsidR="00352086" w:rsidRPr="004331BB">
        <w:rPr>
          <w:sz w:val="24"/>
          <w:szCs w:val="24"/>
        </w:rPr>
        <w:t>authority</w:t>
      </w:r>
      <w:r w:rsidR="008139CB" w:rsidRPr="004331BB">
        <w:rPr>
          <w:sz w:val="24"/>
          <w:szCs w:val="24"/>
        </w:rPr>
        <w:t xml:space="preserve"> to regulate </w:t>
      </w:r>
      <w:r w:rsidR="00D46F92" w:rsidRPr="004331BB">
        <w:rPr>
          <w:sz w:val="24"/>
          <w:szCs w:val="24"/>
        </w:rPr>
        <w:t xml:space="preserve">pesticide </w:t>
      </w:r>
      <w:r w:rsidR="00323B30" w:rsidRPr="004331BB">
        <w:rPr>
          <w:sz w:val="24"/>
          <w:szCs w:val="24"/>
        </w:rPr>
        <w:t>uses;</w:t>
      </w:r>
      <w:r w:rsidR="00D46F92" w:rsidRPr="004331BB">
        <w:rPr>
          <w:sz w:val="24"/>
          <w:szCs w:val="24"/>
        </w:rPr>
        <w:t xml:space="preserve"> however, DEQ has worked with road departments and vector control districts occasionally to address water quality issues related to pesticide use.</w:t>
      </w:r>
    </w:p>
    <w:p w:rsidR="00637D1B" w:rsidRPr="004331BB" w:rsidRDefault="00637D1B" w:rsidP="00637D1B">
      <w:pPr>
        <w:spacing w:after="0" w:line="240" w:lineRule="auto"/>
        <w:ind w:left="360"/>
        <w:rPr>
          <w:b/>
          <w:sz w:val="24"/>
          <w:szCs w:val="24"/>
        </w:rPr>
      </w:pPr>
      <w:r>
        <w:rPr>
          <w:b/>
          <w:sz w:val="24"/>
          <w:szCs w:val="24"/>
        </w:rPr>
        <w:t xml:space="preserve">#54    </w:t>
      </w:r>
      <w:r w:rsidRPr="004331BB">
        <w:rPr>
          <w:b/>
          <w:sz w:val="24"/>
          <w:szCs w:val="24"/>
        </w:rPr>
        <w:t xml:space="preserve">Accelerate historic abandoned mine clean up </w:t>
      </w:r>
    </w:p>
    <w:p w:rsidR="00637D1B" w:rsidRDefault="00637D1B" w:rsidP="00637D1B">
      <w:pPr>
        <w:spacing w:after="120" w:line="240" w:lineRule="auto"/>
        <w:ind w:left="360"/>
        <w:rPr>
          <w:sz w:val="24"/>
          <w:szCs w:val="24"/>
        </w:rPr>
        <w:sectPr w:rsidR="00637D1B" w:rsidSect="00B35396">
          <w:headerReference w:type="default" r:id="rId7"/>
          <w:footerReference w:type="default" r:id="rId8"/>
          <w:type w:val="continuous"/>
          <w:pgSz w:w="12240" w:h="15840"/>
          <w:pgMar w:top="1440" w:right="1440" w:bottom="1440" w:left="1440" w:header="720" w:footer="720" w:gutter="0"/>
          <w:cols w:space="720"/>
          <w:docGrid w:linePitch="360"/>
        </w:sectPr>
      </w:pPr>
      <w:r w:rsidRPr="004331BB">
        <w:rPr>
          <w:sz w:val="24"/>
          <w:szCs w:val="24"/>
        </w:rPr>
        <w:t>DEQ has authority over mine clean up under its orphan site program and in coordination with EPA under the cleanup program.  State funding for these programs, however, has been cut in recent legislative sessions.</w:t>
      </w:r>
    </w:p>
    <w:p w:rsidR="00637D1B" w:rsidRDefault="00637D1B" w:rsidP="004331BB">
      <w:pPr>
        <w:spacing w:after="120" w:line="240" w:lineRule="auto"/>
        <w:ind w:left="360"/>
        <w:rPr>
          <w:sz w:val="24"/>
          <w:szCs w:val="24"/>
        </w:rPr>
      </w:pPr>
    </w:p>
    <w:p w:rsidR="000F775F" w:rsidRPr="003071ED" w:rsidRDefault="00637D1B" w:rsidP="00637D1B">
      <w:pPr>
        <w:spacing w:after="0" w:line="240" w:lineRule="auto"/>
        <w:rPr>
          <w:b/>
          <w:sz w:val="28"/>
          <w:szCs w:val="28"/>
        </w:rPr>
      </w:pPr>
      <w:r>
        <w:rPr>
          <w:b/>
          <w:sz w:val="28"/>
          <w:szCs w:val="28"/>
        </w:rPr>
        <w:t>Sc</w:t>
      </w:r>
      <w:r w:rsidR="000F775F" w:rsidRPr="003071ED">
        <w:rPr>
          <w:b/>
          <w:sz w:val="28"/>
          <w:szCs w:val="28"/>
        </w:rPr>
        <w:t xml:space="preserve">oping Evaluation for </w:t>
      </w:r>
      <w:r w:rsidR="00F57E25">
        <w:rPr>
          <w:b/>
          <w:sz w:val="28"/>
          <w:szCs w:val="28"/>
        </w:rPr>
        <w:t>N</w:t>
      </w:r>
      <w:r w:rsidR="000F775F" w:rsidRPr="003071ED">
        <w:rPr>
          <w:b/>
          <w:sz w:val="28"/>
          <w:szCs w:val="28"/>
        </w:rPr>
        <w:t>on-NPDES Elements of Water Quality Toxics Rulemaking</w:t>
      </w:r>
    </w:p>
    <w:p w:rsidR="00A00EA3" w:rsidRDefault="000F775F" w:rsidP="009221DE">
      <w:pPr>
        <w:spacing w:after="0"/>
        <w:rPr>
          <w:sz w:val="24"/>
          <w:szCs w:val="24"/>
        </w:rPr>
      </w:pPr>
      <w:r>
        <w:rPr>
          <w:sz w:val="24"/>
          <w:szCs w:val="24"/>
        </w:rPr>
        <w:t xml:space="preserve">Staff Analysis and Conclusions </w:t>
      </w:r>
      <w:r w:rsidR="001F0131">
        <w:rPr>
          <w:sz w:val="24"/>
          <w:szCs w:val="24"/>
        </w:rPr>
        <w:t xml:space="preserve">Summary Table </w:t>
      </w:r>
    </w:p>
    <w:p w:rsidR="001F0131" w:rsidRDefault="001F0131" w:rsidP="009221DE">
      <w:pPr>
        <w:spacing w:after="0"/>
        <w:rPr>
          <w:sz w:val="24"/>
          <w:szCs w:val="24"/>
        </w:rPr>
      </w:pPr>
    </w:p>
    <w:tbl>
      <w:tblPr>
        <w:tblW w:w="5000" w:type="pct"/>
        <w:tblLook w:val="04A0"/>
      </w:tblPr>
      <w:tblGrid>
        <w:gridCol w:w="684"/>
        <w:gridCol w:w="3574"/>
        <w:gridCol w:w="1534"/>
        <w:gridCol w:w="1929"/>
        <w:gridCol w:w="2112"/>
        <w:gridCol w:w="1790"/>
        <w:gridCol w:w="2273"/>
      </w:tblGrid>
      <w:tr w:rsidR="00323B30" w:rsidRPr="00F57E25" w:rsidTr="00323B30">
        <w:trPr>
          <w:trHeight w:val="800"/>
        </w:trPr>
        <w:tc>
          <w:tcPr>
            <w:tcW w:w="246" w:type="pct"/>
            <w:tcBorders>
              <w:top w:val="single" w:sz="8" w:space="0" w:color="auto"/>
              <w:left w:val="single" w:sz="8" w:space="0" w:color="auto"/>
              <w:bottom w:val="single" w:sz="8" w:space="0" w:color="auto"/>
              <w:right w:val="single" w:sz="8" w:space="0" w:color="auto"/>
            </w:tcBorders>
            <w:shd w:val="clear" w:color="auto" w:fill="D9D9D9"/>
            <w:hideMark/>
          </w:tcPr>
          <w:p w:rsidR="001F0131" w:rsidRDefault="00F57E25" w:rsidP="00323B30">
            <w:pPr>
              <w:spacing w:before="120" w:after="120" w:line="240" w:lineRule="auto"/>
              <w:jc w:val="center"/>
              <w:rPr>
                <w:rFonts w:eastAsia="Times New Roman"/>
                <w:b/>
                <w:color w:val="000000"/>
              </w:rPr>
            </w:pPr>
            <w:r w:rsidRPr="00F57E25">
              <w:rPr>
                <w:rFonts w:eastAsia="Times New Roman"/>
                <w:b/>
                <w:color w:val="000000"/>
              </w:rPr>
              <w:t>ITEM</w:t>
            </w:r>
          </w:p>
          <w:p w:rsidR="00F57E25" w:rsidRPr="00F57E25" w:rsidRDefault="00F57E25" w:rsidP="00323B30">
            <w:pPr>
              <w:spacing w:before="120" w:after="120" w:line="240" w:lineRule="auto"/>
              <w:jc w:val="center"/>
              <w:rPr>
                <w:rFonts w:eastAsia="Times New Roman"/>
                <w:b/>
                <w:color w:val="000000"/>
              </w:rPr>
            </w:pPr>
            <w:r>
              <w:rPr>
                <w:rFonts w:eastAsia="Times New Roman"/>
                <w:b/>
                <w:color w:val="000000"/>
              </w:rPr>
              <w:t>#</w:t>
            </w:r>
          </w:p>
        </w:tc>
        <w:tc>
          <w:tcPr>
            <w:tcW w:w="1286" w:type="pct"/>
            <w:tcBorders>
              <w:top w:val="single" w:sz="8" w:space="0" w:color="auto"/>
              <w:left w:val="single" w:sz="8" w:space="0" w:color="auto"/>
              <w:bottom w:val="single" w:sz="8" w:space="0" w:color="auto"/>
              <w:right w:val="single" w:sz="8" w:space="0" w:color="auto"/>
            </w:tcBorders>
            <w:shd w:val="clear" w:color="auto" w:fill="DDD9C3"/>
            <w:hideMark/>
          </w:tcPr>
          <w:p w:rsidR="001F0131" w:rsidRPr="00F57E25" w:rsidRDefault="00F57E25" w:rsidP="00323B30">
            <w:pPr>
              <w:spacing w:before="120" w:after="120" w:line="240" w:lineRule="auto"/>
              <w:jc w:val="center"/>
              <w:rPr>
                <w:rFonts w:eastAsia="Times New Roman"/>
                <w:b/>
                <w:color w:val="000000"/>
              </w:rPr>
            </w:pPr>
            <w:r>
              <w:rPr>
                <w:rFonts w:eastAsia="Times New Roman"/>
                <w:b/>
                <w:color w:val="000000"/>
              </w:rPr>
              <w:t>ITEM DESCRIPTION</w:t>
            </w:r>
          </w:p>
        </w:tc>
        <w:tc>
          <w:tcPr>
            <w:tcW w:w="552" w:type="pct"/>
            <w:tcBorders>
              <w:top w:val="single" w:sz="8" w:space="0" w:color="auto"/>
              <w:left w:val="single" w:sz="8" w:space="0" w:color="auto"/>
              <w:bottom w:val="single" w:sz="8" w:space="0" w:color="auto"/>
              <w:right w:val="single" w:sz="8" w:space="0" w:color="auto"/>
            </w:tcBorders>
            <w:shd w:val="clear" w:color="auto" w:fill="EAF1DD"/>
            <w:hideMark/>
          </w:tcPr>
          <w:p w:rsidR="001F0131" w:rsidRPr="00F57E25" w:rsidRDefault="00F57E25" w:rsidP="00323B30">
            <w:pPr>
              <w:spacing w:before="120" w:after="120" w:line="240" w:lineRule="auto"/>
              <w:jc w:val="center"/>
              <w:rPr>
                <w:rFonts w:eastAsia="Times New Roman"/>
                <w:b/>
                <w:color w:val="000000"/>
              </w:rPr>
            </w:pPr>
            <w:r w:rsidRPr="00F57E25">
              <w:rPr>
                <w:rFonts w:eastAsia="Times New Roman"/>
                <w:b/>
                <w:color w:val="000000"/>
              </w:rPr>
              <w:t>1 - ORS GIVES AUTHORITY TO EQC</w:t>
            </w:r>
          </w:p>
        </w:tc>
        <w:tc>
          <w:tcPr>
            <w:tcW w:w="694" w:type="pct"/>
            <w:tcBorders>
              <w:top w:val="single" w:sz="8" w:space="0" w:color="auto"/>
              <w:left w:val="single" w:sz="8" w:space="0" w:color="auto"/>
              <w:bottom w:val="single" w:sz="8" w:space="0" w:color="auto"/>
              <w:right w:val="single" w:sz="8" w:space="0" w:color="auto"/>
            </w:tcBorders>
            <w:shd w:val="clear" w:color="auto" w:fill="D6E3BC"/>
            <w:hideMark/>
          </w:tcPr>
          <w:p w:rsidR="001F0131" w:rsidRPr="00F57E25" w:rsidRDefault="00F57E25" w:rsidP="00323B30">
            <w:pPr>
              <w:spacing w:before="120" w:after="120" w:line="240" w:lineRule="auto"/>
              <w:jc w:val="center"/>
              <w:rPr>
                <w:rFonts w:eastAsia="Times New Roman"/>
                <w:b/>
                <w:color w:val="000000"/>
              </w:rPr>
            </w:pPr>
            <w:r w:rsidRPr="00F57E25">
              <w:rPr>
                <w:rFonts w:eastAsia="Times New Roman"/>
                <w:b/>
                <w:color w:val="000000"/>
              </w:rPr>
              <w:t>2A - RULES ALREADY IN PLACE FOR DEQ WQ</w:t>
            </w:r>
          </w:p>
        </w:tc>
        <w:tc>
          <w:tcPr>
            <w:tcW w:w="760" w:type="pct"/>
            <w:tcBorders>
              <w:top w:val="single" w:sz="8" w:space="0" w:color="auto"/>
              <w:left w:val="single" w:sz="8" w:space="0" w:color="auto"/>
              <w:bottom w:val="single" w:sz="8" w:space="0" w:color="auto"/>
              <w:right w:val="single" w:sz="8" w:space="0" w:color="auto"/>
            </w:tcBorders>
            <w:shd w:val="clear" w:color="auto" w:fill="D6E3BC"/>
            <w:hideMark/>
          </w:tcPr>
          <w:p w:rsidR="001F0131" w:rsidRPr="00F57E25" w:rsidRDefault="00F57E25" w:rsidP="00323B30">
            <w:pPr>
              <w:spacing w:before="120" w:after="120" w:line="240" w:lineRule="auto"/>
              <w:jc w:val="center"/>
              <w:rPr>
                <w:rFonts w:eastAsia="Times New Roman"/>
                <w:b/>
                <w:color w:val="000000"/>
              </w:rPr>
            </w:pPr>
            <w:r w:rsidRPr="00F57E25">
              <w:rPr>
                <w:rFonts w:eastAsia="Times New Roman"/>
                <w:b/>
                <w:color w:val="000000"/>
              </w:rPr>
              <w:t>2B - IS IMPLEMENTATION REQUIRED?</w:t>
            </w:r>
          </w:p>
        </w:tc>
        <w:tc>
          <w:tcPr>
            <w:tcW w:w="644" w:type="pct"/>
            <w:tcBorders>
              <w:top w:val="single" w:sz="8" w:space="0" w:color="auto"/>
              <w:left w:val="single" w:sz="8" w:space="0" w:color="auto"/>
              <w:bottom w:val="single" w:sz="8" w:space="0" w:color="auto"/>
              <w:right w:val="single" w:sz="8" w:space="0" w:color="auto"/>
            </w:tcBorders>
            <w:shd w:val="clear" w:color="auto" w:fill="92D050"/>
            <w:hideMark/>
          </w:tcPr>
          <w:p w:rsidR="001F0131" w:rsidRPr="00F57E25" w:rsidRDefault="00F57E25" w:rsidP="00323B30">
            <w:pPr>
              <w:spacing w:before="120" w:after="120" w:line="240" w:lineRule="auto"/>
              <w:jc w:val="center"/>
              <w:rPr>
                <w:rFonts w:eastAsia="Times New Roman"/>
                <w:b/>
                <w:bCs/>
                <w:color w:val="000000"/>
              </w:rPr>
            </w:pPr>
            <w:r w:rsidRPr="00F57E25">
              <w:rPr>
                <w:rFonts w:eastAsia="Times New Roman"/>
                <w:b/>
                <w:bCs/>
                <w:color w:val="000000"/>
              </w:rPr>
              <w:t>3 - IS RULEMAKING NEEDED?</w:t>
            </w:r>
          </w:p>
        </w:tc>
        <w:tc>
          <w:tcPr>
            <w:tcW w:w="819" w:type="pct"/>
            <w:tcBorders>
              <w:top w:val="single" w:sz="8" w:space="0" w:color="auto"/>
              <w:left w:val="single" w:sz="8" w:space="0" w:color="auto"/>
              <w:bottom w:val="single" w:sz="8" w:space="0" w:color="auto"/>
              <w:right w:val="single" w:sz="8" w:space="0" w:color="auto"/>
            </w:tcBorders>
            <w:shd w:val="clear" w:color="auto" w:fill="68BF61"/>
            <w:hideMark/>
          </w:tcPr>
          <w:p w:rsidR="001F0131" w:rsidRPr="00F57E25" w:rsidRDefault="00F57E25" w:rsidP="00323B30">
            <w:pPr>
              <w:spacing w:before="120" w:after="120" w:line="240" w:lineRule="auto"/>
              <w:jc w:val="center"/>
              <w:rPr>
                <w:rFonts w:eastAsia="Times New Roman"/>
                <w:b/>
                <w:bCs/>
                <w:color w:val="000000"/>
              </w:rPr>
            </w:pPr>
            <w:r w:rsidRPr="00F57E25">
              <w:rPr>
                <w:rFonts w:eastAsia="Times New Roman"/>
                <w:b/>
                <w:bCs/>
                <w:color w:val="000000"/>
              </w:rPr>
              <w:t>4 – WITHIN SCOPE OF HH FCR WQS RULE PACKAGE?</w:t>
            </w:r>
          </w:p>
        </w:tc>
      </w:tr>
      <w:tr w:rsidR="00323B30" w:rsidRPr="001F0131" w:rsidTr="00323B30">
        <w:trPr>
          <w:trHeight w:val="845"/>
        </w:trPr>
        <w:tc>
          <w:tcPr>
            <w:tcW w:w="246" w:type="pct"/>
            <w:tcBorders>
              <w:top w:val="single" w:sz="8" w:space="0" w:color="auto"/>
              <w:left w:val="single" w:sz="4" w:space="0" w:color="auto"/>
              <w:bottom w:val="single" w:sz="4" w:space="0" w:color="auto"/>
              <w:right w:val="single" w:sz="4" w:space="0" w:color="auto"/>
            </w:tcBorders>
            <w:shd w:val="clear" w:color="auto" w:fill="D9D9D9"/>
            <w:hideMark/>
          </w:tcPr>
          <w:p w:rsidR="001F0131" w:rsidRPr="00F57E25" w:rsidRDefault="001F0131" w:rsidP="00323B30">
            <w:pPr>
              <w:spacing w:after="0" w:line="240" w:lineRule="auto"/>
              <w:jc w:val="center"/>
              <w:rPr>
                <w:rFonts w:eastAsia="Times New Roman"/>
                <w:b/>
                <w:color w:val="000000"/>
                <w:sz w:val="20"/>
                <w:szCs w:val="20"/>
              </w:rPr>
            </w:pPr>
          </w:p>
        </w:tc>
        <w:tc>
          <w:tcPr>
            <w:tcW w:w="1286" w:type="pct"/>
            <w:tcBorders>
              <w:top w:val="single" w:sz="8"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proofErr w:type="spellStart"/>
            <w:r w:rsidRPr="001F0131">
              <w:rPr>
                <w:rFonts w:eastAsia="Times New Roman"/>
                <w:color w:val="000000"/>
                <w:sz w:val="20"/>
                <w:szCs w:val="20"/>
              </w:rPr>
              <w:t>Antidegradation</w:t>
            </w:r>
            <w:proofErr w:type="spellEnd"/>
            <w:r w:rsidRPr="001F0131">
              <w:rPr>
                <w:rFonts w:eastAsia="Times New Roman"/>
                <w:color w:val="000000"/>
                <w:sz w:val="20"/>
                <w:szCs w:val="20"/>
              </w:rPr>
              <w:t xml:space="preserve"> - control toxic pollutants by clarifying </w:t>
            </w:r>
            <w:proofErr w:type="spellStart"/>
            <w:r w:rsidRPr="001F0131">
              <w:rPr>
                <w:rFonts w:eastAsia="Times New Roman"/>
                <w:color w:val="000000"/>
                <w:sz w:val="20"/>
                <w:szCs w:val="20"/>
              </w:rPr>
              <w:t>antidegradation</w:t>
            </w:r>
            <w:proofErr w:type="spellEnd"/>
            <w:r w:rsidRPr="001F0131">
              <w:rPr>
                <w:rFonts w:eastAsia="Times New Roman"/>
                <w:color w:val="000000"/>
                <w:sz w:val="20"/>
                <w:szCs w:val="20"/>
              </w:rPr>
              <w:t xml:space="preserve"> policy for nonpoint sources</w:t>
            </w:r>
          </w:p>
        </w:tc>
        <w:tc>
          <w:tcPr>
            <w:tcW w:w="552" w:type="pct"/>
            <w:tcBorders>
              <w:top w:val="single" w:sz="8"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8" w:space="0" w:color="auto"/>
              <w:left w:val="nil"/>
              <w:bottom w:val="single" w:sz="4" w:space="0" w:color="auto"/>
              <w:right w:val="single" w:sz="4" w:space="0" w:color="auto"/>
            </w:tcBorders>
            <w:shd w:val="clear" w:color="auto" w:fill="D6E3BC"/>
            <w:hideMark/>
          </w:tcPr>
          <w:p w:rsidR="001F0131" w:rsidRPr="001F0131" w:rsidRDefault="00782167" w:rsidP="00323B30">
            <w:pPr>
              <w:spacing w:after="0" w:line="240" w:lineRule="auto"/>
              <w:jc w:val="center"/>
              <w:rPr>
                <w:rFonts w:eastAsia="Times New Roman"/>
                <w:color w:val="000000"/>
                <w:sz w:val="20"/>
                <w:szCs w:val="20"/>
              </w:rPr>
            </w:pPr>
            <w:r>
              <w:rPr>
                <w:rFonts w:eastAsia="Times New Roman"/>
                <w:color w:val="000000"/>
                <w:sz w:val="20"/>
                <w:szCs w:val="20"/>
              </w:rPr>
              <w:t xml:space="preserve">Division 41 </w:t>
            </w:r>
            <w:proofErr w:type="spellStart"/>
            <w:r>
              <w:rPr>
                <w:rFonts w:eastAsia="Times New Roman"/>
                <w:color w:val="000000"/>
                <w:sz w:val="20"/>
                <w:szCs w:val="20"/>
              </w:rPr>
              <w:t>Antidegradation</w:t>
            </w:r>
            <w:proofErr w:type="spellEnd"/>
            <w:r>
              <w:rPr>
                <w:rFonts w:eastAsia="Times New Roman"/>
                <w:color w:val="000000"/>
                <w:sz w:val="20"/>
                <w:szCs w:val="20"/>
              </w:rPr>
              <w:t xml:space="preserve"> Policy</w:t>
            </w:r>
          </w:p>
        </w:tc>
        <w:tc>
          <w:tcPr>
            <w:tcW w:w="760" w:type="pct"/>
            <w:tcBorders>
              <w:top w:val="single" w:sz="8" w:space="0" w:color="auto"/>
              <w:left w:val="nil"/>
              <w:bottom w:val="single" w:sz="4" w:space="0" w:color="auto"/>
              <w:right w:val="single" w:sz="4" w:space="0" w:color="auto"/>
            </w:tcBorders>
            <w:shd w:val="clear" w:color="auto" w:fill="D6E3BC"/>
            <w:hideMark/>
          </w:tcPr>
          <w:p w:rsidR="001F0131" w:rsidRPr="001F0131" w:rsidRDefault="00BC1C29" w:rsidP="00323B30">
            <w:pPr>
              <w:spacing w:after="0" w:line="240" w:lineRule="auto"/>
              <w:jc w:val="center"/>
              <w:rPr>
                <w:rFonts w:eastAsia="Times New Roman"/>
                <w:color w:val="000000"/>
                <w:sz w:val="20"/>
                <w:szCs w:val="20"/>
              </w:rPr>
            </w:pPr>
            <w:r>
              <w:rPr>
                <w:rFonts w:eastAsia="Times New Roman"/>
                <w:color w:val="000000"/>
                <w:sz w:val="20"/>
                <w:szCs w:val="20"/>
              </w:rPr>
              <w:t>Required</w:t>
            </w:r>
          </w:p>
        </w:tc>
        <w:tc>
          <w:tcPr>
            <w:tcW w:w="644" w:type="pct"/>
            <w:tcBorders>
              <w:top w:val="single" w:sz="8" w:space="0" w:color="auto"/>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 for some strategies</w:t>
            </w:r>
          </w:p>
        </w:tc>
        <w:tc>
          <w:tcPr>
            <w:tcW w:w="819" w:type="pct"/>
            <w:tcBorders>
              <w:top w:val="single" w:sz="8" w:space="0" w:color="auto"/>
              <w:left w:val="nil"/>
              <w:bottom w:val="single" w:sz="4" w:space="0" w:color="auto"/>
              <w:right w:val="single" w:sz="4" w:space="0" w:color="auto"/>
            </w:tcBorders>
            <w:shd w:val="clear" w:color="auto" w:fill="68BF61"/>
            <w:hideMark/>
          </w:tcPr>
          <w:p w:rsidR="001F0131" w:rsidRPr="001F0131" w:rsidRDefault="00BC1C29" w:rsidP="00323B30">
            <w:pPr>
              <w:spacing w:after="0" w:line="240" w:lineRule="auto"/>
              <w:jc w:val="center"/>
              <w:rPr>
                <w:rFonts w:eastAsia="Times New Roman"/>
                <w:b/>
                <w:bCs/>
                <w:color w:val="000000"/>
                <w:sz w:val="20"/>
                <w:szCs w:val="20"/>
              </w:rPr>
            </w:pPr>
            <w:r>
              <w:rPr>
                <w:rFonts w:eastAsia="Times New Roman"/>
                <w:b/>
                <w:bCs/>
                <w:color w:val="000000"/>
                <w:sz w:val="20"/>
                <w:szCs w:val="20"/>
              </w:rPr>
              <w:t>Yes</w:t>
            </w:r>
          </w:p>
        </w:tc>
      </w:tr>
      <w:tr w:rsidR="00323B30" w:rsidRPr="001F0131" w:rsidTr="00323B30">
        <w:trPr>
          <w:trHeight w:val="80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1F0131" w:rsidP="00323B30">
            <w:pPr>
              <w:spacing w:after="0" w:line="240" w:lineRule="auto"/>
              <w:jc w:val="center"/>
              <w:rPr>
                <w:rFonts w:eastAsia="Times New Roman"/>
                <w:b/>
                <w:color w:val="000000"/>
                <w:sz w:val="20"/>
                <w:szCs w:val="20"/>
              </w:rPr>
            </w:pP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Sedimentation and Toxics - control toxic pollutants by regulating erosion</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Division 41 Toxic Narrative criteria</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 for some strategies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1F0131" w:rsidP="00323B30">
            <w:pPr>
              <w:spacing w:after="0" w:line="240" w:lineRule="auto"/>
              <w:jc w:val="center"/>
              <w:rPr>
                <w:rFonts w:eastAsia="Times New Roman"/>
                <w:b/>
                <w:bCs/>
                <w:color w:val="000000"/>
                <w:sz w:val="20"/>
                <w:szCs w:val="20"/>
              </w:rPr>
            </w:pPr>
            <w:r w:rsidRPr="001F0131">
              <w:rPr>
                <w:rFonts w:eastAsia="Times New Roman"/>
                <w:b/>
                <w:bCs/>
                <w:color w:val="000000"/>
                <w:sz w:val="20"/>
                <w:szCs w:val="20"/>
              </w:rPr>
              <w:t>Yes</w:t>
            </w:r>
          </w:p>
        </w:tc>
      </w:tr>
      <w:tr w:rsidR="00323B30" w:rsidRPr="001F0131" w:rsidTr="00323B30">
        <w:trPr>
          <w:trHeight w:val="88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1F0131" w:rsidP="00323B30">
            <w:pPr>
              <w:spacing w:after="0" w:line="240" w:lineRule="auto"/>
              <w:jc w:val="center"/>
              <w:rPr>
                <w:rFonts w:eastAsia="Times New Roman"/>
                <w:b/>
                <w:color w:val="000000"/>
                <w:sz w:val="20"/>
                <w:szCs w:val="20"/>
              </w:rPr>
            </w:pP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BC1C29" w:rsidP="00323B30">
            <w:pPr>
              <w:spacing w:after="0" w:line="240" w:lineRule="auto"/>
              <w:jc w:val="center"/>
              <w:rPr>
                <w:rFonts w:eastAsia="Times New Roman"/>
                <w:color w:val="000000"/>
                <w:sz w:val="20"/>
                <w:szCs w:val="20"/>
              </w:rPr>
            </w:pPr>
            <w:r>
              <w:rPr>
                <w:rFonts w:eastAsia="Times New Roman"/>
                <w:color w:val="000000"/>
                <w:sz w:val="20"/>
                <w:szCs w:val="20"/>
              </w:rPr>
              <w:t>“</w:t>
            </w:r>
            <w:r w:rsidR="001F0131" w:rsidRPr="001F0131">
              <w:rPr>
                <w:rFonts w:eastAsia="Times New Roman"/>
                <w:color w:val="000000"/>
                <w:sz w:val="20"/>
                <w:szCs w:val="20"/>
              </w:rPr>
              <w:t>Implementation ready</w:t>
            </w:r>
            <w:r>
              <w:rPr>
                <w:rFonts w:eastAsia="Times New Roman"/>
                <w:color w:val="000000"/>
                <w:sz w:val="20"/>
                <w:szCs w:val="20"/>
              </w:rPr>
              <w:t>”</w:t>
            </w:r>
            <w:r w:rsidR="001F0131" w:rsidRPr="001F0131">
              <w:rPr>
                <w:rFonts w:eastAsia="Times New Roman"/>
                <w:color w:val="000000"/>
                <w:sz w:val="20"/>
                <w:szCs w:val="20"/>
              </w:rPr>
              <w:t xml:space="preserve"> TMDLs - control toxic pollutants by requiring specific management measures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Division 42</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w:t>
            </w:r>
            <w:r w:rsidR="00782167">
              <w:rPr>
                <w:rFonts w:eastAsia="Times New Roman"/>
                <w:color w:val="000000"/>
                <w:sz w:val="20"/>
                <w:szCs w:val="20"/>
              </w:rPr>
              <w:t xml:space="preserve"> for some strategies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1F0131" w:rsidP="00323B30">
            <w:pPr>
              <w:spacing w:after="0" w:line="240" w:lineRule="auto"/>
              <w:jc w:val="center"/>
              <w:rPr>
                <w:rFonts w:eastAsia="Times New Roman"/>
                <w:b/>
                <w:bCs/>
                <w:color w:val="000000"/>
                <w:sz w:val="20"/>
                <w:szCs w:val="20"/>
              </w:rPr>
            </w:pPr>
            <w:r w:rsidRPr="001F0131">
              <w:rPr>
                <w:rFonts w:eastAsia="Times New Roman"/>
                <w:b/>
                <w:bCs/>
                <w:color w:val="000000"/>
                <w:sz w:val="20"/>
                <w:szCs w:val="20"/>
              </w:rPr>
              <w:t>Yes</w:t>
            </w:r>
          </w:p>
        </w:tc>
      </w:tr>
      <w:tr w:rsidR="00323B30" w:rsidRPr="001F0131" w:rsidTr="00323B30">
        <w:trPr>
          <w:trHeight w:val="51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Add narrative prohibition on controllable erosion in </w:t>
            </w:r>
            <w:r w:rsidR="00731DF8">
              <w:rPr>
                <w:rFonts w:eastAsia="Times New Roman"/>
                <w:color w:val="000000"/>
                <w:sz w:val="20"/>
                <w:szCs w:val="20"/>
              </w:rPr>
              <w:t>Division 41</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DF4DCD" w:rsidP="00323B30">
            <w:pPr>
              <w:spacing w:after="0" w:line="240" w:lineRule="auto"/>
              <w:jc w:val="center"/>
              <w:rPr>
                <w:rFonts w:eastAsia="Times New Roman"/>
                <w:color w:val="000000"/>
                <w:sz w:val="20"/>
                <w:szCs w:val="20"/>
              </w:rPr>
            </w:pPr>
            <w:r>
              <w:rPr>
                <w:rFonts w:eastAsia="Times New Roman"/>
                <w:color w:val="000000"/>
                <w:sz w:val="20"/>
                <w:szCs w:val="20"/>
              </w:rPr>
              <w:t>Div 41</w:t>
            </w:r>
            <w:r w:rsidR="001F0131" w:rsidRPr="001F0131">
              <w:rPr>
                <w:rFonts w:eastAsia="Times New Roman"/>
                <w:color w:val="000000"/>
                <w:sz w:val="20"/>
                <w:szCs w:val="20"/>
              </w:rPr>
              <w:t xml:space="preserve">-0007 </w:t>
            </w:r>
            <w:r w:rsidR="00731DF8">
              <w:rPr>
                <w:rFonts w:eastAsia="Times New Roman"/>
                <w:color w:val="000000"/>
                <w:sz w:val="20"/>
                <w:szCs w:val="20"/>
              </w:rPr>
              <w:t>could be applicable.</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 c</w:t>
            </w:r>
            <w:r w:rsidR="00BC1C29">
              <w:rPr>
                <w:rFonts w:eastAsia="Times New Roman"/>
                <w:b/>
                <w:bCs/>
                <w:color w:val="000000"/>
                <w:sz w:val="20"/>
                <w:szCs w:val="20"/>
              </w:rPr>
              <w:t>onsider under</w:t>
            </w:r>
            <w:r w:rsidR="001F0131" w:rsidRPr="001F0131">
              <w:rPr>
                <w:rFonts w:eastAsia="Times New Roman"/>
                <w:b/>
                <w:bCs/>
                <w:color w:val="000000"/>
                <w:sz w:val="20"/>
                <w:szCs w:val="20"/>
              </w:rPr>
              <w:t xml:space="preserve"> Toxics/Sediment</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2</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Remove shields </w:t>
            </w:r>
            <w:r w:rsidR="00731DF8">
              <w:rPr>
                <w:rFonts w:eastAsia="Times New Roman"/>
                <w:color w:val="000000"/>
                <w:sz w:val="20"/>
                <w:szCs w:val="20"/>
              </w:rPr>
              <w:t>in Division 41</w:t>
            </w:r>
            <w:r w:rsidR="00F66D15">
              <w:rPr>
                <w:rFonts w:eastAsia="Times New Roman"/>
                <w:color w:val="000000"/>
                <w:sz w:val="20"/>
                <w:szCs w:val="20"/>
              </w:rPr>
              <w:t xml:space="preserve"> </w:t>
            </w:r>
            <w:r w:rsidRPr="001F0131">
              <w:rPr>
                <w:rFonts w:eastAsia="Times New Roman"/>
                <w:color w:val="000000"/>
                <w:sz w:val="20"/>
                <w:szCs w:val="20"/>
              </w:rPr>
              <w:t>for individual land owners for nonpoint source pollution</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DF4DCD" w:rsidP="00323B30">
            <w:pPr>
              <w:spacing w:after="0" w:line="240" w:lineRule="auto"/>
              <w:jc w:val="center"/>
              <w:rPr>
                <w:rFonts w:eastAsia="Times New Roman"/>
                <w:color w:val="000000"/>
                <w:sz w:val="20"/>
                <w:szCs w:val="20"/>
              </w:rPr>
            </w:pPr>
            <w:r>
              <w:rPr>
                <w:rFonts w:eastAsia="Times New Roman"/>
                <w:color w:val="000000"/>
                <w:sz w:val="20"/>
                <w:szCs w:val="20"/>
              </w:rPr>
              <w:t>Div 41-0028 not consistent for Ag Div 41-0061 not clear</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BC1C29" w:rsidP="00323B30">
            <w:pPr>
              <w:spacing w:after="0" w:line="240" w:lineRule="auto"/>
              <w:jc w:val="center"/>
              <w:rPr>
                <w:rFonts w:eastAsia="Times New Roman"/>
                <w:b/>
                <w:bCs/>
                <w:color w:val="000000"/>
                <w:sz w:val="20"/>
                <w:szCs w:val="20"/>
              </w:rPr>
            </w:pPr>
            <w:r>
              <w:rPr>
                <w:rFonts w:eastAsia="Times New Roman"/>
                <w:b/>
                <w:bCs/>
                <w:color w:val="000000"/>
                <w:sz w:val="20"/>
                <w:szCs w:val="20"/>
              </w:rPr>
              <w:t>Yes</w:t>
            </w:r>
            <w:r w:rsidR="00782167">
              <w:rPr>
                <w:rFonts w:eastAsia="Times New Roman"/>
                <w:b/>
                <w:bCs/>
                <w:color w:val="000000"/>
                <w:sz w:val="20"/>
                <w:szCs w:val="20"/>
              </w:rPr>
              <w:t xml:space="preserve"> </w:t>
            </w:r>
            <w:r w:rsidR="00DF4DCD">
              <w:rPr>
                <w:rFonts w:eastAsia="Times New Roman"/>
                <w:b/>
                <w:bCs/>
                <w:color w:val="000000"/>
                <w:sz w:val="20"/>
                <w:szCs w:val="20"/>
              </w:rPr>
              <w:t>for 41-0061, but not 41</w:t>
            </w:r>
            <w:r w:rsidR="00731DF8">
              <w:rPr>
                <w:rFonts w:eastAsia="Times New Roman"/>
                <w:b/>
                <w:bCs/>
                <w:color w:val="000000"/>
                <w:sz w:val="20"/>
                <w:szCs w:val="20"/>
              </w:rPr>
              <w:t>-0028</w:t>
            </w:r>
            <w:r w:rsidR="00DF4DCD">
              <w:rPr>
                <w:rFonts w:eastAsia="Times New Roman"/>
                <w:b/>
                <w:bCs/>
                <w:color w:val="000000"/>
                <w:sz w:val="20"/>
                <w:szCs w:val="20"/>
              </w:rPr>
              <w:t xml:space="preserve"> (ask Neil)</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3</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Clarify </w:t>
            </w:r>
            <w:r w:rsidR="00731DF8">
              <w:rPr>
                <w:rFonts w:eastAsia="Times New Roman"/>
                <w:color w:val="000000"/>
                <w:sz w:val="20"/>
                <w:szCs w:val="20"/>
              </w:rPr>
              <w:t xml:space="preserve">in Division 41 </w:t>
            </w:r>
            <w:r w:rsidRPr="001F0131">
              <w:rPr>
                <w:rFonts w:eastAsia="Times New Roman"/>
                <w:color w:val="000000"/>
                <w:sz w:val="20"/>
                <w:szCs w:val="20"/>
              </w:rPr>
              <w:t>the statutory requirements that logging practices must conform with Water Quality Standards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DF4DCD" w:rsidP="00323B30">
            <w:pPr>
              <w:spacing w:after="0" w:line="240" w:lineRule="auto"/>
              <w:jc w:val="center"/>
              <w:rPr>
                <w:rFonts w:eastAsia="Times New Roman"/>
                <w:color w:val="000000"/>
                <w:sz w:val="20"/>
                <w:szCs w:val="20"/>
              </w:rPr>
            </w:pPr>
            <w:r>
              <w:rPr>
                <w:rFonts w:eastAsia="Times New Roman"/>
                <w:color w:val="000000"/>
                <w:sz w:val="20"/>
                <w:szCs w:val="20"/>
              </w:rPr>
              <w:t>Div 41–0007(5) not clear</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Required</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1F0131" w:rsidP="00323B30">
            <w:pPr>
              <w:spacing w:after="0" w:line="240" w:lineRule="auto"/>
              <w:jc w:val="center"/>
              <w:rPr>
                <w:rFonts w:eastAsia="Times New Roman"/>
                <w:b/>
                <w:bCs/>
                <w:color w:val="000000"/>
                <w:sz w:val="20"/>
                <w:szCs w:val="20"/>
              </w:rPr>
            </w:pPr>
            <w:r w:rsidRPr="001F0131">
              <w:rPr>
                <w:rFonts w:eastAsia="Times New Roman"/>
                <w:b/>
                <w:bCs/>
                <w:color w:val="000000"/>
                <w:sz w:val="20"/>
                <w:szCs w:val="20"/>
              </w:rPr>
              <w:t>Yes</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4</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s="Calibri"/>
                <w:color w:val="000000"/>
                <w:sz w:val="20"/>
                <w:szCs w:val="20"/>
              </w:rPr>
              <w:t>Require that nonpoint sources comply with TMDL load allocations</w:t>
            </w:r>
            <w:r w:rsidR="00731DF8">
              <w:rPr>
                <w:rFonts w:eastAsia="Times New Roman" w:cs="Calibri"/>
                <w:color w:val="000000"/>
                <w:sz w:val="20"/>
                <w:szCs w:val="20"/>
              </w:rPr>
              <w:t xml:space="preserve"> in Division 41</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731DF8" w:rsidP="00323B30">
            <w:pPr>
              <w:spacing w:after="0" w:line="240" w:lineRule="auto"/>
              <w:jc w:val="center"/>
              <w:rPr>
                <w:rFonts w:eastAsia="Times New Roman"/>
                <w:color w:val="000000"/>
                <w:sz w:val="20"/>
                <w:szCs w:val="20"/>
              </w:rPr>
            </w:pPr>
            <w:r>
              <w:rPr>
                <w:rFonts w:eastAsia="Times New Roman"/>
                <w:color w:val="000000"/>
                <w:sz w:val="20"/>
                <w:szCs w:val="20"/>
              </w:rPr>
              <w:t>Div 41</w:t>
            </w:r>
            <w:r w:rsidR="001F0131" w:rsidRPr="001F0131">
              <w:rPr>
                <w:rFonts w:eastAsia="Times New Roman"/>
                <w:color w:val="000000"/>
                <w:sz w:val="20"/>
                <w:szCs w:val="20"/>
              </w:rPr>
              <w:t xml:space="preserve"> not clear</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Required</w:t>
            </w:r>
          </w:p>
        </w:tc>
        <w:tc>
          <w:tcPr>
            <w:tcW w:w="644" w:type="pct"/>
            <w:tcBorders>
              <w:top w:val="nil"/>
              <w:left w:val="nil"/>
              <w:bottom w:val="single" w:sz="4" w:space="0" w:color="auto"/>
              <w:right w:val="nil"/>
            </w:tcBorders>
            <w:shd w:val="clear" w:color="auto" w:fill="92D050"/>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nil"/>
              <w:left w:val="single" w:sz="4" w:space="0" w:color="auto"/>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w:t>
            </w:r>
          </w:p>
        </w:tc>
      </w:tr>
      <w:tr w:rsidR="00323B30" w:rsidRPr="001F0131" w:rsidTr="00323B30">
        <w:trPr>
          <w:trHeight w:val="765"/>
        </w:trPr>
        <w:tc>
          <w:tcPr>
            <w:tcW w:w="246" w:type="pct"/>
            <w:tcBorders>
              <w:top w:val="single" w:sz="4" w:space="0" w:color="auto"/>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5</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Clarify the relationship between the numeric toxics criteria and the </w:t>
            </w:r>
            <w:proofErr w:type="spellStart"/>
            <w:r w:rsidRPr="001F0131">
              <w:rPr>
                <w:rFonts w:eastAsia="Times New Roman"/>
                <w:color w:val="000000"/>
                <w:sz w:val="20"/>
                <w:szCs w:val="20"/>
              </w:rPr>
              <w:t>antidegradation</w:t>
            </w:r>
            <w:proofErr w:type="spellEnd"/>
            <w:r w:rsidRPr="001F0131">
              <w:rPr>
                <w:rFonts w:eastAsia="Times New Roman"/>
                <w:color w:val="000000"/>
                <w:sz w:val="20"/>
                <w:szCs w:val="20"/>
              </w:rPr>
              <w:t xml:space="preserve"> requirements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4A1D2D"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4A1D2D" w:rsidP="00323B30">
            <w:pPr>
              <w:spacing w:after="0" w:line="240" w:lineRule="auto"/>
              <w:jc w:val="center"/>
              <w:rPr>
                <w:rFonts w:eastAsia="Times New Roman"/>
                <w:color w:val="000000"/>
                <w:sz w:val="20"/>
                <w:szCs w:val="20"/>
              </w:rPr>
            </w:pPr>
            <w:r>
              <w:rPr>
                <w:rFonts w:eastAsia="Times New Roman"/>
                <w:color w:val="000000"/>
                <w:sz w:val="20"/>
                <w:szCs w:val="20"/>
              </w:rPr>
              <w:t>Div 41 not clear</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4A1D2D" w:rsidP="00323B30">
            <w:pPr>
              <w:spacing w:after="0" w:line="240" w:lineRule="auto"/>
              <w:jc w:val="center"/>
              <w:rPr>
                <w:rFonts w:eastAsia="Times New Roman"/>
                <w:color w:val="000000"/>
                <w:sz w:val="20"/>
                <w:szCs w:val="20"/>
              </w:rPr>
            </w:pPr>
            <w:r>
              <w:rPr>
                <w:rFonts w:eastAsia="Times New Roman"/>
                <w:color w:val="000000"/>
                <w:sz w:val="20"/>
                <w:szCs w:val="20"/>
              </w:rPr>
              <w:t>Discretionary</w:t>
            </w:r>
          </w:p>
        </w:tc>
        <w:tc>
          <w:tcPr>
            <w:tcW w:w="644" w:type="pct"/>
            <w:tcBorders>
              <w:top w:val="single" w:sz="4" w:space="0" w:color="auto"/>
              <w:left w:val="nil"/>
              <w:bottom w:val="single" w:sz="4" w:space="0" w:color="auto"/>
              <w:right w:val="single" w:sz="4" w:space="0" w:color="auto"/>
            </w:tcBorders>
            <w:shd w:val="clear" w:color="auto" w:fill="92D050"/>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single" w:sz="4" w:space="0" w:color="auto"/>
              <w:left w:val="nil"/>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 xml:space="preserve">Yes, </w:t>
            </w:r>
            <w:r w:rsidR="0079705C">
              <w:rPr>
                <w:rFonts w:eastAsia="Times New Roman"/>
                <w:b/>
                <w:bCs/>
                <w:color w:val="000000"/>
                <w:sz w:val="20"/>
                <w:szCs w:val="20"/>
              </w:rPr>
              <w:t xml:space="preserve"> consider </w:t>
            </w:r>
            <w:r>
              <w:rPr>
                <w:rFonts w:eastAsia="Times New Roman"/>
                <w:b/>
                <w:bCs/>
                <w:color w:val="000000"/>
                <w:sz w:val="20"/>
                <w:szCs w:val="20"/>
              </w:rPr>
              <w:t>under</w:t>
            </w:r>
            <w:r w:rsidR="001F0131" w:rsidRPr="001F0131">
              <w:rPr>
                <w:rFonts w:eastAsia="Times New Roman"/>
                <w:b/>
                <w:bCs/>
                <w:color w:val="000000"/>
                <w:sz w:val="20"/>
                <w:szCs w:val="20"/>
              </w:rPr>
              <w:t xml:space="preserve"> </w:t>
            </w:r>
            <w:proofErr w:type="spellStart"/>
            <w:r w:rsidR="001F0131" w:rsidRPr="001F0131">
              <w:rPr>
                <w:rFonts w:eastAsia="Times New Roman"/>
                <w:b/>
                <w:bCs/>
                <w:color w:val="000000"/>
                <w:sz w:val="20"/>
                <w:szCs w:val="20"/>
              </w:rPr>
              <w:t>Antidegradation</w:t>
            </w:r>
            <w:proofErr w:type="spellEnd"/>
            <w:r w:rsidR="001F0131" w:rsidRPr="001F0131">
              <w:rPr>
                <w:rFonts w:eastAsia="Times New Roman"/>
                <w:b/>
                <w:bCs/>
                <w:color w:val="000000"/>
                <w:sz w:val="20"/>
                <w:szCs w:val="20"/>
              </w:rPr>
              <w:t xml:space="preserve"> proposal</w:t>
            </w:r>
          </w:p>
        </w:tc>
      </w:tr>
      <w:tr w:rsidR="00323B30" w:rsidRPr="001F0131" w:rsidTr="00323B30">
        <w:trPr>
          <w:trHeight w:val="510"/>
        </w:trPr>
        <w:tc>
          <w:tcPr>
            <w:tcW w:w="246" w:type="pct"/>
            <w:tcBorders>
              <w:top w:val="single" w:sz="4" w:space="0" w:color="auto"/>
              <w:left w:val="single" w:sz="4" w:space="0" w:color="auto"/>
              <w:bottom w:val="single" w:sz="8"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lastRenderedPageBreak/>
              <w:t>#</w:t>
            </w:r>
            <w:r w:rsidR="001F0131" w:rsidRPr="00F57E25">
              <w:rPr>
                <w:rFonts w:eastAsia="Times New Roman"/>
                <w:b/>
                <w:color w:val="000000"/>
                <w:sz w:val="20"/>
                <w:szCs w:val="20"/>
              </w:rPr>
              <w:t>7</w:t>
            </w:r>
          </w:p>
        </w:tc>
        <w:tc>
          <w:tcPr>
            <w:tcW w:w="1286" w:type="pct"/>
            <w:tcBorders>
              <w:top w:val="single" w:sz="4" w:space="0" w:color="auto"/>
              <w:left w:val="nil"/>
              <w:bottom w:val="single" w:sz="8" w:space="0" w:color="auto"/>
              <w:right w:val="single" w:sz="4" w:space="0" w:color="auto"/>
            </w:tcBorders>
            <w:shd w:val="clear" w:color="auto" w:fill="FFFFFF"/>
            <w:hideMark/>
          </w:tcPr>
          <w:p w:rsidR="001F0131" w:rsidRPr="00D645A5" w:rsidRDefault="00D645A5" w:rsidP="00323B30">
            <w:pPr>
              <w:spacing w:after="0" w:line="240" w:lineRule="auto"/>
              <w:jc w:val="center"/>
              <w:rPr>
                <w:rFonts w:eastAsia="Times New Roman"/>
                <w:color w:val="000000"/>
                <w:sz w:val="20"/>
                <w:szCs w:val="20"/>
              </w:rPr>
            </w:pPr>
            <w:r w:rsidRPr="00D645A5">
              <w:rPr>
                <w:sz w:val="20"/>
                <w:szCs w:val="20"/>
              </w:rPr>
              <w:t xml:space="preserve">Clarify </w:t>
            </w:r>
            <w:r w:rsidR="00731DF8">
              <w:rPr>
                <w:sz w:val="20"/>
                <w:szCs w:val="20"/>
              </w:rPr>
              <w:t xml:space="preserve">what </w:t>
            </w:r>
            <w:r w:rsidRPr="00D645A5">
              <w:rPr>
                <w:sz w:val="20"/>
                <w:szCs w:val="20"/>
              </w:rPr>
              <w:t>nonpoint sources that are not covered under the Oregon Forest Practices Act</w:t>
            </w:r>
          </w:p>
        </w:tc>
        <w:tc>
          <w:tcPr>
            <w:tcW w:w="552" w:type="pct"/>
            <w:tcBorders>
              <w:top w:val="single" w:sz="4" w:space="0" w:color="auto"/>
              <w:left w:val="nil"/>
              <w:bottom w:val="single" w:sz="8" w:space="0" w:color="auto"/>
              <w:right w:val="single" w:sz="4" w:space="0" w:color="auto"/>
            </w:tcBorders>
            <w:shd w:val="clear" w:color="auto" w:fill="EAF1DD"/>
            <w:hideMark/>
          </w:tcPr>
          <w:p w:rsidR="001F0131" w:rsidRPr="001F0131" w:rsidRDefault="00731DF8" w:rsidP="00323B30">
            <w:pPr>
              <w:spacing w:after="0" w:line="240" w:lineRule="auto"/>
              <w:jc w:val="center"/>
              <w:rPr>
                <w:rFonts w:eastAsia="Times New Roman"/>
                <w:color w:val="000000"/>
                <w:sz w:val="20"/>
                <w:szCs w:val="20"/>
              </w:rPr>
            </w:pPr>
            <w:r>
              <w:rPr>
                <w:rFonts w:eastAsia="Times New Roman"/>
                <w:color w:val="000000"/>
                <w:sz w:val="20"/>
                <w:szCs w:val="20"/>
              </w:rPr>
              <w:t>Yes ORS 468B</w:t>
            </w:r>
          </w:p>
        </w:tc>
        <w:tc>
          <w:tcPr>
            <w:tcW w:w="694" w:type="pct"/>
            <w:tcBorders>
              <w:top w:val="single" w:sz="4" w:space="0" w:color="auto"/>
              <w:left w:val="nil"/>
              <w:bottom w:val="single" w:sz="8" w:space="0" w:color="auto"/>
              <w:right w:val="single" w:sz="4" w:space="0" w:color="auto"/>
            </w:tcBorders>
            <w:shd w:val="clear" w:color="auto" w:fill="D6E3BC"/>
            <w:hideMark/>
          </w:tcPr>
          <w:p w:rsidR="001F0131" w:rsidRPr="001F0131" w:rsidRDefault="00DF4DCD" w:rsidP="00323B30">
            <w:pPr>
              <w:spacing w:after="0" w:line="240" w:lineRule="auto"/>
              <w:jc w:val="center"/>
              <w:rPr>
                <w:rFonts w:eastAsia="Times New Roman"/>
                <w:color w:val="000000"/>
                <w:sz w:val="20"/>
                <w:szCs w:val="20"/>
              </w:rPr>
            </w:pPr>
            <w:r>
              <w:rPr>
                <w:rFonts w:eastAsia="Times New Roman"/>
                <w:color w:val="000000"/>
                <w:sz w:val="20"/>
                <w:szCs w:val="20"/>
              </w:rPr>
              <w:t xml:space="preserve">Div 41 </w:t>
            </w:r>
            <w:r w:rsidR="004A1D2D">
              <w:rPr>
                <w:rFonts w:eastAsia="Times New Roman"/>
                <w:color w:val="000000"/>
                <w:sz w:val="20"/>
                <w:szCs w:val="20"/>
              </w:rPr>
              <w:t>not clear</w:t>
            </w:r>
          </w:p>
        </w:tc>
        <w:tc>
          <w:tcPr>
            <w:tcW w:w="760" w:type="pct"/>
            <w:tcBorders>
              <w:top w:val="single" w:sz="4" w:space="0" w:color="auto"/>
              <w:left w:val="nil"/>
              <w:bottom w:val="single" w:sz="8" w:space="0" w:color="auto"/>
              <w:right w:val="single" w:sz="4" w:space="0" w:color="auto"/>
            </w:tcBorders>
            <w:shd w:val="clear" w:color="auto" w:fill="D6E3BC"/>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Discretionary</w:t>
            </w:r>
          </w:p>
        </w:tc>
        <w:tc>
          <w:tcPr>
            <w:tcW w:w="644" w:type="pct"/>
            <w:tcBorders>
              <w:top w:val="single" w:sz="4" w:space="0" w:color="auto"/>
              <w:left w:val="nil"/>
              <w:bottom w:val="single" w:sz="8" w:space="0" w:color="auto"/>
              <w:right w:val="single" w:sz="4" w:space="0" w:color="auto"/>
            </w:tcBorders>
            <w:shd w:val="clear" w:color="auto" w:fill="92D050"/>
            <w:hideMark/>
          </w:tcPr>
          <w:p w:rsidR="001F0131" w:rsidRPr="001F0131" w:rsidRDefault="00731DF8" w:rsidP="00323B30">
            <w:pPr>
              <w:spacing w:after="0" w:line="240" w:lineRule="auto"/>
              <w:jc w:val="center"/>
              <w:rPr>
                <w:rFonts w:eastAsia="Times New Roman"/>
                <w:color w:val="000000"/>
                <w:sz w:val="20"/>
                <w:szCs w:val="20"/>
              </w:rPr>
            </w:pPr>
            <w:r>
              <w:rPr>
                <w:rFonts w:eastAsia="Times New Roman"/>
                <w:color w:val="000000"/>
                <w:sz w:val="20"/>
                <w:szCs w:val="20"/>
              </w:rPr>
              <w:t>Yes</w:t>
            </w:r>
          </w:p>
        </w:tc>
        <w:tc>
          <w:tcPr>
            <w:tcW w:w="819" w:type="pct"/>
            <w:tcBorders>
              <w:top w:val="single" w:sz="4" w:space="0" w:color="auto"/>
              <w:left w:val="nil"/>
              <w:bottom w:val="single" w:sz="8" w:space="0" w:color="auto"/>
              <w:right w:val="single" w:sz="4" w:space="0" w:color="auto"/>
            </w:tcBorders>
            <w:shd w:val="clear" w:color="auto" w:fill="68BF61"/>
            <w:hideMark/>
          </w:tcPr>
          <w:p w:rsidR="001F0131" w:rsidRPr="001F0131" w:rsidRDefault="00BC1C29" w:rsidP="00323B30">
            <w:pPr>
              <w:spacing w:after="0" w:line="240" w:lineRule="auto"/>
              <w:jc w:val="center"/>
              <w:rPr>
                <w:rFonts w:eastAsia="Times New Roman"/>
                <w:b/>
                <w:bCs/>
                <w:color w:val="000000"/>
                <w:sz w:val="20"/>
                <w:szCs w:val="20"/>
              </w:rPr>
            </w:pPr>
            <w:r>
              <w:rPr>
                <w:rFonts w:eastAsia="Times New Roman"/>
                <w:b/>
                <w:bCs/>
                <w:color w:val="000000"/>
                <w:sz w:val="20"/>
                <w:szCs w:val="20"/>
              </w:rPr>
              <w:t>Yes</w:t>
            </w:r>
            <w:r w:rsidR="00DF4DCD">
              <w:rPr>
                <w:rFonts w:eastAsia="Times New Roman"/>
                <w:b/>
                <w:bCs/>
                <w:color w:val="000000"/>
                <w:sz w:val="20"/>
                <w:szCs w:val="20"/>
              </w:rPr>
              <w:t>,  should address</w:t>
            </w:r>
            <w:r w:rsidR="00731DF8">
              <w:rPr>
                <w:rFonts w:eastAsia="Times New Roman"/>
                <w:b/>
                <w:bCs/>
                <w:color w:val="000000"/>
                <w:sz w:val="20"/>
                <w:szCs w:val="20"/>
              </w:rPr>
              <w:t xml:space="preserve"> w/ #3 and #4</w:t>
            </w:r>
          </w:p>
        </w:tc>
      </w:tr>
      <w:tr w:rsidR="00323B30" w:rsidRPr="00F57E25" w:rsidTr="00323B30">
        <w:trPr>
          <w:trHeight w:val="800"/>
        </w:trPr>
        <w:tc>
          <w:tcPr>
            <w:tcW w:w="246" w:type="pct"/>
            <w:tcBorders>
              <w:top w:val="single" w:sz="8" w:space="0" w:color="auto"/>
              <w:left w:val="single" w:sz="8" w:space="0" w:color="auto"/>
              <w:bottom w:val="single" w:sz="8" w:space="0" w:color="auto"/>
              <w:right w:val="single" w:sz="8" w:space="0" w:color="auto"/>
            </w:tcBorders>
            <w:shd w:val="clear" w:color="auto" w:fill="D9D9D9"/>
            <w:hideMark/>
          </w:tcPr>
          <w:p w:rsidR="00323B30" w:rsidRDefault="00323B30" w:rsidP="00323B30">
            <w:pPr>
              <w:spacing w:before="120" w:after="120" w:line="240" w:lineRule="auto"/>
              <w:jc w:val="center"/>
              <w:rPr>
                <w:rFonts w:eastAsia="Times New Roman"/>
                <w:b/>
                <w:color w:val="000000"/>
              </w:rPr>
            </w:pPr>
            <w:r w:rsidRPr="00F57E25">
              <w:rPr>
                <w:rFonts w:eastAsia="Times New Roman"/>
                <w:b/>
                <w:color w:val="000000"/>
              </w:rPr>
              <w:t>ITEM</w:t>
            </w:r>
          </w:p>
          <w:p w:rsidR="00323B30" w:rsidRPr="00F57E25" w:rsidRDefault="00323B30" w:rsidP="00323B30">
            <w:pPr>
              <w:spacing w:before="120" w:after="120" w:line="240" w:lineRule="auto"/>
              <w:jc w:val="center"/>
              <w:rPr>
                <w:rFonts w:eastAsia="Times New Roman"/>
                <w:b/>
                <w:color w:val="000000"/>
              </w:rPr>
            </w:pPr>
            <w:r>
              <w:rPr>
                <w:rFonts w:eastAsia="Times New Roman"/>
                <w:b/>
                <w:color w:val="000000"/>
              </w:rPr>
              <w:t>#</w:t>
            </w:r>
          </w:p>
        </w:tc>
        <w:tc>
          <w:tcPr>
            <w:tcW w:w="1286" w:type="pct"/>
            <w:tcBorders>
              <w:top w:val="single" w:sz="8" w:space="0" w:color="auto"/>
              <w:left w:val="single" w:sz="8" w:space="0" w:color="auto"/>
              <w:bottom w:val="single" w:sz="8" w:space="0" w:color="auto"/>
              <w:right w:val="single" w:sz="8" w:space="0" w:color="auto"/>
            </w:tcBorders>
            <w:shd w:val="clear" w:color="auto" w:fill="DDD9C3"/>
            <w:hideMark/>
          </w:tcPr>
          <w:p w:rsidR="00323B30" w:rsidRPr="00F57E25" w:rsidRDefault="00323B30" w:rsidP="00323B30">
            <w:pPr>
              <w:spacing w:before="120" w:after="120" w:line="240" w:lineRule="auto"/>
              <w:jc w:val="center"/>
              <w:rPr>
                <w:rFonts w:eastAsia="Times New Roman"/>
                <w:b/>
                <w:color w:val="000000"/>
              </w:rPr>
            </w:pPr>
            <w:r>
              <w:rPr>
                <w:rFonts w:eastAsia="Times New Roman"/>
                <w:b/>
                <w:color w:val="000000"/>
              </w:rPr>
              <w:t>ITEM DESCRIPTION</w:t>
            </w:r>
          </w:p>
        </w:tc>
        <w:tc>
          <w:tcPr>
            <w:tcW w:w="552" w:type="pct"/>
            <w:tcBorders>
              <w:top w:val="single" w:sz="8" w:space="0" w:color="auto"/>
              <w:left w:val="single" w:sz="8" w:space="0" w:color="auto"/>
              <w:bottom w:val="single" w:sz="8" w:space="0" w:color="auto"/>
              <w:right w:val="single" w:sz="8" w:space="0" w:color="auto"/>
            </w:tcBorders>
            <w:shd w:val="clear" w:color="auto" w:fill="EAF1DD"/>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1 - ORS GIVES AUTHORITY TO EQC</w:t>
            </w:r>
          </w:p>
        </w:tc>
        <w:tc>
          <w:tcPr>
            <w:tcW w:w="694" w:type="pct"/>
            <w:tcBorders>
              <w:top w:val="single" w:sz="8" w:space="0" w:color="auto"/>
              <w:left w:val="single" w:sz="8" w:space="0" w:color="auto"/>
              <w:bottom w:val="single" w:sz="8" w:space="0" w:color="auto"/>
              <w:right w:val="single" w:sz="8" w:space="0" w:color="auto"/>
            </w:tcBorders>
            <w:shd w:val="clear" w:color="auto" w:fill="D6E3BC"/>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2A - RULES ALREADY IN PLACE FOR DEQ WQ</w:t>
            </w:r>
          </w:p>
        </w:tc>
        <w:tc>
          <w:tcPr>
            <w:tcW w:w="760" w:type="pct"/>
            <w:tcBorders>
              <w:top w:val="single" w:sz="8" w:space="0" w:color="auto"/>
              <w:left w:val="single" w:sz="8" w:space="0" w:color="auto"/>
              <w:bottom w:val="single" w:sz="8" w:space="0" w:color="auto"/>
              <w:right w:val="single" w:sz="8" w:space="0" w:color="auto"/>
            </w:tcBorders>
            <w:shd w:val="clear" w:color="auto" w:fill="D6E3BC"/>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2B - IS IMPLEMENTATION REQUIRED?</w:t>
            </w:r>
          </w:p>
        </w:tc>
        <w:tc>
          <w:tcPr>
            <w:tcW w:w="644" w:type="pct"/>
            <w:tcBorders>
              <w:top w:val="single" w:sz="8" w:space="0" w:color="auto"/>
              <w:left w:val="single" w:sz="8" w:space="0" w:color="auto"/>
              <w:bottom w:val="single" w:sz="8" w:space="0" w:color="auto"/>
              <w:right w:val="single" w:sz="8" w:space="0" w:color="auto"/>
            </w:tcBorders>
            <w:shd w:val="clear" w:color="auto" w:fill="92D050"/>
            <w:hideMark/>
          </w:tcPr>
          <w:p w:rsidR="00323B30" w:rsidRPr="00F57E25" w:rsidRDefault="00323B30" w:rsidP="00323B30">
            <w:pPr>
              <w:spacing w:before="120" w:after="120" w:line="240" w:lineRule="auto"/>
              <w:jc w:val="center"/>
              <w:rPr>
                <w:rFonts w:eastAsia="Times New Roman"/>
                <w:b/>
                <w:bCs/>
                <w:color w:val="000000"/>
              </w:rPr>
            </w:pPr>
            <w:r w:rsidRPr="00F57E25">
              <w:rPr>
                <w:rFonts w:eastAsia="Times New Roman"/>
                <w:b/>
                <w:bCs/>
                <w:color w:val="000000"/>
              </w:rPr>
              <w:t>3 - IS RULEMAKING NEEDED?</w:t>
            </w:r>
          </w:p>
        </w:tc>
        <w:tc>
          <w:tcPr>
            <w:tcW w:w="819" w:type="pct"/>
            <w:tcBorders>
              <w:top w:val="single" w:sz="8" w:space="0" w:color="auto"/>
              <w:left w:val="single" w:sz="8" w:space="0" w:color="auto"/>
              <w:bottom w:val="single" w:sz="8" w:space="0" w:color="auto"/>
              <w:right w:val="single" w:sz="8" w:space="0" w:color="auto"/>
            </w:tcBorders>
            <w:shd w:val="clear" w:color="auto" w:fill="68BF61"/>
            <w:hideMark/>
          </w:tcPr>
          <w:p w:rsidR="00323B30" w:rsidRPr="00F57E25" w:rsidRDefault="00323B30" w:rsidP="00323B30">
            <w:pPr>
              <w:spacing w:before="120" w:after="120" w:line="240" w:lineRule="auto"/>
              <w:jc w:val="center"/>
              <w:rPr>
                <w:rFonts w:eastAsia="Times New Roman"/>
                <w:b/>
                <w:bCs/>
                <w:color w:val="000000"/>
              </w:rPr>
            </w:pPr>
            <w:r w:rsidRPr="00F57E25">
              <w:rPr>
                <w:rFonts w:eastAsia="Times New Roman"/>
                <w:b/>
                <w:bCs/>
                <w:color w:val="000000"/>
              </w:rPr>
              <w:t>4 – WITHIN SCOPE OF HH FCR WQS RULE PACKAGE?</w:t>
            </w:r>
          </w:p>
        </w:tc>
      </w:tr>
      <w:tr w:rsidR="00323B30" w:rsidRPr="001F0131" w:rsidTr="00323B30">
        <w:trPr>
          <w:trHeight w:val="765"/>
        </w:trPr>
        <w:tc>
          <w:tcPr>
            <w:tcW w:w="246" w:type="pct"/>
            <w:tcBorders>
              <w:top w:val="single" w:sz="8" w:space="0" w:color="auto"/>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8</w:t>
            </w:r>
          </w:p>
        </w:tc>
        <w:tc>
          <w:tcPr>
            <w:tcW w:w="1286" w:type="pct"/>
            <w:tcBorders>
              <w:top w:val="single" w:sz="8"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Require</w:t>
            </w:r>
            <w:r w:rsidR="00DF4DCD">
              <w:rPr>
                <w:rFonts w:eastAsia="Times New Roman"/>
                <w:color w:val="000000"/>
                <w:sz w:val="20"/>
                <w:szCs w:val="20"/>
              </w:rPr>
              <w:t xml:space="preserve"> in Division 41</w:t>
            </w:r>
            <w:r w:rsidRPr="001F0131">
              <w:rPr>
                <w:rFonts w:eastAsia="Times New Roman"/>
                <w:color w:val="000000"/>
                <w:sz w:val="20"/>
                <w:szCs w:val="20"/>
              </w:rPr>
              <w:t xml:space="preserve"> that surrogate measures be clear and easily applied as to how to meet TMDL load allocations</w:t>
            </w:r>
          </w:p>
        </w:tc>
        <w:tc>
          <w:tcPr>
            <w:tcW w:w="552" w:type="pct"/>
            <w:tcBorders>
              <w:top w:val="single" w:sz="8"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8" w:space="0" w:color="auto"/>
              <w:left w:val="nil"/>
              <w:bottom w:val="single" w:sz="4" w:space="0" w:color="auto"/>
              <w:right w:val="single" w:sz="4" w:space="0" w:color="auto"/>
            </w:tcBorders>
            <w:shd w:val="clear" w:color="auto" w:fill="D6E3BC"/>
            <w:hideMark/>
          </w:tcPr>
          <w:p w:rsidR="001F0131" w:rsidRPr="001F0131" w:rsidRDefault="004F5E9A" w:rsidP="00323B30">
            <w:pPr>
              <w:spacing w:after="0" w:line="240" w:lineRule="auto"/>
              <w:jc w:val="center"/>
              <w:rPr>
                <w:rFonts w:eastAsia="Times New Roman"/>
                <w:color w:val="000000"/>
                <w:sz w:val="20"/>
                <w:szCs w:val="20"/>
              </w:rPr>
            </w:pPr>
            <w:r>
              <w:rPr>
                <w:rFonts w:eastAsia="Times New Roman"/>
                <w:color w:val="000000"/>
                <w:sz w:val="20"/>
                <w:szCs w:val="20"/>
              </w:rPr>
              <w:t xml:space="preserve">Not Div 41 but authority under </w:t>
            </w:r>
            <w:r w:rsidR="00323B30">
              <w:rPr>
                <w:rFonts w:eastAsia="Times New Roman"/>
                <w:color w:val="000000"/>
                <w:sz w:val="20"/>
                <w:szCs w:val="20"/>
              </w:rPr>
              <w:t>Division</w:t>
            </w:r>
            <w:r w:rsidR="001F0131" w:rsidRPr="001F0131">
              <w:rPr>
                <w:rFonts w:eastAsia="Times New Roman"/>
                <w:color w:val="000000"/>
                <w:sz w:val="20"/>
                <w:szCs w:val="20"/>
              </w:rPr>
              <w:t xml:space="preserve"> 4</w:t>
            </w:r>
            <w:r>
              <w:rPr>
                <w:rFonts w:eastAsia="Times New Roman"/>
                <w:color w:val="000000"/>
                <w:sz w:val="20"/>
                <w:szCs w:val="20"/>
              </w:rPr>
              <w:t>2</w:t>
            </w:r>
          </w:p>
        </w:tc>
        <w:tc>
          <w:tcPr>
            <w:tcW w:w="760" w:type="pct"/>
            <w:tcBorders>
              <w:top w:val="single" w:sz="8"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single" w:sz="8" w:space="0" w:color="auto"/>
              <w:left w:val="nil"/>
              <w:bottom w:val="single" w:sz="4" w:space="0" w:color="auto"/>
              <w:right w:val="nil"/>
            </w:tcBorders>
            <w:shd w:val="clear" w:color="auto" w:fill="92D050"/>
            <w:hideMark/>
          </w:tcPr>
          <w:p w:rsidR="001F0131" w:rsidRPr="001F0131" w:rsidRDefault="004F5E9A" w:rsidP="00323B30">
            <w:pPr>
              <w:spacing w:after="0" w:line="240" w:lineRule="auto"/>
              <w:jc w:val="center"/>
              <w:rPr>
                <w:rFonts w:eastAsia="Times New Roman"/>
                <w:color w:val="000000"/>
                <w:sz w:val="20"/>
                <w:szCs w:val="20"/>
              </w:rPr>
            </w:pPr>
            <w:r>
              <w:rPr>
                <w:rFonts w:eastAsia="Times New Roman"/>
                <w:color w:val="000000"/>
                <w:sz w:val="20"/>
                <w:szCs w:val="20"/>
              </w:rPr>
              <w:t>Yes for Div 41</w:t>
            </w:r>
          </w:p>
        </w:tc>
        <w:tc>
          <w:tcPr>
            <w:tcW w:w="819" w:type="pct"/>
            <w:tcBorders>
              <w:top w:val="single" w:sz="8" w:space="0" w:color="auto"/>
              <w:left w:val="single" w:sz="4" w:space="0" w:color="auto"/>
              <w:bottom w:val="single" w:sz="4" w:space="0" w:color="auto"/>
              <w:right w:val="single" w:sz="4" w:space="0" w:color="auto"/>
            </w:tcBorders>
            <w:shd w:val="clear" w:color="auto" w:fill="68BF61"/>
            <w:hideMark/>
          </w:tcPr>
          <w:p w:rsidR="001F0131" w:rsidRPr="001F0131" w:rsidRDefault="004F5E9A" w:rsidP="00323B30">
            <w:pPr>
              <w:spacing w:after="0" w:line="240" w:lineRule="auto"/>
              <w:jc w:val="center"/>
              <w:rPr>
                <w:rFonts w:eastAsia="Times New Roman"/>
                <w:b/>
                <w:bCs/>
                <w:color w:val="000000"/>
                <w:sz w:val="20"/>
                <w:szCs w:val="20"/>
              </w:rPr>
            </w:pPr>
            <w:r>
              <w:rPr>
                <w:rFonts w:eastAsia="Times New Roman"/>
                <w:b/>
                <w:bCs/>
                <w:color w:val="000000"/>
                <w:sz w:val="20"/>
                <w:szCs w:val="20"/>
              </w:rPr>
              <w:t>Yes, consider under “</w:t>
            </w:r>
            <w:r w:rsidRPr="001F0131">
              <w:rPr>
                <w:rFonts w:eastAsia="Times New Roman"/>
                <w:b/>
                <w:bCs/>
                <w:color w:val="000000"/>
                <w:sz w:val="20"/>
                <w:szCs w:val="20"/>
              </w:rPr>
              <w:t>Implementation-Ready</w:t>
            </w:r>
            <w:r>
              <w:rPr>
                <w:rFonts w:eastAsia="Times New Roman"/>
                <w:b/>
                <w:bCs/>
                <w:color w:val="000000"/>
                <w:sz w:val="20"/>
                <w:szCs w:val="20"/>
              </w:rPr>
              <w:t>”</w:t>
            </w:r>
            <w:r w:rsidRPr="001F0131">
              <w:rPr>
                <w:rFonts w:eastAsia="Times New Roman"/>
                <w:b/>
                <w:bCs/>
                <w:color w:val="000000"/>
                <w:sz w:val="20"/>
                <w:szCs w:val="20"/>
              </w:rPr>
              <w:t xml:space="preserve"> TMDLs</w:t>
            </w:r>
          </w:p>
        </w:tc>
      </w:tr>
      <w:tr w:rsidR="00323B30" w:rsidRPr="001F0131" w:rsidTr="00323B30">
        <w:trPr>
          <w:trHeight w:val="765"/>
        </w:trPr>
        <w:tc>
          <w:tcPr>
            <w:tcW w:w="246" w:type="pct"/>
            <w:tcBorders>
              <w:top w:val="single" w:sz="4" w:space="0" w:color="auto"/>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9</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Require </w:t>
            </w:r>
            <w:r w:rsidR="004F5E9A">
              <w:rPr>
                <w:rFonts w:eastAsia="Times New Roman"/>
                <w:color w:val="000000"/>
                <w:sz w:val="20"/>
                <w:szCs w:val="20"/>
              </w:rPr>
              <w:t xml:space="preserve">in Div 41 </w:t>
            </w:r>
            <w:r w:rsidRPr="001F0131">
              <w:rPr>
                <w:rFonts w:eastAsia="Times New Roman"/>
                <w:color w:val="000000"/>
                <w:sz w:val="20"/>
                <w:szCs w:val="20"/>
              </w:rPr>
              <w:t>the use of an enhanced USLE to calculate and limit controllable erosion rates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single" w:sz="4" w:space="0" w:color="auto"/>
              <w:left w:val="nil"/>
              <w:bottom w:val="single" w:sz="4" w:space="0" w:color="auto"/>
              <w:right w:val="single" w:sz="4" w:space="0" w:color="auto"/>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Yes </w:t>
            </w:r>
            <w:r w:rsidR="00731DF8">
              <w:rPr>
                <w:rFonts w:eastAsia="Times New Roman"/>
                <w:color w:val="000000"/>
                <w:sz w:val="20"/>
                <w:szCs w:val="20"/>
              </w:rPr>
              <w:t>for Div 41</w:t>
            </w:r>
          </w:p>
        </w:tc>
        <w:tc>
          <w:tcPr>
            <w:tcW w:w="819" w:type="pct"/>
            <w:tcBorders>
              <w:top w:val="single" w:sz="4" w:space="0" w:color="auto"/>
              <w:left w:val="nil"/>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 c</w:t>
            </w:r>
            <w:r w:rsidR="00BC1C29">
              <w:rPr>
                <w:rFonts w:eastAsia="Times New Roman"/>
                <w:b/>
                <w:bCs/>
                <w:color w:val="000000"/>
                <w:sz w:val="20"/>
                <w:szCs w:val="20"/>
              </w:rPr>
              <w:t>onsider under</w:t>
            </w:r>
            <w:r w:rsidR="00BC1C29" w:rsidRPr="001F0131">
              <w:rPr>
                <w:rFonts w:eastAsia="Times New Roman"/>
                <w:b/>
                <w:bCs/>
                <w:color w:val="000000"/>
                <w:sz w:val="20"/>
                <w:szCs w:val="20"/>
              </w:rPr>
              <w:t xml:space="preserve"> Toxics/Sediment</w:t>
            </w:r>
            <w:r w:rsidR="004F5E9A">
              <w:rPr>
                <w:rFonts w:eastAsia="Times New Roman"/>
                <w:b/>
                <w:bCs/>
                <w:color w:val="000000"/>
                <w:sz w:val="20"/>
                <w:szCs w:val="20"/>
              </w:rPr>
              <w:t xml:space="preserve"> (or TMDL?)</w:t>
            </w:r>
          </w:p>
        </w:tc>
      </w:tr>
      <w:tr w:rsidR="00323B30" w:rsidRPr="001F0131" w:rsidTr="00323B30">
        <w:trPr>
          <w:trHeight w:val="51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10</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 xml:space="preserve">Require that fertilizers be restricted to agronomic rates in </w:t>
            </w:r>
            <w:r w:rsidR="004F5E9A">
              <w:rPr>
                <w:rFonts w:eastAsia="Times New Roman"/>
                <w:color w:val="000000"/>
                <w:sz w:val="20"/>
                <w:szCs w:val="20"/>
              </w:rPr>
              <w:t>Division 41</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1F0131" w:rsidP="00323B30">
            <w:pPr>
              <w:spacing w:after="0" w:line="240" w:lineRule="auto"/>
              <w:jc w:val="center"/>
              <w:rPr>
                <w:rFonts w:eastAsia="Times New Roman"/>
                <w:b/>
                <w:bCs/>
                <w:color w:val="000000"/>
                <w:sz w:val="20"/>
                <w:szCs w:val="20"/>
              </w:rPr>
            </w:pPr>
            <w:r w:rsidRPr="001F0131">
              <w:rPr>
                <w:rFonts w:eastAsia="Times New Roman"/>
                <w:b/>
                <w:bCs/>
                <w:color w:val="000000"/>
                <w:sz w:val="20"/>
                <w:szCs w:val="20"/>
              </w:rPr>
              <w:t xml:space="preserve">No </w:t>
            </w:r>
            <w:r w:rsidR="00BC1C29">
              <w:rPr>
                <w:rFonts w:eastAsia="Times New Roman"/>
                <w:b/>
                <w:bCs/>
                <w:color w:val="000000"/>
                <w:sz w:val="20"/>
                <w:szCs w:val="20"/>
              </w:rPr>
              <w:t>-</w:t>
            </w:r>
            <w:r w:rsidRPr="001F0131">
              <w:rPr>
                <w:rFonts w:eastAsia="Times New Roman"/>
                <w:b/>
                <w:bCs/>
                <w:color w:val="000000"/>
                <w:sz w:val="20"/>
                <w:szCs w:val="20"/>
              </w:rPr>
              <w:t xml:space="preserve"> Wait until DEQ works on Nutrients Std.</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11</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Develop design specifications for riparian buffer strips and require in Water Quality rules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Not Div 41 but authority under Divi</w:t>
            </w:r>
            <w:r w:rsidR="00323B30">
              <w:rPr>
                <w:rFonts w:eastAsia="Times New Roman"/>
                <w:color w:val="000000"/>
                <w:sz w:val="20"/>
                <w:szCs w:val="20"/>
              </w:rPr>
              <w:t>sion</w:t>
            </w:r>
            <w:r w:rsidRPr="001F0131">
              <w:rPr>
                <w:rFonts w:eastAsia="Times New Roman"/>
                <w:color w:val="000000"/>
                <w:sz w:val="20"/>
                <w:szCs w:val="20"/>
              </w:rPr>
              <w:t xml:space="preserve"> 4</w:t>
            </w:r>
            <w:r>
              <w:rPr>
                <w:rFonts w:eastAsia="Times New Roman"/>
                <w:color w:val="000000"/>
                <w:sz w:val="20"/>
                <w:szCs w:val="20"/>
              </w:rPr>
              <w:t>2</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nil"/>
              <w:right w:val="nil"/>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unless done under TMDLs</w:t>
            </w:r>
          </w:p>
        </w:tc>
        <w:tc>
          <w:tcPr>
            <w:tcW w:w="819" w:type="pct"/>
            <w:tcBorders>
              <w:top w:val="nil"/>
              <w:left w:val="single" w:sz="4" w:space="0" w:color="auto"/>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 c</w:t>
            </w:r>
            <w:r w:rsidR="00BC1C29">
              <w:rPr>
                <w:rFonts w:eastAsia="Times New Roman"/>
                <w:b/>
                <w:bCs/>
                <w:color w:val="000000"/>
                <w:sz w:val="20"/>
                <w:szCs w:val="20"/>
              </w:rPr>
              <w:t>onsider under “</w:t>
            </w:r>
            <w:r w:rsidR="00BC1C29" w:rsidRPr="001F0131">
              <w:rPr>
                <w:rFonts w:eastAsia="Times New Roman"/>
                <w:b/>
                <w:bCs/>
                <w:color w:val="000000"/>
                <w:sz w:val="20"/>
                <w:szCs w:val="20"/>
              </w:rPr>
              <w:t>Implementation-Ready</w:t>
            </w:r>
            <w:r w:rsidR="00BC1C29">
              <w:rPr>
                <w:rFonts w:eastAsia="Times New Roman"/>
                <w:b/>
                <w:bCs/>
                <w:color w:val="000000"/>
                <w:sz w:val="20"/>
                <w:szCs w:val="20"/>
              </w:rPr>
              <w:t>”</w:t>
            </w:r>
            <w:r w:rsidR="00BC1C29" w:rsidRPr="001F0131">
              <w:rPr>
                <w:rFonts w:eastAsia="Times New Roman"/>
                <w:b/>
                <w:bCs/>
                <w:color w:val="000000"/>
                <w:sz w:val="20"/>
                <w:szCs w:val="20"/>
              </w:rPr>
              <w:t xml:space="preserve"> TMDLs</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12</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Add that agricultural land owners must implement specific practices to be in compliance with Water Quality Standards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Not Div 41 but authority under Divi</w:t>
            </w:r>
            <w:r w:rsidR="00323B30">
              <w:rPr>
                <w:rFonts w:eastAsia="Times New Roman"/>
                <w:color w:val="000000"/>
                <w:sz w:val="20"/>
                <w:szCs w:val="20"/>
              </w:rPr>
              <w:t>sion</w:t>
            </w:r>
            <w:r w:rsidRPr="001F0131">
              <w:rPr>
                <w:rFonts w:eastAsia="Times New Roman"/>
                <w:color w:val="000000"/>
                <w:sz w:val="20"/>
                <w:szCs w:val="20"/>
              </w:rPr>
              <w:t xml:space="preserve"> 4</w:t>
            </w:r>
            <w:r>
              <w:rPr>
                <w:rFonts w:eastAsia="Times New Roman"/>
                <w:color w:val="000000"/>
                <w:sz w:val="20"/>
                <w:szCs w:val="20"/>
              </w:rPr>
              <w:t>2</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single" w:sz="4" w:space="0" w:color="auto"/>
              <w:left w:val="nil"/>
              <w:bottom w:val="single" w:sz="4" w:space="0" w:color="auto"/>
              <w:right w:val="single" w:sz="4" w:space="0" w:color="auto"/>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unless done under TMDLs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 c</w:t>
            </w:r>
            <w:r w:rsidR="00BC1C29">
              <w:rPr>
                <w:rFonts w:eastAsia="Times New Roman"/>
                <w:b/>
                <w:bCs/>
                <w:color w:val="000000"/>
                <w:sz w:val="20"/>
                <w:szCs w:val="20"/>
              </w:rPr>
              <w:t>onsider under “</w:t>
            </w:r>
            <w:r w:rsidR="00BC1C29" w:rsidRPr="001F0131">
              <w:rPr>
                <w:rFonts w:eastAsia="Times New Roman"/>
                <w:b/>
                <w:bCs/>
                <w:color w:val="000000"/>
                <w:sz w:val="20"/>
                <w:szCs w:val="20"/>
              </w:rPr>
              <w:t>Implementation-Ready</w:t>
            </w:r>
            <w:r w:rsidR="00BC1C29">
              <w:rPr>
                <w:rFonts w:eastAsia="Times New Roman"/>
                <w:b/>
                <w:bCs/>
                <w:color w:val="000000"/>
                <w:sz w:val="20"/>
                <w:szCs w:val="20"/>
              </w:rPr>
              <w:t>”</w:t>
            </w:r>
            <w:r w:rsidR="00BC1C29" w:rsidRPr="001F0131">
              <w:rPr>
                <w:rFonts w:eastAsia="Times New Roman"/>
                <w:b/>
                <w:bCs/>
                <w:color w:val="000000"/>
                <w:sz w:val="20"/>
                <w:szCs w:val="20"/>
              </w:rPr>
              <w:t xml:space="preserve"> TMDLs</w:t>
            </w:r>
          </w:p>
        </w:tc>
      </w:tr>
      <w:tr w:rsidR="00323B30" w:rsidRPr="001F0131" w:rsidTr="00323B30">
        <w:trPr>
          <w:trHeight w:val="102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14</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D645A5" w:rsidRDefault="00D645A5" w:rsidP="00323B30">
            <w:pPr>
              <w:spacing w:after="0" w:line="240" w:lineRule="auto"/>
              <w:jc w:val="center"/>
              <w:rPr>
                <w:rFonts w:eastAsia="Times New Roman"/>
                <w:color w:val="000000"/>
                <w:sz w:val="20"/>
                <w:szCs w:val="20"/>
              </w:rPr>
            </w:pPr>
            <w:r w:rsidRPr="00D645A5">
              <w:rPr>
                <w:sz w:val="20"/>
                <w:szCs w:val="20"/>
              </w:rPr>
              <w:t>Establish options for going beyond pretreatment for industrial and commercial facilities where treatment/management may not otherwise be required</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Depends</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Yes for some strategies</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BC1C29" w:rsidP="00323B30">
            <w:pPr>
              <w:spacing w:after="0" w:line="240" w:lineRule="auto"/>
              <w:jc w:val="center"/>
              <w:rPr>
                <w:rFonts w:eastAsia="Times New Roman"/>
                <w:b/>
                <w:bCs/>
                <w:color w:val="000000"/>
                <w:sz w:val="20"/>
                <w:szCs w:val="20"/>
              </w:rPr>
            </w:pPr>
            <w:r>
              <w:rPr>
                <w:rFonts w:eastAsia="Times New Roman"/>
                <w:b/>
                <w:bCs/>
                <w:color w:val="000000"/>
                <w:sz w:val="20"/>
                <w:szCs w:val="20"/>
              </w:rPr>
              <w:t>Yes</w:t>
            </w:r>
          </w:p>
        </w:tc>
      </w:tr>
      <w:tr w:rsidR="00323B30" w:rsidRPr="001F0131" w:rsidTr="00323B30">
        <w:trPr>
          <w:trHeight w:val="102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15</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Change the TMDL rules to require an individual load allocation be given to significant air deposition sources of a pollutant that is the subject of the TMDL</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Division 42</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Discretionary</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8C17A9" w:rsidP="00323B30">
            <w:pPr>
              <w:spacing w:after="0" w:line="240" w:lineRule="auto"/>
              <w:jc w:val="center"/>
              <w:rPr>
                <w:rFonts w:eastAsia="Times New Roman"/>
                <w:color w:val="000000"/>
                <w:sz w:val="20"/>
                <w:szCs w:val="20"/>
              </w:rPr>
            </w:pPr>
            <w:r>
              <w:rPr>
                <w:rFonts w:eastAsia="Times New Roman"/>
                <w:color w:val="000000"/>
                <w:sz w:val="20"/>
                <w:szCs w:val="20"/>
              </w:rPr>
              <w:t>No, but could clarify the intent through revision</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782167" w:rsidP="00323B30">
            <w:pPr>
              <w:spacing w:after="0" w:line="240" w:lineRule="auto"/>
              <w:jc w:val="center"/>
              <w:rPr>
                <w:rFonts w:eastAsia="Times New Roman"/>
                <w:b/>
                <w:bCs/>
                <w:color w:val="000000"/>
                <w:sz w:val="20"/>
                <w:szCs w:val="20"/>
              </w:rPr>
            </w:pPr>
            <w:r>
              <w:rPr>
                <w:rFonts w:eastAsia="Times New Roman"/>
                <w:b/>
                <w:bCs/>
                <w:color w:val="000000"/>
                <w:sz w:val="20"/>
                <w:szCs w:val="20"/>
              </w:rPr>
              <w:t>Yes, c</w:t>
            </w:r>
            <w:r w:rsidR="00BC1C29">
              <w:rPr>
                <w:rFonts w:eastAsia="Times New Roman"/>
                <w:b/>
                <w:bCs/>
                <w:color w:val="000000"/>
                <w:sz w:val="20"/>
                <w:szCs w:val="20"/>
              </w:rPr>
              <w:t>onsider under “</w:t>
            </w:r>
            <w:r w:rsidR="00BC1C29" w:rsidRPr="001F0131">
              <w:rPr>
                <w:rFonts w:eastAsia="Times New Roman"/>
                <w:b/>
                <w:bCs/>
                <w:color w:val="000000"/>
                <w:sz w:val="20"/>
                <w:szCs w:val="20"/>
              </w:rPr>
              <w:t>Implementation-Ready</w:t>
            </w:r>
            <w:r w:rsidR="00BC1C29">
              <w:rPr>
                <w:rFonts w:eastAsia="Times New Roman"/>
                <w:b/>
                <w:bCs/>
                <w:color w:val="000000"/>
                <w:sz w:val="20"/>
                <w:szCs w:val="20"/>
              </w:rPr>
              <w:t>”</w:t>
            </w:r>
            <w:r w:rsidR="00BC1C29" w:rsidRPr="001F0131">
              <w:rPr>
                <w:rFonts w:eastAsia="Times New Roman"/>
                <w:b/>
                <w:bCs/>
                <w:color w:val="000000"/>
                <w:sz w:val="20"/>
                <w:szCs w:val="20"/>
              </w:rPr>
              <w:t xml:space="preserve"> TMDLs</w:t>
            </w:r>
          </w:p>
        </w:tc>
      </w:tr>
      <w:tr w:rsidR="00323B30" w:rsidRPr="001F0131" w:rsidTr="00323B30">
        <w:trPr>
          <w:trHeight w:val="76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21</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Establish standards for metals and other “non-nutritive” toxics in fertilizers in Water Quality rules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N/A</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 - Statutory change is needed</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B14017" w:rsidP="00323B30">
            <w:pPr>
              <w:spacing w:after="0" w:line="240" w:lineRule="auto"/>
              <w:jc w:val="center"/>
              <w:rPr>
                <w:rFonts w:eastAsia="Times New Roman"/>
                <w:b/>
                <w:bCs/>
                <w:color w:val="000000"/>
                <w:sz w:val="20"/>
                <w:szCs w:val="20"/>
              </w:rPr>
            </w:pPr>
            <w:r>
              <w:rPr>
                <w:rFonts w:eastAsia="Times New Roman"/>
                <w:b/>
                <w:bCs/>
                <w:color w:val="000000"/>
                <w:sz w:val="20"/>
                <w:szCs w:val="20"/>
              </w:rPr>
              <w:t>No</w:t>
            </w:r>
            <w:r w:rsidR="00BC1C29">
              <w:rPr>
                <w:rFonts w:eastAsia="Times New Roman"/>
                <w:b/>
                <w:bCs/>
                <w:color w:val="000000"/>
                <w:sz w:val="20"/>
                <w:szCs w:val="20"/>
              </w:rPr>
              <w:t xml:space="preserve"> – No authority</w:t>
            </w:r>
          </w:p>
        </w:tc>
      </w:tr>
      <w:tr w:rsidR="00323B30" w:rsidRPr="001F0131" w:rsidTr="00323B30">
        <w:trPr>
          <w:trHeight w:val="510"/>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lastRenderedPageBreak/>
              <w:t>#</w:t>
            </w:r>
            <w:r w:rsidR="001F0131" w:rsidRPr="00F57E25">
              <w:rPr>
                <w:rFonts w:eastAsia="Times New Roman"/>
                <w:b/>
                <w:color w:val="000000"/>
                <w:sz w:val="20"/>
                <w:szCs w:val="20"/>
              </w:rPr>
              <w:t>23</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Limit homeowner application for some pesticides in Water Quality rules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N/A</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 - Statutory change is needed</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B14017" w:rsidP="00323B30">
            <w:pPr>
              <w:spacing w:after="0" w:line="240" w:lineRule="auto"/>
              <w:jc w:val="center"/>
              <w:rPr>
                <w:rFonts w:eastAsia="Times New Roman"/>
                <w:b/>
                <w:bCs/>
                <w:color w:val="000000"/>
                <w:sz w:val="20"/>
                <w:szCs w:val="20"/>
              </w:rPr>
            </w:pPr>
            <w:r>
              <w:rPr>
                <w:rFonts w:eastAsia="Times New Roman"/>
                <w:b/>
                <w:bCs/>
                <w:color w:val="000000"/>
                <w:sz w:val="20"/>
                <w:szCs w:val="20"/>
              </w:rPr>
              <w:t>No</w:t>
            </w:r>
            <w:r w:rsidR="00FB22CA">
              <w:rPr>
                <w:rFonts w:eastAsia="Times New Roman"/>
                <w:b/>
                <w:bCs/>
                <w:color w:val="000000"/>
                <w:sz w:val="20"/>
                <w:szCs w:val="20"/>
              </w:rPr>
              <w:t xml:space="preserve"> – No authority</w:t>
            </w:r>
          </w:p>
        </w:tc>
      </w:tr>
      <w:tr w:rsidR="00323B30" w:rsidRPr="00F57E25" w:rsidTr="00323B30">
        <w:trPr>
          <w:trHeight w:val="800"/>
        </w:trPr>
        <w:tc>
          <w:tcPr>
            <w:tcW w:w="246" w:type="pct"/>
            <w:tcBorders>
              <w:top w:val="single" w:sz="8" w:space="0" w:color="auto"/>
              <w:left w:val="single" w:sz="8" w:space="0" w:color="auto"/>
              <w:bottom w:val="single" w:sz="8" w:space="0" w:color="auto"/>
              <w:right w:val="single" w:sz="8" w:space="0" w:color="auto"/>
            </w:tcBorders>
            <w:shd w:val="clear" w:color="auto" w:fill="D9D9D9"/>
            <w:hideMark/>
          </w:tcPr>
          <w:p w:rsidR="00323B30" w:rsidRDefault="00323B30" w:rsidP="00323B30">
            <w:pPr>
              <w:spacing w:before="120" w:after="120" w:line="240" w:lineRule="auto"/>
              <w:jc w:val="center"/>
              <w:rPr>
                <w:rFonts w:eastAsia="Times New Roman"/>
                <w:b/>
                <w:color w:val="000000"/>
              </w:rPr>
            </w:pPr>
            <w:r w:rsidRPr="00F57E25">
              <w:rPr>
                <w:rFonts w:eastAsia="Times New Roman"/>
                <w:b/>
                <w:color w:val="000000"/>
              </w:rPr>
              <w:t>ITEM</w:t>
            </w:r>
          </w:p>
          <w:p w:rsidR="00323B30" w:rsidRPr="00F57E25" w:rsidRDefault="00323B30" w:rsidP="00323B30">
            <w:pPr>
              <w:spacing w:before="120" w:after="120" w:line="240" w:lineRule="auto"/>
              <w:jc w:val="center"/>
              <w:rPr>
                <w:rFonts w:eastAsia="Times New Roman"/>
                <w:b/>
                <w:color w:val="000000"/>
              </w:rPr>
            </w:pPr>
            <w:r>
              <w:rPr>
                <w:rFonts w:eastAsia="Times New Roman"/>
                <w:b/>
                <w:color w:val="000000"/>
              </w:rPr>
              <w:t>#</w:t>
            </w:r>
          </w:p>
        </w:tc>
        <w:tc>
          <w:tcPr>
            <w:tcW w:w="1286" w:type="pct"/>
            <w:tcBorders>
              <w:top w:val="single" w:sz="8" w:space="0" w:color="auto"/>
              <w:left w:val="single" w:sz="8" w:space="0" w:color="auto"/>
              <w:bottom w:val="single" w:sz="8" w:space="0" w:color="auto"/>
              <w:right w:val="single" w:sz="8" w:space="0" w:color="auto"/>
            </w:tcBorders>
            <w:shd w:val="clear" w:color="auto" w:fill="DDD9C3"/>
            <w:hideMark/>
          </w:tcPr>
          <w:p w:rsidR="00323B30" w:rsidRPr="00F57E25" w:rsidRDefault="00323B30" w:rsidP="00323B30">
            <w:pPr>
              <w:spacing w:before="120" w:after="120" w:line="240" w:lineRule="auto"/>
              <w:jc w:val="center"/>
              <w:rPr>
                <w:rFonts w:eastAsia="Times New Roman"/>
                <w:b/>
                <w:color w:val="000000"/>
              </w:rPr>
            </w:pPr>
            <w:r>
              <w:rPr>
                <w:rFonts w:eastAsia="Times New Roman"/>
                <w:b/>
                <w:color w:val="000000"/>
              </w:rPr>
              <w:t>ITEM DESCRIPTION</w:t>
            </w:r>
          </w:p>
        </w:tc>
        <w:tc>
          <w:tcPr>
            <w:tcW w:w="552" w:type="pct"/>
            <w:tcBorders>
              <w:top w:val="single" w:sz="8" w:space="0" w:color="auto"/>
              <w:left w:val="single" w:sz="8" w:space="0" w:color="auto"/>
              <w:bottom w:val="single" w:sz="8" w:space="0" w:color="auto"/>
              <w:right w:val="single" w:sz="8" w:space="0" w:color="auto"/>
            </w:tcBorders>
            <w:shd w:val="clear" w:color="auto" w:fill="EAF1DD"/>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1 - ORS GIVES AUTHORITY TO EQC</w:t>
            </w:r>
          </w:p>
        </w:tc>
        <w:tc>
          <w:tcPr>
            <w:tcW w:w="694" w:type="pct"/>
            <w:tcBorders>
              <w:top w:val="single" w:sz="8" w:space="0" w:color="auto"/>
              <w:left w:val="single" w:sz="8" w:space="0" w:color="auto"/>
              <w:bottom w:val="single" w:sz="8" w:space="0" w:color="auto"/>
              <w:right w:val="single" w:sz="8" w:space="0" w:color="auto"/>
            </w:tcBorders>
            <w:shd w:val="clear" w:color="auto" w:fill="D6E3BC"/>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2A - RULES ALREADY IN PLACE FOR DEQ WQ</w:t>
            </w:r>
          </w:p>
        </w:tc>
        <w:tc>
          <w:tcPr>
            <w:tcW w:w="760" w:type="pct"/>
            <w:tcBorders>
              <w:top w:val="single" w:sz="8" w:space="0" w:color="auto"/>
              <w:left w:val="single" w:sz="8" w:space="0" w:color="auto"/>
              <w:bottom w:val="single" w:sz="8" w:space="0" w:color="auto"/>
              <w:right w:val="single" w:sz="8" w:space="0" w:color="auto"/>
            </w:tcBorders>
            <w:shd w:val="clear" w:color="auto" w:fill="D6E3BC"/>
            <w:hideMark/>
          </w:tcPr>
          <w:p w:rsidR="00323B30" w:rsidRPr="00F57E25" w:rsidRDefault="00323B30" w:rsidP="00323B30">
            <w:pPr>
              <w:spacing w:before="120" w:after="120" w:line="240" w:lineRule="auto"/>
              <w:jc w:val="center"/>
              <w:rPr>
                <w:rFonts w:eastAsia="Times New Roman"/>
                <w:b/>
                <w:color w:val="000000"/>
              </w:rPr>
            </w:pPr>
            <w:r w:rsidRPr="00F57E25">
              <w:rPr>
                <w:rFonts w:eastAsia="Times New Roman"/>
                <w:b/>
                <w:color w:val="000000"/>
              </w:rPr>
              <w:t>2B - IS IMPLEMENTATION REQUIRED?</w:t>
            </w:r>
          </w:p>
        </w:tc>
        <w:tc>
          <w:tcPr>
            <w:tcW w:w="644" w:type="pct"/>
            <w:tcBorders>
              <w:top w:val="single" w:sz="8" w:space="0" w:color="auto"/>
              <w:left w:val="single" w:sz="8" w:space="0" w:color="auto"/>
              <w:bottom w:val="single" w:sz="8" w:space="0" w:color="auto"/>
              <w:right w:val="single" w:sz="8" w:space="0" w:color="auto"/>
            </w:tcBorders>
            <w:shd w:val="clear" w:color="auto" w:fill="92D050"/>
            <w:hideMark/>
          </w:tcPr>
          <w:p w:rsidR="00323B30" w:rsidRPr="00F57E25" w:rsidRDefault="00323B30" w:rsidP="00323B30">
            <w:pPr>
              <w:spacing w:before="120" w:after="120" w:line="240" w:lineRule="auto"/>
              <w:jc w:val="center"/>
              <w:rPr>
                <w:rFonts w:eastAsia="Times New Roman"/>
                <w:b/>
                <w:bCs/>
                <w:color w:val="000000"/>
              </w:rPr>
            </w:pPr>
            <w:r w:rsidRPr="00F57E25">
              <w:rPr>
                <w:rFonts w:eastAsia="Times New Roman"/>
                <w:b/>
                <w:bCs/>
                <w:color w:val="000000"/>
              </w:rPr>
              <w:t>3 - IS RULEMAKING NEEDED?</w:t>
            </w:r>
          </w:p>
        </w:tc>
        <w:tc>
          <w:tcPr>
            <w:tcW w:w="819" w:type="pct"/>
            <w:tcBorders>
              <w:top w:val="single" w:sz="8" w:space="0" w:color="auto"/>
              <w:left w:val="single" w:sz="8" w:space="0" w:color="auto"/>
              <w:bottom w:val="single" w:sz="8" w:space="0" w:color="auto"/>
              <w:right w:val="single" w:sz="8" w:space="0" w:color="auto"/>
            </w:tcBorders>
            <w:shd w:val="clear" w:color="auto" w:fill="68BF61"/>
            <w:hideMark/>
          </w:tcPr>
          <w:p w:rsidR="00323B30" w:rsidRPr="00F57E25" w:rsidRDefault="00323B30" w:rsidP="00323B30">
            <w:pPr>
              <w:spacing w:before="120" w:after="120" w:line="240" w:lineRule="auto"/>
              <w:jc w:val="center"/>
              <w:rPr>
                <w:rFonts w:eastAsia="Times New Roman"/>
                <w:b/>
                <w:bCs/>
                <w:color w:val="000000"/>
              </w:rPr>
            </w:pPr>
            <w:r w:rsidRPr="00F57E25">
              <w:rPr>
                <w:rFonts w:eastAsia="Times New Roman"/>
                <w:b/>
                <w:bCs/>
                <w:color w:val="000000"/>
              </w:rPr>
              <w:t>4 – WITHIN SCOPE OF HH FCR WQS RULE PACKAGE?</w:t>
            </w:r>
          </w:p>
        </w:tc>
      </w:tr>
      <w:tr w:rsidR="00323B30" w:rsidRPr="001F0131" w:rsidTr="00323B30">
        <w:trPr>
          <w:trHeight w:val="1020"/>
        </w:trPr>
        <w:tc>
          <w:tcPr>
            <w:tcW w:w="246" w:type="pct"/>
            <w:tcBorders>
              <w:top w:val="single" w:sz="4" w:space="0" w:color="auto"/>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29</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Substitute pesticides and practices to reduce use of listed pesticides in highway and road maintenance, as well as at vector control districts</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No</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N/A</w:t>
            </w:r>
          </w:p>
        </w:tc>
        <w:tc>
          <w:tcPr>
            <w:tcW w:w="644" w:type="pct"/>
            <w:tcBorders>
              <w:top w:val="single" w:sz="4" w:space="0" w:color="auto"/>
              <w:left w:val="nil"/>
              <w:bottom w:val="single" w:sz="4" w:space="0" w:color="auto"/>
              <w:right w:val="single" w:sz="4" w:space="0" w:color="auto"/>
            </w:tcBorders>
            <w:shd w:val="clear" w:color="auto" w:fill="92D050"/>
            <w:hideMark/>
          </w:tcPr>
          <w:p w:rsidR="001F0131" w:rsidRPr="001F0131" w:rsidRDefault="00087677" w:rsidP="00323B30">
            <w:pPr>
              <w:spacing w:after="0" w:line="240" w:lineRule="auto"/>
              <w:jc w:val="center"/>
              <w:rPr>
                <w:rFonts w:eastAsia="Times New Roman"/>
                <w:color w:val="000000"/>
                <w:sz w:val="20"/>
                <w:szCs w:val="20"/>
              </w:rPr>
            </w:pPr>
            <w:r w:rsidRPr="001F0131">
              <w:rPr>
                <w:rFonts w:eastAsia="Times New Roman"/>
                <w:color w:val="000000"/>
                <w:sz w:val="20"/>
                <w:szCs w:val="20"/>
              </w:rPr>
              <w:t>No - Statutory change is needed</w:t>
            </w:r>
          </w:p>
        </w:tc>
        <w:tc>
          <w:tcPr>
            <w:tcW w:w="819" w:type="pct"/>
            <w:tcBorders>
              <w:top w:val="single" w:sz="4" w:space="0" w:color="auto"/>
              <w:left w:val="nil"/>
              <w:bottom w:val="single" w:sz="4" w:space="0" w:color="auto"/>
              <w:right w:val="single" w:sz="4" w:space="0" w:color="auto"/>
            </w:tcBorders>
            <w:shd w:val="clear" w:color="auto" w:fill="68BF61"/>
            <w:hideMark/>
          </w:tcPr>
          <w:p w:rsidR="001F0131" w:rsidRPr="001F0131" w:rsidRDefault="00BC1C29" w:rsidP="00323B30">
            <w:pPr>
              <w:spacing w:after="0" w:line="240" w:lineRule="auto"/>
              <w:jc w:val="center"/>
              <w:rPr>
                <w:rFonts w:eastAsia="Times New Roman"/>
                <w:b/>
                <w:bCs/>
                <w:color w:val="000000"/>
                <w:sz w:val="20"/>
                <w:szCs w:val="20"/>
              </w:rPr>
            </w:pPr>
            <w:r>
              <w:rPr>
                <w:rFonts w:eastAsia="Times New Roman"/>
                <w:b/>
                <w:bCs/>
                <w:color w:val="000000"/>
                <w:sz w:val="20"/>
                <w:szCs w:val="20"/>
              </w:rPr>
              <w:t>No</w:t>
            </w:r>
            <w:r w:rsidR="00FB22CA">
              <w:rPr>
                <w:rFonts w:eastAsia="Times New Roman"/>
                <w:b/>
                <w:bCs/>
                <w:color w:val="000000"/>
                <w:sz w:val="20"/>
                <w:szCs w:val="20"/>
              </w:rPr>
              <w:t xml:space="preserve"> – No authority</w:t>
            </w:r>
          </w:p>
        </w:tc>
      </w:tr>
      <w:tr w:rsidR="00323B30" w:rsidRPr="001F0131" w:rsidTr="00323B30">
        <w:trPr>
          <w:trHeight w:val="255"/>
        </w:trPr>
        <w:tc>
          <w:tcPr>
            <w:tcW w:w="246" w:type="pct"/>
            <w:tcBorders>
              <w:top w:val="nil"/>
              <w:left w:val="single" w:sz="4" w:space="0" w:color="auto"/>
              <w:bottom w:val="single" w:sz="4" w:space="0" w:color="auto"/>
              <w:right w:val="single" w:sz="4" w:space="0" w:color="auto"/>
            </w:tcBorders>
            <w:shd w:val="clear" w:color="auto" w:fill="D9D9D9"/>
            <w:hideMark/>
          </w:tcPr>
          <w:p w:rsidR="001F0131" w:rsidRPr="00F57E25" w:rsidRDefault="00782167" w:rsidP="00323B30">
            <w:pPr>
              <w:spacing w:after="0" w:line="240" w:lineRule="auto"/>
              <w:jc w:val="center"/>
              <w:rPr>
                <w:rFonts w:eastAsia="Times New Roman"/>
                <w:b/>
                <w:color w:val="000000"/>
                <w:sz w:val="20"/>
                <w:szCs w:val="20"/>
              </w:rPr>
            </w:pPr>
            <w:r w:rsidRPr="00F57E25">
              <w:rPr>
                <w:rFonts w:eastAsia="Times New Roman"/>
                <w:b/>
                <w:color w:val="000000"/>
                <w:sz w:val="20"/>
                <w:szCs w:val="20"/>
              </w:rPr>
              <w:t>#</w:t>
            </w:r>
            <w:r w:rsidR="001F0131" w:rsidRPr="00F57E25">
              <w:rPr>
                <w:rFonts w:eastAsia="Times New Roman"/>
                <w:b/>
                <w:color w:val="000000"/>
                <w:sz w:val="20"/>
                <w:szCs w:val="20"/>
              </w:rPr>
              <w:t>54</w:t>
            </w:r>
          </w:p>
        </w:tc>
        <w:tc>
          <w:tcPr>
            <w:tcW w:w="1286" w:type="pct"/>
            <w:tcBorders>
              <w:top w:val="single" w:sz="4" w:space="0" w:color="auto"/>
              <w:left w:val="nil"/>
              <w:bottom w:val="single" w:sz="4" w:space="0" w:color="auto"/>
              <w:right w:val="single" w:sz="4" w:space="0" w:color="auto"/>
            </w:tcBorders>
            <w:shd w:val="clear" w:color="auto" w:fill="FFFFFF"/>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Accelerate historic abandoned mine clean up</w:t>
            </w:r>
          </w:p>
        </w:tc>
        <w:tc>
          <w:tcPr>
            <w:tcW w:w="552" w:type="pct"/>
            <w:tcBorders>
              <w:top w:val="single" w:sz="4" w:space="0" w:color="auto"/>
              <w:left w:val="nil"/>
              <w:bottom w:val="single" w:sz="4" w:space="0" w:color="auto"/>
              <w:right w:val="single" w:sz="4" w:space="0" w:color="auto"/>
            </w:tcBorders>
            <w:shd w:val="clear" w:color="auto" w:fill="EAF1DD"/>
            <w:hideMark/>
          </w:tcPr>
          <w:p w:rsidR="001F0131" w:rsidRPr="001F0131" w:rsidRDefault="001F0131" w:rsidP="00323B30">
            <w:pPr>
              <w:spacing w:after="0" w:line="240" w:lineRule="auto"/>
              <w:jc w:val="center"/>
              <w:rPr>
                <w:rFonts w:eastAsia="Times New Roman"/>
                <w:color w:val="000000"/>
                <w:sz w:val="20"/>
                <w:szCs w:val="20"/>
              </w:rPr>
            </w:pPr>
            <w:r w:rsidRPr="001F0131">
              <w:rPr>
                <w:rFonts w:eastAsia="Times New Roman"/>
                <w:color w:val="000000"/>
                <w:sz w:val="20"/>
                <w:szCs w:val="20"/>
              </w:rPr>
              <w:t>Yes ORS 468B</w:t>
            </w:r>
          </w:p>
        </w:tc>
        <w:tc>
          <w:tcPr>
            <w:tcW w:w="694" w:type="pct"/>
            <w:tcBorders>
              <w:top w:val="single" w:sz="4" w:space="0" w:color="auto"/>
              <w:left w:val="nil"/>
              <w:bottom w:val="single" w:sz="4" w:space="0" w:color="auto"/>
              <w:right w:val="single" w:sz="4" w:space="0" w:color="auto"/>
            </w:tcBorders>
            <w:shd w:val="clear" w:color="auto" w:fill="D6E3BC"/>
            <w:hideMark/>
          </w:tcPr>
          <w:p w:rsidR="001F0131" w:rsidRPr="001F0131" w:rsidRDefault="006D5ECE" w:rsidP="00323B30">
            <w:pPr>
              <w:spacing w:after="0" w:line="240" w:lineRule="auto"/>
              <w:jc w:val="center"/>
              <w:rPr>
                <w:rFonts w:eastAsia="Times New Roman"/>
                <w:color w:val="000000"/>
                <w:sz w:val="20"/>
                <w:szCs w:val="20"/>
              </w:rPr>
            </w:pPr>
            <w:r>
              <w:rPr>
                <w:rFonts w:eastAsia="Times New Roman"/>
                <w:color w:val="000000"/>
                <w:sz w:val="20"/>
                <w:szCs w:val="20"/>
              </w:rPr>
              <w:t>No</w:t>
            </w:r>
          </w:p>
        </w:tc>
        <w:tc>
          <w:tcPr>
            <w:tcW w:w="760" w:type="pct"/>
            <w:tcBorders>
              <w:top w:val="single" w:sz="4" w:space="0" w:color="auto"/>
              <w:left w:val="nil"/>
              <w:bottom w:val="single" w:sz="4" w:space="0" w:color="auto"/>
              <w:right w:val="single" w:sz="4" w:space="0" w:color="auto"/>
            </w:tcBorders>
            <w:shd w:val="clear" w:color="auto" w:fill="D6E3BC"/>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N/A</w:t>
            </w:r>
          </w:p>
        </w:tc>
        <w:tc>
          <w:tcPr>
            <w:tcW w:w="644" w:type="pct"/>
            <w:tcBorders>
              <w:top w:val="nil"/>
              <w:left w:val="nil"/>
              <w:bottom w:val="single" w:sz="4" w:space="0" w:color="auto"/>
              <w:right w:val="single" w:sz="4" w:space="0" w:color="auto"/>
            </w:tcBorders>
            <w:shd w:val="clear" w:color="auto" w:fill="92D050"/>
            <w:hideMark/>
          </w:tcPr>
          <w:p w:rsidR="001F0131" w:rsidRPr="001F0131" w:rsidRDefault="00087677" w:rsidP="00323B30">
            <w:pPr>
              <w:spacing w:after="0" w:line="240" w:lineRule="auto"/>
              <w:jc w:val="center"/>
              <w:rPr>
                <w:rFonts w:eastAsia="Times New Roman"/>
                <w:color w:val="000000"/>
                <w:sz w:val="20"/>
                <w:szCs w:val="20"/>
              </w:rPr>
            </w:pPr>
            <w:r>
              <w:rPr>
                <w:rFonts w:eastAsia="Times New Roman"/>
                <w:color w:val="000000"/>
                <w:sz w:val="20"/>
                <w:szCs w:val="20"/>
              </w:rPr>
              <w:t>No</w:t>
            </w:r>
          </w:p>
        </w:tc>
        <w:tc>
          <w:tcPr>
            <w:tcW w:w="819" w:type="pct"/>
            <w:tcBorders>
              <w:top w:val="nil"/>
              <w:left w:val="nil"/>
              <w:bottom w:val="single" w:sz="4" w:space="0" w:color="auto"/>
              <w:right w:val="single" w:sz="4" w:space="0" w:color="auto"/>
            </w:tcBorders>
            <w:shd w:val="clear" w:color="auto" w:fill="68BF61"/>
            <w:hideMark/>
          </w:tcPr>
          <w:p w:rsidR="001F0131" w:rsidRPr="001F0131" w:rsidRDefault="00B14017" w:rsidP="00323B30">
            <w:pPr>
              <w:spacing w:after="0" w:line="240" w:lineRule="auto"/>
              <w:jc w:val="center"/>
              <w:rPr>
                <w:rFonts w:eastAsia="Times New Roman"/>
                <w:b/>
                <w:bCs/>
                <w:color w:val="000000"/>
                <w:sz w:val="20"/>
                <w:szCs w:val="20"/>
              </w:rPr>
            </w:pPr>
            <w:r>
              <w:rPr>
                <w:rFonts w:eastAsia="Times New Roman"/>
                <w:b/>
                <w:bCs/>
                <w:color w:val="000000"/>
                <w:sz w:val="20"/>
                <w:szCs w:val="20"/>
              </w:rPr>
              <w:t>No</w:t>
            </w:r>
            <w:r w:rsidR="00FB22CA">
              <w:rPr>
                <w:rFonts w:eastAsia="Times New Roman"/>
                <w:b/>
                <w:bCs/>
                <w:color w:val="000000"/>
                <w:sz w:val="20"/>
                <w:szCs w:val="20"/>
              </w:rPr>
              <w:t xml:space="preserve"> – No funding</w:t>
            </w:r>
          </w:p>
        </w:tc>
      </w:tr>
    </w:tbl>
    <w:p w:rsidR="001F0131" w:rsidRPr="009221DE" w:rsidRDefault="001F0131" w:rsidP="004A1D2D">
      <w:pPr>
        <w:spacing w:after="0"/>
        <w:rPr>
          <w:sz w:val="24"/>
          <w:szCs w:val="24"/>
        </w:rPr>
      </w:pPr>
    </w:p>
    <w:sectPr w:rsidR="001F0131" w:rsidRPr="009221DE" w:rsidSect="00323B30">
      <w:headerReference w:type="default"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9B4" w:rsidRDefault="00F909B4" w:rsidP="003071ED">
      <w:pPr>
        <w:spacing w:after="0" w:line="240" w:lineRule="auto"/>
      </w:pPr>
      <w:r>
        <w:separator/>
      </w:r>
    </w:p>
  </w:endnote>
  <w:endnote w:type="continuationSeparator" w:id="0">
    <w:p w:rsidR="00F909B4" w:rsidRDefault="00F909B4" w:rsidP="00307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B4" w:rsidRDefault="00434C24">
    <w:pPr>
      <w:pStyle w:val="Footer"/>
      <w:jc w:val="center"/>
    </w:pPr>
    <w:fldSimple w:instr=" PAGE   \* MERGEFORMAT ">
      <w:r w:rsidR="00537BFE">
        <w:rPr>
          <w:noProof/>
        </w:rPr>
        <w:t>5</w:t>
      </w:r>
    </w:fldSimple>
  </w:p>
  <w:p w:rsidR="00F909B4" w:rsidRDefault="00F90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B4" w:rsidRDefault="00434C24">
    <w:pPr>
      <w:pStyle w:val="Footer"/>
      <w:jc w:val="center"/>
    </w:pPr>
    <w:fldSimple w:instr=" PAGE   \* MERGEFORMAT ">
      <w:r w:rsidR="00537BFE">
        <w:rPr>
          <w:noProof/>
        </w:rPr>
        <w:t>7</w:t>
      </w:r>
    </w:fldSimple>
  </w:p>
  <w:p w:rsidR="00F909B4" w:rsidRDefault="00F90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9B4" w:rsidRDefault="00F909B4" w:rsidP="003071ED">
      <w:pPr>
        <w:spacing w:after="0" w:line="240" w:lineRule="auto"/>
      </w:pPr>
      <w:r>
        <w:separator/>
      </w:r>
    </w:p>
  </w:footnote>
  <w:footnote w:type="continuationSeparator" w:id="0">
    <w:p w:rsidR="00F909B4" w:rsidRDefault="00F909B4" w:rsidP="00307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B4" w:rsidRDefault="00F909B4">
    <w:pPr>
      <w:pStyle w:val="Header"/>
      <w:jc w:val="center"/>
    </w:pPr>
    <w:r>
      <w:t>Final May 13, 2010</w:t>
    </w:r>
  </w:p>
  <w:p w:rsidR="00F909B4" w:rsidRDefault="00F909B4">
    <w:pPr>
      <w:pStyle w:val="Header"/>
      <w:jc w:val="center"/>
    </w:pPr>
  </w:p>
  <w:p w:rsidR="00F909B4" w:rsidRDefault="00F909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B4" w:rsidRDefault="00F909B4">
    <w:pPr>
      <w:pStyle w:val="Header"/>
      <w:jc w:val="center"/>
    </w:pPr>
    <w:r>
      <w:t>Final May 13, 2010</w:t>
    </w:r>
  </w:p>
  <w:p w:rsidR="00F909B4" w:rsidRDefault="00F909B4">
    <w:pPr>
      <w:pStyle w:val="Header"/>
      <w:jc w:val="center"/>
    </w:pPr>
  </w:p>
  <w:p w:rsidR="00F909B4" w:rsidRDefault="00F909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6FE"/>
    <w:multiLevelType w:val="hybridMultilevel"/>
    <w:tmpl w:val="47F4AC78"/>
    <w:lvl w:ilvl="0" w:tplc="19345D2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05BA7"/>
    <w:multiLevelType w:val="hybridMultilevel"/>
    <w:tmpl w:val="D67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83270"/>
    <w:multiLevelType w:val="hybridMultilevel"/>
    <w:tmpl w:val="676ADEC8"/>
    <w:lvl w:ilvl="0" w:tplc="ACE41C5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F4149"/>
    <w:multiLevelType w:val="hybridMultilevel"/>
    <w:tmpl w:val="C4AA21B6"/>
    <w:lvl w:ilvl="0" w:tplc="5844A9F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1794B"/>
    <w:multiLevelType w:val="hybridMultilevel"/>
    <w:tmpl w:val="270C4460"/>
    <w:lvl w:ilvl="0" w:tplc="789A30F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F70F2"/>
    <w:multiLevelType w:val="hybridMultilevel"/>
    <w:tmpl w:val="A5BA70A6"/>
    <w:lvl w:ilvl="0" w:tplc="AFEC68C2">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01B9B"/>
    <w:multiLevelType w:val="hybridMultilevel"/>
    <w:tmpl w:val="9276401A"/>
    <w:lvl w:ilvl="0" w:tplc="C0A4EE16">
      <w:start w:val="3"/>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7E4799"/>
    <w:multiLevelType w:val="hybridMultilevel"/>
    <w:tmpl w:val="1B34DAD6"/>
    <w:lvl w:ilvl="0" w:tplc="8AD20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E34E2"/>
    <w:multiLevelType w:val="hybridMultilevel"/>
    <w:tmpl w:val="FAF05790"/>
    <w:lvl w:ilvl="0" w:tplc="C8ECC05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061D2"/>
    <w:multiLevelType w:val="hybridMultilevel"/>
    <w:tmpl w:val="FC6ECF8E"/>
    <w:lvl w:ilvl="0" w:tplc="9E70DB58">
      <w:start w:val="1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A4A20"/>
    <w:multiLevelType w:val="hybridMultilevel"/>
    <w:tmpl w:val="051C7062"/>
    <w:lvl w:ilvl="0" w:tplc="C0A4EE1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A0BED"/>
    <w:multiLevelType w:val="hybridMultilevel"/>
    <w:tmpl w:val="7C52C022"/>
    <w:lvl w:ilvl="0" w:tplc="4CEA3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771F9"/>
    <w:multiLevelType w:val="hybridMultilevel"/>
    <w:tmpl w:val="64C4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C6A2A"/>
    <w:multiLevelType w:val="hybridMultilevel"/>
    <w:tmpl w:val="46FCBF5A"/>
    <w:lvl w:ilvl="0" w:tplc="88ACD6E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B79C1"/>
    <w:multiLevelType w:val="hybridMultilevel"/>
    <w:tmpl w:val="49D00C12"/>
    <w:lvl w:ilvl="0" w:tplc="B71C631C">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D14EB7"/>
    <w:multiLevelType w:val="hybridMultilevel"/>
    <w:tmpl w:val="0AE2CAF6"/>
    <w:lvl w:ilvl="0" w:tplc="F5C8A35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D1263C"/>
    <w:multiLevelType w:val="hybridMultilevel"/>
    <w:tmpl w:val="F3DA8044"/>
    <w:lvl w:ilvl="0" w:tplc="15F486C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427395"/>
    <w:multiLevelType w:val="hybridMultilevel"/>
    <w:tmpl w:val="7FA08EC0"/>
    <w:lvl w:ilvl="0" w:tplc="51C6853A">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B45AA"/>
    <w:multiLevelType w:val="hybridMultilevel"/>
    <w:tmpl w:val="1F1E214E"/>
    <w:lvl w:ilvl="0" w:tplc="C0A4EE1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9B696A"/>
    <w:multiLevelType w:val="hybridMultilevel"/>
    <w:tmpl w:val="963611B6"/>
    <w:lvl w:ilvl="0" w:tplc="40B861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F58C4"/>
    <w:multiLevelType w:val="hybridMultilevel"/>
    <w:tmpl w:val="64EAE514"/>
    <w:lvl w:ilvl="0" w:tplc="C778FAF8">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563F4"/>
    <w:multiLevelType w:val="hybridMultilevel"/>
    <w:tmpl w:val="697C1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91029"/>
    <w:multiLevelType w:val="hybridMultilevel"/>
    <w:tmpl w:val="59F44160"/>
    <w:lvl w:ilvl="0" w:tplc="28C2F954">
      <w:start w:val="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B2ECA"/>
    <w:multiLevelType w:val="hybridMultilevel"/>
    <w:tmpl w:val="635EA1D8"/>
    <w:lvl w:ilvl="0" w:tplc="17FA110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27CE9"/>
    <w:multiLevelType w:val="hybridMultilevel"/>
    <w:tmpl w:val="98B03820"/>
    <w:lvl w:ilvl="0" w:tplc="BD88A4FA">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EC31B9"/>
    <w:multiLevelType w:val="hybridMultilevel"/>
    <w:tmpl w:val="8A9E615E"/>
    <w:lvl w:ilvl="0" w:tplc="79948C7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A1B10"/>
    <w:multiLevelType w:val="hybridMultilevel"/>
    <w:tmpl w:val="BF745970"/>
    <w:lvl w:ilvl="0" w:tplc="FCB8C41A">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771D1"/>
    <w:multiLevelType w:val="hybridMultilevel"/>
    <w:tmpl w:val="391A1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382D33"/>
    <w:multiLevelType w:val="hybridMultilevel"/>
    <w:tmpl w:val="614035D2"/>
    <w:lvl w:ilvl="0" w:tplc="532E76D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934A2"/>
    <w:multiLevelType w:val="hybridMultilevel"/>
    <w:tmpl w:val="D6365DF2"/>
    <w:lvl w:ilvl="0" w:tplc="01265CAC">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1E0265"/>
    <w:multiLevelType w:val="hybridMultilevel"/>
    <w:tmpl w:val="E8A236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472F31"/>
    <w:multiLevelType w:val="hybridMultilevel"/>
    <w:tmpl w:val="63D42744"/>
    <w:lvl w:ilvl="0" w:tplc="E2D83378">
      <w:start w:val="1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71BDB"/>
    <w:multiLevelType w:val="hybridMultilevel"/>
    <w:tmpl w:val="B502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F918B5"/>
    <w:multiLevelType w:val="hybridMultilevel"/>
    <w:tmpl w:val="729C3A6E"/>
    <w:lvl w:ilvl="0" w:tplc="C0A4EE1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334DF"/>
    <w:multiLevelType w:val="hybridMultilevel"/>
    <w:tmpl w:val="2D208070"/>
    <w:lvl w:ilvl="0" w:tplc="0272384A">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47156"/>
    <w:multiLevelType w:val="hybridMultilevel"/>
    <w:tmpl w:val="5A7C9DC6"/>
    <w:lvl w:ilvl="0" w:tplc="C0A4EE1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7B75F0"/>
    <w:multiLevelType w:val="hybridMultilevel"/>
    <w:tmpl w:val="8B56FE90"/>
    <w:lvl w:ilvl="0" w:tplc="6F98808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346EF1"/>
    <w:multiLevelType w:val="hybridMultilevel"/>
    <w:tmpl w:val="CFD4AC5E"/>
    <w:lvl w:ilvl="0" w:tplc="DDB28514">
      <w:start w:val="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B40B7A"/>
    <w:multiLevelType w:val="hybridMultilevel"/>
    <w:tmpl w:val="F30232BA"/>
    <w:lvl w:ilvl="0" w:tplc="C82272C2">
      <w:start w:val="1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6A3523"/>
    <w:multiLevelType w:val="hybridMultilevel"/>
    <w:tmpl w:val="FF18BE88"/>
    <w:lvl w:ilvl="0" w:tplc="FC34F1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C2511"/>
    <w:multiLevelType w:val="hybridMultilevel"/>
    <w:tmpl w:val="67F49170"/>
    <w:lvl w:ilvl="0" w:tplc="BAE431C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16"/>
  </w:num>
  <w:num w:numId="4">
    <w:abstractNumId w:val="36"/>
  </w:num>
  <w:num w:numId="5">
    <w:abstractNumId w:val="4"/>
  </w:num>
  <w:num w:numId="6">
    <w:abstractNumId w:val="2"/>
  </w:num>
  <w:num w:numId="7">
    <w:abstractNumId w:val="0"/>
  </w:num>
  <w:num w:numId="8">
    <w:abstractNumId w:val="20"/>
  </w:num>
  <w:num w:numId="9">
    <w:abstractNumId w:val="32"/>
  </w:num>
  <w:num w:numId="10">
    <w:abstractNumId w:val="7"/>
  </w:num>
  <w:num w:numId="11">
    <w:abstractNumId w:val="35"/>
  </w:num>
  <w:num w:numId="12">
    <w:abstractNumId w:val="10"/>
  </w:num>
  <w:num w:numId="13">
    <w:abstractNumId w:val="33"/>
  </w:num>
  <w:num w:numId="14">
    <w:abstractNumId w:val="39"/>
  </w:num>
  <w:num w:numId="15">
    <w:abstractNumId w:val="19"/>
  </w:num>
  <w:num w:numId="16">
    <w:abstractNumId w:val="40"/>
  </w:num>
  <w:num w:numId="17">
    <w:abstractNumId w:val="28"/>
  </w:num>
  <w:num w:numId="18">
    <w:abstractNumId w:val="11"/>
  </w:num>
  <w:num w:numId="19">
    <w:abstractNumId w:val="8"/>
  </w:num>
  <w:num w:numId="20">
    <w:abstractNumId w:val="13"/>
  </w:num>
  <w:num w:numId="21">
    <w:abstractNumId w:val="37"/>
  </w:num>
  <w:num w:numId="22">
    <w:abstractNumId w:val="6"/>
  </w:num>
  <w:num w:numId="23">
    <w:abstractNumId w:val="23"/>
  </w:num>
  <w:num w:numId="24">
    <w:abstractNumId w:val="34"/>
  </w:num>
  <w:num w:numId="25">
    <w:abstractNumId w:val="18"/>
  </w:num>
  <w:num w:numId="26">
    <w:abstractNumId w:val="5"/>
  </w:num>
  <w:num w:numId="27">
    <w:abstractNumId w:val="9"/>
  </w:num>
  <w:num w:numId="28">
    <w:abstractNumId w:val="14"/>
  </w:num>
  <w:num w:numId="29">
    <w:abstractNumId w:val="26"/>
  </w:num>
  <w:num w:numId="30">
    <w:abstractNumId w:val="25"/>
  </w:num>
  <w:num w:numId="31">
    <w:abstractNumId w:val="22"/>
  </w:num>
  <w:num w:numId="32">
    <w:abstractNumId w:val="15"/>
  </w:num>
  <w:num w:numId="33">
    <w:abstractNumId w:val="3"/>
  </w:num>
  <w:num w:numId="34">
    <w:abstractNumId w:val="38"/>
  </w:num>
  <w:num w:numId="35">
    <w:abstractNumId w:val="31"/>
  </w:num>
  <w:num w:numId="36">
    <w:abstractNumId w:val="24"/>
  </w:num>
  <w:num w:numId="37">
    <w:abstractNumId w:val="29"/>
  </w:num>
  <w:num w:numId="38">
    <w:abstractNumId w:val="21"/>
  </w:num>
  <w:num w:numId="39">
    <w:abstractNumId w:val="12"/>
  </w:num>
  <w:num w:numId="40">
    <w:abstractNumId w:val="1"/>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85AE5"/>
    <w:rsid w:val="00023AF8"/>
    <w:rsid w:val="00041952"/>
    <w:rsid w:val="000604FB"/>
    <w:rsid w:val="00060587"/>
    <w:rsid w:val="00063801"/>
    <w:rsid w:val="000646AF"/>
    <w:rsid w:val="000819C7"/>
    <w:rsid w:val="00084564"/>
    <w:rsid w:val="00085AE5"/>
    <w:rsid w:val="00087677"/>
    <w:rsid w:val="0009187C"/>
    <w:rsid w:val="000D1F79"/>
    <w:rsid w:val="000F775F"/>
    <w:rsid w:val="00122D68"/>
    <w:rsid w:val="00141C5D"/>
    <w:rsid w:val="0015142A"/>
    <w:rsid w:val="00177A19"/>
    <w:rsid w:val="001879A0"/>
    <w:rsid w:val="001A10E0"/>
    <w:rsid w:val="001A60CD"/>
    <w:rsid w:val="001F0131"/>
    <w:rsid w:val="001F7F44"/>
    <w:rsid w:val="002001B6"/>
    <w:rsid w:val="00275E76"/>
    <w:rsid w:val="002858DC"/>
    <w:rsid w:val="002917EC"/>
    <w:rsid w:val="002965A1"/>
    <w:rsid w:val="002B1362"/>
    <w:rsid w:val="002B27F9"/>
    <w:rsid w:val="002C11DD"/>
    <w:rsid w:val="002C55BF"/>
    <w:rsid w:val="00304AE1"/>
    <w:rsid w:val="003071ED"/>
    <w:rsid w:val="003164F8"/>
    <w:rsid w:val="0031792D"/>
    <w:rsid w:val="00323B30"/>
    <w:rsid w:val="00325CA6"/>
    <w:rsid w:val="00333AC1"/>
    <w:rsid w:val="00352086"/>
    <w:rsid w:val="00391EB6"/>
    <w:rsid w:val="003D1BF3"/>
    <w:rsid w:val="004028A8"/>
    <w:rsid w:val="004248ED"/>
    <w:rsid w:val="004331BB"/>
    <w:rsid w:val="00434C24"/>
    <w:rsid w:val="00436E44"/>
    <w:rsid w:val="00441BE5"/>
    <w:rsid w:val="004715FC"/>
    <w:rsid w:val="004A1D2D"/>
    <w:rsid w:val="004C1F16"/>
    <w:rsid w:val="004D197A"/>
    <w:rsid w:val="004E3E6E"/>
    <w:rsid w:val="004F5E9A"/>
    <w:rsid w:val="00523D80"/>
    <w:rsid w:val="00537BFE"/>
    <w:rsid w:val="00543F33"/>
    <w:rsid w:val="0054630C"/>
    <w:rsid w:val="00555453"/>
    <w:rsid w:val="00565100"/>
    <w:rsid w:val="0058504A"/>
    <w:rsid w:val="005A25B0"/>
    <w:rsid w:val="005A307B"/>
    <w:rsid w:val="005B69C4"/>
    <w:rsid w:val="005C05C7"/>
    <w:rsid w:val="005E25C0"/>
    <w:rsid w:val="00626975"/>
    <w:rsid w:val="00627541"/>
    <w:rsid w:val="00631A59"/>
    <w:rsid w:val="00632460"/>
    <w:rsid w:val="00637D1B"/>
    <w:rsid w:val="00652AA4"/>
    <w:rsid w:val="0068451B"/>
    <w:rsid w:val="006A6BCD"/>
    <w:rsid w:val="006B3FED"/>
    <w:rsid w:val="006C5CB1"/>
    <w:rsid w:val="006D4135"/>
    <w:rsid w:val="006D5ECE"/>
    <w:rsid w:val="0070650E"/>
    <w:rsid w:val="00731DF8"/>
    <w:rsid w:val="007429AF"/>
    <w:rsid w:val="00764970"/>
    <w:rsid w:val="0077693A"/>
    <w:rsid w:val="00782167"/>
    <w:rsid w:val="00791FA8"/>
    <w:rsid w:val="00793F19"/>
    <w:rsid w:val="0079705C"/>
    <w:rsid w:val="007C4C08"/>
    <w:rsid w:val="007D1FCF"/>
    <w:rsid w:val="00812505"/>
    <w:rsid w:val="008139CB"/>
    <w:rsid w:val="0085795F"/>
    <w:rsid w:val="008700BE"/>
    <w:rsid w:val="0087258E"/>
    <w:rsid w:val="008B2080"/>
    <w:rsid w:val="008B2CD2"/>
    <w:rsid w:val="008C17A9"/>
    <w:rsid w:val="008E53BB"/>
    <w:rsid w:val="0092098F"/>
    <w:rsid w:val="009221DE"/>
    <w:rsid w:val="00932AFF"/>
    <w:rsid w:val="00952D35"/>
    <w:rsid w:val="009563E2"/>
    <w:rsid w:val="00956EBE"/>
    <w:rsid w:val="00962DEF"/>
    <w:rsid w:val="009722B1"/>
    <w:rsid w:val="0099540E"/>
    <w:rsid w:val="009D4DCF"/>
    <w:rsid w:val="009E7925"/>
    <w:rsid w:val="009F785C"/>
    <w:rsid w:val="00A0072A"/>
    <w:rsid w:val="00A00EA3"/>
    <w:rsid w:val="00A038DD"/>
    <w:rsid w:val="00A04092"/>
    <w:rsid w:val="00A2158F"/>
    <w:rsid w:val="00A35B1C"/>
    <w:rsid w:val="00A378E9"/>
    <w:rsid w:val="00A65CAB"/>
    <w:rsid w:val="00A7400C"/>
    <w:rsid w:val="00A7622D"/>
    <w:rsid w:val="00AD0DFC"/>
    <w:rsid w:val="00AD2091"/>
    <w:rsid w:val="00AD2D8A"/>
    <w:rsid w:val="00AD6BF8"/>
    <w:rsid w:val="00B057B3"/>
    <w:rsid w:val="00B107A0"/>
    <w:rsid w:val="00B14017"/>
    <w:rsid w:val="00B26DA0"/>
    <w:rsid w:val="00B3173F"/>
    <w:rsid w:val="00B35396"/>
    <w:rsid w:val="00B54CE6"/>
    <w:rsid w:val="00B67CC3"/>
    <w:rsid w:val="00BC1C29"/>
    <w:rsid w:val="00BE32F4"/>
    <w:rsid w:val="00C1314D"/>
    <w:rsid w:val="00C15BF0"/>
    <w:rsid w:val="00C51FD5"/>
    <w:rsid w:val="00C543AE"/>
    <w:rsid w:val="00C56E19"/>
    <w:rsid w:val="00C70CDB"/>
    <w:rsid w:val="00CA4C29"/>
    <w:rsid w:val="00CB202A"/>
    <w:rsid w:val="00CC0AA0"/>
    <w:rsid w:val="00CE535B"/>
    <w:rsid w:val="00CF1A3C"/>
    <w:rsid w:val="00CF2B73"/>
    <w:rsid w:val="00D030B9"/>
    <w:rsid w:val="00D241FD"/>
    <w:rsid w:val="00D357DB"/>
    <w:rsid w:val="00D46F92"/>
    <w:rsid w:val="00D478DF"/>
    <w:rsid w:val="00D645A5"/>
    <w:rsid w:val="00D72CAA"/>
    <w:rsid w:val="00D83AA0"/>
    <w:rsid w:val="00DA0CF3"/>
    <w:rsid w:val="00DA24D1"/>
    <w:rsid w:val="00DA2BE7"/>
    <w:rsid w:val="00DC48CA"/>
    <w:rsid w:val="00DF4DCD"/>
    <w:rsid w:val="00E02700"/>
    <w:rsid w:val="00E05B2B"/>
    <w:rsid w:val="00E262C1"/>
    <w:rsid w:val="00E42727"/>
    <w:rsid w:val="00E47FDB"/>
    <w:rsid w:val="00EA28A6"/>
    <w:rsid w:val="00EB749B"/>
    <w:rsid w:val="00EC47DA"/>
    <w:rsid w:val="00EE0D86"/>
    <w:rsid w:val="00F50686"/>
    <w:rsid w:val="00F57E25"/>
    <w:rsid w:val="00F619E4"/>
    <w:rsid w:val="00F66D15"/>
    <w:rsid w:val="00F77B2F"/>
    <w:rsid w:val="00F909B4"/>
    <w:rsid w:val="00FB22CA"/>
    <w:rsid w:val="00FC466B"/>
    <w:rsid w:val="00FE3F17"/>
    <w:rsid w:val="00FF7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pPr>
      <w:spacing w:after="200" w:line="276" w:lineRule="auto"/>
    </w:pPr>
    <w:rPr>
      <w:sz w:val="22"/>
      <w:szCs w:val="22"/>
    </w:rPr>
  </w:style>
  <w:style w:type="paragraph" w:styleId="Heading2">
    <w:name w:val="heading 2"/>
    <w:basedOn w:val="Normal"/>
    <w:next w:val="Normal"/>
    <w:link w:val="Heading2Char"/>
    <w:unhideWhenUsed/>
    <w:qFormat/>
    <w:locked/>
    <w:rsid w:val="0031792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31792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locked/>
    <w:rsid w:val="008E53BB"/>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locked/>
    <w:rsid w:val="00D83AA0"/>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0686"/>
    <w:pPr>
      <w:ind w:left="720"/>
      <w:contextualSpacing/>
    </w:pPr>
  </w:style>
  <w:style w:type="paragraph" w:styleId="BalloonText">
    <w:name w:val="Balloon Text"/>
    <w:basedOn w:val="Normal"/>
    <w:link w:val="BalloonTextChar"/>
    <w:uiPriority w:val="99"/>
    <w:semiHidden/>
    <w:rsid w:val="00151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142A"/>
    <w:rPr>
      <w:rFonts w:ascii="Tahoma" w:hAnsi="Tahoma" w:cs="Tahoma"/>
      <w:sz w:val="16"/>
      <w:szCs w:val="16"/>
    </w:rPr>
  </w:style>
  <w:style w:type="paragraph" w:styleId="Header">
    <w:name w:val="header"/>
    <w:basedOn w:val="Normal"/>
    <w:link w:val="HeaderChar"/>
    <w:uiPriority w:val="99"/>
    <w:rsid w:val="003071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071ED"/>
    <w:rPr>
      <w:rFonts w:cs="Times New Roman"/>
    </w:rPr>
  </w:style>
  <w:style w:type="paragraph" w:styleId="Footer">
    <w:name w:val="footer"/>
    <w:basedOn w:val="Normal"/>
    <w:link w:val="FooterChar"/>
    <w:uiPriority w:val="99"/>
    <w:rsid w:val="003071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071ED"/>
    <w:rPr>
      <w:rFonts w:cs="Times New Roman"/>
    </w:rPr>
  </w:style>
  <w:style w:type="character" w:styleId="CommentReference">
    <w:name w:val="annotation reference"/>
    <w:basedOn w:val="DefaultParagraphFont"/>
    <w:uiPriority w:val="99"/>
    <w:semiHidden/>
    <w:rsid w:val="00CA4C29"/>
    <w:rPr>
      <w:rFonts w:cs="Times New Roman"/>
      <w:sz w:val="16"/>
      <w:szCs w:val="16"/>
    </w:rPr>
  </w:style>
  <w:style w:type="paragraph" w:styleId="CommentText">
    <w:name w:val="annotation text"/>
    <w:basedOn w:val="Normal"/>
    <w:link w:val="CommentTextChar"/>
    <w:uiPriority w:val="99"/>
    <w:semiHidden/>
    <w:rsid w:val="00CA4C29"/>
    <w:rPr>
      <w:sz w:val="20"/>
      <w:szCs w:val="20"/>
    </w:rPr>
  </w:style>
  <w:style w:type="character" w:customStyle="1" w:styleId="CommentTextChar">
    <w:name w:val="Comment Text Char"/>
    <w:basedOn w:val="DefaultParagraphFont"/>
    <w:link w:val="CommentText"/>
    <w:uiPriority w:val="99"/>
    <w:semiHidden/>
    <w:rsid w:val="00506726"/>
    <w:rPr>
      <w:sz w:val="20"/>
      <w:szCs w:val="20"/>
    </w:rPr>
  </w:style>
  <w:style w:type="paragraph" w:styleId="CommentSubject">
    <w:name w:val="annotation subject"/>
    <w:basedOn w:val="CommentText"/>
    <w:next w:val="CommentText"/>
    <w:link w:val="CommentSubjectChar"/>
    <w:uiPriority w:val="99"/>
    <w:semiHidden/>
    <w:rsid w:val="00CA4C29"/>
    <w:rPr>
      <w:b/>
      <w:bCs/>
    </w:rPr>
  </w:style>
  <w:style w:type="character" w:customStyle="1" w:styleId="CommentSubjectChar">
    <w:name w:val="Comment Subject Char"/>
    <w:basedOn w:val="CommentTextChar"/>
    <w:link w:val="CommentSubject"/>
    <w:uiPriority w:val="99"/>
    <w:semiHidden/>
    <w:rsid w:val="00506726"/>
    <w:rPr>
      <w:b/>
      <w:bCs/>
    </w:rPr>
  </w:style>
  <w:style w:type="character" w:customStyle="1" w:styleId="Heading2Char">
    <w:name w:val="Heading 2 Char"/>
    <w:basedOn w:val="DefaultParagraphFont"/>
    <w:link w:val="Heading2"/>
    <w:rsid w:val="0031792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1792D"/>
    <w:rPr>
      <w:rFonts w:ascii="Cambria" w:eastAsia="Times New Roman" w:hAnsi="Cambria" w:cs="Times New Roman"/>
      <w:b/>
      <w:bCs/>
      <w:color w:val="4F81BD"/>
    </w:rPr>
  </w:style>
  <w:style w:type="character" w:customStyle="1" w:styleId="Heading4Char">
    <w:name w:val="Heading 4 Char"/>
    <w:basedOn w:val="DefaultParagraphFont"/>
    <w:link w:val="Heading4"/>
    <w:rsid w:val="008E53BB"/>
    <w:rPr>
      <w:rFonts w:ascii="Cambria" w:eastAsia="Times New Roman" w:hAnsi="Cambria" w:cs="Times New Roman"/>
      <w:b/>
      <w:bCs/>
      <w:i/>
      <w:iCs/>
      <w:color w:val="4F81BD"/>
    </w:rPr>
  </w:style>
  <w:style w:type="character" w:customStyle="1" w:styleId="Heading5Char">
    <w:name w:val="Heading 5 Char"/>
    <w:basedOn w:val="DefaultParagraphFont"/>
    <w:link w:val="Heading5"/>
    <w:rsid w:val="00D83AA0"/>
    <w:rPr>
      <w:rFonts w:ascii="Cambria" w:eastAsia="Times New Roman" w:hAnsi="Cambria" w:cs="Times New Roman"/>
      <w:color w:val="243F60"/>
    </w:rPr>
  </w:style>
  <w:style w:type="character" w:styleId="Strong">
    <w:name w:val="Strong"/>
    <w:basedOn w:val="DefaultParagraphFont"/>
    <w:qFormat/>
    <w:locked/>
    <w:rsid w:val="00275E76"/>
    <w:rPr>
      <w:b/>
      <w:bCs/>
    </w:rPr>
  </w:style>
  <w:style w:type="paragraph" w:styleId="Revision">
    <w:name w:val="Revision"/>
    <w:hidden/>
    <w:uiPriority w:val="99"/>
    <w:semiHidden/>
    <w:rsid w:val="007D1FCF"/>
    <w:rPr>
      <w:sz w:val="22"/>
      <w:szCs w:val="22"/>
    </w:rPr>
  </w:style>
</w:styles>
</file>

<file path=word/webSettings.xml><?xml version="1.0" encoding="utf-8"?>
<w:webSettings xmlns:r="http://schemas.openxmlformats.org/officeDocument/2006/relationships" xmlns:w="http://schemas.openxmlformats.org/wordprocessingml/2006/main">
  <w:divs>
    <w:div w:id="56050761">
      <w:bodyDiv w:val="1"/>
      <w:marLeft w:val="0"/>
      <w:marRight w:val="0"/>
      <w:marTop w:val="0"/>
      <w:marBottom w:val="0"/>
      <w:divBdr>
        <w:top w:val="none" w:sz="0" w:space="0" w:color="auto"/>
        <w:left w:val="none" w:sz="0" w:space="0" w:color="auto"/>
        <w:bottom w:val="none" w:sz="0" w:space="0" w:color="auto"/>
        <w:right w:val="none" w:sz="0" w:space="0" w:color="auto"/>
      </w:divBdr>
    </w:div>
    <w:div w:id="466045239">
      <w:bodyDiv w:val="1"/>
      <w:marLeft w:val="0"/>
      <w:marRight w:val="0"/>
      <w:marTop w:val="0"/>
      <w:marBottom w:val="0"/>
      <w:divBdr>
        <w:top w:val="none" w:sz="0" w:space="0" w:color="auto"/>
        <w:left w:val="none" w:sz="0" w:space="0" w:color="auto"/>
        <w:bottom w:val="none" w:sz="0" w:space="0" w:color="auto"/>
        <w:right w:val="none" w:sz="0" w:space="0" w:color="auto"/>
      </w:divBdr>
    </w:div>
    <w:div w:id="662439750">
      <w:bodyDiv w:val="1"/>
      <w:marLeft w:val="0"/>
      <w:marRight w:val="0"/>
      <w:marTop w:val="0"/>
      <w:marBottom w:val="0"/>
      <w:divBdr>
        <w:top w:val="none" w:sz="0" w:space="0" w:color="auto"/>
        <w:left w:val="none" w:sz="0" w:space="0" w:color="auto"/>
        <w:bottom w:val="none" w:sz="0" w:space="0" w:color="auto"/>
        <w:right w:val="none" w:sz="0" w:space="0" w:color="auto"/>
      </w:divBdr>
    </w:div>
    <w:div w:id="840269804">
      <w:bodyDiv w:val="1"/>
      <w:marLeft w:val="0"/>
      <w:marRight w:val="0"/>
      <w:marTop w:val="0"/>
      <w:marBottom w:val="0"/>
      <w:divBdr>
        <w:top w:val="none" w:sz="0" w:space="0" w:color="auto"/>
        <w:left w:val="none" w:sz="0" w:space="0" w:color="auto"/>
        <w:bottom w:val="none" w:sz="0" w:space="0" w:color="auto"/>
        <w:right w:val="none" w:sz="0" w:space="0" w:color="auto"/>
      </w:divBdr>
    </w:div>
    <w:div w:id="14853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2604</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Scoping Evaluation for non-NPDES Elements of Water Quality Toxics Rulemaking</vt:lpstr>
    </vt:vector>
  </TitlesOfParts>
  <Company>State of Oregon Department of Environmental Quality</Company>
  <LinksUpToDate>false</LinksUpToDate>
  <CharactersWithSpaces>16836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Evaluation for non-NPDES Elements of Water Quality Toxics Rulemaking</dc:title>
  <dc:subject/>
  <dc:creator>debra sturdevant</dc:creator>
  <cp:keywords/>
  <dc:description/>
  <cp:lastModifiedBy>koto kishida</cp:lastModifiedBy>
  <cp:revision>2</cp:revision>
  <cp:lastPrinted>2010-05-13T19:15:00Z</cp:lastPrinted>
  <dcterms:created xsi:type="dcterms:W3CDTF">2010-05-13T22:02:00Z</dcterms:created>
  <dcterms:modified xsi:type="dcterms:W3CDTF">2010-05-13T22:02:00Z</dcterms:modified>
</cp:coreProperties>
</file>