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C6" w:rsidRPr="00156FF5" w:rsidRDefault="00E60B0D" w:rsidP="00156FF5">
      <w:pPr>
        <w:jc w:val="center"/>
        <w:rPr>
          <w:b/>
          <w:sz w:val="24"/>
          <w:szCs w:val="24"/>
        </w:rPr>
      </w:pPr>
      <w:r w:rsidRPr="00156FF5">
        <w:rPr>
          <w:b/>
          <w:sz w:val="24"/>
          <w:szCs w:val="24"/>
        </w:rPr>
        <w:t>Follow Up Items from July 15 Meetings</w:t>
      </w:r>
    </w:p>
    <w:p w:rsidR="00E60B0D" w:rsidRPr="00E60B0D" w:rsidRDefault="00E60B0D">
      <w:pPr>
        <w:rPr>
          <w:sz w:val="24"/>
          <w:szCs w:val="24"/>
        </w:rPr>
      </w:pPr>
    </w:p>
    <w:p w:rsidR="00E60B0D" w:rsidRPr="00156FF5" w:rsidRDefault="00E60B0D">
      <w:pPr>
        <w:rPr>
          <w:b/>
          <w:u w:val="single"/>
        </w:rPr>
      </w:pPr>
      <w:r w:rsidRPr="00156FF5">
        <w:rPr>
          <w:b/>
          <w:u w:val="single"/>
        </w:rPr>
        <w:t>RWG</w:t>
      </w:r>
    </w:p>
    <w:p w:rsidR="00E60B0D" w:rsidRPr="00156FF5" w:rsidRDefault="00E60B0D">
      <w:pPr>
        <w:rPr>
          <w:i/>
        </w:rPr>
      </w:pPr>
      <w:r w:rsidRPr="00156FF5">
        <w:rPr>
          <w:i/>
        </w:rPr>
        <w:t>Variances</w:t>
      </w:r>
    </w:p>
    <w:p w:rsidR="00E60B0D" w:rsidRDefault="00E60B0D" w:rsidP="00E60B0D">
      <w:pPr>
        <w:pStyle w:val="ListParagraph"/>
        <w:numPr>
          <w:ilvl w:val="0"/>
          <w:numId w:val="1"/>
        </w:numPr>
      </w:pPr>
      <w:r>
        <w:t>Revise variance language</w:t>
      </w:r>
    </w:p>
    <w:p w:rsidR="00E60B0D" w:rsidRDefault="00E60B0D" w:rsidP="00E60B0D">
      <w:pPr>
        <w:pStyle w:val="ListParagraph"/>
        <w:numPr>
          <w:ilvl w:val="1"/>
          <w:numId w:val="1"/>
        </w:numPr>
      </w:pPr>
      <w:r>
        <w:t>Define “new discharger”</w:t>
      </w:r>
    </w:p>
    <w:p w:rsidR="00E60B0D" w:rsidRDefault="00E60B0D" w:rsidP="00E60B0D">
      <w:pPr>
        <w:pStyle w:val="ListParagraph"/>
        <w:numPr>
          <w:ilvl w:val="1"/>
          <w:numId w:val="1"/>
        </w:numPr>
      </w:pPr>
      <w:r>
        <w:t>Keep “widespread socioeconomic benefit”</w:t>
      </w:r>
      <w:r w:rsidR="00DA326C">
        <w:t>—can DEQ really assess the economic benefit?</w:t>
      </w:r>
    </w:p>
    <w:p w:rsidR="00113326" w:rsidRDefault="00113326" w:rsidP="00E60B0D">
      <w:pPr>
        <w:pStyle w:val="ListParagraph"/>
        <w:numPr>
          <w:ilvl w:val="1"/>
          <w:numId w:val="1"/>
        </w:numPr>
      </w:pPr>
      <w:r>
        <w:t>Remove “such as a dam removal” from (ii)</w:t>
      </w:r>
      <w:r w:rsidR="00DA326C">
        <w:t xml:space="preserve">—could 3 basin </w:t>
      </w:r>
      <w:proofErr w:type="gramStart"/>
      <w:r w:rsidR="00DA326C">
        <w:t>rule</w:t>
      </w:r>
      <w:proofErr w:type="gramEnd"/>
      <w:r w:rsidR="00DA326C">
        <w:t xml:space="preserve"> apply?</w:t>
      </w:r>
    </w:p>
    <w:p w:rsidR="00113326" w:rsidRDefault="00113326" w:rsidP="00E60B0D">
      <w:pPr>
        <w:pStyle w:val="ListParagraph"/>
        <w:numPr>
          <w:ilvl w:val="1"/>
          <w:numId w:val="1"/>
        </w:numPr>
      </w:pPr>
      <w:r>
        <w:t>(1)(b)(A):  Change “the standard” to “water quality based effluent limits” or similar</w:t>
      </w:r>
    </w:p>
    <w:p w:rsidR="00156FF5" w:rsidRDefault="00113326" w:rsidP="00156FF5">
      <w:pPr>
        <w:pStyle w:val="ListParagraph"/>
        <w:numPr>
          <w:ilvl w:val="1"/>
          <w:numId w:val="1"/>
        </w:numPr>
      </w:pPr>
      <w:r>
        <w:t xml:space="preserve">(3)(a):  </w:t>
      </w:r>
      <w:r>
        <w:rPr>
          <w:i/>
        </w:rPr>
        <w:t xml:space="preserve">Unless renewed, the </w:t>
      </w:r>
      <w:proofErr w:type="spellStart"/>
      <w:r>
        <w:rPr>
          <w:i/>
        </w:rPr>
        <w:t>permittee</w:t>
      </w:r>
      <w:proofErr w:type="spellEnd"/>
      <w:r>
        <w:rPr>
          <w:i/>
        </w:rPr>
        <w:t xml:space="preserve"> must be in compliance with the effluent limitation sufficient to meet the underlying water quality standard </w:t>
      </w:r>
      <w:r w:rsidRPr="00156FF5">
        <w:rPr>
          <w:i/>
          <w:color w:val="FF0000"/>
        </w:rPr>
        <w:t>or be subject to the terms of a compliance schedule</w:t>
      </w:r>
      <w:r>
        <w:rPr>
          <w:i/>
        </w:rPr>
        <w:t xml:space="preserve">. </w:t>
      </w:r>
      <w:proofErr w:type="gramStart"/>
      <w:r w:rsidRPr="00113326">
        <w:rPr>
          <w:i/>
          <w:strike/>
        </w:rPr>
        <w:t>upon</w:t>
      </w:r>
      <w:proofErr w:type="gramEnd"/>
      <w:r w:rsidRPr="00113326">
        <w:rPr>
          <w:i/>
          <w:strike/>
        </w:rPr>
        <w:t xml:space="preserve"> the expiration of the variance.</w:t>
      </w:r>
      <w:r>
        <w:rPr>
          <w:i/>
        </w:rPr>
        <w:t xml:space="preserve"> </w:t>
      </w:r>
      <w:r>
        <w:t xml:space="preserve"> </w:t>
      </w:r>
    </w:p>
    <w:p w:rsidR="00156FF5" w:rsidRPr="00156FF5" w:rsidRDefault="00156FF5" w:rsidP="00156FF5">
      <w:pPr>
        <w:pStyle w:val="ListParagraph"/>
        <w:numPr>
          <w:ilvl w:val="1"/>
          <w:numId w:val="1"/>
        </w:numPr>
      </w:pPr>
      <w:r>
        <w:t xml:space="preserve">(4)(d):  </w:t>
      </w:r>
      <w:r w:rsidRPr="00156FF5">
        <w:rPr>
          <w:i/>
        </w:rPr>
        <w:t xml:space="preserve">A proposed pollutant minimization plan and </w:t>
      </w:r>
      <w:r w:rsidRPr="00156FF5">
        <w:rPr>
          <w:i/>
          <w:color w:val="FF0000"/>
        </w:rPr>
        <w:t>ANY</w:t>
      </w:r>
      <w:r w:rsidRPr="00156FF5">
        <w:rPr>
          <w:i/>
        </w:rPr>
        <w:t xml:space="preserve"> actions to be taken by the </w:t>
      </w:r>
      <w:proofErr w:type="spellStart"/>
      <w:r w:rsidRPr="00156FF5">
        <w:rPr>
          <w:i/>
        </w:rPr>
        <w:t>permittee</w:t>
      </w:r>
      <w:proofErr w:type="spellEnd"/>
      <w:r w:rsidRPr="00156FF5">
        <w:rPr>
          <w:i/>
        </w:rPr>
        <w:t xml:space="preserve"> that would result in reasonable progress toward meeting the underlying water quality standard.  Such actions may include proposed pollutant offsets or trading and/or other proposed pollutant reduction activities, and associated milestones for implementing these measures.  Pollutant minimization plans will be tailored to address specific circumstances of each facility. </w:t>
      </w:r>
    </w:p>
    <w:p w:rsidR="00113326" w:rsidRDefault="00156FF5" w:rsidP="00156FF5">
      <w:pPr>
        <w:pStyle w:val="ListParagraph"/>
        <w:numPr>
          <w:ilvl w:val="0"/>
          <w:numId w:val="1"/>
        </w:numPr>
      </w:pPr>
      <w:r>
        <w:t>Send changes to RWG</w:t>
      </w:r>
    </w:p>
    <w:p w:rsidR="00156FF5" w:rsidRPr="00156FF5" w:rsidRDefault="00156FF5" w:rsidP="00156FF5">
      <w:pPr>
        <w:rPr>
          <w:i/>
        </w:rPr>
      </w:pPr>
      <w:r w:rsidRPr="00156FF5">
        <w:rPr>
          <w:i/>
        </w:rPr>
        <w:t>Toxic Pollutants Reduction Plan</w:t>
      </w:r>
    </w:p>
    <w:p w:rsidR="00156FF5" w:rsidRDefault="00156FF5" w:rsidP="00156FF5">
      <w:pPr>
        <w:pStyle w:val="ListParagraph"/>
        <w:numPr>
          <w:ilvl w:val="0"/>
          <w:numId w:val="2"/>
        </w:numPr>
      </w:pPr>
      <w:r>
        <w:t>Some had issues w/ terminology—mislead public, etc.</w:t>
      </w:r>
    </w:p>
    <w:p w:rsidR="00FF268C" w:rsidRDefault="00FF268C" w:rsidP="00156FF5">
      <w:pPr>
        <w:pStyle w:val="ListParagraph"/>
        <w:numPr>
          <w:ilvl w:val="0"/>
          <w:numId w:val="2"/>
        </w:numPr>
      </w:pPr>
      <w:r>
        <w:t xml:space="preserve">Some members felt it was </w:t>
      </w:r>
      <w:proofErr w:type="gramStart"/>
      <w:r>
        <w:t>silly/redundant</w:t>
      </w:r>
      <w:proofErr w:type="gramEnd"/>
      <w:r>
        <w:t xml:space="preserve"> to have 2 separate provisions, while others were fine with it if ACWA preferred the language.</w:t>
      </w:r>
    </w:p>
    <w:p w:rsidR="00156FF5" w:rsidRDefault="00156FF5" w:rsidP="00156FF5">
      <w:pPr>
        <w:pStyle w:val="ListParagraph"/>
        <w:numPr>
          <w:ilvl w:val="0"/>
          <w:numId w:val="2"/>
        </w:numPr>
      </w:pPr>
      <w:r>
        <w:t>DEQ will discuss if there should be a separate provision for this plan or it some hybrid could be developed between the variance provision and this one</w:t>
      </w:r>
      <w:r w:rsidR="00DA326C">
        <w:t>.  Currently, the toxics red. plan would only be applicable to toxics HHC set at a FCR of 175</w:t>
      </w:r>
    </w:p>
    <w:p w:rsidR="00DA326C" w:rsidRPr="00DA326C" w:rsidRDefault="00DA326C" w:rsidP="00DA326C">
      <w:pPr>
        <w:rPr>
          <w:i/>
        </w:rPr>
      </w:pPr>
      <w:r w:rsidRPr="00DA326C">
        <w:rPr>
          <w:i/>
        </w:rPr>
        <w:t>Background Pollutant Allowance</w:t>
      </w:r>
    </w:p>
    <w:p w:rsidR="00DA326C" w:rsidRDefault="00DA326C" w:rsidP="00DA326C">
      <w:pPr>
        <w:pStyle w:val="ListParagraph"/>
        <w:numPr>
          <w:ilvl w:val="0"/>
          <w:numId w:val="3"/>
        </w:numPr>
      </w:pPr>
      <w:r>
        <w:t>DEQ will send out newest revision to RWG</w:t>
      </w:r>
    </w:p>
    <w:p w:rsidR="00DA326C" w:rsidRDefault="00DA326C" w:rsidP="00DA326C">
      <w:pPr>
        <w:pStyle w:val="ListParagraph"/>
        <w:numPr>
          <w:ilvl w:val="0"/>
          <w:numId w:val="3"/>
        </w:numPr>
      </w:pPr>
      <w:r>
        <w:t>Depending on response, DEQ will determine whether or not to have as an Aug. agenda item</w:t>
      </w:r>
    </w:p>
    <w:p w:rsidR="00DA326C" w:rsidRDefault="00DA326C" w:rsidP="00DA326C"/>
    <w:p w:rsidR="00DA326C" w:rsidRDefault="00DA326C" w:rsidP="00DA326C"/>
    <w:p w:rsidR="00FF268C" w:rsidRDefault="00FF268C" w:rsidP="00DA326C"/>
    <w:p w:rsidR="00DA326C" w:rsidRPr="00054828" w:rsidRDefault="00DA326C" w:rsidP="00DA326C">
      <w:pPr>
        <w:rPr>
          <w:b/>
          <w:u w:val="single"/>
        </w:rPr>
      </w:pPr>
      <w:r w:rsidRPr="00054828">
        <w:rPr>
          <w:b/>
          <w:u w:val="single"/>
        </w:rPr>
        <w:lastRenderedPageBreak/>
        <w:t>Non-NPDES</w:t>
      </w:r>
    </w:p>
    <w:p w:rsidR="00DA326C" w:rsidRPr="00054828" w:rsidRDefault="00DA326C" w:rsidP="00DA326C">
      <w:pPr>
        <w:rPr>
          <w:i/>
        </w:rPr>
      </w:pPr>
      <w:r w:rsidRPr="00054828">
        <w:rPr>
          <w:i/>
        </w:rPr>
        <w:t>Source Control</w:t>
      </w:r>
    </w:p>
    <w:p w:rsidR="00054828" w:rsidRDefault="00054828" w:rsidP="00054828">
      <w:pPr>
        <w:pStyle w:val="ListParagraph"/>
        <w:numPr>
          <w:ilvl w:val="0"/>
          <w:numId w:val="4"/>
        </w:numPr>
      </w:pPr>
      <w:r>
        <w:t>Suggestions by the source control group did not meet the criteria to include in this rulemaking</w:t>
      </w:r>
    </w:p>
    <w:p w:rsidR="00054828" w:rsidRDefault="00054828" w:rsidP="00054828">
      <w:pPr>
        <w:pStyle w:val="ListParagraph"/>
        <w:numPr>
          <w:ilvl w:val="0"/>
          <w:numId w:val="4"/>
        </w:numPr>
      </w:pPr>
      <w:r>
        <w:t xml:space="preserve">Parking Lot:  What to do with the proposals—Toxics Reduction Strategy, DEQ to present to EQC, etc. </w:t>
      </w:r>
    </w:p>
    <w:p w:rsidR="00DA326C" w:rsidRDefault="00DA326C" w:rsidP="00DA326C">
      <w:pPr>
        <w:pStyle w:val="ListParagraph"/>
        <w:numPr>
          <w:ilvl w:val="0"/>
          <w:numId w:val="4"/>
        </w:numPr>
      </w:pPr>
      <w:r>
        <w:t>Any comments to the issue paper should be sent to Tiffany by 7/26</w:t>
      </w:r>
    </w:p>
    <w:p w:rsidR="00054828" w:rsidRDefault="00054828" w:rsidP="00DA326C">
      <w:pPr>
        <w:pStyle w:val="ListParagraph"/>
        <w:numPr>
          <w:ilvl w:val="0"/>
          <w:numId w:val="4"/>
        </w:numPr>
      </w:pPr>
      <w:r>
        <w:t>Issue paper will be updated to reflect the same format as the NPDES issue paper</w:t>
      </w:r>
    </w:p>
    <w:p w:rsidR="00054828" w:rsidRPr="00663113" w:rsidRDefault="00054828" w:rsidP="00054828">
      <w:pPr>
        <w:rPr>
          <w:i/>
        </w:rPr>
      </w:pPr>
      <w:r w:rsidRPr="00663113">
        <w:rPr>
          <w:i/>
        </w:rPr>
        <w:t>Implementation Ready TMDLs/Div 41 and 42</w:t>
      </w:r>
    </w:p>
    <w:p w:rsidR="00054828" w:rsidRDefault="00054828" w:rsidP="00054828">
      <w:pPr>
        <w:pStyle w:val="ListParagraph"/>
        <w:numPr>
          <w:ilvl w:val="0"/>
          <w:numId w:val="5"/>
        </w:numPr>
      </w:pPr>
      <w:r>
        <w:t>Div. 42—Pg. 7, line 20 in handout</w:t>
      </w:r>
      <w:proofErr w:type="gramStart"/>
      <w:r>
        <w:t>:  …</w:t>
      </w:r>
      <w:proofErr w:type="gramEnd"/>
      <w:r>
        <w:t>“</w:t>
      </w:r>
      <w:r w:rsidRPr="00054828">
        <w:rPr>
          <w:b/>
        </w:rPr>
        <w:t>or potential</w:t>
      </w:r>
      <w:r>
        <w:t xml:space="preserve"> nonpoint sources”…</w:t>
      </w:r>
    </w:p>
    <w:p w:rsidR="00054828" w:rsidRDefault="00054828" w:rsidP="00054828">
      <w:pPr>
        <w:pStyle w:val="ListParagraph"/>
        <w:numPr>
          <w:ilvl w:val="1"/>
          <w:numId w:val="5"/>
        </w:numPr>
      </w:pPr>
      <w:r>
        <w:t>Problematic for workgroup members—monitoring burden for ODF</w:t>
      </w:r>
    </w:p>
    <w:p w:rsidR="00054828" w:rsidRDefault="00054828" w:rsidP="00054828">
      <w:pPr>
        <w:pStyle w:val="ListParagraph"/>
        <w:numPr>
          <w:ilvl w:val="1"/>
          <w:numId w:val="5"/>
        </w:numPr>
      </w:pPr>
      <w:r>
        <w:t>Can DEQ give an example</w:t>
      </w:r>
    </w:p>
    <w:p w:rsidR="00663113" w:rsidRDefault="00663113" w:rsidP="00054828">
      <w:pPr>
        <w:pStyle w:val="ListParagraph"/>
        <w:numPr>
          <w:ilvl w:val="0"/>
          <w:numId w:val="5"/>
        </w:numPr>
      </w:pPr>
      <w:r>
        <w:t>DEQ authority to prescribe BMPs</w:t>
      </w:r>
    </w:p>
    <w:p w:rsidR="00663113" w:rsidRDefault="00663113" w:rsidP="00663113">
      <w:pPr>
        <w:pStyle w:val="ListParagraph"/>
        <w:numPr>
          <w:ilvl w:val="1"/>
          <w:numId w:val="5"/>
        </w:numPr>
      </w:pPr>
      <w:r>
        <w:t>Problematic for some workgroup members</w:t>
      </w:r>
    </w:p>
    <w:p w:rsidR="00054828" w:rsidRDefault="00663113" w:rsidP="00663113">
      <w:pPr>
        <w:pStyle w:val="ListParagraph"/>
        <w:numPr>
          <w:ilvl w:val="1"/>
          <w:numId w:val="5"/>
        </w:numPr>
      </w:pPr>
      <w:r>
        <w:t xml:space="preserve">If DEQ finds current BMPs not effective, describe how DEQ will determine appropriate BMPs, what will the process be, will they enforce?  Develop a simple type of </w:t>
      </w:r>
      <w:r w:rsidR="00AD7605">
        <w:t xml:space="preserve">an example </w:t>
      </w:r>
      <w:r>
        <w:t>timeline for this.</w:t>
      </w:r>
    </w:p>
    <w:p w:rsidR="00663113" w:rsidRDefault="00663113" w:rsidP="00663113">
      <w:pPr>
        <w:pStyle w:val="ListParagraph"/>
        <w:numPr>
          <w:ilvl w:val="0"/>
          <w:numId w:val="6"/>
        </w:numPr>
      </w:pPr>
      <w:r>
        <w:t>Div 41—Pg. 4, line 21 in handout</w:t>
      </w:r>
      <w:proofErr w:type="gramStart"/>
      <w:r>
        <w:t>:  …</w:t>
      </w:r>
      <w:proofErr w:type="gramEnd"/>
      <w:r>
        <w:t xml:space="preserve">”the department </w:t>
      </w:r>
      <w:r w:rsidRPr="00663113">
        <w:rPr>
          <w:b/>
        </w:rPr>
        <w:t>will ordinarily</w:t>
      </w:r>
      <w:r>
        <w:t xml:space="preserve"> consult with the ODA”…</w:t>
      </w:r>
    </w:p>
    <w:p w:rsidR="00663113" w:rsidRDefault="00663113" w:rsidP="00663113">
      <w:pPr>
        <w:pStyle w:val="ListParagraph"/>
        <w:numPr>
          <w:ilvl w:val="1"/>
          <w:numId w:val="6"/>
        </w:numPr>
      </w:pPr>
      <w:r>
        <w:t>Can DEQ provide an example of when we would not consult with ODA?</w:t>
      </w:r>
    </w:p>
    <w:p w:rsidR="00663113" w:rsidRDefault="00663113" w:rsidP="00663113">
      <w:pPr>
        <w:pStyle w:val="ListParagraph"/>
        <w:numPr>
          <w:ilvl w:val="1"/>
          <w:numId w:val="6"/>
        </w:numPr>
      </w:pPr>
      <w:r>
        <w:t>Water quality criteria language as opposed to standards (I think this was in this same section)</w:t>
      </w:r>
      <w:r w:rsidR="00A01144">
        <w:t>.  Differences in meaning?  DEQ will assess which one is most appropriate.</w:t>
      </w:r>
    </w:p>
    <w:sectPr w:rsidR="00663113" w:rsidSect="008E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3288"/>
    <w:multiLevelType w:val="hybridMultilevel"/>
    <w:tmpl w:val="39A0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0C59"/>
    <w:multiLevelType w:val="hybridMultilevel"/>
    <w:tmpl w:val="A26E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A152F"/>
    <w:multiLevelType w:val="hybridMultilevel"/>
    <w:tmpl w:val="A47E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C5879"/>
    <w:multiLevelType w:val="hybridMultilevel"/>
    <w:tmpl w:val="E328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D01E5"/>
    <w:multiLevelType w:val="hybridMultilevel"/>
    <w:tmpl w:val="A00E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B710B"/>
    <w:multiLevelType w:val="hybridMultilevel"/>
    <w:tmpl w:val="F4EE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characterSpacingControl w:val="doNotCompress"/>
  <w:compat/>
  <w:rsids>
    <w:rsidRoot w:val="00E60B0D"/>
    <w:rsid w:val="000033D1"/>
    <w:rsid w:val="00054828"/>
    <w:rsid w:val="000815D0"/>
    <w:rsid w:val="000A3E63"/>
    <w:rsid w:val="00113326"/>
    <w:rsid w:val="00143CAF"/>
    <w:rsid w:val="00156FF5"/>
    <w:rsid w:val="00342E44"/>
    <w:rsid w:val="004A0AFF"/>
    <w:rsid w:val="00534803"/>
    <w:rsid w:val="005B210E"/>
    <w:rsid w:val="005E4CC8"/>
    <w:rsid w:val="00663113"/>
    <w:rsid w:val="006637E3"/>
    <w:rsid w:val="00706B0F"/>
    <w:rsid w:val="00713853"/>
    <w:rsid w:val="007862D2"/>
    <w:rsid w:val="007B5D1F"/>
    <w:rsid w:val="008863B7"/>
    <w:rsid w:val="008E2BC6"/>
    <w:rsid w:val="00920964"/>
    <w:rsid w:val="0094360F"/>
    <w:rsid w:val="009927B7"/>
    <w:rsid w:val="00A01144"/>
    <w:rsid w:val="00AD7605"/>
    <w:rsid w:val="00B10A9E"/>
    <w:rsid w:val="00B346DE"/>
    <w:rsid w:val="00B703E2"/>
    <w:rsid w:val="00BE7B0B"/>
    <w:rsid w:val="00C03BAF"/>
    <w:rsid w:val="00C61148"/>
    <w:rsid w:val="00C775C7"/>
    <w:rsid w:val="00DA326C"/>
    <w:rsid w:val="00DB68E3"/>
    <w:rsid w:val="00DC0F0D"/>
    <w:rsid w:val="00E50D39"/>
    <w:rsid w:val="00E60B0D"/>
    <w:rsid w:val="00E8424F"/>
    <w:rsid w:val="00E95C2E"/>
    <w:rsid w:val="00EE15B4"/>
    <w:rsid w:val="00F9769F"/>
    <w:rsid w:val="00FC33D0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5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5</cp:revision>
  <dcterms:created xsi:type="dcterms:W3CDTF">2010-07-19T17:44:00Z</dcterms:created>
  <dcterms:modified xsi:type="dcterms:W3CDTF">2010-07-19T18:39:00Z</dcterms:modified>
</cp:coreProperties>
</file>