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E6" w:rsidRPr="00F65560" w:rsidRDefault="00F65560" w:rsidP="008123E6">
      <w:pPr>
        <w:jc w:val="center"/>
        <w:rPr>
          <w:b/>
          <w:sz w:val="32"/>
          <w:szCs w:val="32"/>
          <w:u w:val="single"/>
        </w:rPr>
      </w:pPr>
      <w:r w:rsidRPr="00F65560">
        <w:rPr>
          <w:b/>
          <w:sz w:val="32"/>
          <w:szCs w:val="32"/>
          <w:u w:val="single"/>
        </w:rPr>
        <w:t>Outline of Fiscal and Economic Impact</w:t>
      </w:r>
    </w:p>
    <w:p w:rsidR="008123E6" w:rsidRPr="00F65560" w:rsidRDefault="007E1DA8" w:rsidP="00C7099F">
      <w:pPr>
        <w:rPr>
          <w:b/>
        </w:rPr>
      </w:pPr>
      <w:r w:rsidRPr="00F65560">
        <w:rPr>
          <w:b/>
        </w:rPr>
        <w:t>Overall:</w:t>
      </w:r>
    </w:p>
    <w:p w:rsidR="000C3FFF" w:rsidRDefault="007E1DA8" w:rsidP="00F65560">
      <w:pPr>
        <w:numPr>
          <w:ilvl w:val="0"/>
          <w:numId w:val="2"/>
        </w:numPr>
        <w:spacing w:after="0" w:line="240" w:lineRule="auto"/>
        <w:rPr>
          <w:rFonts w:cs="Arial"/>
          <w:iCs/>
        </w:rPr>
      </w:pPr>
      <w:r w:rsidRPr="00F65560">
        <w:rPr>
          <w:rFonts w:cs="Arial"/>
          <w:iCs/>
        </w:rPr>
        <w:t xml:space="preserve">The fiscal and economic impact analysis compares the existing human health toxics criteria to the proposed toxics criteria based on a </w:t>
      </w:r>
      <w:r w:rsidR="003F2EF1">
        <w:rPr>
          <w:rFonts w:cs="Arial"/>
          <w:iCs/>
        </w:rPr>
        <w:t>fish consumption rate (</w:t>
      </w:r>
      <w:r w:rsidRPr="00F65560">
        <w:rPr>
          <w:rFonts w:cs="Arial"/>
          <w:iCs/>
        </w:rPr>
        <w:t>FCR</w:t>
      </w:r>
      <w:r w:rsidR="003F2EF1">
        <w:rPr>
          <w:rFonts w:cs="Arial"/>
          <w:iCs/>
        </w:rPr>
        <w:t>)</w:t>
      </w:r>
      <w:r w:rsidRPr="00F65560">
        <w:rPr>
          <w:rFonts w:cs="Arial"/>
          <w:iCs/>
        </w:rPr>
        <w:t xml:space="preserve"> of 175 grams per day (g/d).  Therefore, the costs of complying with the existing toxics criteria will not be analyzed for this fiscal review.  </w:t>
      </w:r>
    </w:p>
    <w:p w:rsidR="000C3FFF" w:rsidRDefault="000C3FFF" w:rsidP="000C3FFF">
      <w:pPr>
        <w:spacing w:after="0" w:line="240" w:lineRule="auto"/>
        <w:ind w:left="378"/>
        <w:rPr>
          <w:rFonts w:cs="Arial"/>
          <w:iCs/>
        </w:rPr>
      </w:pPr>
    </w:p>
    <w:p w:rsidR="00F65560" w:rsidRDefault="007E1DA8" w:rsidP="00F65560">
      <w:pPr>
        <w:numPr>
          <w:ilvl w:val="0"/>
          <w:numId w:val="2"/>
        </w:numPr>
        <w:spacing w:after="0" w:line="240" w:lineRule="auto"/>
        <w:rPr>
          <w:rFonts w:cs="Arial"/>
          <w:iCs/>
        </w:rPr>
      </w:pPr>
      <w:r w:rsidRPr="00F65560">
        <w:rPr>
          <w:rFonts w:cs="Arial"/>
          <w:iCs/>
        </w:rPr>
        <w:t xml:space="preserve">Note that the SAIC report used the currently effective criteria at the time of the report to determine the base costs for compliance, which was primarily based on Table 33A which uses a FCR of 17.5 g/d.  Therefore, the report didn’t analyze whether or not criteria based on the currently effective FCR of 6.5 g/d in 2010 would be met.  </w:t>
      </w:r>
      <w:r w:rsidRPr="000C3FFF">
        <w:rPr>
          <w:rFonts w:cs="Arial"/>
          <w:iCs/>
        </w:rPr>
        <w:t>Although the toxics criteria are now based on 6.5 g/day given EPA’s recent disapproval of criteria based on 17.5 g/day, DEQ will use SAIC’s baseline cost estimates derived from a FCR of 17.5 g/day to estimate incremental costs of complying with the proposed FCR of 175 g/day.</w:t>
      </w:r>
      <w:r w:rsidRPr="00F65560">
        <w:rPr>
          <w:rFonts w:cs="Arial"/>
          <w:iCs/>
        </w:rPr>
        <w:t xml:space="preserve"> </w:t>
      </w:r>
    </w:p>
    <w:p w:rsidR="00F65560" w:rsidRDefault="00F65560" w:rsidP="00F65560">
      <w:pPr>
        <w:spacing w:after="0" w:line="240" w:lineRule="auto"/>
        <w:ind w:left="378"/>
        <w:rPr>
          <w:rFonts w:cs="Arial"/>
          <w:iCs/>
        </w:rPr>
      </w:pPr>
    </w:p>
    <w:p w:rsidR="00F65560" w:rsidRPr="00F65560" w:rsidRDefault="00C7099F" w:rsidP="00F65560">
      <w:pPr>
        <w:numPr>
          <w:ilvl w:val="0"/>
          <w:numId w:val="2"/>
        </w:numPr>
        <w:spacing w:after="0" w:line="240" w:lineRule="auto"/>
        <w:rPr>
          <w:rFonts w:cs="Arial"/>
          <w:iCs/>
        </w:rPr>
      </w:pPr>
      <w:r w:rsidRPr="00F65560">
        <w:t xml:space="preserve">Two </w:t>
      </w:r>
      <w:r w:rsidR="000C3FFF">
        <w:t xml:space="preserve">main </w:t>
      </w:r>
      <w:r w:rsidRPr="00F65560">
        <w:t xml:space="preserve">elements to </w:t>
      </w:r>
      <w:r w:rsidR="00F47426" w:rsidRPr="00F65560">
        <w:t xml:space="preserve">fiscal </w:t>
      </w:r>
      <w:r w:rsidRPr="00F65560">
        <w:t>analysis:</w:t>
      </w:r>
      <w:r w:rsidR="00F65560">
        <w:t xml:space="preserve">  (1) Direct and Indirect impacts</w:t>
      </w:r>
      <w:r w:rsidR="00F65560" w:rsidRPr="00F65560">
        <w:t xml:space="preserve"> attributable to the criteria revisions, and (2) </w:t>
      </w:r>
      <w:r w:rsidR="00F65560">
        <w:t>Impact</w:t>
      </w:r>
      <w:r w:rsidR="00F65560" w:rsidRPr="00F65560">
        <w:t xml:space="preserve"> of using different implementation tools</w:t>
      </w:r>
    </w:p>
    <w:p w:rsidR="00C7099F" w:rsidRDefault="00C7099F" w:rsidP="00754126">
      <w:pPr>
        <w:spacing w:line="360" w:lineRule="auto"/>
      </w:pPr>
    </w:p>
    <w:p w:rsidR="000C3FFF" w:rsidRPr="000C3FFF" w:rsidRDefault="000C3FFF" w:rsidP="00754126">
      <w:pPr>
        <w:spacing w:line="360" w:lineRule="auto"/>
        <w:rPr>
          <w:b/>
        </w:rPr>
      </w:pPr>
      <w:r w:rsidRPr="000C3FFF">
        <w:rPr>
          <w:b/>
        </w:rPr>
        <w:t>Resources</w:t>
      </w:r>
      <w:r>
        <w:rPr>
          <w:b/>
        </w:rPr>
        <w:t xml:space="preserve"> for Analysis</w:t>
      </w:r>
      <w:r w:rsidRPr="000C3FFF">
        <w:rPr>
          <w:b/>
        </w:rPr>
        <w:t>:</w:t>
      </w:r>
    </w:p>
    <w:p w:rsidR="000C3FFF" w:rsidRPr="000C3FFF" w:rsidRDefault="000C3FFF" w:rsidP="000C3FFF">
      <w:pPr>
        <w:autoSpaceDE w:val="0"/>
        <w:autoSpaceDN w:val="0"/>
        <w:adjustRightInd w:val="0"/>
        <w:rPr>
          <w:rFonts w:cs="Arial"/>
          <w:iCs/>
        </w:rPr>
      </w:pPr>
      <w:r w:rsidRPr="000C3FFF">
        <w:rPr>
          <w:rFonts w:cs="Arial"/>
          <w:iCs/>
        </w:rPr>
        <w:t xml:space="preserve">1. </w:t>
      </w:r>
      <w:hyperlink r:id="rId8" w:history="1">
        <w:r w:rsidRPr="000C3FFF">
          <w:rPr>
            <w:rStyle w:val="Hyperlink"/>
            <w:rFonts w:cs="Arial"/>
            <w:i/>
            <w:iCs/>
          </w:rPr>
          <w:t>Cost of Compliance with Water Quality Criteria for Toxic Pollutants for Oregon Waters</w:t>
        </w:r>
      </w:hyperlink>
      <w:r w:rsidRPr="000C3FFF">
        <w:rPr>
          <w:rFonts w:cs="Arial"/>
          <w:i/>
          <w:iCs/>
        </w:rPr>
        <w:t xml:space="preserve"> , SAIC (June 2008)—</w:t>
      </w:r>
      <w:r w:rsidRPr="000C3FFF">
        <w:rPr>
          <w:rFonts w:cs="Arial"/>
          <w:iCs/>
        </w:rPr>
        <w:t>The EPA contracted Science Applications International Corporation (SAIC) to develop a report that provided estimates of the potential incremental compliance actions and costs that may be associated with increasing the fish consumption rate  associated with calculating human health toxics criteria.  The report extrapolated compliance costs for both baseline criteria (i.e. Table 20 and Table 33A) and incremental costs derived from criteria based on various higher fish consumption rates.</w:t>
      </w:r>
    </w:p>
    <w:p w:rsidR="000C3FFF" w:rsidRPr="000C3FFF" w:rsidRDefault="000C3FFF" w:rsidP="000C3FFF">
      <w:pPr>
        <w:autoSpaceDE w:val="0"/>
        <w:autoSpaceDN w:val="0"/>
        <w:adjustRightInd w:val="0"/>
        <w:rPr>
          <w:rFonts w:cs="Arial"/>
          <w:iCs/>
        </w:rPr>
      </w:pPr>
      <w:r w:rsidRPr="000C3FFF">
        <w:rPr>
          <w:rFonts w:cs="Arial"/>
          <w:iCs/>
        </w:rPr>
        <w:t>2</w:t>
      </w:r>
      <w:r w:rsidRPr="000C3FFF">
        <w:rPr>
          <w:rFonts w:cs="Arial"/>
          <w:i/>
          <w:iCs/>
        </w:rPr>
        <w:t xml:space="preserve">. </w:t>
      </w:r>
      <w:hyperlink r:id="rId9" w:history="1">
        <w:r w:rsidRPr="000C3FFF">
          <w:rPr>
            <w:rStyle w:val="Hyperlink"/>
            <w:rFonts w:cs="Arial"/>
            <w:i/>
            <w:iCs/>
          </w:rPr>
          <w:t>Fiscal Impact and Implementation Advisory Committee (FIIAC) Memo</w:t>
        </w:r>
      </w:hyperlink>
      <w:r w:rsidRPr="000C3FFF">
        <w:rPr>
          <w:rFonts w:cs="Arial"/>
          <w:i/>
          <w:iCs/>
        </w:rPr>
        <w:t xml:space="preserve"> </w:t>
      </w:r>
      <w:r w:rsidRPr="000C3FFF">
        <w:rPr>
          <w:rFonts w:cs="Arial"/>
          <w:iCs/>
        </w:rPr>
        <w:t>—The DEQ, EPA, and CTUIR convened a group of interested experts who could help to develop feasible implementation options resulting from a higher fish consumption rate and to provide input on the impacts these options may have on a wide range of permitted dischargers, the public, and other stakeholders throughout the state.  The expertise of the group ranged from backgrounds in economics, business administration, public works, public health, water quality, and engineering.   The FIIAC developed a memo which provides an overview of the charge of the FIIAC, summarizes discussions around costs, benefits and implementation ideas that were considered by the group, and highlights conclusions and concerns regarding the SAIC report.</w:t>
      </w:r>
    </w:p>
    <w:p w:rsidR="000C3FFF" w:rsidRPr="000C3FFF" w:rsidRDefault="000C3FFF" w:rsidP="000C3FFF">
      <w:pPr>
        <w:autoSpaceDE w:val="0"/>
        <w:autoSpaceDN w:val="0"/>
        <w:adjustRightInd w:val="0"/>
        <w:rPr>
          <w:rFonts w:cs="Arial"/>
          <w:iCs/>
        </w:rPr>
      </w:pPr>
      <w:r w:rsidRPr="000C3FFF">
        <w:rPr>
          <w:rFonts w:cs="Arial"/>
          <w:iCs/>
        </w:rPr>
        <w:t xml:space="preserve">3.  </w:t>
      </w:r>
      <w:r w:rsidRPr="000C3FFF">
        <w:rPr>
          <w:rFonts w:cs="Arial"/>
          <w:i/>
          <w:iCs/>
        </w:rPr>
        <w:t>NPDES Implementation Issue Paper, ODEQ (October 2010)</w:t>
      </w:r>
      <w:r w:rsidRPr="000C3FFF">
        <w:rPr>
          <w:rFonts w:cs="Arial"/>
          <w:iCs/>
        </w:rPr>
        <w:t>—</w:t>
      </w:r>
      <w:proofErr w:type="gramStart"/>
      <w:r w:rsidRPr="000C3FFF">
        <w:rPr>
          <w:rFonts w:cs="Arial"/>
          <w:iCs/>
        </w:rPr>
        <w:t>This</w:t>
      </w:r>
      <w:proofErr w:type="gramEnd"/>
      <w:r w:rsidRPr="000C3FFF">
        <w:rPr>
          <w:rFonts w:cs="Arial"/>
          <w:iCs/>
        </w:rPr>
        <w:t xml:space="preserve"> issue paper was developed by DEQ staff to support the human health toxics rulemaking.  The paper is comprised of various potential NPDES implementation tools that could be used in complying with more stringent toxics criteria.  Each section describes the tool and includes information such as, policy evaluations, DEQ recommendations, alternatives considered, work group discussions and views, proposed rule language and a framework for implementation.  (</w:t>
      </w:r>
      <w:proofErr w:type="gramStart"/>
      <w:r w:rsidRPr="000C3FFF">
        <w:rPr>
          <w:rFonts w:cs="Arial"/>
          <w:iCs/>
        </w:rPr>
        <w:t>placeholder</w:t>
      </w:r>
      <w:proofErr w:type="gramEnd"/>
      <w:r w:rsidRPr="000C3FFF">
        <w:rPr>
          <w:rFonts w:cs="Arial"/>
          <w:iCs/>
        </w:rPr>
        <w:t xml:space="preserve"> for website here)</w:t>
      </w:r>
    </w:p>
    <w:p w:rsidR="000C3FFF" w:rsidRPr="000C3FFF" w:rsidRDefault="000C3FFF" w:rsidP="000C3FFF">
      <w:pPr>
        <w:autoSpaceDE w:val="0"/>
        <w:autoSpaceDN w:val="0"/>
        <w:adjustRightInd w:val="0"/>
        <w:rPr>
          <w:rFonts w:cs="Arial"/>
          <w:iCs/>
        </w:rPr>
      </w:pPr>
    </w:p>
    <w:p w:rsidR="000C3FFF" w:rsidRPr="000C3FFF" w:rsidRDefault="000C3FFF" w:rsidP="000C3FFF">
      <w:pPr>
        <w:autoSpaceDE w:val="0"/>
        <w:autoSpaceDN w:val="0"/>
        <w:adjustRightInd w:val="0"/>
        <w:rPr>
          <w:rFonts w:cs="Arial"/>
          <w:iCs/>
        </w:rPr>
      </w:pPr>
      <w:r w:rsidRPr="000C3FFF">
        <w:rPr>
          <w:rFonts w:cs="Arial"/>
          <w:iCs/>
        </w:rPr>
        <w:t xml:space="preserve">4.  </w:t>
      </w:r>
      <w:hyperlink r:id="rId10" w:history="1">
        <w:r w:rsidRPr="000C3FFF">
          <w:rPr>
            <w:rStyle w:val="Hyperlink"/>
            <w:rFonts w:cs="Arial"/>
            <w:i/>
            <w:iCs/>
          </w:rPr>
          <w:t>EPA National Recommended Water Quality Criteria Website</w:t>
        </w:r>
      </w:hyperlink>
    </w:p>
    <w:p w:rsidR="000C3FFF" w:rsidRPr="000C3FFF" w:rsidRDefault="000C3FFF" w:rsidP="000C3FFF">
      <w:pPr>
        <w:autoSpaceDE w:val="0"/>
        <w:autoSpaceDN w:val="0"/>
        <w:adjustRightInd w:val="0"/>
        <w:rPr>
          <w:rFonts w:cs="Arial"/>
          <w:iCs/>
        </w:rPr>
      </w:pPr>
      <w:r w:rsidRPr="000C3FFF">
        <w:rPr>
          <w:rFonts w:cs="Arial"/>
          <w:iCs/>
        </w:rPr>
        <w:t xml:space="preserve">5.  </w:t>
      </w:r>
      <w:hyperlink r:id="rId11" w:history="1">
        <w:r w:rsidRPr="000C3FFF">
          <w:rPr>
            <w:rStyle w:val="Hyperlink"/>
            <w:rFonts w:cs="Arial"/>
            <w:i/>
            <w:iCs/>
          </w:rPr>
          <w:t>Methodology for Deriving Ambient Water Quality Criteria for the Protection of Human Health</w:t>
        </w:r>
      </w:hyperlink>
      <w:r w:rsidRPr="000C3FFF">
        <w:rPr>
          <w:rFonts w:cs="Arial"/>
          <w:iCs/>
        </w:rPr>
        <w:t xml:space="preserve">, EPA (2000).  </w:t>
      </w:r>
      <w:proofErr w:type="gramStart"/>
      <w:r w:rsidRPr="000C3FFF">
        <w:rPr>
          <w:rFonts w:cs="Arial"/>
          <w:iCs/>
        </w:rPr>
        <w:t>EPA 822-B-009-004.</w:t>
      </w:r>
      <w:proofErr w:type="gramEnd"/>
    </w:p>
    <w:p w:rsidR="000C3FFF" w:rsidRDefault="000C3FFF" w:rsidP="00754126">
      <w:pPr>
        <w:spacing w:line="360" w:lineRule="auto"/>
      </w:pPr>
    </w:p>
    <w:p w:rsidR="00F65560" w:rsidRPr="000C3FFF" w:rsidRDefault="000C3FFF" w:rsidP="00754126">
      <w:pPr>
        <w:spacing w:line="360" w:lineRule="auto"/>
        <w:rPr>
          <w:b/>
          <w:sz w:val="32"/>
          <w:szCs w:val="32"/>
        </w:rPr>
      </w:pPr>
      <w:r w:rsidRPr="000C3FFF">
        <w:rPr>
          <w:b/>
          <w:sz w:val="32"/>
          <w:szCs w:val="32"/>
        </w:rPr>
        <w:t>OUTLINE</w:t>
      </w:r>
    </w:p>
    <w:p w:rsidR="005D43CC" w:rsidRPr="00F65560" w:rsidRDefault="00F65560" w:rsidP="005D43CC">
      <w:pPr>
        <w:pStyle w:val="ListParagraph"/>
        <w:numPr>
          <w:ilvl w:val="0"/>
          <w:numId w:val="1"/>
        </w:numPr>
        <w:spacing w:line="360" w:lineRule="auto"/>
        <w:rPr>
          <w:b/>
        </w:rPr>
      </w:pPr>
      <w:r>
        <w:rPr>
          <w:b/>
        </w:rPr>
        <w:t>Direct and Indirect impacts</w:t>
      </w:r>
      <w:r w:rsidR="00C7099F" w:rsidRPr="00F65560">
        <w:rPr>
          <w:b/>
        </w:rPr>
        <w:t xml:space="preserve"> attributable to the criteria revisions</w:t>
      </w:r>
      <w:r w:rsidR="000D691D" w:rsidRPr="00F65560">
        <w:rPr>
          <w:b/>
        </w:rPr>
        <w:t xml:space="preserve"> (qualitative analysis; don’t have data for cost of meeting criteria themselves)</w:t>
      </w:r>
    </w:p>
    <w:p w:rsidR="00C7099F" w:rsidRPr="00F65560" w:rsidRDefault="00C7099F" w:rsidP="00754126">
      <w:pPr>
        <w:pStyle w:val="ListParagraph"/>
        <w:numPr>
          <w:ilvl w:val="1"/>
          <w:numId w:val="1"/>
        </w:numPr>
        <w:spacing w:line="360" w:lineRule="auto"/>
      </w:pPr>
      <w:r w:rsidRPr="00F65560">
        <w:t xml:space="preserve">Identifying the criteria that are </w:t>
      </w:r>
      <w:r w:rsidR="00691C5A" w:rsidRPr="00F65560">
        <w:t xml:space="preserve">effectively </w:t>
      </w:r>
      <w:r w:rsidRPr="00F65560">
        <w:t>more stringent</w:t>
      </w:r>
    </w:p>
    <w:p w:rsidR="005D43CC" w:rsidRPr="00F65560" w:rsidRDefault="005D43CC" w:rsidP="00754126">
      <w:pPr>
        <w:pStyle w:val="ListParagraph"/>
        <w:numPr>
          <w:ilvl w:val="2"/>
          <w:numId w:val="1"/>
        </w:numPr>
        <w:spacing w:line="360" w:lineRule="auto"/>
      </w:pPr>
      <w:r w:rsidRPr="00F65560">
        <w:t>Criteria that are more stringent and the new, lower values are measureable (i.e., new criteria value &gt; QL)</w:t>
      </w:r>
    </w:p>
    <w:p w:rsidR="007E1DA8" w:rsidRPr="00F65560" w:rsidRDefault="007E1DA8" w:rsidP="000E2C37">
      <w:pPr>
        <w:pStyle w:val="ListParagraph"/>
        <w:numPr>
          <w:ilvl w:val="3"/>
          <w:numId w:val="2"/>
        </w:numPr>
        <w:spacing w:after="0" w:line="240" w:lineRule="auto"/>
        <w:rPr>
          <w:rFonts w:cs="Arial"/>
          <w:iCs/>
        </w:rPr>
      </w:pPr>
      <w:r w:rsidRPr="00F65560">
        <w:rPr>
          <w:rFonts w:cs="Arial"/>
          <w:iCs/>
        </w:rPr>
        <w:t>A table will be provided that will show the current criteria vs. the proposed criteria and whether or not the QL or criteria controls compliance.  May focus on pollutants listed on the Willamette and Columbia Rivers.</w:t>
      </w:r>
    </w:p>
    <w:p w:rsidR="007E1DA8" w:rsidRPr="00F65560" w:rsidRDefault="007E1DA8" w:rsidP="000C3FFF">
      <w:pPr>
        <w:spacing w:line="360" w:lineRule="auto"/>
      </w:pPr>
    </w:p>
    <w:p w:rsidR="00862C84" w:rsidRPr="00F65560" w:rsidRDefault="00862C84" w:rsidP="00754126">
      <w:pPr>
        <w:pStyle w:val="ListParagraph"/>
        <w:numPr>
          <w:ilvl w:val="2"/>
          <w:numId w:val="1"/>
        </w:numPr>
        <w:spacing w:line="360" w:lineRule="auto"/>
      </w:pPr>
      <w:r w:rsidRPr="00F65560">
        <w:t>Uncertainties and potential future effects (e.g., note EPA’s proposed rule on using QLs in permits)</w:t>
      </w:r>
    </w:p>
    <w:p w:rsidR="00691C5A" w:rsidRPr="00F65560" w:rsidRDefault="00691C5A" w:rsidP="00754126">
      <w:pPr>
        <w:pStyle w:val="ListParagraph"/>
        <w:numPr>
          <w:ilvl w:val="1"/>
          <w:numId w:val="1"/>
        </w:numPr>
        <w:spacing w:line="360" w:lineRule="auto"/>
      </w:pPr>
      <w:r w:rsidRPr="00F65560">
        <w:t>Identifying pollutants most likely to present challenges for sources</w:t>
      </w:r>
    </w:p>
    <w:p w:rsidR="000E2C37" w:rsidRPr="00F65560" w:rsidRDefault="000E2C37" w:rsidP="000E2C37">
      <w:pPr>
        <w:spacing w:line="360" w:lineRule="auto"/>
        <w:ind w:left="1440"/>
        <w:rPr>
          <w:i/>
        </w:rPr>
      </w:pPr>
      <w:r w:rsidRPr="00F65560">
        <w:rPr>
          <w:i/>
        </w:rPr>
        <w:t>Sources of information: SAIC Report, 2004/2006 303(d) list, SIC codes</w:t>
      </w:r>
    </w:p>
    <w:p w:rsidR="007E1DA8" w:rsidRPr="00F65560" w:rsidRDefault="007E1DA8" w:rsidP="000E2C37">
      <w:pPr>
        <w:pStyle w:val="ListParagraph"/>
        <w:numPr>
          <w:ilvl w:val="3"/>
          <w:numId w:val="2"/>
        </w:numPr>
        <w:spacing w:after="0" w:line="240" w:lineRule="auto"/>
        <w:rPr>
          <w:rFonts w:cs="Arial"/>
          <w:iCs/>
        </w:rPr>
      </w:pPr>
      <w:r w:rsidRPr="00F65560">
        <w:rPr>
          <w:rFonts w:cs="Arial"/>
          <w:iCs/>
        </w:rPr>
        <w:t xml:space="preserve">The SAIC report identified three pollutants where additional controls may be needed to achieve lower criteria:  (1) arsenic; (2) </w:t>
      </w:r>
      <w:proofErr w:type="spellStart"/>
      <w:proofErr w:type="gramStart"/>
      <w:r w:rsidRPr="00F65560">
        <w:rPr>
          <w:rFonts w:cs="Arial"/>
          <w:iCs/>
        </w:rPr>
        <w:t>Bis</w:t>
      </w:r>
      <w:proofErr w:type="spellEnd"/>
      <w:r w:rsidRPr="00F65560">
        <w:rPr>
          <w:rFonts w:cs="Arial"/>
          <w:iCs/>
        </w:rPr>
        <w:t>(</w:t>
      </w:r>
      <w:proofErr w:type="gramEnd"/>
      <w:r w:rsidRPr="00F65560">
        <w:rPr>
          <w:rFonts w:cs="Arial"/>
          <w:iCs/>
        </w:rPr>
        <w:t xml:space="preserve">2-ethylhexyl)phthalate; and (3) mercury.  </w:t>
      </w:r>
      <w:r w:rsidRPr="00F65560">
        <w:rPr>
          <w:rFonts w:cs="Arial"/>
        </w:rPr>
        <w:t xml:space="preserve">However, as part of the 2004 rule revision, Oregon withdrew its national CWA § 304(a) human health criterion for total mercury and replaced these criteria with a new fish tissue-based “organism only” human health criterion for </w:t>
      </w:r>
      <w:proofErr w:type="spellStart"/>
      <w:r w:rsidRPr="00F65560">
        <w:rPr>
          <w:rFonts w:cs="Arial"/>
        </w:rPr>
        <w:t>methylmercury</w:t>
      </w:r>
      <w:proofErr w:type="spellEnd"/>
      <w:r w:rsidRPr="00F65560">
        <w:rPr>
          <w:rFonts w:cs="Arial"/>
        </w:rPr>
        <w:t xml:space="preserve">.   DEQ does not have a current criterion for </w:t>
      </w:r>
      <w:proofErr w:type="spellStart"/>
      <w:r w:rsidRPr="00F65560">
        <w:rPr>
          <w:rFonts w:cs="Arial"/>
        </w:rPr>
        <w:t>methylmercury</w:t>
      </w:r>
      <w:proofErr w:type="spellEnd"/>
      <w:r w:rsidRPr="00F65560">
        <w:rPr>
          <w:rFonts w:cs="Arial"/>
        </w:rPr>
        <w:t xml:space="preserve">, although a new criterion will be proposed as part of this toxics rulemaking.  Consequently, until data on </w:t>
      </w:r>
      <w:proofErr w:type="spellStart"/>
      <w:r w:rsidRPr="00F65560">
        <w:rPr>
          <w:rFonts w:cs="Arial"/>
        </w:rPr>
        <w:t>methylmercury</w:t>
      </w:r>
      <w:proofErr w:type="spellEnd"/>
      <w:r w:rsidRPr="00F65560">
        <w:rPr>
          <w:rFonts w:cs="Arial"/>
        </w:rPr>
        <w:t xml:space="preserve"> are collected and analyzed, it is unclear what the state of compliance will be.  For arsenic, DEQ is currently proposing a higher criterion than what was reflected in the SAIC report.  Therefore, some of the compliance issues associated with arsenic may be minimized.  The revised criterion for arsenic, along with criteria for iron and manganese will be proposed in a separate rulemaking from this package and is anticipated to be adopted by the EQC in December 2010.</w:t>
      </w:r>
    </w:p>
    <w:p w:rsidR="000E2C37" w:rsidRPr="00F65560" w:rsidRDefault="000E2C37" w:rsidP="000E2C37">
      <w:pPr>
        <w:pStyle w:val="ListParagraph"/>
        <w:numPr>
          <w:ilvl w:val="3"/>
          <w:numId w:val="2"/>
        </w:numPr>
        <w:spacing w:after="0" w:line="240" w:lineRule="auto"/>
        <w:rPr>
          <w:rFonts w:cs="Arial"/>
          <w:iCs/>
        </w:rPr>
      </w:pPr>
      <w:r w:rsidRPr="00F65560">
        <w:rPr>
          <w:rFonts w:cs="Arial"/>
        </w:rPr>
        <w:t>Others?</w:t>
      </w:r>
    </w:p>
    <w:p w:rsidR="007E1DA8" w:rsidRPr="00F65560" w:rsidRDefault="007E1DA8" w:rsidP="007E1DA8">
      <w:pPr>
        <w:spacing w:line="360" w:lineRule="auto"/>
        <w:ind w:left="1080"/>
      </w:pPr>
    </w:p>
    <w:p w:rsidR="00691C5A" w:rsidRPr="00F65560" w:rsidRDefault="00691C5A" w:rsidP="00754126">
      <w:pPr>
        <w:pStyle w:val="ListParagraph"/>
        <w:numPr>
          <w:ilvl w:val="2"/>
          <w:numId w:val="1"/>
        </w:numPr>
        <w:spacing w:line="360" w:lineRule="auto"/>
      </w:pPr>
      <w:r w:rsidRPr="00F65560">
        <w:t>Identify past listing for pollutants and pollutants identified as “potential concern” (based on 2004/2006 303(d) list</w:t>
      </w:r>
    </w:p>
    <w:p w:rsidR="00B86936" w:rsidRPr="00F65560" w:rsidRDefault="00B86936" w:rsidP="00754126">
      <w:pPr>
        <w:pStyle w:val="ListParagraph"/>
        <w:numPr>
          <w:ilvl w:val="2"/>
          <w:numId w:val="1"/>
        </w:numPr>
        <w:spacing w:line="360" w:lineRule="auto"/>
      </w:pPr>
      <w:r w:rsidRPr="00F65560">
        <w:t>Likely industrial sectors discharging pollutants</w:t>
      </w:r>
    </w:p>
    <w:p w:rsidR="00B86936" w:rsidRPr="00F65560" w:rsidRDefault="00B86936" w:rsidP="00754126">
      <w:pPr>
        <w:pStyle w:val="ListParagraph"/>
        <w:numPr>
          <w:ilvl w:val="2"/>
          <w:numId w:val="1"/>
        </w:numPr>
        <w:spacing w:line="360" w:lineRule="auto"/>
      </w:pPr>
      <w:r w:rsidRPr="00F65560">
        <w:t>Uncertainties and future effects (e.g., 2010 303(d) list)</w:t>
      </w:r>
    </w:p>
    <w:p w:rsidR="000E2C37" w:rsidRPr="00B77D1E" w:rsidRDefault="00C7099F" w:rsidP="00EA3E28">
      <w:pPr>
        <w:pStyle w:val="ListParagraph"/>
        <w:numPr>
          <w:ilvl w:val="1"/>
          <w:numId w:val="1"/>
        </w:numPr>
        <w:spacing w:line="360" w:lineRule="auto"/>
      </w:pPr>
      <w:r w:rsidRPr="00B77D1E">
        <w:t>Permit implementation—</w:t>
      </w:r>
      <w:r w:rsidR="00691C5A" w:rsidRPr="00B77D1E">
        <w:t xml:space="preserve">looking at permitting processes for </w:t>
      </w:r>
      <w:r w:rsidRPr="00B77D1E">
        <w:t>major/minor, domestic, industrial, MS4, general permits</w:t>
      </w:r>
      <w:r w:rsidR="00691C5A" w:rsidRPr="00B77D1E">
        <w:t xml:space="preserve"> to determine whether change in criteria are likely to have a</w:t>
      </w:r>
      <w:r w:rsidR="005D43CC" w:rsidRPr="00B77D1E">
        <w:t>n</w:t>
      </w:r>
      <w:r w:rsidR="00691C5A" w:rsidRPr="00B77D1E">
        <w:t xml:space="preserve"> effect; describe potential for effect</w:t>
      </w:r>
      <w:r w:rsidR="00F0155D" w:rsidRPr="00B77D1E">
        <w:t>.  Generally, criteria will be applicable to all individual and general permits.  The degree to which these permits are affected by the new criteria will be determined by the various monitoring requirements that are mandated by state and federal regulations.</w:t>
      </w:r>
    </w:p>
    <w:p w:rsidR="00754126" w:rsidRPr="00B77D1E" w:rsidRDefault="00754126" w:rsidP="00754126">
      <w:pPr>
        <w:pStyle w:val="ListParagraph"/>
        <w:spacing w:line="360" w:lineRule="auto"/>
        <w:ind w:left="1440"/>
        <w:rPr>
          <w:i/>
        </w:rPr>
      </w:pPr>
      <w:r w:rsidRPr="00B77D1E">
        <w:rPr>
          <w:i/>
        </w:rPr>
        <w:t>Sources of information:  SAIC Report</w:t>
      </w:r>
      <w:r w:rsidR="000D1FE8" w:rsidRPr="00B77D1E">
        <w:rPr>
          <w:i/>
        </w:rPr>
        <w:t>, DEQ resources</w:t>
      </w:r>
    </w:p>
    <w:p w:rsidR="00C7099F" w:rsidRPr="00B77D1E" w:rsidRDefault="00C7099F" w:rsidP="00754126">
      <w:pPr>
        <w:pStyle w:val="ListParagraph"/>
        <w:numPr>
          <w:ilvl w:val="2"/>
          <w:numId w:val="1"/>
        </w:numPr>
        <w:spacing w:line="360" w:lineRule="auto"/>
      </w:pPr>
      <w:r w:rsidRPr="00B77D1E">
        <w:t xml:space="preserve">Individual permits—potentially affected at next permit issuance </w:t>
      </w:r>
    </w:p>
    <w:p w:rsidR="00B86936" w:rsidRPr="00B77D1E" w:rsidRDefault="00C7099F" w:rsidP="00754126">
      <w:pPr>
        <w:pStyle w:val="ListParagraph"/>
        <w:numPr>
          <w:ilvl w:val="2"/>
          <w:numId w:val="1"/>
        </w:numPr>
        <w:spacing w:line="360" w:lineRule="auto"/>
      </w:pPr>
      <w:r w:rsidRPr="00B77D1E">
        <w:t xml:space="preserve">Individual permits with BMP-based requirements (i.e., MS4s), </w:t>
      </w:r>
    </w:p>
    <w:p w:rsidR="00C7099F" w:rsidRPr="00B77D1E" w:rsidRDefault="00F0155D" w:rsidP="00754126">
      <w:pPr>
        <w:pStyle w:val="ListParagraph"/>
        <w:numPr>
          <w:ilvl w:val="3"/>
          <w:numId w:val="1"/>
        </w:numPr>
        <w:spacing w:line="360" w:lineRule="auto"/>
      </w:pPr>
      <w:r w:rsidRPr="00B77D1E">
        <w:t xml:space="preserve">Applicability--Generally, municipal separate storm sewer system (MS4) NPDES permits cover the discharge of </w:t>
      </w:r>
      <w:proofErr w:type="spellStart"/>
      <w:r w:rsidRPr="00B77D1E">
        <w:t>stormwater</w:t>
      </w:r>
      <w:proofErr w:type="spellEnd"/>
      <w:r w:rsidRPr="00B77D1E">
        <w:t xml:space="preserve"> from urban areas, and the standard for these permitted jurisdictions is reducing the discharge of pollutants to the Maximum Extent Practicable</w:t>
      </w:r>
    </w:p>
    <w:p w:rsidR="00B86936" w:rsidRPr="00B77D1E" w:rsidRDefault="00C7099F" w:rsidP="00754126">
      <w:pPr>
        <w:pStyle w:val="ListParagraph"/>
        <w:numPr>
          <w:ilvl w:val="2"/>
          <w:numId w:val="1"/>
        </w:numPr>
        <w:spacing w:line="360" w:lineRule="auto"/>
      </w:pPr>
      <w:r w:rsidRPr="00B77D1E">
        <w:t>General permits—</w:t>
      </w:r>
    </w:p>
    <w:p w:rsidR="00B86936" w:rsidRPr="00B77D1E" w:rsidRDefault="00B86936" w:rsidP="00754126">
      <w:pPr>
        <w:pStyle w:val="ListParagraph"/>
        <w:numPr>
          <w:ilvl w:val="3"/>
          <w:numId w:val="1"/>
        </w:numPr>
        <w:spacing w:line="360" w:lineRule="auto"/>
      </w:pPr>
      <w:r w:rsidRPr="00B77D1E">
        <w:t xml:space="preserve">Not applicable to industrial or construction </w:t>
      </w:r>
      <w:proofErr w:type="spellStart"/>
      <w:r w:rsidRPr="00B77D1E">
        <w:t>stormwater</w:t>
      </w:r>
      <w:proofErr w:type="spellEnd"/>
      <w:r w:rsidRPr="00B77D1E">
        <w:t>—not using HH criteria</w:t>
      </w:r>
    </w:p>
    <w:p w:rsidR="00C7099F" w:rsidRPr="00B77D1E" w:rsidRDefault="00DD5439" w:rsidP="00754126">
      <w:pPr>
        <w:pStyle w:val="ListParagraph"/>
        <w:numPr>
          <w:ilvl w:val="3"/>
          <w:numId w:val="1"/>
        </w:numPr>
        <w:spacing w:line="360" w:lineRule="auto"/>
      </w:pPr>
      <w:r>
        <w:t>Need to evaluate current state list of general permits for applicability</w:t>
      </w:r>
    </w:p>
    <w:p w:rsidR="000D691D" w:rsidRPr="00B77D1E" w:rsidRDefault="000D691D" w:rsidP="00754126">
      <w:pPr>
        <w:pStyle w:val="ListParagraph"/>
        <w:numPr>
          <w:ilvl w:val="2"/>
          <w:numId w:val="1"/>
        </w:numPr>
        <w:spacing w:line="360" w:lineRule="auto"/>
      </w:pPr>
      <w:r w:rsidRPr="00B77D1E">
        <w:t>Break down analysis by small &amp; large business, potential impacts on local governments</w:t>
      </w:r>
    </w:p>
    <w:p w:rsidR="00EA3E28" w:rsidRPr="00B77D1E" w:rsidRDefault="00EA3E28" w:rsidP="00EA3E28">
      <w:pPr>
        <w:pStyle w:val="ListParagraph"/>
        <w:numPr>
          <w:ilvl w:val="0"/>
          <w:numId w:val="7"/>
        </w:numPr>
        <w:spacing w:line="360" w:lineRule="auto"/>
      </w:pPr>
      <w:r w:rsidRPr="00B77D1E">
        <w:t>DEQ anticipates that this analysis will be more qualitative, since permit information related to size of business is not reported on as part of DEQ record keeping.</w:t>
      </w:r>
    </w:p>
    <w:p w:rsidR="00B86936" w:rsidRPr="00B77D1E" w:rsidRDefault="00B86936" w:rsidP="00754126">
      <w:pPr>
        <w:pStyle w:val="ListParagraph"/>
        <w:numPr>
          <w:ilvl w:val="2"/>
          <w:numId w:val="1"/>
        </w:numPr>
        <w:spacing w:line="360" w:lineRule="auto"/>
      </w:pPr>
      <w:r w:rsidRPr="00B77D1E">
        <w:t>Additional incremental cost to DEQ to implement</w:t>
      </w:r>
    </w:p>
    <w:p w:rsidR="000C3FFF" w:rsidRPr="00B77D1E" w:rsidRDefault="000D1FE8" w:rsidP="000D1FE8">
      <w:pPr>
        <w:pStyle w:val="ListParagraph"/>
        <w:numPr>
          <w:ilvl w:val="0"/>
          <w:numId w:val="6"/>
        </w:numPr>
        <w:rPr>
          <w:rFonts w:cs="Arial"/>
          <w:iCs/>
        </w:rPr>
      </w:pPr>
      <w:r w:rsidRPr="00B77D1E">
        <w:rPr>
          <w:rFonts w:cs="Arial"/>
          <w:iCs/>
        </w:rPr>
        <w:t>DEQ will conduct an internal analysis of staff FTE needed to implement this rulemaking which will take into consideration:  technical assistance, review of implementation and compliance plans, communicating compliance strategies to regional staff, database tracking, working with EPA for review and approval of variances, 401 certifications, TMDL development and implementation, monitoring program, and developing the Integrated Report, etc.</w:t>
      </w:r>
    </w:p>
    <w:p w:rsidR="000D1FE8" w:rsidRPr="00B77D1E" w:rsidRDefault="000D1FE8" w:rsidP="000D1FE8">
      <w:pPr>
        <w:numPr>
          <w:ilvl w:val="0"/>
          <w:numId w:val="6"/>
        </w:numPr>
        <w:spacing w:after="0" w:line="240" w:lineRule="auto"/>
        <w:rPr>
          <w:rFonts w:cs="Arial"/>
          <w:iCs/>
        </w:rPr>
      </w:pPr>
      <w:r w:rsidRPr="00B77D1E">
        <w:rPr>
          <w:rFonts w:cs="Arial"/>
          <w:iCs/>
        </w:rPr>
        <w:t>May receive requests to conduct UAAs or site specific criteria</w:t>
      </w:r>
    </w:p>
    <w:p w:rsidR="000D1FE8" w:rsidRPr="00B77D1E" w:rsidRDefault="000D1FE8" w:rsidP="000D1FE8">
      <w:pPr>
        <w:numPr>
          <w:ilvl w:val="0"/>
          <w:numId w:val="6"/>
        </w:numPr>
        <w:spacing w:after="0" w:line="240" w:lineRule="auto"/>
        <w:rPr>
          <w:rFonts w:cs="Arial"/>
          <w:iCs/>
        </w:rPr>
      </w:pPr>
      <w:r w:rsidRPr="00B77D1E">
        <w:rPr>
          <w:rFonts w:cs="Arial"/>
          <w:iCs/>
        </w:rPr>
        <w:t>Accounting, business office, PCS?</w:t>
      </w:r>
    </w:p>
    <w:p w:rsidR="000D1FE8" w:rsidRPr="00B77D1E" w:rsidRDefault="000D1FE8" w:rsidP="000D1FE8">
      <w:pPr>
        <w:numPr>
          <w:ilvl w:val="0"/>
          <w:numId w:val="6"/>
        </w:numPr>
        <w:spacing w:after="0" w:line="240" w:lineRule="auto"/>
        <w:rPr>
          <w:rFonts w:cs="Arial"/>
          <w:iCs/>
        </w:rPr>
      </w:pPr>
      <w:r w:rsidRPr="00B77D1E">
        <w:rPr>
          <w:rFonts w:cs="Arial"/>
          <w:iCs/>
        </w:rPr>
        <w:t>Staff time spent on implementing lower human health toxics criteria may impact other priorities of the department.</w:t>
      </w:r>
    </w:p>
    <w:p w:rsidR="000D1FE8" w:rsidRPr="001F7D92" w:rsidRDefault="000D1FE8" w:rsidP="000D1FE8">
      <w:pPr>
        <w:numPr>
          <w:ilvl w:val="0"/>
          <w:numId w:val="6"/>
        </w:numPr>
        <w:spacing w:after="0" w:line="240" w:lineRule="auto"/>
        <w:rPr>
          <w:rFonts w:cs="Arial"/>
          <w:iCs/>
        </w:rPr>
      </w:pPr>
      <w:r w:rsidRPr="001F7D92">
        <w:rPr>
          <w:rFonts w:cs="Arial"/>
          <w:iCs/>
        </w:rPr>
        <w:t>Current and future budget implications</w:t>
      </w:r>
    </w:p>
    <w:p w:rsidR="000D1FE8" w:rsidRPr="001F7D92" w:rsidRDefault="000D1FE8" w:rsidP="000D1FE8">
      <w:pPr>
        <w:numPr>
          <w:ilvl w:val="0"/>
          <w:numId w:val="6"/>
        </w:numPr>
        <w:spacing w:after="0" w:line="240" w:lineRule="auto"/>
        <w:rPr>
          <w:rFonts w:cs="Arial"/>
          <w:iCs/>
        </w:rPr>
      </w:pPr>
      <w:r w:rsidRPr="001F7D92">
        <w:rPr>
          <w:rFonts w:cs="Arial"/>
          <w:iCs/>
        </w:rPr>
        <w:t>The proposed rules do not generate revenue for DEQ</w:t>
      </w:r>
    </w:p>
    <w:p w:rsidR="000D1FE8" w:rsidRPr="000D1FE8" w:rsidRDefault="000D1FE8" w:rsidP="000D1FE8">
      <w:pPr>
        <w:pStyle w:val="ListParagraph"/>
        <w:ind w:left="2700"/>
        <w:rPr>
          <w:rFonts w:ascii="Arial" w:hAnsi="Arial" w:cs="Arial"/>
          <w:iCs/>
        </w:rPr>
      </w:pPr>
    </w:p>
    <w:p w:rsidR="00B86936" w:rsidRPr="00F65560" w:rsidRDefault="00691C5A" w:rsidP="00754126">
      <w:pPr>
        <w:pStyle w:val="ListParagraph"/>
        <w:numPr>
          <w:ilvl w:val="1"/>
          <w:numId w:val="1"/>
        </w:numPr>
        <w:spacing w:line="360" w:lineRule="auto"/>
      </w:pPr>
      <w:r w:rsidRPr="00F65560">
        <w:t xml:space="preserve">Other CWA program implications: </w:t>
      </w:r>
      <w:r w:rsidR="00C7099F" w:rsidRPr="00F65560">
        <w:t>401 certifications—</w:t>
      </w:r>
    </w:p>
    <w:p w:rsidR="00C7099F" w:rsidRPr="00F65560" w:rsidRDefault="00B86936" w:rsidP="00754126">
      <w:pPr>
        <w:pStyle w:val="ListParagraph"/>
        <w:numPr>
          <w:ilvl w:val="2"/>
          <w:numId w:val="1"/>
        </w:numPr>
        <w:spacing w:line="360" w:lineRule="auto"/>
      </w:pPr>
      <w:r w:rsidRPr="00F65560">
        <w:t>Projects subject to 401 certifications do not have toxics as pollutants of concern—effects are not applicable</w:t>
      </w:r>
    </w:p>
    <w:p w:rsidR="00F47426" w:rsidRPr="00F65560" w:rsidRDefault="00F47426" w:rsidP="00754126">
      <w:pPr>
        <w:pStyle w:val="ListParagraph"/>
        <w:numPr>
          <w:ilvl w:val="1"/>
          <w:numId w:val="1"/>
        </w:numPr>
        <w:spacing w:line="360" w:lineRule="auto"/>
      </w:pPr>
      <w:r w:rsidRPr="00F65560">
        <w:t xml:space="preserve">Monitoring costs </w:t>
      </w:r>
      <w:r w:rsidR="00B86936" w:rsidRPr="00F65560">
        <w:t xml:space="preserve">based on priority pollutant scan and other required monitoring </w:t>
      </w:r>
      <w:r w:rsidRPr="00F65560">
        <w:t>(is this indirect?)</w:t>
      </w:r>
    </w:p>
    <w:p w:rsidR="00F47426" w:rsidRPr="00F65560" w:rsidRDefault="00F47426" w:rsidP="00754126">
      <w:pPr>
        <w:pStyle w:val="ListParagraph"/>
        <w:numPr>
          <w:ilvl w:val="2"/>
          <w:numId w:val="1"/>
        </w:numPr>
        <w:spacing w:line="360" w:lineRule="auto"/>
      </w:pPr>
      <w:r w:rsidRPr="00F65560">
        <w:t>Mercury monitoring requirements that may change due to going from total to fish tissue-based criterion</w:t>
      </w:r>
    </w:p>
    <w:p w:rsidR="00F47426" w:rsidRPr="00F65560" w:rsidRDefault="00F47426" w:rsidP="00754126">
      <w:pPr>
        <w:pStyle w:val="ListParagraph"/>
        <w:numPr>
          <w:ilvl w:val="2"/>
          <w:numId w:val="1"/>
        </w:numPr>
        <w:spacing w:line="360" w:lineRule="auto"/>
      </w:pPr>
      <w:r w:rsidRPr="00F65560">
        <w:t>Other monitoring costs?</w:t>
      </w:r>
      <w:r w:rsidR="001F7D92">
        <w:t xml:space="preserve">  May have additional costs associated with more sensitive analyses</w:t>
      </w:r>
    </w:p>
    <w:p w:rsidR="00B86936" w:rsidRPr="00F65560" w:rsidRDefault="00B86936" w:rsidP="00754126">
      <w:pPr>
        <w:pStyle w:val="ListParagraph"/>
        <w:numPr>
          <w:ilvl w:val="2"/>
          <w:numId w:val="1"/>
        </w:numPr>
        <w:spacing w:line="360" w:lineRule="auto"/>
      </w:pPr>
      <w:r w:rsidRPr="00F65560">
        <w:t>Uncertainties and future effects</w:t>
      </w:r>
    </w:p>
    <w:p w:rsidR="00B86936" w:rsidRPr="00F65560" w:rsidRDefault="00B86936" w:rsidP="00754126">
      <w:pPr>
        <w:pStyle w:val="ListParagraph"/>
        <w:numPr>
          <w:ilvl w:val="3"/>
          <w:numId w:val="1"/>
        </w:numPr>
        <w:spacing w:line="360" w:lineRule="auto"/>
      </w:pPr>
      <w:r w:rsidRPr="00F65560">
        <w:t>Future changes in QLs</w:t>
      </w:r>
    </w:p>
    <w:p w:rsidR="00B86936" w:rsidRPr="00F65560" w:rsidRDefault="00B86936" w:rsidP="00754126">
      <w:pPr>
        <w:pStyle w:val="ListParagraph"/>
        <w:numPr>
          <w:ilvl w:val="3"/>
          <w:numId w:val="1"/>
        </w:numPr>
        <w:spacing w:line="360" w:lineRule="auto"/>
      </w:pPr>
      <w:r w:rsidRPr="00F65560">
        <w:t>Others?</w:t>
      </w:r>
    </w:p>
    <w:p w:rsidR="00F47426" w:rsidRPr="00F65560" w:rsidRDefault="00F47426" w:rsidP="00754126">
      <w:pPr>
        <w:pStyle w:val="ListParagraph"/>
        <w:numPr>
          <w:ilvl w:val="1"/>
          <w:numId w:val="1"/>
        </w:numPr>
        <w:spacing w:line="360" w:lineRule="auto"/>
      </w:pPr>
      <w:r w:rsidRPr="00F65560">
        <w:t>Indirect effects</w:t>
      </w:r>
    </w:p>
    <w:p w:rsidR="00F47426" w:rsidRPr="00F65560" w:rsidRDefault="00F47426" w:rsidP="00754126">
      <w:pPr>
        <w:pStyle w:val="ListParagraph"/>
        <w:numPr>
          <w:ilvl w:val="2"/>
          <w:numId w:val="1"/>
        </w:numPr>
        <w:spacing w:line="360" w:lineRule="auto"/>
      </w:pPr>
      <w:r w:rsidRPr="00F65560">
        <w:t>Associated with municipalities</w:t>
      </w:r>
    </w:p>
    <w:p w:rsidR="00F47426" w:rsidRPr="00F65560" w:rsidRDefault="00F47426" w:rsidP="00754126">
      <w:pPr>
        <w:pStyle w:val="ListParagraph"/>
        <w:numPr>
          <w:ilvl w:val="3"/>
          <w:numId w:val="1"/>
        </w:numPr>
        <w:spacing w:line="360" w:lineRule="auto"/>
      </w:pPr>
      <w:r w:rsidRPr="00F65560">
        <w:t>Pretreatment</w:t>
      </w:r>
    </w:p>
    <w:p w:rsidR="00D41A29" w:rsidRPr="00F65560" w:rsidRDefault="00D41A29" w:rsidP="00C86A3B">
      <w:pPr>
        <w:pStyle w:val="ListParagraph"/>
        <w:numPr>
          <w:ilvl w:val="0"/>
          <w:numId w:val="5"/>
        </w:numPr>
        <w:spacing w:line="360" w:lineRule="auto"/>
      </w:pPr>
      <w:r w:rsidRPr="00F65560">
        <w:rPr>
          <w:rFonts w:cs="Arial"/>
          <w:iCs/>
        </w:rPr>
        <w:t xml:space="preserve">Some businesses that do not directly discharge to a </w:t>
      </w:r>
      <w:proofErr w:type="spellStart"/>
      <w:r w:rsidRPr="00F65560">
        <w:rPr>
          <w:rFonts w:cs="Arial"/>
          <w:iCs/>
        </w:rPr>
        <w:t>waterbody</w:t>
      </w:r>
      <w:proofErr w:type="spellEnd"/>
      <w:r w:rsidRPr="00F65560">
        <w:rPr>
          <w:rFonts w:cs="Arial"/>
          <w:iCs/>
        </w:rPr>
        <w:t xml:space="preserve"> may be subject to requirements from a municipality under their pretreatment program.  23 POTWs have pretreatment requirements.  Currently, all 23 POTWs have set local limits for metals with only one pretreatment POTW having additional limits for:  </w:t>
      </w:r>
      <w:r w:rsidRPr="00F65560">
        <w:rPr>
          <w:rFonts w:cs="Arial"/>
          <w:color w:val="000000"/>
        </w:rPr>
        <w:t xml:space="preserve">pentachlorophenol, </w:t>
      </w:r>
      <w:proofErr w:type="spellStart"/>
      <w:r w:rsidRPr="00F65560">
        <w:rPr>
          <w:rFonts w:cs="Arial"/>
          <w:color w:val="000000"/>
        </w:rPr>
        <w:t>chlorobenzene</w:t>
      </w:r>
      <w:proofErr w:type="spellEnd"/>
      <w:r w:rsidRPr="00F65560">
        <w:rPr>
          <w:rFonts w:cs="Arial"/>
          <w:color w:val="000000"/>
        </w:rPr>
        <w:t xml:space="preserve">, chloroform, Trichloroethylene, </w:t>
      </w:r>
      <w:proofErr w:type="spellStart"/>
      <w:r w:rsidRPr="00F65560">
        <w:rPr>
          <w:rFonts w:cs="Arial"/>
          <w:color w:val="000000"/>
        </w:rPr>
        <w:t>Acrylontrile</w:t>
      </w:r>
      <w:proofErr w:type="spellEnd"/>
      <w:r w:rsidRPr="00F65560">
        <w:rPr>
          <w:rFonts w:cs="Arial"/>
          <w:color w:val="000000"/>
        </w:rPr>
        <w:t>, 1,2-Dichloroethane, 2,4-Dinitrotoluene, nitrobenzene, and Chlordane</w:t>
      </w:r>
      <w:r w:rsidRPr="00F65560">
        <w:rPr>
          <w:rFonts w:cs="Arial"/>
          <w:iCs/>
        </w:rPr>
        <w:t xml:space="preserve">.  </w:t>
      </w:r>
      <w:r w:rsidR="00C86A3B" w:rsidRPr="00F65560">
        <w:rPr>
          <w:rFonts w:cs="Arial"/>
          <w:iCs/>
        </w:rPr>
        <w:t xml:space="preserve">DEQ surveyed the 5 largest pretreatment programs and determined that approximately 130 of the 285 total </w:t>
      </w:r>
      <w:proofErr w:type="gramStart"/>
      <w:r w:rsidR="00C86A3B" w:rsidRPr="00F65560">
        <w:rPr>
          <w:rFonts w:cs="Arial"/>
          <w:iCs/>
        </w:rPr>
        <w:t>number</w:t>
      </w:r>
      <w:proofErr w:type="gramEnd"/>
      <w:r w:rsidR="00C86A3B" w:rsidRPr="00F65560">
        <w:rPr>
          <w:rFonts w:cs="Arial"/>
          <w:iCs/>
        </w:rPr>
        <w:t xml:space="preserve"> of significant industrial users are small businesses.</w:t>
      </w:r>
    </w:p>
    <w:p w:rsidR="00F47426" w:rsidRPr="00F65560" w:rsidRDefault="00F47426" w:rsidP="00754126">
      <w:pPr>
        <w:pStyle w:val="ListParagraph"/>
        <w:numPr>
          <w:ilvl w:val="3"/>
          <w:numId w:val="1"/>
        </w:numPr>
        <w:spacing w:line="360" w:lineRule="auto"/>
      </w:pPr>
      <w:r w:rsidRPr="00F65560">
        <w:t>Other costs/requirements passed on upstream to indirect dischargers</w:t>
      </w:r>
    </w:p>
    <w:p w:rsidR="00F47426" w:rsidRPr="00F65560" w:rsidRDefault="00F47426" w:rsidP="00754126">
      <w:pPr>
        <w:pStyle w:val="ListParagraph"/>
        <w:numPr>
          <w:ilvl w:val="3"/>
          <w:numId w:val="1"/>
        </w:numPr>
        <w:spacing w:line="360" w:lineRule="auto"/>
      </w:pPr>
      <w:r w:rsidRPr="00F65560">
        <w:t>Costs passed on to municipal ratepayers</w:t>
      </w:r>
    </w:p>
    <w:p w:rsidR="00C86A3B" w:rsidRPr="00F65560" w:rsidRDefault="00C86A3B" w:rsidP="00C86A3B">
      <w:pPr>
        <w:pStyle w:val="ListParagraph"/>
        <w:numPr>
          <w:ilvl w:val="0"/>
          <w:numId w:val="5"/>
        </w:numPr>
        <w:spacing w:after="0" w:line="240" w:lineRule="auto"/>
        <w:rPr>
          <w:rFonts w:cs="Arial"/>
        </w:rPr>
      </w:pPr>
      <w:r w:rsidRPr="00F65560">
        <w:rPr>
          <w:rFonts w:cs="Arial"/>
          <w:iCs/>
        </w:rPr>
        <w:t>Indirect impacts to the general consumer may involve rate increases to water and sewer bills to offset compliance strategies, monitoring, etc. utilized by POTWs.  Depending on the costs of the compliance strategies, rate adjustments would vary.</w:t>
      </w:r>
    </w:p>
    <w:p w:rsidR="00C86A3B" w:rsidRPr="00F65560" w:rsidRDefault="00C86A3B" w:rsidP="00C86A3B">
      <w:pPr>
        <w:ind w:left="720"/>
        <w:rPr>
          <w:rFonts w:cs="Arial"/>
        </w:rPr>
      </w:pPr>
      <w:r w:rsidRPr="00F65560">
        <w:rPr>
          <w:rFonts w:cs="Arial"/>
          <w:iCs/>
        </w:rPr>
        <w:t xml:space="preserve"> </w:t>
      </w:r>
    </w:p>
    <w:p w:rsidR="00F47426" w:rsidRPr="00F65560" w:rsidRDefault="001F7D92" w:rsidP="00754126">
      <w:pPr>
        <w:pStyle w:val="ListParagraph"/>
        <w:numPr>
          <w:ilvl w:val="2"/>
          <w:numId w:val="1"/>
        </w:numPr>
        <w:spacing w:line="360" w:lineRule="auto"/>
      </w:pPr>
      <w:r>
        <w:t>A</w:t>
      </w:r>
      <w:r w:rsidR="00F47426" w:rsidRPr="00F65560">
        <w:t>ss</w:t>
      </w:r>
      <w:r>
        <w:t>ociated with industrial sources</w:t>
      </w:r>
    </w:p>
    <w:p w:rsidR="00C86A3B" w:rsidRPr="001F7D92" w:rsidRDefault="00C86A3B" w:rsidP="00C86A3B">
      <w:pPr>
        <w:numPr>
          <w:ilvl w:val="3"/>
          <w:numId w:val="1"/>
        </w:numPr>
        <w:spacing w:after="0" w:line="240" w:lineRule="auto"/>
        <w:rPr>
          <w:rFonts w:cs="Arial"/>
        </w:rPr>
      </w:pPr>
      <w:r w:rsidRPr="00F65560">
        <w:rPr>
          <w:rFonts w:cs="Arial"/>
          <w:iCs/>
        </w:rPr>
        <w:t>For consumers of industrial goods, various compliance strategy costs to produce goods could be passed on to consumers in the form of increased prices.</w:t>
      </w:r>
    </w:p>
    <w:p w:rsidR="001F7D92" w:rsidRPr="00F65560" w:rsidRDefault="001F7D92" w:rsidP="00C86A3B">
      <w:pPr>
        <w:numPr>
          <w:ilvl w:val="3"/>
          <w:numId w:val="1"/>
        </w:numPr>
        <w:spacing w:after="0" w:line="240" w:lineRule="auto"/>
        <w:rPr>
          <w:rFonts w:cs="Arial"/>
        </w:rPr>
      </w:pPr>
      <w:r>
        <w:rPr>
          <w:rFonts w:cs="Arial"/>
          <w:iCs/>
        </w:rPr>
        <w:t>Others?</w:t>
      </w:r>
    </w:p>
    <w:p w:rsidR="00C86A3B" w:rsidRPr="00F65560" w:rsidRDefault="00C86A3B" w:rsidP="00C86A3B">
      <w:pPr>
        <w:spacing w:line="360" w:lineRule="auto"/>
        <w:ind w:left="1980"/>
      </w:pPr>
    </w:p>
    <w:p w:rsidR="00C7099F" w:rsidRDefault="000D691D" w:rsidP="00754126">
      <w:pPr>
        <w:pStyle w:val="ListParagraph"/>
        <w:numPr>
          <w:ilvl w:val="1"/>
          <w:numId w:val="1"/>
        </w:numPr>
        <w:spacing w:line="360" w:lineRule="auto"/>
        <w:rPr>
          <w:color w:val="000000" w:themeColor="text1"/>
        </w:rPr>
      </w:pPr>
      <w:r w:rsidRPr="00F65560">
        <w:rPr>
          <w:color w:val="000000" w:themeColor="text1"/>
        </w:rPr>
        <w:t xml:space="preserve">Implications for other sources </w:t>
      </w:r>
      <w:r w:rsidR="00D21813" w:rsidRPr="00F65560">
        <w:rPr>
          <w:color w:val="000000" w:themeColor="text1"/>
        </w:rPr>
        <w:t>(direct</w:t>
      </w:r>
      <w:r w:rsidR="00B86936" w:rsidRPr="00F65560">
        <w:rPr>
          <w:color w:val="000000" w:themeColor="text1"/>
        </w:rPr>
        <w:t xml:space="preserve"> and indirect</w:t>
      </w:r>
      <w:r w:rsidR="00D21813" w:rsidRPr="00F65560">
        <w:rPr>
          <w:color w:val="000000" w:themeColor="text1"/>
        </w:rPr>
        <w:t xml:space="preserve"> implementation)</w:t>
      </w:r>
    </w:p>
    <w:p w:rsidR="00207FDE" w:rsidRPr="00207FDE" w:rsidRDefault="00207FDE" w:rsidP="00207FDE">
      <w:pPr>
        <w:spacing w:line="360" w:lineRule="auto"/>
        <w:ind w:left="1440"/>
        <w:rPr>
          <w:color w:val="000000" w:themeColor="text1"/>
        </w:rPr>
      </w:pPr>
      <w:r w:rsidRPr="00207FDE">
        <w:rPr>
          <w:color w:val="000000" w:themeColor="text1"/>
        </w:rPr>
        <w:t xml:space="preserve">DEQ has determined that this proposed rulemaking will have no effect compared to current rule on the following sectors of nonpoint sources of pollution.  The proposed rule revisions in Divisions 41 and 42 for agricultural and forestry nonpoint sources are intended to clarify DEQ’s current authority to regulate nonpoint sources of pollution.   Agricultural and forest nonpoint sources are already regulated under Agricultural Water Quality Management Area Plans and Rules or Forest Practices Act rules.  </w:t>
      </w:r>
    </w:p>
    <w:p w:rsidR="000F7B71" w:rsidRPr="000F7B71" w:rsidRDefault="000F7B71" w:rsidP="000F7B71">
      <w:pPr>
        <w:pStyle w:val="ListParagraph"/>
        <w:numPr>
          <w:ilvl w:val="2"/>
          <w:numId w:val="8"/>
        </w:numPr>
        <w:spacing w:line="360" w:lineRule="auto"/>
        <w:rPr>
          <w:color w:val="000000" w:themeColor="text1"/>
        </w:rPr>
      </w:pPr>
      <w:r w:rsidRPr="000F7B71">
        <w:rPr>
          <w:color w:val="000000" w:themeColor="text1"/>
        </w:rPr>
        <w:t>Agriculture</w:t>
      </w:r>
    </w:p>
    <w:p w:rsidR="000F7B71" w:rsidRPr="000F7B71" w:rsidRDefault="000F7B71" w:rsidP="000F7B71">
      <w:pPr>
        <w:pStyle w:val="ListParagraph"/>
        <w:spacing w:line="360" w:lineRule="auto"/>
        <w:ind w:left="1980"/>
        <w:rPr>
          <w:i/>
          <w:color w:val="000000" w:themeColor="text1"/>
        </w:rPr>
      </w:pPr>
      <w:r w:rsidRPr="000F7B71">
        <w:rPr>
          <w:i/>
          <w:color w:val="000000" w:themeColor="text1"/>
        </w:rPr>
        <w:t xml:space="preserve">Source of Information:  SAIC Report, Fiscal Impact Analyses from </w:t>
      </w:r>
      <w:proofErr w:type="spellStart"/>
      <w:r w:rsidRPr="000F7B71">
        <w:rPr>
          <w:i/>
          <w:color w:val="000000" w:themeColor="text1"/>
        </w:rPr>
        <w:t>AgWQMA</w:t>
      </w:r>
      <w:proofErr w:type="spellEnd"/>
      <w:r w:rsidRPr="000F7B71">
        <w:rPr>
          <w:i/>
          <w:color w:val="000000" w:themeColor="text1"/>
        </w:rPr>
        <w:t xml:space="preserve"> Rule making, Kevin Masterson (Agency Toxics Coordinator)</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List of Relevant pollutants (see appendix)</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 xml:space="preserve">Changes in agricultural activities and conservation practices </w:t>
      </w:r>
    </w:p>
    <w:p w:rsidR="000F7B71" w:rsidRPr="000F7B71" w:rsidRDefault="000F7B71" w:rsidP="000F7B71">
      <w:pPr>
        <w:pStyle w:val="ListParagraph"/>
        <w:spacing w:line="360" w:lineRule="auto"/>
        <w:ind w:left="2880"/>
        <w:rPr>
          <w:b/>
          <w:color w:val="000000" w:themeColor="text1"/>
        </w:rPr>
      </w:pPr>
      <w:r w:rsidRPr="000F7B71">
        <w:rPr>
          <w:color w:val="000000" w:themeColor="text1"/>
        </w:rPr>
        <w:t xml:space="preserve">Agricultural activities are subject to </w:t>
      </w:r>
      <w:proofErr w:type="spellStart"/>
      <w:r w:rsidRPr="000F7B71">
        <w:rPr>
          <w:color w:val="000000" w:themeColor="text1"/>
        </w:rPr>
        <w:t>AgWQMA</w:t>
      </w:r>
      <w:proofErr w:type="spellEnd"/>
      <w:r w:rsidRPr="000F7B71">
        <w:rPr>
          <w:color w:val="000000" w:themeColor="text1"/>
        </w:rPr>
        <w:t xml:space="preserve"> Plans and Rules, and causing pollution is prohibited under </w:t>
      </w:r>
      <w:proofErr w:type="spellStart"/>
      <w:r w:rsidRPr="000F7B71">
        <w:rPr>
          <w:color w:val="000000" w:themeColor="text1"/>
        </w:rPr>
        <w:t>AgWQMA</w:t>
      </w:r>
      <w:proofErr w:type="spellEnd"/>
      <w:r w:rsidRPr="000F7B71">
        <w:rPr>
          <w:color w:val="000000" w:themeColor="text1"/>
        </w:rPr>
        <w:t xml:space="preserve"> Rules.  </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 xml:space="preserve">Types and Numbers of small business </w:t>
      </w:r>
    </w:p>
    <w:p w:rsidR="000F7B71" w:rsidRPr="000F7B71" w:rsidRDefault="000F7B71" w:rsidP="000F7B71">
      <w:pPr>
        <w:pStyle w:val="ListParagraph"/>
        <w:spacing w:line="360" w:lineRule="auto"/>
        <w:ind w:left="2880"/>
        <w:rPr>
          <w:b/>
          <w:color w:val="000000" w:themeColor="text1"/>
        </w:rPr>
      </w:pPr>
      <w:r w:rsidRPr="000F7B71">
        <w:rPr>
          <w:b/>
          <w:color w:val="000000" w:themeColor="text1"/>
        </w:rPr>
        <w:t>The agency welcomes input from the work group</w:t>
      </w:r>
    </w:p>
    <w:p w:rsidR="000F7B71" w:rsidRPr="000F7B71" w:rsidRDefault="000F7B71" w:rsidP="000F7B71">
      <w:pPr>
        <w:pStyle w:val="ListParagraph"/>
        <w:numPr>
          <w:ilvl w:val="0"/>
          <w:numId w:val="9"/>
        </w:numPr>
        <w:spacing w:line="360" w:lineRule="auto"/>
        <w:rPr>
          <w:color w:val="000000" w:themeColor="text1"/>
        </w:rPr>
      </w:pPr>
      <w:r w:rsidRPr="000F7B71">
        <w:rPr>
          <w:color w:val="000000" w:themeColor="text1"/>
        </w:rPr>
        <w:t>Impacts on small businesses and general public</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Agricultural activities are already subject to </w:t>
      </w:r>
      <w:proofErr w:type="spellStart"/>
      <w:r w:rsidRPr="000F7B71">
        <w:rPr>
          <w:color w:val="000000" w:themeColor="text1"/>
        </w:rPr>
        <w:t>AgWQMA</w:t>
      </w:r>
      <w:proofErr w:type="spellEnd"/>
      <w:r w:rsidRPr="000F7B71">
        <w:rPr>
          <w:color w:val="000000" w:themeColor="text1"/>
        </w:rPr>
        <w:t xml:space="preserve"> Plans and Rules that prohibit pollution.   DEQ has determined that this proposed rulemaking does not have direct fiscal impacts or effects on small businesses and general public.   </w:t>
      </w:r>
    </w:p>
    <w:p w:rsidR="000F7B71" w:rsidRPr="000F7B71" w:rsidRDefault="000F7B71" w:rsidP="000F7B71">
      <w:pPr>
        <w:pStyle w:val="ListParagraph"/>
        <w:numPr>
          <w:ilvl w:val="0"/>
          <w:numId w:val="10"/>
        </w:numPr>
        <w:spacing w:line="360" w:lineRule="auto"/>
        <w:rPr>
          <w:color w:val="000000" w:themeColor="text1"/>
        </w:rPr>
      </w:pPr>
      <w:r w:rsidRPr="000F7B71">
        <w:rPr>
          <w:color w:val="000000" w:themeColor="text1"/>
        </w:rPr>
        <w:t xml:space="preserve">Impacts on state agencies </w:t>
      </w:r>
    </w:p>
    <w:p w:rsidR="000F7B71" w:rsidRPr="000F7B71" w:rsidRDefault="000F7B71" w:rsidP="000F7B71">
      <w:pPr>
        <w:pStyle w:val="ListParagraph"/>
        <w:spacing w:line="360" w:lineRule="auto"/>
        <w:ind w:left="2880"/>
        <w:rPr>
          <w:b/>
          <w:color w:val="000000" w:themeColor="text1"/>
        </w:rPr>
      </w:pPr>
      <w:r w:rsidRPr="000F7B71">
        <w:rPr>
          <w:b/>
          <w:color w:val="000000" w:themeColor="text1"/>
        </w:rPr>
        <w:t>The agency welcomes input from the work group</w:t>
      </w:r>
    </w:p>
    <w:p w:rsidR="000F7B71" w:rsidRPr="000F7B71" w:rsidRDefault="000F7B71" w:rsidP="000F7B71">
      <w:pPr>
        <w:pStyle w:val="ListParagraph"/>
        <w:numPr>
          <w:ilvl w:val="0"/>
          <w:numId w:val="10"/>
        </w:numPr>
        <w:spacing w:line="360" w:lineRule="auto"/>
        <w:rPr>
          <w:color w:val="000000" w:themeColor="text1"/>
        </w:rPr>
      </w:pPr>
      <w:r w:rsidRPr="000F7B71">
        <w:rPr>
          <w:color w:val="000000" w:themeColor="text1"/>
        </w:rPr>
        <w:t>Impacts on DEQ</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In order to develop TMDLs that have detailed information, each TMDL will require more resources.  DEQ will extend the timeline and prioritize work in order to develop Implementation-Ready TMDLs. </w:t>
      </w:r>
    </w:p>
    <w:p w:rsidR="000F7B71" w:rsidRPr="000F7B71" w:rsidRDefault="000F7B71" w:rsidP="000F7B71">
      <w:pPr>
        <w:pStyle w:val="ListParagraph"/>
        <w:spacing w:line="360" w:lineRule="auto"/>
        <w:ind w:left="2880"/>
        <w:rPr>
          <w:color w:val="000000" w:themeColor="text1"/>
        </w:rPr>
      </w:pPr>
    </w:p>
    <w:p w:rsidR="000F7B71" w:rsidRPr="000F7B71" w:rsidRDefault="000F7B71" w:rsidP="000F7B71">
      <w:pPr>
        <w:pStyle w:val="ListParagraph"/>
        <w:numPr>
          <w:ilvl w:val="2"/>
          <w:numId w:val="8"/>
        </w:numPr>
        <w:spacing w:line="360" w:lineRule="auto"/>
        <w:rPr>
          <w:color w:val="000000" w:themeColor="text1"/>
        </w:rPr>
      </w:pPr>
      <w:r w:rsidRPr="000F7B71">
        <w:rPr>
          <w:color w:val="000000" w:themeColor="text1"/>
        </w:rPr>
        <w:t xml:space="preserve">Forestry </w:t>
      </w:r>
    </w:p>
    <w:p w:rsidR="000F7B71" w:rsidRPr="000F7B71" w:rsidRDefault="000F7B71" w:rsidP="000F7B71">
      <w:pPr>
        <w:pStyle w:val="ListParagraph"/>
        <w:spacing w:line="360" w:lineRule="auto"/>
        <w:ind w:left="1980"/>
        <w:rPr>
          <w:i/>
          <w:color w:val="000000" w:themeColor="text1"/>
        </w:rPr>
      </w:pPr>
      <w:r w:rsidRPr="000F7B71">
        <w:rPr>
          <w:i/>
          <w:color w:val="000000" w:themeColor="text1"/>
        </w:rPr>
        <w:t>Source of Information:  SAIC Report, Kevin Masterson (Agency Toxics Coordinator)</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List of Relevant pollutants (see appendix)</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 xml:space="preserve">Changes in forest activities and conservation practices </w:t>
      </w:r>
    </w:p>
    <w:p w:rsidR="000F7B71" w:rsidRPr="000F7B71" w:rsidRDefault="000F7B71" w:rsidP="000F7B71">
      <w:pPr>
        <w:pStyle w:val="ListParagraph"/>
        <w:spacing w:line="360" w:lineRule="auto"/>
        <w:ind w:left="2880"/>
        <w:rPr>
          <w:b/>
          <w:color w:val="000000" w:themeColor="text1"/>
        </w:rPr>
      </w:pPr>
      <w:r w:rsidRPr="000F7B71">
        <w:rPr>
          <w:color w:val="000000" w:themeColor="text1"/>
        </w:rPr>
        <w:t xml:space="preserve">Forest activities are subject to Forest Practices Act and rules to meet the water quality standards and TMDL load allocations.  The agency does not expect significant fiscal or economic impacts on forest lands.  </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 xml:space="preserve">Types and Numbers of small business </w:t>
      </w:r>
    </w:p>
    <w:p w:rsidR="000F7B71" w:rsidRPr="000F7B71" w:rsidRDefault="000F7B71" w:rsidP="000F7B71">
      <w:pPr>
        <w:pStyle w:val="ListParagraph"/>
        <w:spacing w:line="360" w:lineRule="auto"/>
        <w:ind w:left="2880"/>
        <w:rPr>
          <w:b/>
          <w:color w:val="000000" w:themeColor="text1"/>
        </w:rPr>
      </w:pPr>
      <w:r w:rsidRPr="000F7B71">
        <w:rPr>
          <w:b/>
          <w:color w:val="000000" w:themeColor="text1"/>
        </w:rPr>
        <w:t>The agency welcomes input from the work group</w:t>
      </w:r>
    </w:p>
    <w:p w:rsidR="000F7B71" w:rsidRPr="000F7B71" w:rsidRDefault="000F7B71" w:rsidP="000F7B71">
      <w:pPr>
        <w:pStyle w:val="ListParagraph"/>
        <w:numPr>
          <w:ilvl w:val="0"/>
          <w:numId w:val="9"/>
        </w:numPr>
        <w:spacing w:line="360" w:lineRule="auto"/>
        <w:rPr>
          <w:color w:val="000000" w:themeColor="text1"/>
        </w:rPr>
      </w:pPr>
      <w:r w:rsidRPr="000F7B71">
        <w:rPr>
          <w:color w:val="000000" w:themeColor="text1"/>
        </w:rPr>
        <w:t>Impacts on small businesses and general public</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Forest activities are subject to Forest Practices Act and rules.  DEQ has determined that this proposed rulemaking does not have direct fiscal impacts or effects on small businesses and general public.   </w:t>
      </w:r>
    </w:p>
    <w:p w:rsidR="000F7B71" w:rsidRPr="000F7B71" w:rsidRDefault="000F7B71" w:rsidP="000F7B71">
      <w:pPr>
        <w:pStyle w:val="ListParagraph"/>
        <w:numPr>
          <w:ilvl w:val="0"/>
          <w:numId w:val="10"/>
        </w:numPr>
        <w:spacing w:line="360" w:lineRule="auto"/>
        <w:rPr>
          <w:color w:val="000000" w:themeColor="text1"/>
        </w:rPr>
      </w:pPr>
      <w:r w:rsidRPr="000F7B71">
        <w:rPr>
          <w:color w:val="000000" w:themeColor="text1"/>
        </w:rPr>
        <w:t xml:space="preserve">Impacts on state agencies </w:t>
      </w:r>
    </w:p>
    <w:p w:rsidR="000F7B71" w:rsidRPr="000F7B71" w:rsidRDefault="000F7B71" w:rsidP="000F7B71">
      <w:pPr>
        <w:pStyle w:val="ListParagraph"/>
        <w:spacing w:line="360" w:lineRule="auto"/>
        <w:ind w:left="2880"/>
        <w:rPr>
          <w:b/>
          <w:color w:val="000000" w:themeColor="text1"/>
        </w:rPr>
      </w:pPr>
      <w:r w:rsidRPr="000F7B71">
        <w:rPr>
          <w:b/>
          <w:color w:val="000000" w:themeColor="text1"/>
        </w:rPr>
        <w:t>The agency welcomes input from the work group</w:t>
      </w:r>
    </w:p>
    <w:p w:rsidR="000F7B71" w:rsidRPr="000F7B71" w:rsidRDefault="000F7B71" w:rsidP="000F7B71">
      <w:pPr>
        <w:pStyle w:val="ListParagraph"/>
        <w:numPr>
          <w:ilvl w:val="0"/>
          <w:numId w:val="10"/>
        </w:numPr>
        <w:spacing w:line="360" w:lineRule="auto"/>
        <w:rPr>
          <w:color w:val="000000" w:themeColor="text1"/>
        </w:rPr>
      </w:pPr>
      <w:r w:rsidRPr="000F7B71">
        <w:rPr>
          <w:color w:val="000000" w:themeColor="text1"/>
        </w:rPr>
        <w:t>Impacts on DEQ</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In order to develop TMDLs that have detailed information, each TMDL will require more resources.  DEQ will extend the timeline and prioritize work in order to develop Implementation-Ready TMDLs. </w:t>
      </w:r>
    </w:p>
    <w:p w:rsidR="000F7B71" w:rsidRPr="000F7B71" w:rsidRDefault="000F7B71" w:rsidP="000F7B71">
      <w:pPr>
        <w:pStyle w:val="ListParagraph"/>
        <w:numPr>
          <w:ilvl w:val="2"/>
          <w:numId w:val="8"/>
        </w:numPr>
        <w:spacing w:line="360" w:lineRule="auto"/>
        <w:rPr>
          <w:color w:val="000000" w:themeColor="text1"/>
        </w:rPr>
      </w:pPr>
      <w:r w:rsidRPr="000F7B71">
        <w:rPr>
          <w:color w:val="000000" w:themeColor="text1"/>
        </w:rPr>
        <w:t>Non-Permitted Urban Sources</w:t>
      </w:r>
    </w:p>
    <w:p w:rsidR="000F7B71" w:rsidRPr="000F7B71" w:rsidRDefault="000F7B71" w:rsidP="000F7B71">
      <w:pPr>
        <w:pStyle w:val="ListParagraph"/>
        <w:spacing w:line="360" w:lineRule="auto"/>
        <w:ind w:left="1980"/>
        <w:rPr>
          <w:i/>
          <w:color w:val="000000" w:themeColor="text1"/>
        </w:rPr>
      </w:pPr>
      <w:r w:rsidRPr="000F7B71">
        <w:rPr>
          <w:i/>
          <w:color w:val="000000" w:themeColor="text1"/>
        </w:rPr>
        <w:t>Source of Information:  SAIC Report, Kevin Masterson (Agency Toxics Coordinator)</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List of Relevant pollutants (see appendix)</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 xml:space="preserve">Changes in urban BMPs  </w:t>
      </w:r>
    </w:p>
    <w:p w:rsidR="000F7B71" w:rsidRPr="000F7B71" w:rsidRDefault="000F7B71" w:rsidP="000F7B71">
      <w:pPr>
        <w:pStyle w:val="ListParagraph"/>
        <w:spacing w:line="360" w:lineRule="auto"/>
        <w:ind w:left="2880"/>
        <w:rPr>
          <w:b/>
          <w:color w:val="000000" w:themeColor="text1"/>
        </w:rPr>
      </w:pPr>
      <w:r w:rsidRPr="000F7B71">
        <w:rPr>
          <w:color w:val="000000" w:themeColor="text1"/>
        </w:rPr>
        <w:t xml:space="preserve">For non-MS4 communities and facilities without NPDES requirements, TMDLs are the main driver for developing water quality management plans. Since TMDLs already require local governments and counties as designated management agencies to develop and implement TMDL implementation plans, the agency does not expect significant fiscal or economic impacts for urban sources as a result of this rulemaking process.  </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Types and Numbers of small businesses affected</w:t>
      </w:r>
    </w:p>
    <w:p w:rsidR="000F7B71" w:rsidRPr="000F7B71" w:rsidRDefault="000F7B71" w:rsidP="000F7B71">
      <w:pPr>
        <w:pStyle w:val="ListParagraph"/>
        <w:spacing w:line="360" w:lineRule="auto"/>
        <w:ind w:left="2880"/>
        <w:rPr>
          <w:b/>
          <w:color w:val="000000" w:themeColor="text1"/>
        </w:rPr>
      </w:pPr>
      <w:r w:rsidRPr="000F7B71">
        <w:rPr>
          <w:b/>
          <w:color w:val="000000" w:themeColor="text1"/>
        </w:rPr>
        <w:t>The agency welcomes input from the work group</w:t>
      </w:r>
    </w:p>
    <w:p w:rsidR="000F7B71" w:rsidRPr="000F7B71" w:rsidRDefault="000F7B71" w:rsidP="000F7B71">
      <w:pPr>
        <w:pStyle w:val="ListParagraph"/>
        <w:numPr>
          <w:ilvl w:val="0"/>
          <w:numId w:val="9"/>
        </w:numPr>
        <w:spacing w:line="360" w:lineRule="auto"/>
        <w:rPr>
          <w:color w:val="000000" w:themeColor="text1"/>
        </w:rPr>
      </w:pPr>
      <w:r w:rsidRPr="000F7B71">
        <w:rPr>
          <w:color w:val="000000" w:themeColor="text1"/>
        </w:rPr>
        <w:t>Impacts on small businesses and general public</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Urban </w:t>
      </w:r>
      <w:proofErr w:type="spellStart"/>
      <w:r w:rsidRPr="000F7B71">
        <w:rPr>
          <w:color w:val="000000" w:themeColor="text1"/>
        </w:rPr>
        <w:t>stormwater</w:t>
      </w:r>
      <w:proofErr w:type="spellEnd"/>
      <w:r w:rsidRPr="000F7B71">
        <w:rPr>
          <w:color w:val="000000" w:themeColor="text1"/>
        </w:rPr>
        <w:t xml:space="preserve"> and other water quality parameters are subject to TMDLs.    DEQ has determined that this proposed rulemaking does not have direct fiscal impacts or effects on small businesses and general public.   </w:t>
      </w:r>
    </w:p>
    <w:p w:rsidR="000F7B71" w:rsidRPr="000F7B71" w:rsidRDefault="000F7B71" w:rsidP="000F7B71">
      <w:pPr>
        <w:pStyle w:val="ListParagraph"/>
        <w:numPr>
          <w:ilvl w:val="0"/>
          <w:numId w:val="10"/>
        </w:numPr>
        <w:spacing w:line="360" w:lineRule="auto"/>
        <w:rPr>
          <w:color w:val="000000" w:themeColor="text1"/>
        </w:rPr>
      </w:pPr>
      <w:r w:rsidRPr="000F7B71">
        <w:rPr>
          <w:color w:val="000000" w:themeColor="text1"/>
        </w:rPr>
        <w:t xml:space="preserve">Impacts on other state agencies </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The department does not expect other state agencies to experience fiscal or economic impacts.  </w:t>
      </w:r>
    </w:p>
    <w:p w:rsidR="000F7B71" w:rsidRPr="000F7B71" w:rsidRDefault="000F7B71" w:rsidP="000F7B71">
      <w:pPr>
        <w:pStyle w:val="ListParagraph"/>
        <w:numPr>
          <w:ilvl w:val="0"/>
          <w:numId w:val="10"/>
        </w:numPr>
        <w:spacing w:line="360" w:lineRule="auto"/>
        <w:rPr>
          <w:color w:val="000000" w:themeColor="text1"/>
        </w:rPr>
      </w:pPr>
      <w:r w:rsidRPr="000F7B71">
        <w:rPr>
          <w:color w:val="000000" w:themeColor="text1"/>
        </w:rPr>
        <w:t>Impacts on DEQ</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In order to develop TMDLs that have detailed information, each TMDL will require more resources.  DEQ will extend the timeline and prioritize work in order to develop Implementation-Ready TMDLs. </w:t>
      </w:r>
    </w:p>
    <w:p w:rsidR="000F7B71" w:rsidRPr="000F7B71" w:rsidRDefault="000F7B71" w:rsidP="000F7B71">
      <w:pPr>
        <w:pStyle w:val="ListParagraph"/>
        <w:numPr>
          <w:ilvl w:val="2"/>
          <w:numId w:val="8"/>
        </w:numPr>
        <w:spacing w:line="360" w:lineRule="auto"/>
        <w:rPr>
          <w:color w:val="000000" w:themeColor="text1"/>
        </w:rPr>
      </w:pPr>
      <w:r w:rsidRPr="000F7B71">
        <w:rPr>
          <w:color w:val="000000" w:themeColor="text1"/>
        </w:rPr>
        <w:t>Land &amp; Air sources</w:t>
      </w:r>
    </w:p>
    <w:p w:rsidR="000F7B71" w:rsidRPr="00C06FD1" w:rsidRDefault="000F7B71" w:rsidP="00C06FD1">
      <w:pPr>
        <w:pStyle w:val="ListParagraph"/>
        <w:spacing w:line="360" w:lineRule="auto"/>
        <w:ind w:left="2160"/>
        <w:rPr>
          <w:i/>
          <w:color w:val="000000" w:themeColor="text1"/>
        </w:rPr>
      </w:pPr>
      <w:r w:rsidRPr="000F7B71">
        <w:rPr>
          <w:i/>
          <w:color w:val="000000" w:themeColor="text1"/>
        </w:rPr>
        <w:t>Source of Information:  SAIC Report, Kevin Masterson (Agency Toxics Coordinator)</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List of Relevant pollutants (see attached table)</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Changes in air source control</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DEQ made a policy decision to limit the scope of the toxics water quality standards rulemaking to divisions under water program.  The actual regulatory mechanism for addressing TMDL allocations through other media programs still needs to be defined and described.  Since DEQ has all along had the authority to assign load allocations to air sources, the current rulemaking process does not have any fiscal or economic impact.  </w:t>
      </w:r>
      <w:r w:rsidRPr="000F7B71">
        <w:rPr>
          <w:b/>
          <w:color w:val="000000" w:themeColor="text1"/>
        </w:rPr>
        <w:t>The agency welcomes input from the work group</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Types and Numbers of small businesses affected</w:t>
      </w:r>
    </w:p>
    <w:p w:rsidR="000F7B71" w:rsidRPr="000F7B71" w:rsidRDefault="000F7B71" w:rsidP="000F7B71">
      <w:pPr>
        <w:pStyle w:val="ListParagraph"/>
        <w:spacing w:line="360" w:lineRule="auto"/>
        <w:ind w:left="2880"/>
        <w:rPr>
          <w:b/>
          <w:color w:val="000000" w:themeColor="text1"/>
        </w:rPr>
      </w:pPr>
      <w:r w:rsidRPr="000F7B71">
        <w:rPr>
          <w:b/>
          <w:color w:val="000000" w:themeColor="text1"/>
        </w:rPr>
        <w:t>The agency welcomes input from the work group</w:t>
      </w:r>
    </w:p>
    <w:p w:rsidR="000F7B71" w:rsidRPr="000F7B71" w:rsidRDefault="000F7B71" w:rsidP="000F7B71">
      <w:pPr>
        <w:pStyle w:val="ListParagraph"/>
        <w:numPr>
          <w:ilvl w:val="0"/>
          <w:numId w:val="9"/>
        </w:numPr>
        <w:spacing w:line="360" w:lineRule="auto"/>
        <w:rPr>
          <w:color w:val="000000" w:themeColor="text1"/>
        </w:rPr>
      </w:pPr>
      <w:r w:rsidRPr="000F7B71">
        <w:rPr>
          <w:color w:val="000000" w:themeColor="text1"/>
        </w:rPr>
        <w:t>Impacts on small businesses and general public</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Air sources are already subject to TMDLs under current rules.    DEQ has determined that this proposed rulemaking does not have direct fiscal impacts or effects on small businesses and general public.   </w:t>
      </w:r>
    </w:p>
    <w:p w:rsidR="000F7B71" w:rsidRPr="000F7B71" w:rsidRDefault="000F7B71" w:rsidP="000F7B71">
      <w:pPr>
        <w:pStyle w:val="ListParagraph"/>
        <w:numPr>
          <w:ilvl w:val="0"/>
          <w:numId w:val="10"/>
        </w:numPr>
        <w:spacing w:line="360" w:lineRule="auto"/>
        <w:rPr>
          <w:color w:val="000000" w:themeColor="text1"/>
        </w:rPr>
      </w:pPr>
      <w:r w:rsidRPr="000F7B71">
        <w:rPr>
          <w:color w:val="000000" w:themeColor="text1"/>
        </w:rPr>
        <w:t xml:space="preserve">Impacts on state agencies </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The department does not expect other state agencies to experience fiscal or economic impacts.  </w:t>
      </w:r>
    </w:p>
    <w:p w:rsidR="000F7B71" w:rsidRPr="000F7B71" w:rsidRDefault="000F7B71" w:rsidP="000F7B71">
      <w:pPr>
        <w:pStyle w:val="ListParagraph"/>
        <w:numPr>
          <w:ilvl w:val="0"/>
          <w:numId w:val="10"/>
        </w:numPr>
        <w:spacing w:line="360" w:lineRule="auto"/>
        <w:rPr>
          <w:color w:val="000000" w:themeColor="text1"/>
        </w:rPr>
      </w:pPr>
      <w:r w:rsidRPr="000F7B71">
        <w:rPr>
          <w:color w:val="000000" w:themeColor="text1"/>
        </w:rPr>
        <w:t>Impacts on DEQ</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In order to develop TMDLs that have detailed information, each TMDL will require more resources.  DEQ will extend the timeline or prioritize work in order to develop Implementation-Ready TMDLs where needed. </w:t>
      </w:r>
    </w:p>
    <w:p w:rsidR="000F7B71" w:rsidRDefault="000F7B71" w:rsidP="000F7B71">
      <w:pPr>
        <w:pStyle w:val="ListParagraph"/>
        <w:numPr>
          <w:ilvl w:val="1"/>
          <w:numId w:val="8"/>
        </w:numPr>
        <w:spacing w:line="360" w:lineRule="auto"/>
      </w:pPr>
      <w:r>
        <w:t>Potential increase in number of listings and need for TMDL development</w:t>
      </w:r>
    </w:p>
    <w:p w:rsidR="000F7B71" w:rsidRDefault="000F7B71" w:rsidP="000F7B71">
      <w:pPr>
        <w:pStyle w:val="ListParagraph"/>
        <w:spacing w:line="360" w:lineRule="auto"/>
        <w:ind w:left="1440"/>
        <w:rPr>
          <w:i/>
        </w:rPr>
      </w:pPr>
      <w:r>
        <w:rPr>
          <w:i/>
        </w:rPr>
        <w:t>Source of information:  SAIC Report, draft 2010 303(d) list (if available)</w:t>
      </w:r>
    </w:p>
    <w:p w:rsidR="000F7B71" w:rsidRDefault="000F7B71" w:rsidP="000F7B71">
      <w:pPr>
        <w:pStyle w:val="ListParagraph"/>
        <w:numPr>
          <w:ilvl w:val="2"/>
          <w:numId w:val="8"/>
        </w:numPr>
        <w:spacing w:line="360" w:lineRule="auto"/>
      </w:pPr>
      <w:r>
        <w:t>Analysis to identify likelihood of additional listings</w:t>
      </w:r>
    </w:p>
    <w:p w:rsidR="000F7B71" w:rsidRPr="000F7B71" w:rsidRDefault="000F7B71" w:rsidP="000F7B71">
      <w:pPr>
        <w:pStyle w:val="ListParagraph"/>
        <w:spacing w:line="360" w:lineRule="auto"/>
        <w:ind w:left="2160"/>
        <w:rPr>
          <w:color w:val="000000" w:themeColor="text1"/>
        </w:rPr>
      </w:pPr>
      <w:r w:rsidRPr="000F7B71">
        <w:rPr>
          <w:color w:val="000000" w:themeColor="text1"/>
        </w:rPr>
        <w:t xml:space="preserve">For some of the pollutants that were evaluated for the SAIC report, the percent of the data that exceeded the criteria increased with higher fish consumption rate.   </w:t>
      </w:r>
    </w:p>
    <w:p w:rsidR="000F7B71" w:rsidRPr="000F7B71" w:rsidRDefault="000F7B71" w:rsidP="000F7B71">
      <w:pPr>
        <w:pStyle w:val="ListParagraph"/>
        <w:numPr>
          <w:ilvl w:val="2"/>
          <w:numId w:val="8"/>
        </w:numPr>
        <w:spacing w:line="360" w:lineRule="auto"/>
        <w:rPr>
          <w:color w:val="000000" w:themeColor="text1"/>
        </w:rPr>
      </w:pPr>
      <w:r w:rsidRPr="000F7B71">
        <w:rPr>
          <w:color w:val="000000" w:themeColor="text1"/>
        </w:rPr>
        <w:t>DEQ costs</w:t>
      </w:r>
    </w:p>
    <w:p w:rsidR="000F7B71" w:rsidRPr="000F7B71" w:rsidRDefault="000F7B71" w:rsidP="000F7B71">
      <w:pPr>
        <w:pStyle w:val="ListParagraph"/>
        <w:spacing w:line="360" w:lineRule="auto"/>
        <w:ind w:left="2160"/>
        <w:rPr>
          <w:color w:val="000000" w:themeColor="text1"/>
        </w:rPr>
      </w:pPr>
      <w:r w:rsidRPr="000F7B71">
        <w:rPr>
          <w:color w:val="000000" w:themeColor="text1"/>
        </w:rPr>
        <w:t xml:space="preserve">In order to develop TMDLs that have detailed information, each TMDL will require more resources.  DEQ will extend the timeline or prioritize work in order to develop Implementation-Ready TMDLs where needed.   </w:t>
      </w:r>
    </w:p>
    <w:p w:rsidR="000F7B71" w:rsidRPr="000F7B71" w:rsidRDefault="000F7B71" w:rsidP="000F7B71">
      <w:pPr>
        <w:pStyle w:val="ListParagraph"/>
        <w:spacing w:line="360" w:lineRule="auto"/>
        <w:ind w:left="2160"/>
        <w:rPr>
          <w:color w:val="000000" w:themeColor="text1"/>
        </w:rPr>
      </w:pPr>
      <w:r w:rsidRPr="000F7B71">
        <w:rPr>
          <w:color w:val="000000" w:themeColor="text1"/>
        </w:rPr>
        <w:t xml:space="preserve">According to SAIC report, additional technical assistance may be needed in order for the dischargers to meet TMDL waste load allocations.   Requests for pursuing variances by facilities may increase, for example.  </w:t>
      </w:r>
    </w:p>
    <w:p w:rsidR="000F7B71" w:rsidRDefault="000F7B71" w:rsidP="000F7B71">
      <w:pPr>
        <w:pStyle w:val="ListParagraph"/>
        <w:numPr>
          <w:ilvl w:val="2"/>
          <w:numId w:val="8"/>
        </w:numPr>
        <w:spacing w:line="360" w:lineRule="auto"/>
      </w:pPr>
      <w:r>
        <w:t>Implications/costs for entities (Indirect effect/cost)</w:t>
      </w:r>
    </w:p>
    <w:p w:rsidR="000F7B71" w:rsidRDefault="000F7B71" w:rsidP="000F7B71">
      <w:pPr>
        <w:pStyle w:val="ListParagraph"/>
        <w:spacing w:line="360" w:lineRule="auto"/>
        <w:ind w:left="2160"/>
      </w:pPr>
      <w:r>
        <w:t xml:space="preserve">See previous section, </w:t>
      </w:r>
      <w:r>
        <w:rPr>
          <w:i/>
        </w:rPr>
        <w:t>Implications for Other Sources</w:t>
      </w:r>
      <w:r w:rsidR="00D16F54">
        <w:t xml:space="preserve"> </w:t>
      </w:r>
      <w:r>
        <w:t xml:space="preserve">for the potential impacts on sources.  </w:t>
      </w:r>
    </w:p>
    <w:p w:rsidR="00D21813" w:rsidRPr="00F65560" w:rsidRDefault="00B86936" w:rsidP="00754126">
      <w:pPr>
        <w:pStyle w:val="ListParagraph"/>
        <w:numPr>
          <w:ilvl w:val="1"/>
          <w:numId w:val="1"/>
        </w:numPr>
        <w:spacing w:line="360" w:lineRule="auto"/>
      </w:pPr>
      <w:r w:rsidRPr="00F65560">
        <w:t>Benefits attributable to revision and implementation of human health criteria for toxics</w:t>
      </w:r>
    </w:p>
    <w:p w:rsidR="00B86936" w:rsidRPr="00F65560" w:rsidRDefault="004128AE" w:rsidP="00754126">
      <w:pPr>
        <w:pStyle w:val="ListParagraph"/>
        <w:spacing w:line="360" w:lineRule="auto"/>
        <w:ind w:left="1440"/>
        <w:rPr>
          <w:i/>
        </w:rPr>
      </w:pPr>
      <w:r w:rsidRPr="00F65560">
        <w:rPr>
          <w:i/>
        </w:rPr>
        <w:t>Source of information:  FIIAC memo, SAIC Report</w:t>
      </w:r>
    </w:p>
    <w:p w:rsidR="000E2C37" w:rsidRPr="00F65560" w:rsidRDefault="000E2C37" w:rsidP="000E2C37">
      <w:pPr>
        <w:numPr>
          <w:ilvl w:val="2"/>
          <w:numId w:val="2"/>
        </w:numPr>
        <w:spacing w:after="0" w:line="240" w:lineRule="auto"/>
        <w:rPr>
          <w:rFonts w:cs="Arial"/>
          <w:iCs/>
        </w:rPr>
      </w:pPr>
      <w:r w:rsidRPr="00F65560">
        <w:rPr>
          <w:rFonts w:cs="Arial"/>
          <w:iCs/>
        </w:rPr>
        <w:t>DEQ did not have the financial resources to conduct a quantitative analysis of the direct and indirect potential benefits associated with an increased fish consumption rate, however, the FIIAC committee members along with representatives from the Oregon Environmental Council and CTUIR agreed that while economic benefits can be difficult to analyze, it is important to describe potential benefits, at the very least, in a qualitative manner.  Benefits associated with toxics rulemaking were discussed in the FIIAC memo and are summarized below:</w:t>
      </w:r>
    </w:p>
    <w:p w:rsidR="000D691D" w:rsidRPr="00F65560" w:rsidRDefault="000D691D" w:rsidP="00754126">
      <w:pPr>
        <w:pStyle w:val="ListParagraph"/>
        <w:spacing w:line="360" w:lineRule="auto"/>
      </w:pPr>
    </w:p>
    <w:p w:rsidR="00D41A29" w:rsidRPr="00F65560" w:rsidRDefault="00D41A29" w:rsidP="00D41A29">
      <w:pPr>
        <w:rPr>
          <w:rFonts w:cs="Arial"/>
          <w:b/>
        </w:rPr>
      </w:pPr>
    </w:p>
    <w:p w:rsidR="001F7D92" w:rsidRDefault="001F7D92" w:rsidP="00D41A29">
      <w:pPr>
        <w:rPr>
          <w:rFonts w:cs="Arial"/>
          <w:b/>
        </w:rPr>
      </w:pPr>
    </w:p>
    <w:p w:rsidR="009E16A9" w:rsidRDefault="009E16A9" w:rsidP="00D41A29">
      <w:pPr>
        <w:rPr>
          <w:rFonts w:cs="Arial"/>
          <w:b/>
        </w:rPr>
      </w:pPr>
    </w:p>
    <w:p w:rsidR="009E16A9" w:rsidRDefault="009E16A9" w:rsidP="00D41A29">
      <w:pPr>
        <w:rPr>
          <w:rFonts w:cs="Arial"/>
          <w:b/>
        </w:rPr>
      </w:pPr>
    </w:p>
    <w:p w:rsidR="00D41A29" w:rsidRPr="00F65560" w:rsidRDefault="00D41A29" w:rsidP="00D41A29">
      <w:pPr>
        <w:rPr>
          <w:rFonts w:cs="Arial"/>
          <w:b/>
        </w:rPr>
      </w:pPr>
      <w:r w:rsidRPr="00F65560">
        <w:rPr>
          <w:rFonts w:cs="Arial"/>
          <w:b/>
        </w:rPr>
        <w:t>Table 2: Potential Benefits of Raising the Fish Consumption Rate and Meeting the Standards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818"/>
        <w:gridCol w:w="6570"/>
      </w:tblGrid>
      <w:tr w:rsidR="00D41A29" w:rsidRPr="00F65560" w:rsidTr="00F65560">
        <w:tc>
          <w:tcPr>
            <w:tcW w:w="1818" w:type="dxa"/>
          </w:tcPr>
          <w:p w:rsidR="00D41A29" w:rsidRPr="00F65560" w:rsidRDefault="00D41A29" w:rsidP="00D41A29">
            <w:pPr>
              <w:rPr>
                <w:rFonts w:cs="Arial"/>
                <w:b/>
                <w:i/>
              </w:rPr>
            </w:pPr>
            <w:r w:rsidRPr="00F65560">
              <w:rPr>
                <w:rFonts w:cs="Arial"/>
                <w:b/>
                <w:i/>
              </w:rPr>
              <w:t>Benefit</w:t>
            </w:r>
          </w:p>
        </w:tc>
        <w:tc>
          <w:tcPr>
            <w:tcW w:w="6570" w:type="dxa"/>
          </w:tcPr>
          <w:p w:rsidR="00D41A29" w:rsidRPr="00F65560" w:rsidRDefault="00D41A29" w:rsidP="00D41A29">
            <w:pPr>
              <w:rPr>
                <w:rFonts w:cs="Arial"/>
                <w:b/>
                <w:i/>
              </w:rPr>
            </w:pPr>
            <w:r w:rsidRPr="00F65560">
              <w:rPr>
                <w:rFonts w:cs="Arial"/>
                <w:b/>
                <w:i/>
              </w:rPr>
              <w:t>Examples</w:t>
            </w:r>
          </w:p>
        </w:tc>
      </w:tr>
      <w:tr w:rsidR="00D41A29" w:rsidRPr="00F65560" w:rsidTr="00F65560">
        <w:trPr>
          <w:trHeight w:val="1160"/>
        </w:trPr>
        <w:tc>
          <w:tcPr>
            <w:tcW w:w="1818" w:type="dxa"/>
          </w:tcPr>
          <w:p w:rsidR="00D41A29" w:rsidRPr="00F65560" w:rsidRDefault="00D41A29" w:rsidP="00D41A29">
            <w:pPr>
              <w:rPr>
                <w:rFonts w:cs="Arial"/>
              </w:rPr>
            </w:pPr>
            <w:r w:rsidRPr="00F65560">
              <w:rPr>
                <w:rFonts w:cs="Arial"/>
              </w:rPr>
              <w:t>Human Health</w:t>
            </w:r>
          </w:p>
        </w:tc>
        <w:tc>
          <w:tcPr>
            <w:tcW w:w="6570" w:type="dxa"/>
          </w:tcPr>
          <w:p w:rsidR="00D41A29" w:rsidRPr="00F65560" w:rsidRDefault="00D41A29" w:rsidP="00D41A29">
            <w:pPr>
              <w:rPr>
                <w:rFonts w:cs="Arial"/>
              </w:rPr>
            </w:pPr>
            <w:r w:rsidRPr="00F65560">
              <w:rPr>
                <w:rFonts w:cs="Arial"/>
              </w:rPr>
              <w:t xml:space="preserve">-safe drinking water; </w:t>
            </w:r>
          </w:p>
          <w:p w:rsidR="00D41A29" w:rsidRPr="00F65560" w:rsidRDefault="00D41A29" w:rsidP="00D41A29">
            <w:pPr>
              <w:rPr>
                <w:rFonts w:cs="Arial"/>
              </w:rPr>
            </w:pPr>
            <w:r w:rsidRPr="00F65560">
              <w:rPr>
                <w:rFonts w:cs="Arial"/>
              </w:rPr>
              <w:t xml:space="preserve">-avoided costs from environmentally attributable diseases; </w:t>
            </w:r>
          </w:p>
          <w:p w:rsidR="00D41A29" w:rsidRPr="00F65560" w:rsidRDefault="00D41A29" w:rsidP="00D41A29">
            <w:pPr>
              <w:rPr>
                <w:rFonts w:cs="Arial"/>
              </w:rPr>
            </w:pPr>
            <w:r w:rsidRPr="00F65560">
              <w:rPr>
                <w:rFonts w:cs="Arial"/>
              </w:rPr>
              <w:t xml:space="preserve">-reduced risk for those who do eat fish; </w:t>
            </w:r>
          </w:p>
          <w:p w:rsidR="00D41A29" w:rsidRPr="00F65560" w:rsidRDefault="00D41A29" w:rsidP="00D41A29">
            <w:pPr>
              <w:rPr>
                <w:rFonts w:cs="Arial"/>
              </w:rPr>
            </w:pPr>
            <w:r w:rsidRPr="00F65560">
              <w:rPr>
                <w:rFonts w:cs="Arial"/>
              </w:rPr>
              <w:t>-recreational – reduced risk from water contact</w:t>
            </w:r>
            <w:r w:rsidRPr="00F65560" w:rsidDel="00FC23DC">
              <w:rPr>
                <w:rFonts w:cs="Arial"/>
              </w:rPr>
              <w:t xml:space="preserve"> </w:t>
            </w:r>
          </w:p>
        </w:tc>
      </w:tr>
      <w:tr w:rsidR="00D41A29" w:rsidRPr="00F65560" w:rsidTr="00F65560">
        <w:tc>
          <w:tcPr>
            <w:tcW w:w="1818" w:type="dxa"/>
          </w:tcPr>
          <w:p w:rsidR="00D41A29" w:rsidRPr="00F65560" w:rsidRDefault="00D41A29" w:rsidP="00D41A29">
            <w:pPr>
              <w:rPr>
                <w:rFonts w:cs="Arial"/>
              </w:rPr>
            </w:pPr>
            <w:r w:rsidRPr="00F65560">
              <w:rPr>
                <w:rFonts w:cs="Arial"/>
              </w:rPr>
              <w:t>Environmental</w:t>
            </w:r>
          </w:p>
        </w:tc>
        <w:tc>
          <w:tcPr>
            <w:tcW w:w="6570" w:type="dxa"/>
          </w:tcPr>
          <w:p w:rsidR="00D41A29" w:rsidRPr="00F65560" w:rsidRDefault="00D41A29" w:rsidP="00D41A29">
            <w:pPr>
              <w:rPr>
                <w:rFonts w:cs="Arial"/>
              </w:rPr>
            </w:pPr>
            <w:r w:rsidRPr="00F65560">
              <w:rPr>
                <w:rFonts w:cs="Arial"/>
              </w:rPr>
              <w:t>-water reuse opportunities from cleaner effluent;</w:t>
            </w:r>
          </w:p>
          <w:p w:rsidR="00D41A29" w:rsidRPr="00F65560" w:rsidRDefault="00D41A29" w:rsidP="00D41A29">
            <w:pPr>
              <w:rPr>
                <w:rFonts w:cs="Arial"/>
              </w:rPr>
            </w:pPr>
            <w:r w:rsidRPr="00F65560">
              <w:rPr>
                <w:rFonts w:cs="Arial"/>
              </w:rPr>
              <w:t xml:space="preserve">-business—cleaner intake water for downstream industries; </w:t>
            </w:r>
          </w:p>
          <w:p w:rsidR="00D41A29" w:rsidRPr="00F65560" w:rsidRDefault="00D41A29" w:rsidP="00D41A29">
            <w:pPr>
              <w:rPr>
                <w:rFonts w:cs="Arial"/>
              </w:rPr>
            </w:pPr>
            <w:r w:rsidRPr="00F65560">
              <w:rPr>
                <w:rFonts w:cs="Arial"/>
              </w:rPr>
              <w:t>-ecosystem health;</w:t>
            </w:r>
          </w:p>
          <w:p w:rsidR="00D41A29" w:rsidRPr="00F65560" w:rsidRDefault="00D41A29" w:rsidP="00D41A29">
            <w:pPr>
              <w:rPr>
                <w:rFonts w:cs="Arial"/>
              </w:rPr>
            </w:pPr>
            <w:r w:rsidRPr="00F65560">
              <w:rPr>
                <w:rFonts w:cs="Arial"/>
              </w:rPr>
              <w:t xml:space="preserve">- tourism; </w:t>
            </w:r>
          </w:p>
          <w:p w:rsidR="00D41A29" w:rsidRPr="00F65560" w:rsidRDefault="00D41A29" w:rsidP="00D41A29">
            <w:pPr>
              <w:rPr>
                <w:rFonts w:cs="Arial"/>
              </w:rPr>
            </w:pPr>
            <w:r w:rsidRPr="00F65560">
              <w:rPr>
                <w:rFonts w:cs="Arial"/>
              </w:rPr>
              <w:t xml:space="preserve">-amenity/aesthetic/property values; </w:t>
            </w:r>
          </w:p>
          <w:p w:rsidR="00D41A29" w:rsidRPr="00F65560" w:rsidRDefault="00D41A29" w:rsidP="00D41A29">
            <w:pPr>
              <w:rPr>
                <w:rFonts w:cs="Arial"/>
              </w:rPr>
            </w:pPr>
            <w:r w:rsidRPr="00F65560">
              <w:rPr>
                <w:rFonts w:cs="Arial"/>
              </w:rPr>
              <w:t xml:space="preserve">-avoided costs to industries and utilities; </w:t>
            </w:r>
          </w:p>
          <w:p w:rsidR="00D41A29" w:rsidRPr="00F65560" w:rsidRDefault="00D41A29" w:rsidP="00D41A29">
            <w:pPr>
              <w:rPr>
                <w:rFonts w:cs="Arial"/>
              </w:rPr>
            </w:pPr>
            <w:r w:rsidRPr="00F65560">
              <w:rPr>
                <w:rFonts w:cs="Arial"/>
              </w:rPr>
              <w:t xml:space="preserve">-fewer contaminants; </w:t>
            </w:r>
          </w:p>
          <w:p w:rsidR="00D41A29" w:rsidRPr="00F65560" w:rsidRDefault="00D41A29" w:rsidP="00D41A29">
            <w:pPr>
              <w:rPr>
                <w:rFonts w:cs="Arial"/>
              </w:rPr>
            </w:pPr>
            <w:r w:rsidRPr="00F65560">
              <w:rPr>
                <w:rFonts w:cs="Arial"/>
              </w:rPr>
              <w:t xml:space="preserve">-fishing – tribal, commercial, recreational and subsistence; </w:t>
            </w:r>
          </w:p>
          <w:p w:rsidR="00D41A29" w:rsidRPr="00F65560" w:rsidRDefault="00D41A29" w:rsidP="00D41A29">
            <w:pPr>
              <w:rPr>
                <w:rFonts w:cs="Arial"/>
              </w:rPr>
            </w:pPr>
            <w:r w:rsidRPr="00F65560">
              <w:rPr>
                <w:rFonts w:cs="Arial"/>
              </w:rPr>
              <w:t xml:space="preserve">-improve other species in the food chain: birds, etc.; </w:t>
            </w:r>
          </w:p>
          <w:p w:rsidR="00D41A29" w:rsidRPr="00F65560" w:rsidRDefault="00D41A29" w:rsidP="00D41A29">
            <w:pPr>
              <w:rPr>
                <w:rFonts w:cs="Arial"/>
              </w:rPr>
            </w:pPr>
            <w:r w:rsidRPr="00F65560">
              <w:rPr>
                <w:rFonts w:cs="Arial"/>
              </w:rPr>
              <w:t>-higher quality water supply</w:t>
            </w:r>
          </w:p>
        </w:tc>
      </w:tr>
      <w:tr w:rsidR="00D41A29" w:rsidRPr="00F65560" w:rsidTr="00F65560">
        <w:tc>
          <w:tcPr>
            <w:tcW w:w="1818" w:type="dxa"/>
          </w:tcPr>
          <w:p w:rsidR="00D41A29" w:rsidRPr="00F65560" w:rsidRDefault="00D41A29" w:rsidP="00D41A29">
            <w:pPr>
              <w:rPr>
                <w:rFonts w:cs="Arial"/>
              </w:rPr>
            </w:pPr>
            <w:r w:rsidRPr="00F65560">
              <w:rPr>
                <w:rFonts w:cs="Arial"/>
              </w:rPr>
              <w:t>Cultural</w:t>
            </w:r>
          </w:p>
        </w:tc>
        <w:tc>
          <w:tcPr>
            <w:tcW w:w="6570" w:type="dxa"/>
          </w:tcPr>
          <w:p w:rsidR="00D41A29" w:rsidRPr="00F65560" w:rsidRDefault="00D41A29" w:rsidP="00D41A29">
            <w:pPr>
              <w:rPr>
                <w:rFonts w:cs="Arial"/>
              </w:rPr>
            </w:pPr>
            <w:r w:rsidRPr="00F65560">
              <w:rPr>
                <w:rFonts w:cs="Arial"/>
              </w:rPr>
              <w:t xml:space="preserve">-enable religious/ceremonial activities; </w:t>
            </w:r>
          </w:p>
          <w:p w:rsidR="00D41A29" w:rsidRPr="00F65560" w:rsidRDefault="00D41A29" w:rsidP="00D41A29">
            <w:pPr>
              <w:rPr>
                <w:rFonts w:cs="Arial"/>
              </w:rPr>
            </w:pPr>
            <w:r w:rsidRPr="00F65560">
              <w:rPr>
                <w:rFonts w:cs="Arial"/>
              </w:rPr>
              <w:t xml:space="preserve">-children;  </w:t>
            </w:r>
          </w:p>
          <w:p w:rsidR="00D41A29" w:rsidRPr="00F65560" w:rsidRDefault="00D41A29" w:rsidP="00D41A29">
            <w:pPr>
              <w:rPr>
                <w:rFonts w:cs="Arial"/>
              </w:rPr>
            </w:pPr>
            <w:r w:rsidRPr="00F65560">
              <w:rPr>
                <w:rFonts w:cs="Arial"/>
              </w:rPr>
              <w:t>-healthy fish</w:t>
            </w:r>
            <w:r w:rsidR="009E16A9">
              <w:rPr>
                <w:rFonts w:cs="Arial"/>
              </w:rPr>
              <w:t xml:space="preserve"> – icon of the Northwest       </w:t>
            </w:r>
          </w:p>
          <w:p w:rsidR="00D41A29" w:rsidRPr="00F65560" w:rsidRDefault="00D41A29" w:rsidP="00D41A29">
            <w:pPr>
              <w:rPr>
                <w:rFonts w:cs="Arial"/>
              </w:rPr>
            </w:pPr>
            <w:r w:rsidRPr="00F65560">
              <w:rPr>
                <w:rFonts w:cs="Arial"/>
              </w:rPr>
              <w:t>-local, and sustainable food options</w:t>
            </w:r>
          </w:p>
        </w:tc>
      </w:tr>
    </w:tbl>
    <w:p w:rsidR="000E2C37" w:rsidRPr="00F65560" w:rsidRDefault="000E2C37" w:rsidP="00754126">
      <w:pPr>
        <w:pStyle w:val="ListParagraph"/>
        <w:spacing w:line="360" w:lineRule="auto"/>
      </w:pPr>
    </w:p>
    <w:p w:rsidR="00D41A29" w:rsidRPr="00F65560" w:rsidRDefault="00D41A29" w:rsidP="00D41A29">
      <w:pPr>
        <w:autoSpaceDE w:val="0"/>
        <w:autoSpaceDN w:val="0"/>
        <w:adjustRightInd w:val="0"/>
        <w:rPr>
          <w:rFonts w:cs="Arial"/>
          <w:b/>
          <w:bCs/>
        </w:rPr>
      </w:pPr>
      <w:r w:rsidRPr="00F65560">
        <w:rPr>
          <w:rFonts w:cs="Arial"/>
          <w:b/>
          <w:bCs/>
        </w:rPr>
        <w:t>Potential Benefits of Specific Implementation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7"/>
        <w:gridCol w:w="5840"/>
      </w:tblGrid>
      <w:tr w:rsidR="00D41A29" w:rsidRPr="00F65560" w:rsidTr="00D41A29">
        <w:tc>
          <w:tcPr>
            <w:tcW w:w="2587" w:type="dxa"/>
          </w:tcPr>
          <w:p w:rsidR="00D41A29" w:rsidRPr="00F65560" w:rsidRDefault="00D41A29" w:rsidP="00D41A29">
            <w:pPr>
              <w:autoSpaceDE w:val="0"/>
              <w:autoSpaceDN w:val="0"/>
              <w:adjustRightInd w:val="0"/>
              <w:rPr>
                <w:rFonts w:cs="Arial"/>
                <w:b/>
                <w:bCs/>
              </w:rPr>
            </w:pPr>
            <w:r w:rsidRPr="00F65560">
              <w:rPr>
                <w:rFonts w:cs="Arial"/>
                <w:b/>
                <w:bCs/>
              </w:rPr>
              <w:t>Strategy</w:t>
            </w:r>
          </w:p>
        </w:tc>
        <w:tc>
          <w:tcPr>
            <w:tcW w:w="5840" w:type="dxa"/>
          </w:tcPr>
          <w:p w:rsidR="00D41A29" w:rsidRPr="00F65560" w:rsidRDefault="00D41A29" w:rsidP="00D41A29">
            <w:pPr>
              <w:autoSpaceDE w:val="0"/>
              <w:autoSpaceDN w:val="0"/>
              <w:adjustRightInd w:val="0"/>
              <w:rPr>
                <w:rFonts w:cs="Arial"/>
                <w:b/>
                <w:bCs/>
              </w:rPr>
            </w:pPr>
            <w:r w:rsidRPr="00F65560">
              <w:rPr>
                <w:rFonts w:cs="Arial"/>
                <w:b/>
                <w:bCs/>
              </w:rPr>
              <w:t>Potential Benefit</w:t>
            </w:r>
          </w:p>
        </w:tc>
      </w:tr>
      <w:tr w:rsidR="00D41A29" w:rsidRPr="00F65560" w:rsidTr="00D41A29">
        <w:tc>
          <w:tcPr>
            <w:tcW w:w="2587" w:type="dxa"/>
          </w:tcPr>
          <w:p w:rsidR="00D41A29" w:rsidRPr="00F65560" w:rsidRDefault="00D41A29" w:rsidP="00D41A29">
            <w:pPr>
              <w:autoSpaceDE w:val="0"/>
              <w:autoSpaceDN w:val="0"/>
              <w:adjustRightInd w:val="0"/>
              <w:rPr>
                <w:rFonts w:cs="Arial"/>
                <w:b/>
                <w:bCs/>
              </w:rPr>
            </w:pPr>
            <w:r w:rsidRPr="00F65560">
              <w:rPr>
                <w:rFonts w:cs="Arial"/>
              </w:rPr>
              <w:t>Toxic Reductions</w:t>
            </w:r>
          </w:p>
        </w:tc>
        <w:tc>
          <w:tcPr>
            <w:tcW w:w="5840" w:type="dxa"/>
          </w:tcPr>
          <w:p w:rsidR="00D41A29" w:rsidRPr="00F65560" w:rsidRDefault="00D41A29" w:rsidP="00D41A29">
            <w:pPr>
              <w:autoSpaceDE w:val="0"/>
              <w:autoSpaceDN w:val="0"/>
              <w:adjustRightInd w:val="0"/>
              <w:rPr>
                <w:rFonts w:cs="Arial"/>
              </w:rPr>
            </w:pPr>
            <w:r w:rsidRPr="00F65560">
              <w:rPr>
                <w:rFonts w:cs="Arial"/>
              </w:rPr>
              <w:t>-Reduced human health impacts;</w:t>
            </w:r>
          </w:p>
          <w:p w:rsidR="00D41A29" w:rsidRPr="00F65560" w:rsidRDefault="00D41A29" w:rsidP="00D41A29">
            <w:pPr>
              <w:autoSpaceDE w:val="0"/>
              <w:autoSpaceDN w:val="0"/>
              <w:adjustRightInd w:val="0"/>
              <w:rPr>
                <w:rFonts w:cs="Arial"/>
              </w:rPr>
            </w:pPr>
            <w:r w:rsidRPr="00F65560">
              <w:rPr>
                <w:rFonts w:cs="Arial"/>
              </w:rPr>
              <w:t>-innovative possibilities used to reach more efficient systems when not fearful of litigation stemming from strict liability regulatory framework;</w:t>
            </w:r>
          </w:p>
          <w:p w:rsidR="00D41A29" w:rsidRPr="00F65560" w:rsidRDefault="00D41A29" w:rsidP="00D41A29">
            <w:pPr>
              <w:autoSpaceDE w:val="0"/>
              <w:autoSpaceDN w:val="0"/>
              <w:adjustRightInd w:val="0"/>
              <w:rPr>
                <w:rFonts w:cs="Arial"/>
              </w:rPr>
            </w:pPr>
            <w:r w:rsidRPr="00F65560">
              <w:rPr>
                <w:rFonts w:cs="Arial"/>
              </w:rPr>
              <w:t>-costs of litigation reduced;</w:t>
            </w:r>
          </w:p>
          <w:p w:rsidR="00D41A29" w:rsidRPr="00F65560" w:rsidRDefault="00D41A29" w:rsidP="00D41A29">
            <w:pPr>
              <w:autoSpaceDE w:val="0"/>
              <w:autoSpaceDN w:val="0"/>
              <w:adjustRightInd w:val="0"/>
              <w:rPr>
                <w:rFonts w:cs="Arial"/>
              </w:rPr>
            </w:pPr>
            <w:r w:rsidRPr="00F65560">
              <w:rPr>
                <w:rFonts w:cs="Arial"/>
              </w:rPr>
              <w:t>-reduced O&amp;M;</w:t>
            </w:r>
          </w:p>
          <w:p w:rsidR="00D41A29" w:rsidRPr="00F65560" w:rsidRDefault="00D41A29" w:rsidP="00D41A29">
            <w:pPr>
              <w:autoSpaceDE w:val="0"/>
              <w:autoSpaceDN w:val="0"/>
              <w:adjustRightInd w:val="0"/>
              <w:rPr>
                <w:rFonts w:cs="Arial"/>
              </w:rPr>
            </w:pPr>
            <w:r w:rsidRPr="00F65560">
              <w:rPr>
                <w:rFonts w:cs="Arial"/>
              </w:rPr>
              <w:t>-reduced hazardous waste removal costs;</w:t>
            </w:r>
          </w:p>
        </w:tc>
      </w:tr>
      <w:tr w:rsidR="00D41A29" w:rsidRPr="00F65560" w:rsidTr="00D41A29">
        <w:tc>
          <w:tcPr>
            <w:tcW w:w="2587" w:type="dxa"/>
          </w:tcPr>
          <w:p w:rsidR="00D41A29" w:rsidRPr="00F65560" w:rsidRDefault="00D41A29" w:rsidP="00D41A29">
            <w:pPr>
              <w:autoSpaceDE w:val="0"/>
              <w:autoSpaceDN w:val="0"/>
              <w:adjustRightInd w:val="0"/>
              <w:rPr>
                <w:rFonts w:cs="Arial"/>
                <w:b/>
                <w:bCs/>
              </w:rPr>
            </w:pPr>
            <w:proofErr w:type="spellStart"/>
            <w:r w:rsidRPr="00F65560">
              <w:rPr>
                <w:rFonts w:cs="Arial"/>
              </w:rPr>
              <w:t>Stormwater</w:t>
            </w:r>
            <w:proofErr w:type="spellEnd"/>
            <w:r w:rsidRPr="00F65560">
              <w:rPr>
                <w:rFonts w:cs="Arial"/>
              </w:rPr>
              <w:t xml:space="preserve"> Control</w:t>
            </w:r>
          </w:p>
        </w:tc>
        <w:tc>
          <w:tcPr>
            <w:tcW w:w="5840" w:type="dxa"/>
          </w:tcPr>
          <w:p w:rsidR="00D41A29" w:rsidRPr="00F65560" w:rsidRDefault="00D41A29" w:rsidP="00D41A29">
            <w:pPr>
              <w:autoSpaceDE w:val="0"/>
              <w:autoSpaceDN w:val="0"/>
              <w:adjustRightInd w:val="0"/>
              <w:rPr>
                <w:rFonts w:cs="Arial"/>
              </w:rPr>
            </w:pPr>
            <w:r w:rsidRPr="00F65560">
              <w:rPr>
                <w:rFonts w:cs="Arial"/>
              </w:rPr>
              <w:t>-Co-benefits for toxics reductions and control of other important stressors that affect fish health such as sedimentation and warm water temperatures</w:t>
            </w:r>
          </w:p>
        </w:tc>
      </w:tr>
      <w:tr w:rsidR="00D41A29" w:rsidRPr="00F65560" w:rsidTr="00D41A29">
        <w:tc>
          <w:tcPr>
            <w:tcW w:w="2587" w:type="dxa"/>
          </w:tcPr>
          <w:p w:rsidR="00D41A29" w:rsidRPr="00F65560" w:rsidRDefault="00D41A29" w:rsidP="00D41A29">
            <w:pPr>
              <w:autoSpaceDE w:val="0"/>
              <w:autoSpaceDN w:val="0"/>
              <w:adjustRightInd w:val="0"/>
              <w:rPr>
                <w:rFonts w:cs="Arial"/>
                <w:b/>
                <w:bCs/>
              </w:rPr>
            </w:pPr>
            <w:r w:rsidRPr="00F65560">
              <w:rPr>
                <w:rFonts w:cs="Arial"/>
              </w:rPr>
              <w:t>Infiltration and Inflow (I&amp;I)</w:t>
            </w:r>
          </w:p>
        </w:tc>
        <w:tc>
          <w:tcPr>
            <w:tcW w:w="5840" w:type="dxa"/>
          </w:tcPr>
          <w:p w:rsidR="00D41A29" w:rsidRPr="00F65560" w:rsidRDefault="00D41A29" w:rsidP="00D41A29">
            <w:pPr>
              <w:autoSpaceDE w:val="0"/>
              <w:autoSpaceDN w:val="0"/>
              <w:adjustRightInd w:val="0"/>
              <w:rPr>
                <w:rFonts w:cs="Arial"/>
              </w:rPr>
            </w:pPr>
            <w:r w:rsidRPr="00F65560">
              <w:rPr>
                <w:rFonts w:cs="Arial"/>
              </w:rPr>
              <w:t>-Reduce quantity of water and toxics entering plant, reducing operating costs</w:t>
            </w:r>
          </w:p>
        </w:tc>
      </w:tr>
    </w:tbl>
    <w:p w:rsidR="000E2C37" w:rsidRPr="00F65560" w:rsidRDefault="000E2C37" w:rsidP="00D16F54">
      <w:pPr>
        <w:spacing w:line="360" w:lineRule="auto"/>
      </w:pPr>
    </w:p>
    <w:p w:rsidR="00C7099F" w:rsidRPr="00F65560" w:rsidRDefault="00F65560" w:rsidP="00F65560">
      <w:pPr>
        <w:spacing w:line="360" w:lineRule="auto"/>
        <w:ind w:left="360"/>
        <w:rPr>
          <w:b/>
        </w:rPr>
      </w:pPr>
      <w:r>
        <w:rPr>
          <w:b/>
        </w:rPr>
        <w:t xml:space="preserve">II.    Impact </w:t>
      </w:r>
      <w:r w:rsidR="00C7099F" w:rsidRPr="00F65560">
        <w:rPr>
          <w:b/>
        </w:rPr>
        <w:t>of using different implementation tools</w:t>
      </w:r>
    </w:p>
    <w:p w:rsidR="00C7099F" w:rsidRPr="00F65560" w:rsidRDefault="009E16A9" w:rsidP="009E16A9">
      <w:pPr>
        <w:spacing w:line="360" w:lineRule="auto"/>
        <w:ind w:left="1080"/>
      </w:pPr>
      <w:r>
        <w:t xml:space="preserve">a. </w:t>
      </w:r>
      <w:r w:rsidR="00691C5A" w:rsidRPr="00F65560">
        <w:t>Identify types of situations that would result in sources seeking to use implementation tools</w:t>
      </w:r>
    </w:p>
    <w:p w:rsidR="004128AE" w:rsidRPr="00F65560" w:rsidRDefault="004128AE" w:rsidP="00754126">
      <w:pPr>
        <w:pStyle w:val="ListParagraph"/>
        <w:spacing w:line="360" w:lineRule="auto"/>
        <w:ind w:left="1440"/>
        <w:rPr>
          <w:i/>
        </w:rPr>
      </w:pPr>
      <w:r w:rsidRPr="00F65560">
        <w:rPr>
          <w:i/>
        </w:rPr>
        <w:t>Source of information:  Permits Issue Paper</w:t>
      </w:r>
    </w:p>
    <w:p w:rsidR="00691C5A" w:rsidRPr="00F65560" w:rsidRDefault="00691C5A" w:rsidP="00754126">
      <w:pPr>
        <w:pStyle w:val="ListParagraph"/>
        <w:numPr>
          <w:ilvl w:val="2"/>
          <w:numId w:val="1"/>
        </w:numPr>
        <w:spacing w:line="360" w:lineRule="auto"/>
      </w:pPr>
      <w:r w:rsidRPr="00F65560">
        <w:t>High natural background</w:t>
      </w:r>
    </w:p>
    <w:p w:rsidR="00691C5A" w:rsidRPr="00F65560" w:rsidRDefault="00691C5A" w:rsidP="00754126">
      <w:pPr>
        <w:pStyle w:val="ListParagraph"/>
        <w:numPr>
          <w:ilvl w:val="2"/>
          <w:numId w:val="1"/>
        </w:numPr>
        <w:spacing w:line="360" w:lineRule="auto"/>
      </w:pPr>
      <w:r w:rsidRPr="00F65560">
        <w:t>Treatment technology infeasible based on cost-effectiveness or other limitations</w:t>
      </w:r>
    </w:p>
    <w:p w:rsidR="00691C5A" w:rsidRPr="00F65560" w:rsidRDefault="00691C5A" w:rsidP="00754126">
      <w:pPr>
        <w:pStyle w:val="ListParagraph"/>
        <w:numPr>
          <w:ilvl w:val="2"/>
          <w:numId w:val="1"/>
        </w:numPr>
        <w:spacing w:line="360" w:lineRule="auto"/>
      </w:pPr>
    </w:p>
    <w:p w:rsidR="00691C5A" w:rsidRPr="00F65560" w:rsidRDefault="009E16A9" w:rsidP="009E16A9">
      <w:pPr>
        <w:spacing w:line="360" w:lineRule="auto"/>
        <w:ind w:left="1080"/>
      </w:pPr>
      <w:r>
        <w:t xml:space="preserve">b. </w:t>
      </w:r>
      <w:r w:rsidR="000D691D" w:rsidRPr="00F65560">
        <w:t>Administrative costs associated with using tools for DEQ and for sources</w:t>
      </w:r>
    </w:p>
    <w:p w:rsidR="004128AE" w:rsidRPr="00F65560" w:rsidRDefault="004128AE" w:rsidP="00754126">
      <w:pPr>
        <w:pStyle w:val="ListParagraph"/>
        <w:spacing w:line="360" w:lineRule="auto"/>
        <w:ind w:left="1440"/>
        <w:rPr>
          <w:i/>
        </w:rPr>
      </w:pPr>
      <w:r w:rsidRPr="00F65560">
        <w:rPr>
          <w:i/>
        </w:rPr>
        <w:t>Source of information:  SAIC Report, other sources?</w:t>
      </w:r>
    </w:p>
    <w:p w:rsidR="00D21813" w:rsidRPr="00F65560" w:rsidRDefault="009E16A9" w:rsidP="009E16A9">
      <w:pPr>
        <w:spacing w:line="360" w:lineRule="auto"/>
        <w:ind w:left="1980"/>
      </w:pPr>
      <w:proofErr w:type="spellStart"/>
      <w:r>
        <w:t>i</w:t>
      </w:r>
      <w:proofErr w:type="spellEnd"/>
      <w:r>
        <w:t xml:space="preserve">. </w:t>
      </w:r>
      <w:r w:rsidR="00D21813" w:rsidRPr="00F65560">
        <w:t>New tools</w:t>
      </w:r>
    </w:p>
    <w:p w:rsidR="000D691D" w:rsidRPr="00F65560" w:rsidRDefault="00D21813" w:rsidP="00754126">
      <w:pPr>
        <w:pStyle w:val="ListParagraph"/>
        <w:numPr>
          <w:ilvl w:val="3"/>
          <w:numId w:val="1"/>
        </w:numPr>
        <w:spacing w:line="360" w:lineRule="auto"/>
      </w:pPr>
      <w:r w:rsidRPr="00F65560">
        <w:t>Variances</w:t>
      </w:r>
      <w:r w:rsidR="0039396E" w:rsidRPr="00F65560">
        <w:t xml:space="preserve"> with pollution reduction</w:t>
      </w:r>
      <w:r w:rsidR="004128AE" w:rsidRPr="00F65560">
        <w:t xml:space="preserve"> plan</w:t>
      </w:r>
      <w:r w:rsidRPr="00F65560">
        <w:t>--</w:t>
      </w:r>
      <w:r w:rsidR="000D691D" w:rsidRPr="00F65560">
        <w:t>SAIC provides some information</w:t>
      </w:r>
      <w:r w:rsidRPr="00F65560">
        <w:t xml:space="preserve"> </w:t>
      </w:r>
    </w:p>
    <w:p w:rsidR="004128AE" w:rsidRPr="00F65560" w:rsidRDefault="004128AE" w:rsidP="00754126">
      <w:pPr>
        <w:pStyle w:val="ListParagraph"/>
        <w:numPr>
          <w:ilvl w:val="4"/>
          <w:numId w:val="1"/>
        </w:numPr>
        <w:spacing w:line="360" w:lineRule="auto"/>
      </w:pPr>
      <w:r w:rsidRPr="00F65560">
        <w:t>Applicable to all types of pollutants</w:t>
      </w:r>
    </w:p>
    <w:p w:rsidR="004128AE" w:rsidRPr="00F65560" w:rsidRDefault="004128AE" w:rsidP="00754126">
      <w:pPr>
        <w:pStyle w:val="ListParagraph"/>
        <w:numPr>
          <w:ilvl w:val="4"/>
          <w:numId w:val="1"/>
        </w:numPr>
        <w:spacing w:line="360" w:lineRule="auto"/>
      </w:pPr>
      <w:r w:rsidRPr="00F65560">
        <w:t>Cost to sources</w:t>
      </w:r>
      <w:r w:rsidR="00940970" w:rsidRPr="00F65560">
        <w:t xml:space="preserve"> to prepare application, pollution prevention plan, </w:t>
      </w:r>
      <w:r w:rsidR="00BB5736">
        <w:t xml:space="preserve">including potential offset strategies, </w:t>
      </w:r>
      <w:r w:rsidR="00940970" w:rsidRPr="00F65560">
        <w:t>and to implement actions contained in plan</w:t>
      </w:r>
    </w:p>
    <w:p w:rsidR="0039396E" w:rsidRPr="00F65560" w:rsidRDefault="0039396E" w:rsidP="0039396E">
      <w:pPr>
        <w:pStyle w:val="ListParagraph"/>
        <w:numPr>
          <w:ilvl w:val="1"/>
          <w:numId w:val="5"/>
        </w:numPr>
        <w:spacing w:after="0" w:line="240" w:lineRule="auto"/>
        <w:rPr>
          <w:rFonts w:cs="Arial"/>
          <w:iCs/>
        </w:rPr>
      </w:pPr>
      <w:r w:rsidRPr="00F65560">
        <w:rPr>
          <w:rFonts w:cs="Arial"/>
          <w:iCs/>
        </w:rPr>
        <w:t>The SAIC report estimates that one-time expenditures associated with variance applications could range from $1.43 M to $7.05 M (total statewide) with a FCR based on 17.5 g/day; incremental variance-related expenditures could range from  $0.59 M to $2.68 M (total statewide) under revised criteria.</w:t>
      </w:r>
    </w:p>
    <w:p w:rsidR="004128AE" w:rsidRPr="00F65560" w:rsidRDefault="004128AE" w:rsidP="00754126">
      <w:pPr>
        <w:pStyle w:val="ListParagraph"/>
        <w:numPr>
          <w:ilvl w:val="4"/>
          <w:numId w:val="1"/>
        </w:numPr>
        <w:spacing w:line="360" w:lineRule="auto"/>
      </w:pPr>
      <w:r w:rsidRPr="00F65560">
        <w:t>Cost to DEQ</w:t>
      </w:r>
      <w:r w:rsidR="00940970" w:rsidRPr="00F65560">
        <w:t xml:space="preserve"> to review and approve plan, incorporate conditions into NPDES permit</w:t>
      </w:r>
      <w:r w:rsidR="00BB5736">
        <w:t>, coordinate with EPA for review of variances, etc.</w:t>
      </w:r>
    </w:p>
    <w:p w:rsidR="0039396E" w:rsidRPr="00F65560" w:rsidRDefault="0039396E" w:rsidP="0068243A">
      <w:pPr>
        <w:pStyle w:val="ListParagraph"/>
        <w:numPr>
          <w:ilvl w:val="1"/>
          <w:numId w:val="5"/>
        </w:numPr>
      </w:pPr>
      <w:r w:rsidRPr="00F65560">
        <w:t xml:space="preserve">SAIC extrapolated the potential number of variance applications </w:t>
      </w:r>
      <w:r w:rsidRPr="00F65560">
        <w:rPr>
          <w:rFonts w:cs="Arial"/>
          <w:iCs/>
        </w:rPr>
        <w:t>for the sample facilities and found that DEQ would need to review approximately 40 requests under the baseline criteria and an additional 16 under the revised criteria.  Assuming a cost of $3,900 per review, baseline costs could be approximately $159,000 with incremental costs of approximately $65,000 under the revised criteria.</w:t>
      </w:r>
    </w:p>
    <w:p w:rsidR="00D21813" w:rsidRDefault="00D21813" w:rsidP="00754126">
      <w:pPr>
        <w:pStyle w:val="ListParagraph"/>
        <w:numPr>
          <w:ilvl w:val="3"/>
          <w:numId w:val="1"/>
        </w:numPr>
        <w:spacing w:line="360" w:lineRule="auto"/>
      </w:pPr>
      <w:r w:rsidRPr="00F65560">
        <w:t>Intake credits</w:t>
      </w:r>
    </w:p>
    <w:p w:rsidR="00CD7D7B" w:rsidRPr="00F65560" w:rsidRDefault="00CD7D7B" w:rsidP="00CD7D7B">
      <w:pPr>
        <w:pStyle w:val="ListParagraph"/>
        <w:numPr>
          <w:ilvl w:val="0"/>
          <w:numId w:val="5"/>
        </w:numPr>
        <w:spacing w:line="360" w:lineRule="auto"/>
      </w:pPr>
      <w:r>
        <w:t>DEQ does not have specific information on costs associated with implementing intake credits.  This is anticipated to be a more qualitative analysis.</w:t>
      </w:r>
    </w:p>
    <w:p w:rsidR="004128AE" w:rsidRPr="00F65560" w:rsidRDefault="004128AE" w:rsidP="00754126">
      <w:pPr>
        <w:pStyle w:val="ListParagraph"/>
        <w:numPr>
          <w:ilvl w:val="4"/>
          <w:numId w:val="1"/>
        </w:numPr>
        <w:spacing w:line="360" w:lineRule="auto"/>
      </w:pPr>
      <w:r w:rsidRPr="00F65560">
        <w:t>Applicability to different types of pollutants</w:t>
      </w:r>
    </w:p>
    <w:p w:rsidR="004128AE" w:rsidRPr="00F65560" w:rsidRDefault="004128AE" w:rsidP="00754126">
      <w:pPr>
        <w:pStyle w:val="ListParagraph"/>
        <w:numPr>
          <w:ilvl w:val="4"/>
          <w:numId w:val="1"/>
        </w:numPr>
        <w:spacing w:line="360" w:lineRule="auto"/>
      </w:pPr>
      <w:r w:rsidRPr="00F65560">
        <w:t>Cost to sources</w:t>
      </w:r>
    </w:p>
    <w:p w:rsidR="004128AE" w:rsidRPr="00F65560" w:rsidRDefault="004128AE" w:rsidP="00754126">
      <w:pPr>
        <w:pStyle w:val="ListParagraph"/>
        <w:numPr>
          <w:ilvl w:val="4"/>
          <w:numId w:val="1"/>
        </w:numPr>
        <w:spacing w:line="360" w:lineRule="auto"/>
      </w:pPr>
      <w:r w:rsidRPr="00F65560">
        <w:t>Cost to DEQ</w:t>
      </w:r>
    </w:p>
    <w:p w:rsidR="00D21813" w:rsidRDefault="00D21813" w:rsidP="00754126">
      <w:pPr>
        <w:pStyle w:val="ListParagraph"/>
        <w:numPr>
          <w:ilvl w:val="3"/>
          <w:numId w:val="1"/>
        </w:numPr>
        <w:spacing w:line="360" w:lineRule="auto"/>
      </w:pPr>
      <w:r w:rsidRPr="00F65560">
        <w:t>Background pollutant allowance</w:t>
      </w:r>
    </w:p>
    <w:p w:rsidR="00CD7D7B" w:rsidRPr="00F65560" w:rsidRDefault="00CD7D7B" w:rsidP="00CD7D7B">
      <w:pPr>
        <w:pStyle w:val="ListParagraph"/>
        <w:numPr>
          <w:ilvl w:val="0"/>
          <w:numId w:val="5"/>
        </w:numPr>
        <w:spacing w:line="360" w:lineRule="auto"/>
      </w:pPr>
      <w:r>
        <w:t>DEQ does not have specific information on costs associated with implementing a background pollutant allowance provision.  This is anticipated to be a more qualitative analysis.</w:t>
      </w:r>
    </w:p>
    <w:p w:rsidR="004128AE" w:rsidRPr="00F65560" w:rsidRDefault="004128AE" w:rsidP="00754126">
      <w:pPr>
        <w:pStyle w:val="ListParagraph"/>
        <w:numPr>
          <w:ilvl w:val="4"/>
          <w:numId w:val="1"/>
        </w:numPr>
        <w:spacing w:line="360" w:lineRule="auto"/>
      </w:pPr>
      <w:r w:rsidRPr="00F65560">
        <w:t>Applicability to different types of pollutants</w:t>
      </w:r>
    </w:p>
    <w:p w:rsidR="004128AE" w:rsidRPr="00F65560" w:rsidRDefault="004128AE" w:rsidP="00754126">
      <w:pPr>
        <w:pStyle w:val="ListParagraph"/>
        <w:numPr>
          <w:ilvl w:val="4"/>
          <w:numId w:val="1"/>
        </w:numPr>
        <w:spacing w:line="360" w:lineRule="auto"/>
      </w:pPr>
      <w:r w:rsidRPr="00F65560">
        <w:t>Cost to sources</w:t>
      </w:r>
    </w:p>
    <w:p w:rsidR="00D21813" w:rsidRPr="00F65560" w:rsidRDefault="004128AE" w:rsidP="00CD7D7B">
      <w:pPr>
        <w:pStyle w:val="ListParagraph"/>
        <w:numPr>
          <w:ilvl w:val="4"/>
          <w:numId w:val="1"/>
        </w:numPr>
        <w:spacing w:line="360" w:lineRule="auto"/>
      </w:pPr>
      <w:r w:rsidRPr="00F65560">
        <w:t>Cost to DEQ</w:t>
      </w:r>
      <w:r w:rsidR="00D21813" w:rsidRPr="00F65560">
        <w:t xml:space="preserve"> </w:t>
      </w:r>
    </w:p>
    <w:p w:rsidR="00D21813" w:rsidRPr="00F65560" w:rsidRDefault="009E16A9" w:rsidP="009E16A9">
      <w:pPr>
        <w:spacing w:line="360" w:lineRule="auto"/>
        <w:ind w:left="1980"/>
      </w:pPr>
      <w:r>
        <w:t xml:space="preserve">ii. </w:t>
      </w:r>
      <w:r w:rsidR="00D21813" w:rsidRPr="00F65560">
        <w:t>Existing tools/mechanisms</w:t>
      </w:r>
      <w:r w:rsidR="00754126" w:rsidRPr="00F65560">
        <w:t xml:space="preserve"> [generally no extra costs to administer (unless there is an increase in the use of these tools); for each tool, costs offset through use of these tools would be described]</w:t>
      </w:r>
    </w:p>
    <w:p w:rsidR="00D21813" w:rsidRPr="00F65560" w:rsidRDefault="009E16A9" w:rsidP="009E16A9">
      <w:pPr>
        <w:spacing w:line="360" w:lineRule="auto"/>
        <w:ind w:left="2520"/>
      </w:pPr>
      <w:r>
        <w:t xml:space="preserve">1.  </w:t>
      </w:r>
      <w:r w:rsidR="00D21813" w:rsidRPr="00F65560">
        <w:t>Compliance schedules</w:t>
      </w:r>
    </w:p>
    <w:p w:rsidR="004128AE" w:rsidRPr="00F65560" w:rsidRDefault="009E16A9" w:rsidP="009E16A9">
      <w:pPr>
        <w:spacing w:line="360" w:lineRule="auto"/>
        <w:ind w:left="3240"/>
      </w:pPr>
      <w:r>
        <w:t xml:space="preserve">a. </w:t>
      </w:r>
      <w:r w:rsidR="004128AE" w:rsidRPr="00F65560">
        <w:t>Applicability to different types of pollutants</w:t>
      </w:r>
    </w:p>
    <w:p w:rsidR="004128AE" w:rsidRPr="00F65560" w:rsidRDefault="009E16A9" w:rsidP="009E16A9">
      <w:pPr>
        <w:spacing w:line="360" w:lineRule="auto"/>
        <w:ind w:left="3240"/>
      </w:pPr>
      <w:r>
        <w:t xml:space="preserve">b. </w:t>
      </w:r>
      <w:r w:rsidR="004128AE" w:rsidRPr="00F65560">
        <w:t>Effect on costs to sources (i.e., would expect use of this tool to mitigate some of the costs to sources of immediately meeting limits in permits based on revised criteria)</w:t>
      </w:r>
    </w:p>
    <w:p w:rsidR="00D21813" w:rsidRPr="00207FDE" w:rsidRDefault="009E16A9" w:rsidP="009E16A9">
      <w:pPr>
        <w:spacing w:line="360" w:lineRule="auto"/>
        <w:ind w:left="2520"/>
      </w:pPr>
      <w:r>
        <w:t xml:space="preserve">2.  </w:t>
      </w:r>
      <w:r w:rsidR="00D21813" w:rsidRPr="00207FDE">
        <w:t>MAOs</w:t>
      </w:r>
      <w:r>
        <w:t xml:space="preserve"> (may not be relevant to include here</w:t>
      </w:r>
      <w:r w:rsidR="004128AE" w:rsidRPr="00207FDE">
        <w:t>)</w:t>
      </w:r>
    </w:p>
    <w:p w:rsidR="004128AE" w:rsidRPr="00F65560" w:rsidRDefault="009E16A9" w:rsidP="009E16A9">
      <w:pPr>
        <w:spacing w:line="360" w:lineRule="auto"/>
        <w:ind w:left="3240"/>
      </w:pPr>
      <w:r>
        <w:t xml:space="preserve">a. </w:t>
      </w:r>
      <w:r w:rsidR="004128AE" w:rsidRPr="00F65560">
        <w:t>Applicability to different types of pollutants</w:t>
      </w:r>
    </w:p>
    <w:p w:rsidR="004128AE" w:rsidRPr="00F65560" w:rsidRDefault="009E16A9" w:rsidP="009E16A9">
      <w:pPr>
        <w:spacing w:line="360" w:lineRule="auto"/>
        <w:ind w:left="3240"/>
      </w:pPr>
      <w:r>
        <w:t xml:space="preserve">b. </w:t>
      </w:r>
      <w:r w:rsidR="004128AE" w:rsidRPr="00F65560">
        <w:t>Effect on costs to sources (i.e., would expect use of this tool to mitigate some of the costs to sources of immediately meeting limits in permits based on revised criteria)</w:t>
      </w:r>
    </w:p>
    <w:p w:rsidR="00940970" w:rsidRPr="00F65560" w:rsidRDefault="009E16A9" w:rsidP="009E16A9">
      <w:pPr>
        <w:spacing w:line="360" w:lineRule="auto"/>
        <w:ind w:left="3240"/>
      </w:pPr>
      <w:proofErr w:type="gramStart"/>
      <w:r>
        <w:t>c</w:t>
      </w:r>
      <w:proofErr w:type="gramEnd"/>
      <w:r>
        <w:t>.</w:t>
      </w:r>
    </w:p>
    <w:p w:rsidR="00207FDE" w:rsidRPr="00207FDE" w:rsidRDefault="009E16A9" w:rsidP="009E16A9">
      <w:pPr>
        <w:spacing w:line="360" w:lineRule="auto"/>
        <w:ind w:left="2520"/>
      </w:pPr>
      <w:r>
        <w:t xml:space="preserve">3. </w:t>
      </w:r>
      <w:r w:rsidR="00BB5736" w:rsidRPr="00207FDE">
        <w:t>General Permits</w:t>
      </w:r>
      <w:r w:rsidR="00207FDE">
        <w:t xml:space="preserve"> (used as an alternative to address background pollutants)</w:t>
      </w:r>
    </w:p>
    <w:p w:rsidR="004128AE" w:rsidRPr="00F65560" w:rsidRDefault="009E16A9" w:rsidP="009E16A9">
      <w:pPr>
        <w:spacing w:line="360" w:lineRule="auto"/>
        <w:ind w:left="3240"/>
      </w:pPr>
      <w:r>
        <w:t xml:space="preserve">a. </w:t>
      </w:r>
      <w:r w:rsidR="004128AE" w:rsidRPr="00F65560">
        <w:t>Applicability to different types of pollutants</w:t>
      </w:r>
    </w:p>
    <w:p w:rsidR="004128AE" w:rsidRPr="00F65560" w:rsidRDefault="009E16A9" w:rsidP="009E16A9">
      <w:pPr>
        <w:spacing w:line="360" w:lineRule="auto"/>
        <w:ind w:left="3240"/>
      </w:pPr>
      <w:r>
        <w:t xml:space="preserve">b. </w:t>
      </w:r>
      <w:r w:rsidR="00940970" w:rsidRPr="00F65560">
        <w:t xml:space="preserve">Effect on costs to sources (i.e., are there potential costs avoided if this approach is pursued in lieu of </w:t>
      </w:r>
      <w:r w:rsidR="00BB5736">
        <w:t xml:space="preserve">a </w:t>
      </w:r>
      <w:r w:rsidR="00940970" w:rsidRPr="00F65560">
        <w:t>traditional individual permit?)</w:t>
      </w:r>
    </w:p>
    <w:p w:rsidR="00D21813" w:rsidRDefault="00BB5736" w:rsidP="00754126">
      <w:pPr>
        <w:pStyle w:val="ListParagraph"/>
        <w:numPr>
          <w:ilvl w:val="3"/>
          <w:numId w:val="1"/>
        </w:numPr>
        <w:spacing w:line="360" w:lineRule="auto"/>
      </w:pPr>
      <w:r>
        <w:t>Use Attainability Analysis</w:t>
      </w:r>
    </w:p>
    <w:p w:rsidR="00BB5736" w:rsidRDefault="009E16A9" w:rsidP="00754126">
      <w:pPr>
        <w:pStyle w:val="ListParagraph"/>
        <w:numPr>
          <w:ilvl w:val="3"/>
          <w:numId w:val="1"/>
        </w:numPr>
        <w:spacing w:line="360" w:lineRule="auto"/>
      </w:pPr>
      <w:r>
        <w:t>Possibility of t</w:t>
      </w:r>
      <w:r w:rsidR="00BB5736">
        <w:t>rading with upstream sources to meet WQBEL</w:t>
      </w: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B77D1E" w:rsidRDefault="00B77D1E" w:rsidP="00B77D1E">
      <w:pPr>
        <w:spacing w:line="360" w:lineRule="auto"/>
      </w:pPr>
    </w:p>
    <w:p w:rsidR="001F7D92" w:rsidRDefault="001F7D92" w:rsidP="001F7D92">
      <w:pPr>
        <w:sectPr w:rsidR="001F7D92" w:rsidSect="00860FC6">
          <w:headerReference w:type="default" r:id="rId12"/>
          <w:footerReference w:type="default" r:id="rId13"/>
          <w:pgSz w:w="12240" w:h="15840"/>
          <w:pgMar w:top="1440" w:right="1080" w:bottom="1440" w:left="1080" w:header="720" w:footer="720" w:gutter="0"/>
          <w:cols w:space="720"/>
          <w:docGrid w:linePitch="360"/>
        </w:sectPr>
      </w:pPr>
    </w:p>
    <w:tbl>
      <w:tblPr>
        <w:tblW w:w="13400" w:type="dxa"/>
        <w:tblInd w:w="93" w:type="dxa"/>
        <w:tblCellMar>
          <w:left w:w="115" w:type="dxa"/>
          <w:right w:w="115" w:type="dxa"/>
        </w:tblCellMar>
        <w:tblLook w:val="04A0"/>
      </w:tblPr>
      <w:tblGrid>
        <w:gridCol w:w="840"/>
        <w:gridCol w:w="3288"/>
        <w:gridCol w:w="1120"/>
        <w:gridCol w:w="1297"/>
        <w:gridCol w:w="1522"/>
        <w:gridCol w:w="1264"/>
        <w:gridCol w:w="1336"/>
        <w:gridCol w:w="1464"/>
        <w:gridCol w:w="1269"/>
      </w:tblGrid>
      <w:tr w:rsidR="001F7D92" w:rsidRPr="00342403" w:rsidTr="00F256F5">
        <w:trPr>
          <w:trHeight w:val="1050"/>
          <w:tblHeader/>
        </w:trPr>
        <w:tc>
          <w:tcPr>
            <w:tcW w:w="953" w:type="dxa"/>
            <w:tcBorders>
              <w:top w:val="single" w:sz="12" w:space="0" w:color="auto"/>
              <w:left w:val="single" w:sz="12" w:space="0" w:color="auto"/>
              <w:bottom w:val="double" w:sz="6" w:space="0" w:color="auto"/>
              <w:right w:val="single" w:sz="12" w:space="0" w:color="auto"/>
            </w:tcBorders>
            <w:shd w:val="clear" w:color="000000" w:fill="FFFFFF"/>
            <w:vAlign w:val="bottom"/>
            <w:hideMark/>
          </w:tcPr>
          <w:p w:rsidR="001F7D92" w:rsidRPr="00342403" w:rsidRDefault="001F7D92" w:rsidP="00F256F5">
            <w:pPr>
              <w:spacing w:after="0" w:line="240" w:lineRule="auto"/>
              <w:jc w:val="center"/>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w:t>
            </w:r>
          </w:p>
        </w:tc>
        <w:tc>
          <w:tcPr>
            <w:tcW w:w="3288" w:type="dxa"/>
            <w:tcBorders>
              <w:top w:val="single" w:sz="12" w:space="0" w:color="auto"/>
              <w:left w:val="nil"/>
              <w:bottom w:val="double" w:sz="6" w:space="0" w:color="auto"/>
              <w:right w:val="single" w:sz="12" w:space="0" w:color="auto"/>
            </w:tcBorders>
            <w:shd w:val="clear" w:color="auto" w:fill="auto"/>
            <w:noWrap/>
            <w:vAlign w:val="bottom"/>
            <w:hideMark/>
          </w:tcPr>
          <w:p w:rsidR="001F7D92" w:rsidRPr="00342403" w:rsidRDefault="001F7D92" w:rsidP="00F256F5">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Pollutant</w:t>
            </w:r>
            <w:r w:rsidRPr="00342403">
              <w:rPr>
                <w:rFonts w:ascii="Arial" w:eastAsia="Times New Roman" w:hAnsi="Arial" w:cs="Arial"/>
                <w:b/>
                <w:bCs/>
                <w:color w:val="000000"/>
                <w:sz w:val="20"/>
                <w:szCs w:val="20"/>
              </w:rPr>
              <w:t> </w:t>
            </w:r>
          </w:p>
        </w:tc>
        <w:tc>
          <w:tcPr>
            <w:tcW w:w="960" w:type="dxa"/>
            <w:tcBorders>
              <w:top w:val="single" w:sz="12" w:space="0" w:color="auto"/>
              <w:left w:val="nil"/>
              <w:bottom w:val="double" w:sz="6" w:space="0" w:color="auto"/>
              <w:right w:val="single" w:sz="12" w:space="0" w:color="auto"/>
            </w:tcBorders>
            <w:shd w:val="clear" w:color="auto" w:fill="auto"/>
            <w:vAlign w:val="bottom"/>
            <w:hideMark/>
          </w:tcPr>
          <w:p w:rsidR="001F7D92" w:rsidRPr="00342403" w:rsidRDefault="001F7D92" w:rsidP="00F256F5">
            <w:pPr>
              <w:spacing w:after="0" w:line="240" w:lineRule="auto"/>
              <w:jc w:val="center"/>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w:t>
            </w:r>
            <w:r>
              <w:rPr>
                <w:rFonts w:ascii="Arial" w:eastAsia="Times New Roman" w:hAnsi="Arial" w:cs="Arial"/>
                <w:b/>
                <w:bCs/>
                <w:color w:val="000000"/>
                <w:sz w:val="20"/>
                <w:szCs w:val="20"/>
              </w:rPr>
              <w:t>CAS number</w:t>
            </w:r>
          </w:p>
        </w:tc>
        <w:tc>
          <w:tcPr>
            <w:tcW w:w="1219" w:type="dxa"/>
            <w:tcBorders>
              <w:top w:val="single" w:sz="12" w:space="0" w:color="auto"/>
              <w:left w:val="nil"/>
              <w:bottom w:val="double" w:sz="6"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Agriculture (Legacy)</w:t>
            </w:r>
          </w:p>
        </w:tc>
        <w:tc>
          <w:tcPr>
            <w:tcW w:w="1614" w:type="dxa"/>
            <w:tcBorders>
              <w:top w:val="single" w:sz="12" w:space="0" w:color="auto"/>
              <w:left w:val="nil"/>
              <w:bottom w:val="double" w:sz="6"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Agriculture (Curren</w:t>
            </w:r>
            <w:r w:rsidRPr="00342403">
              <w:rPr>
                <w:rFonts w:ascii="Arial" w:eastAsia="Times New Roman" w:hAnsi="Arial" w:cs="Arial"/>
                <w:b/>
                <w:bCs/>
                <w:color w:val="000000"/>
                <w:sz w:val="20"/>
                <w:szCs w:val="20"/>
              </w:rPr>
              <w:t>t Use)</w:t>
            </w:r>
          </w:p>
        </w:tc>
        <w:tc>
          <w:tcPr>
            <w:tcW w:w="1354" w:type="dxa"/>
            <w:tcBorders>
              <w:top w:val="single" w:sz="12" w:space="0" w:color="auto"/>
              <w:left w:val="nil"/>
              <w:bottom w:val="double" w:sz="6"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Forestry (Historic or current)</w:t>
            </w:r>
          </w:p>
        </w:tc>
        <w:tc>
          <w:tcPr>
            <w:tcW w:w="1338" w:type="dxa"/>
            <w:tcBorders>
              <w:top w:val="single" w:sz="12" w:space="0" w:color="auto"/>
              <w:left w:val="nil"/>
              <w:bottom w:val="double" w:sz="6"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xml:space="preserve"> Urban </w:t>
            </w:r>
            <w:proofErr w:type="spellStart"/>
            <w:r w:rsidRPr="00342403">
              <w:rPr>
                <w:rFonts w:ascii="Arial" w:eastAsia="Times New Roman" w:hAnsi="Arial" w:cs="Arial"/>
                <w:b/>
                <w:bCs/>
                <w:color w:val="000000"/>
                <w:sz w:val="20"/>
                <w:szCs w:val="20"/>
              </w:rPr>
              <w:t>Stormwater</w:t>
            </w:r>
            <w:proofErr w:type="spellEnd"/>
            <w:r w:rsidRPr="00342403">
              <w:rPr>
                <w:rFonts w:ascii="Arial" w:eastAsia="Times New Roman" w:hAnsi="Arial" w:cs="Arial"/>
                <w:b/>
                <w:bCs/>
                <w:color w:val="000000"/>
                <w:sz w:val="20"/>
                <w:szCs w:val="20"/>
              </w:rPr>
              <w:t xml:space="preserve"> </w:t>
            </w:r>
          </w:p>
        </w:tc>
        <w:tc>
          <w:tcPr>
            <w:tcW w:w="1339" w:type="dxa"/>
            <w:tcBorders>
              <w:top w:val="single" w:sz="12" w:space="0" w:color="auto"/>
              <w:left w:val="nil"/>
              <w:bottom w:val="double" w:sz="6"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Air Deposition (widespread)</w:t>
            </w:r>
          </w:p>
        </w:tc>
        <w:tc>
          <w:tcPr>
            <w:tcW w:w="1335" w:type="dxa"/>
            <w:tcBorders>
              <w:top w:val="single" w:sz="12" w:space="0" w:color="auto"/>
              <w:left w:val="nil"/>
              <w:bottom w:val="double" w:sz="6"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xml:space="preserve">Naturally </w:t>
            </w:r>
            <w:proofErr w:type="spellStart"/>
            <w:r w:rsidRPr="00342403">
              <w:rPr>
                <w:rFonts w:ascii="Arial" w:eastAsia="Times New Roman" w:hAnsi="Arial" w:cs="Arial"/>
                <w:b/>
                <w:bCs/>
                <w:color w:val="000000"/>
                <w:sz w:val="20"/>
                <w:szCs w:val="20"/>
              </w:rPr>
              <w:t>Occuring</w:t>
            </w:r>
            <w:proofErr w:type="spellEnd"/>
            <w:r w:rsidRPr="00342403">
              <w:rPr>
                <w:rFonts w:ascii="Arial" w:eastAsia="Times New Roman" w:hAnsi="Arial" w:cs="Arial"/>
                <w:b/>
                <w:bCs/>
                <w:color w:val="000000"/>
                <w:sz w:val="20"/>
                <w:szCs w:val="20"/>
              </w:rPr>
              <w:t xml:space="preserve"> </w:t>
            </w:r>
          </w:p>
        </w:tc>
      </w:tr>
      <w:tr w:rsidR="001F7D92" w:rsidRPr="00342403" w:rsidTr="00F256F5">
        <w:trPr>
          <w:trHeight w:val="330"/>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Acenaphthene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83329</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Acrolein</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107028</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Acrylonitrile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107131</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Aldrin</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309002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Anthracene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120127</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Antimony</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7440360</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Arsenic</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7440382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Asbestos</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1332214</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Benzene [represents range]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71432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Benzene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71432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Benzidine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92875</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(a)</w:t>
            </w:r>
            <w:proofErr w:type="spellStart"/>
            <w:r w:rsidRPr="00342403">
              <w:rPr>
                <w:rFonts w:ascii="Arial" w:eastAsia="Times New Roman" w:hAnsi="Arial" w:cs="Arial"/>
                <w:color w:val="000000"/>
                <w:sz w:val="20"/>
                <w:szCs w:val="20"/>
              </w:rPr>
              <w:t>anthracene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56553</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(a)</w:t>
            </w:r>
            <w:proofErr w:type="spellStart"/>
            <w:r w:rsidRPr="00342403">
              <w:rPr>
                <w:rFonts w:ascii="Arial" w:eastAsia="Times New Roman" w:hAnsi="Arial" w:cs="Arial"/>
                <w:color w:val="000000"/>
                <w:sz w:val="20"/>
                <w:szCs w:val="20"/>
              </w:rPr>
              <w:t>pyrene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50328</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(b)</w:t>
            </w:r>
            <w:proofErr w:type="spellStart"/>
            <w:r w:rsidRPr="00342403">
              <w:rPr>
                <w:rFonts w:ascii="Arial" w:eastAsia="Times New Roman" w:hAnsi="Arial" w:cs="Arial"/>
                <w:color w:val="000000"/>
                <w:sz w:val="20"/>
                <w:szCs w:val="20"/>
              </w:rPr>
              <w:t>fluoranthene</w:t>
            </w:r>
            <w:proofErr w:type="spellEnd"/>
            <w:r w:rsidRPr="00342403">
              <w:rPr>
                <w:rFonts w:ascii="Arial" w:eastAsia="Times New Roman" w:hAnsi="Arial" w:cs="Arial"/>
                <w:color w:val="000000"/>
                <w:sz w:val="20"/>
                <w:szCs w:val="20"/>
              </w:rPr>
              <w:t xml:space="preserve"> 3,4</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205992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(k)</w:t>
            </w:r>
            <w:proofErr w:type="spellStart"/>
            <w:r w:rsidRPr="00342403">
              <w:rPr>
                <w:rFonts w:ascii="Arial" w:eastAsia="Times New Roman" w:hAnsi="Arial" w:cs="Arial"/>
                <w:color w:val="000000"/>
                <w:sz w:val="20"/>
                <w:szCs w:val="20"/>
              </w:rPr>
              <w:t>fluoranthene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207089</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Alpha</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319846</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Beta</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319857</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Gamma (</w:t>
            </w:r>
            <w:proofErr w:type="spellStart"/>
            <w:r w:rsidRPr="00342403">
              <w:rPr>
                <w:rFonts w:ascii="Arial" w:eastAsia="Times New Roman" w:hAnsi="Arial" w:cs="Arial"/>
                <w:color w:val="000000"/>
                <w:sz w:val="20"/>
                <w:szCs w:val="20"/>
              </w:rPr>
              <w:t>Lindane</w:t>
            </w:r>
            <w:proofErr w:type="spellEnd"/>
            <w:r w:rsidRPr="00342403">
              <w:rPr>
                <w:rFonts w:ascii="Arial" w:eastAsia="Times New Roman" w:hAnsi="Arial" w:cs="Arial"/>
                <w:color w:val="000000"/>
                <w:sz w:val="20"/>
                <w:szCs w:val="20"/>
              </w:rPr>
              <w:t>)</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58899</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Bromoform</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75252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Butylbenzyl</w:t>
            </w:r>
            <w:proofErr w:type="spellEnd"/>
            <w:r w:rsidRPr="00342403">
              <w:rPr>
                <w:rFonts w:ascii="Arial" w:eastAsia="Times New Roman" w:hAnsi="Arial" w:cs="Arial"/>
                <w:color w:val="000000"/>
                <w:sz w:val="20"/>
                <w:szCs w:val="20"/>
              </w:rPr>
              <w:t xml:space="preserve"> Phthalate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85687</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Carbon Tetrachloride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56235</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Chlordane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57749</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Chlorinated benzenes</w:t>
            </w:r>
            <w:r w:rsidRPr="00342403">
              <w:rPr>
                <w:rFonts w:eastAsia="Times New Roman" w:cs="Arial"/>
                <w:color w:val="000000"/>
                <w:sz w:val="16"/>
                <w:szCs w:val="16"/>
              </w:rPr>
              <w:t> </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Chlorobenzene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108907</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Chlorodibromomethane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124481</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111444</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27</w:t>
            </w:r>
          </w:p>
        </w:tc>
        <w:tc>
          <w:tcPr>
            <w:tcW w:w="3288" w:type="dxa"/>
            <w:tcBorders>
              <w:top w:val="nil"/>
              <w:left w:val="nil"/>
              <w:bottom w:val="single" w:sz="8" w:space="0" w:color="auto"/>
              <w:right w:val="single" w:sz="12" w:space="0" w:color="auto"/>
            </w:tcBorders>
            <w:shd w:val="clear" w:color="000000" w:fill="FFFFFF"/>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Chloroform</w:t>
            </w:r>
          </w:p>
        </w:tc>
        <w:tc>
          <w:tcPr>
            <w:tcW w:w="960" w:type="dxa"/>
            <w:tcBorders>
              <w:top w:val="nil"/>
              <w:left w:val="nil"/>
              <w:bottom w:val="single" w:sz="8" w:space="0" w:color="auto"/>
              <w:right w:val="nil"/>
            </w:tcBorders>
            <w:shd w:val="clear" w:color="000000" w:fill="FFFFFF"/>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67663</w:t>
            </w:r>
          </w:p>
        </w:tc>
        <w:tc>
          <w:tcPr>
            <w:tcW w:w="1219" w:type="dxa"/>
            <w:tcBorders>
              <w:top w:val="nil"/>
              <w:left w:val="double" w:sz="6" w:space="0" w:color="auto"/>
              <w:bottom w:val="single" w:sz="8" w:space="0" w:color="auto"/>
              <w:right w:val="double" w:sz="6" w:space="0" w:color="auto"/>
            </w:tcBorders>
            <w:shd w:val="clear" w:color="000000" w:fill="FFFFFF"/>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FFFFFF"/>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FFFFFF"/>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FFFFFF"/>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FFFFFF"/>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FFFFFF"/>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Chloroisopropyl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108601</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Chloromethyl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542881</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91587</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Chlorophenol</w:t>
            </w:r>
            <w:proofErr w:type="spellEnd"/>
            <w:r w:rsidRPr="00342403">
              <w:rPr>
                <w:rFonts w:ascii="Arial" w:eastAsia="Times New Roman" w:hAnsi="Arial" w:cs="Arial"/>
                <w:color w:val="000000"/>
                <w:sz w:val="20"/>
                <w:szCs w:val="20"/>
              </w:rPr>
              <w:t xml:space="preserve"> 2</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95578</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Chlorophenoxy</w:t>
            </w:r>
            <w:proofErr w:type="spellEnd"/>
            <w:r w:rsidRPr="00342403">
              <w:rPr>
                <w:rFonts w:ascii="Arial" w:eastAsia="Times New Roman" w:hAnsi="Arial" w:cs="Arial"/>
                <w:color w:val="000000"/>
                <w:sz w:val="20"/>
                <w:szCs w:val="20"/>
              </w:rPr>
              <w:t xml:space="preserve"> Herbicide (2,4,5,-TP)</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93721</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Chlorophenoxy</w:t>
            </w:r>
            <w:proofErr w:type="spellEnd"/>
            <w:r w:rsidRPr="00342403">
              <w:rPr>
                <w:rFonts w:ascii="Arial" w:eastAsia="Times New Roman" w:hAnsi="Arial" w:cs="Arial"/>
                <w:color w:val="000000"/>
                <w:sz w:val="20"/>
                <w:szCs w:val="20"/>
              </w:rPr>
              <w:t xml:space="preserve"> Herbicide (2,4-D)</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94757</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Chrysene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218019</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Copper</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7440508</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Cyanide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57125</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DDD 4,4'</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72548</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DDE 4,4'</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72559</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DDT 4,4'</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50293</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Di-2-ethylhexyl Phthalate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Dibenzo</w:t>
            </w:r>
            <w:proofErr w:type="spellEnd"/>
            <w:r w:rsidRPr="00342403">
              <w:rPr>
                <w:rFonts w:ascii="Arial" w:eastAsia="Times New Roman" w:hAnsi="Arial" w:cs="Arial"/>
                <w:color w:val="000000"/>
                <w:sz w:val="20"/>
                <w:szCs w:val="20"/>
              </w:rPr>
              <w:t>(</w:t>
            </w:r>
            <w:proofErr w:type="spellStart"/>
            <w:r w:rsidRPr="00342403">
              <w:rPr>
                <w:rFonts w:ascii="Arial" w:eastAsia="Times New Roman" w:hAnsi="Arial" w:cs="Arial"/>
                <w:color w:val="000000"/>
                <w:sz w:val="20"/>
                <w:szCs w:val="20"/>
              </w:rPr>
              <w:t>a,h</w:t>
            </w:r>
            <w:proofErr w:type="spellEnd"/>
            <w:r w:rsidRPr="00342403">
              <w:rPr>
                <w:rFonts w:ascii="Arial" w:eastAsia="Times New Roman" w:hAnsi="Arial" w:cs="Arial"/>
                <w:color w:val="000000"/>
                <w:sz w:val="20"/>
                <w:szCs w:val="20"/>
              </w:rPr>
              <w:t>)</w:t>
            </w:r>
            <w:proofErr w:type="spellStart"/>
            <w:r w:rsidRPr="00342403">
              <w:rPr>
                <w:rFonts w:ascii="Arial" w:eastAsia="Times New Roman" w:hAnsi="Arial" w:cs="Arial"/>
                <w:color w:val="000000"/>
                <w:sz w:val="20"/>
                <w:szCs w:val="20"/>
              </w:rPr>
              <w:t>anthracene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53703</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Dibutylphthalate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84742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Dichlorobenzene(m) 1,3</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541731</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Dichlorobenzene(o) 1,2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95501</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Dichlorobenzene(p) 1,4</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106467</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Dichlorobenzenes</w:t>
            </w:r>
            <w:proofErr w:type="spellEnd"/>
            <w:r w:rsidRPr="00342403">
              <w:rPr>
                <w:rFonts w:eastAsia="Times New Roman" w:cs="Arial"/>
                <w:color w:val="000000"/>
                <w:sz w:val="16"/>
                <w:szCs w:val="16"/>
              </w:rPr>
              <w:t> </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Dichlorobenzidine</w:t>
            </w:r>
            <w:proofErr w:type="spellEnd"/>
            <w:r w:rsidRPr="00342403">
              <w:rPr>
                <w:rFonts w:ascii="Arial" w:eastAsia="Times New Roman" w:hAnsi="Arial" w:cs="Arial"/>
                <w:color w:val="000000"/>
                <w:sz w:val="20"/>
                <w:szCs w:val="20"/>
              </w:rPr>
              <w:t xml:space="preserve"> 3,3'</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91941</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Dichlorobromomethane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124481</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Dichloroethane</w:t>
            </w:r>
            <w:proofErr w:type="spellEnd"/>
            <w:r w:rsidRPr="00342403">
              <w:rPr>
                <w:rFonts w:ascii="Arial" w:eastAsia="Times New Roman" w:hAnsi="Arial" w:cs="Arial"/>
                <w:color w:val="000000"/>
                <w:sz w:val="20"/>
                <w:szCs w:val="20"/>
              </w:rPr>
              <w:t xml:space="preserve"> 1,2</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107062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w:t>
            </w:r>
            <w:proofErr w:type="spellEnd"/>
            <w:r w:rsidRPr="00342403">
              <w:rPr>
                <w:rFonts w:ascii="Arial" w:eastAsia="Times New Roman" w:hAnsi="Arial" w:cs="Arial"/>
                <w:color w:val="000000"/>
                <w:sz w:val="20"/>
                <w:szCs w:val="20"/>
              </w:rPr>
              <w:t xml:space="preserve"> 1,1</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75354</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w:t>
            </w:r>
            <w:proofErr w:type="spellEnd"/>
            <w:r w:rsidRPr="00342403">
              <w:rPr>
                <w:rFonts w:ascii="Arial" w:eastAsia="Times New Roman" w:hAnsi="Arial" w:cs="Arial"/>
                <w:color w:val="000000"/>
                <w:sz w:val="20"/>
                <w:szCs w:val="20"/>
              </w:rPr>
              <w:t xml:space="preserve"> trans 1,2</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156605</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Dichloroethylenes</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Dichlorophenol</w:t>
            </w:r>
            <w:proofErr w:type="spellEnd"/>
            <w:r w:rsidRPr="00342403">
              <w:rPr>
                <w:rFonts w:ascii="Arial" w:eastAsia="Times New Roman" w:hAnsi="Arial" w:cs="Arial"/>
                <w:color w:val="000000"/>
                <w:sz w:val="20"/>
                <w:szCs w:val="20"/>
              </w:rPr>
              <w:t xml:space="preserve"> 2,4</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120832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Dichloropropane</w:t>
            </w:r>
            <w:proofErr w:type="spellEnd"/>
            <w:r w:rsidRPr="00342403">
              <w:rPr>
                <w:rFonts w:ascii="Arial" w:eastAsia="Times New Roman" w:hAnsi="Arial" w:cs="Arial"/>
                <w:color w:val="000000"/>
                <w:sz w:val="20"/>
                <w:szCs w:val="20"/>
              </w:rPr>
              <w:t xml:space="preserve"> 1,2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78875</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Dichloropropene</w:t>
            </w:r>
            <w:proofErr w:type="spellEnd"/>
            <w:r w:rsidRPr="00342403">
              <w:rPr>
                <w:rFonts w:ascii="Arial" w:eastAsia="Times New Roman" w:hAnsi="Arial" w:cs="Arial"/>
                <w:color w:val="000000"/>
                <w:sz w:val="20"/>
                <w:szCs w:val="20"/>
              </w:rPr>
              <w:t xml:space="preserve"> 1,3</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542756</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Dieldrin</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60571</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Diethyl Phthalate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84662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Dimethyl</w:t>
            </w:r>
            <w:proofErr w:type="spellEnd"/>
            <w:r w:rsidRPr="00342403">
              <w:rPr>
                <w:rFonts w:ascii="Arial" w:eastAsia="Times New Roman" w:hAnsi="Arial" w:cs="Arial"/>
                <w:color w:val="000000"/>
                <w:sz w:val="20"/>
                <w:szCs w:val="20"/>
              </w:rPr>
              <w:t xml:space="preserve"> Phthalate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131113</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Dimethylphenol</w:t>
            </w:r>
            <w:proofErr w:type="spellEnd"/>
            <w:r w:rsidRPr="00342403">
              <w:rPr>
                <w:rFonts w:ascii="Arial" w:eastAsia="Times New Roman" w:hAnsi="Arial" w:cs="Arial"/>
                <w:color w:val="000000"/>
                <w:sz w:val="20"/>
                <w:szCs w:val="20"/>
              </w:rPr>
              <w:t xml:space="preserve"> 2,4</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105679</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Di-n-butyl Phthalate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84742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Dinitrophenol</w:t>
            </w:r>
            <w:proofErr w:type="spellEnd"/>
            <w:r w:rsidRPr="00342403">
              <w:rPr>
                <w:rFonts w:ascii="Arial" w:eastAsia="Times New Roman" w:hAnsi="Arial" w:cs="Arial"/>
                <w:color w:val="000000"/>
                <w:sz w:val="20"/>
                <w:szCs w:val="20"/>
              </w:rPr>
              <w:t xml:space="preserve"> 2,4</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51285</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Dinitrophenols</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25550587</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Dinitrotoluene</w:t>
            </w:r>
            <w:proofErr w:type="spellEnd"/>
            <w:r w:rsidRPr="00342403">
              <w:rPr>
                <w:rFonts w:ascii="Arial" w:eastAsia="Times New Roman" w:hAnsi="Arial" w:cs="Arial"/>
                <w:color w:val="000000"/>
                <w:sz w:val="20"/>
                <w:szCs w:val="20"/>
              </w:rPr>
              <w:t xml:space="preserve"> 2,4</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121142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Dioxin (2,3,7,8-TCDD)</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1746016</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Diphenylhydrazine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Diphenylhydrazine</w:t>
            </w:r>
            <w:proofErr w:type="spellEnd"/>
            <w:r w:rsidRPr="00342403">
              <w:rPr>
                <w:rFonts w:ascii="Arial" w:eastAsia="Times New Roman" w:hAnsi="Arial" w:cs="Arial"/>
                <w:color w:val="000000"/>
                <w:sz w:val="20"/>
                <w:szCs w:val="20"/>
              </w:rPr>
              <w:t xml:space="preserve"> 1,2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122667</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Alpha</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959988</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Beta</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33213659</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Sulfate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1031078</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Endrin</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72208</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Endrin</w:t>
            </w:r>
            <w:proofErr w:type="spellEnd"/>
            <w:r w:rsidRPr="00342403">
              <w:rPr>
                <w:rFonts w:ascii="Arial" w:eastAsia="Times New Roman" w:hAnsi="Arial" w:cs="Arial"/>
                <w:color w:val="000000"/>
                <w:sz w:val="20"/>
                <w:szCs w:val="20"/>
              </w:rPr>
              <w:t xml:space="preserve"> </w:t>
            </w:r>
            <w:proofErr w:type="spellStart"/>
            <w:r w:rsidRPr="00342403">
              <w:rPr>
                <w:rFonts w:ascii="Arial" w:eastAsia="Times New Roman" w:hAnsi="Arial" w:cs="Arial"/>
                <w:color w:val="000000"/>
                <w:sz w:val="20"/>
                <w:szCs w:val="20"/>
              </w:rPr>
              <w:t>Aldehyde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7421934</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Ethylbenzene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100414</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Ethylhexyl</w:t>
            </w:r>
            <w:proofErr w:type="spellEnd"/>
            <w:r w:rsidRPr="00342403">
              <w:rPr>
                <w:rFonts w:ascii="Arial" w:eastAsia="Times New Roman" w:hAnsi="Arial" w:cs="Arial"/>
                <w:color w:val="000000"/>
                <w:sz w:val="20"/>
                <w:szCs w:val="20"/>
              </w:rPr>
              <w:t xml:space="preserve"> Phthalate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117817</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Fluoranthene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206440</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Fluorene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86737</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Heptachlor</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76448</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xml:space="preserve">Heptachlor </w:t>
            </w:r>
            <w:proofErr w:type="spellStart"/>
            <w:r w:rsidRPr="00342403">
              <w:rPr>
                <w:rFonts w:ascii="Arial" w:eastAsia="Times New Roman" w:hAnsi="Arial" w:cs="Arial"/>
                <w:color w:val="000000"/>
                <w:sz w:val="20"/>
                <w:szCs w:val="20"/>
              </w:rPr>
              <w:t>Epoxide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1024573</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Hexachlorobenzene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118741</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Hexachlorobutadiene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87683</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Hexachlorocyclopentadiene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77474</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Hexachloroethane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67721</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Indeno</w:t>
            </w:r>
            <w:proofErr w:type="spellEnd"/>
            <w:r w:rsidRPr="00342403">
              <w:rPr>
                <w:rFonts w:ascii="Arial" w:eastAsia="Times New Roman" w:hAnsi="Arial" w:cs="Arial"/>
                <w:color w:val="000000"/>
                <w:sz w:val="20"/>
                <w:szCs w:val="20"/>
              </w:rPr>
              <w:t>(1,2,3-cd)</w:t>
            </w:r>
            <w:proofErr w:type="spellStart"/>
            <w:r w:rsidRPr="00342403">
              <w:rPr>
                <w:rFonts w:ascii="Arial" w:eastAsia="Times New Roman" w:hAnsi="Arial" w:cs="Arial"/>
                <w:color w:val="000000"/>
                <w:sz w:val="20"/>
                <w:szCs w:val="20"/>
              </w:rPr>
              <w:t>pyrene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193395</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Isophorone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78591</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Manganese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7439965</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Methoxychlor</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72435</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Methyl Bromide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74839</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Methyl-4,6-dinitrophenol 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534521</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Methylene</w:t>
            </w:r>
            <w:proofErr w:type="spellEnd"/>
            <w:r w:rsidRPr="00342403">
              <w:rPr>
                <w:rFonts w:ascii="Arial" w:eastAsia="Times New Roman" w:hAnsi="Arial" w:cs="Arial"/>
                <w:color w:val="000000"/>
                <w:sz w:val="20"/>
                <w:szCs w:val="20"/>
              </w:rPr>
              <w:t xml:space="preserve"> Chloride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75092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Methylmercury</w:t>
            </w:r>
            <w:proofErr w:type="spellEnd"/>
            <w:r w:rsidRPr="00342403">
              <w:rPr>
                <w:rFonts w:ascii="Arial" w:eastAsia="Times New Roman" w:hAnsi="Arial" w:cs="Arial"/>
                <w:color w:val="000000"/>
                <w:sz w:val="20"/>
                <w:szCs w:val="20"/>
              </w:rPr>
              <w:t xml:space="preserve"> (mg/kg)</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22967926</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Nickel</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7440020</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Nitrates</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14797558</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Nitrobenzene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98953</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Nitrosodibutylamine</w:t>
            </w:r>
            <w:proofErr w:type="spellEnd"/>
            <w:r w:rsidRPr="00342403">
              <w:rPr>
                <w:rFonts w:ascii="Arial" w:eastAsia="Times New Roman" w:hAnsi="Arial" w:cs="Arial"/>
                <w:color w:val="000000"/>
                <w:sz w:val="20"/>
                <w:szCs w:val="20"/>
              </w:rPr>
              <w:t>, N</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924163</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Nitrosodimethylamine</w:t>
            </w:r>
            <w:proofErr w:type="spellEnd"/>
            <w:r w:rsidRPr="00342403">
              <w:rPr>
                <w:rFonts w:ascii="Arial" w:eastAsia="Times New Roman" w:hAnsi="Arial" w:cs="Arial"/>
                <w:color w:val="000000"/>
                <w:sz w:val="20"/>
                <w:szCs w:val="20"/>
              </w:rPr>
              <w:t>, N</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62759</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w:t>
            </w:r>
            <w:proofErr w:type="spellEnd"/>
            <w:r w:rsidRPr="00342403">
              <w:rPr>
                <w:rFonts w:ascii="Arial" w:eastAsia="Times New Roman" w:hAnsi="Arial" w:cs="Arial"/>
                <w:color w:val="000000"/>
                <w:sz w:val="20"/>
                <w:szCs w:val="20"/>
              </w:rPr>
              <w:t>-n-</w:t>
            </w:r>
            <w:proofErr w:type="spellStart"/>
            <w:r w:rsidRPr="00342403">
              <w:rPr>
                <w:rFonts w:ascii="Arial" w:eastAsia="Times New Roman" w:hAnsi="Arial" w:cs="Arial"/>
                <w:color w:val="000000"/>
                <w:sz w:val="20"/>
                <w:szCs w:val="20"/>
              </w:rPr>
              <w:t>propylamine</w:t>
            </w:r>
            <w:proofErr w:type="spellEnd"/>
            <w:r w:rsidRPr="00342403">
              <w:rPr>
                <w:rFonts w:ascii="Arial" w:eastAsia="Times New Roman" w:hAnsi="Arial" w:cs="Arial"/>
                <w:color w:val="000000"/>
                <w:sz w:val="20"/>
                <w:szCs w:val="20"/>
              </w:rPr>
              <w:t>, N</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621647</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Nitrosodiphenylamine</w:t>
            </w:r>
            <w:proofErr w:type="spellEnd"/>
            <w:r w:rsidRPr="00342403">
              <w:rPr>
                <w:rFonts w:ascii="Arial" w:eastAsia="Times New Roman" w:hAnsi="Arial" w:cs="Arial"/>
                <w:color w:val="000000"/>
                <w:sz w:val="20"/>
                <w:szCs w:val="20"/>
              </w:rPr>
              <w:t>, N</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86306</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Nitrosopyrrolidine</w:t>
            </w:r>
            <w:proofErr w:type="spellEnd"/>
            <w:r w:rsidRPr="00342403">
              <w:rPr>
                <w:rFonts w:ascii="Arial" w:eastAsia="Times New Roman" w:hAnsi="Arial" w:cs="Arial"/>
                <w:color w:val="000000"/>
                <w:sz w:val="20"/>
                <w:szCs w:val="20"/>
              </w:rPr>
              <w:t>, N</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930552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Pentachlorobenzene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608935</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Pentachlorophenol</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87865</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Phenol*</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108952</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Polychlorinated Biphenyls (PCBs)</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Pyrene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129000</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Selenium</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7782492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Tetrachlorobenzene</w:t>
            </w:r>
            <w:proofErr w:type="spellEnd"/>
            <w:r w:rsidRPr="00342403">
              <w:rPr>
                <w:rFonts w:ascii="Arial" w:eastAsia="Times New Roman" w:hAnsi="Arial" w:cs="Arial"/>
                <w:color w:val="000000"/>
                <w:sz w:val="20"/>
                <w:szCs w:val="20"/>
              </w:rPr>
              <w:t>, 1,2,4,5-</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95943</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Tetrachloroethane</w:t>
            </w:r>
            <w:proofErr w:type="spellEnd"/>
            <w:r w:rsidRPr="00342403">
              <w:rPr>
                <w:rFonts w:ascii="Arial" w:eastAsia="Times New Roman" w:hAnsi="Arial" w:cs="Arial"/>
                <w:color w:val="000000"/>
                <w:sz w:val="20"/>
                <w:szCs w:val="20"/>
              </w:rPr>
              <w:t xml:space="preserve"> 1,1,2,2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79345</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107</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Tetrachloroethylene</w:t>
            </w:r>
            <w:proofErr w:type="spellEnd"/>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127184</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108</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Thallium</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7440280</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109</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Toluene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108883</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110</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Toxaphene</w:t>
            </w:r>
            <w:proofErr w:type="spellEnd"/>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8001352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111</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Trichlorobenzene</w:t>
            </w:r>
            <w:proofErr w:type="spellEnd"/>
            <w:r w:rsidRPr="00342403">
              <w:rPr>
                <w:rFonts w:ascii="Arial" w:eastAsia="Times New Roman" w:hAnsi="Arial" w:cs="Arial"/>
                <w:color w:val="000000"/>
                <w:sz w:val="20"/>
                <w:szCs w:val="20"/>
              </w:rPr>
              <w:t xml:space="preserve"> 1,2,4</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120821</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112</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Trichloroethane</w:t>
            </w:r>
            <w:proofErr w:type="spellEnd"/>
            <w:r w:rsidRPr="00342403">
              <w:rPr>
                <w:rFonts w:ascii="Arial" w:eastAsia="Times New Roman" w:hAnsi="Arial" w:cs="Arial"/>
                <w:color w:val="000000"/>
                <w:sz w:val="20"/>
                <w:szCs w:val="20"/>
              </w:rPr>
              <w:t xml:space="preserve"> 1,1,2</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79005</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113</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Trichloroethylene</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79016</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114</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Trichlorophenol</w:t>
            </w:r>
            <w:proofErr w:type="spellEnd"/>
            <w:r w:rsidRPr="00342403">
              <w:rPr>
                <w:rFonts w:ascii="Arial" w:eastAsia="Times New Roman" w:hAnsi="Arial" w:cs="Arial"/>
                <w:color w:val="000000"/>
                <w:sz w:val="20"/>
                <w:szCs w:val="20"/>
              </w:rPr>
              <w:t xml:space="preserve"> 2,4,6</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88062</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115</w:t>
            </w:r>
          </w:p>
        </w:tc>
        <w:tc>
          <w:tcPr>
            <w:tcW w:w="3288" w:type="dxa"/>
            <w:tcBorders>
              <w:top w:val="nil"/>
              <w:left w:val="nil"/>
              <w:bottom w:val="single" w:sz="8"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Trichlorophenol</w:t>
            </w:r>
            <w:proofErr w:type="spellEnd"/>
            <w:r w:rsidRPr="00342403">
              <w:rPr>
                <w:rFonts w:ascii="Arial" w:eastAsia="Times New Roman" w:hAnsi="Arial" w:cs="Arial"/>
                <w:color w:val="000000"/>
                <w:sz w:val="20"/>
                <w:szCs w:val="20"/>
              </w:rPr>
              <w:t>, 2, 4, 5-</w:t>
            </w:r>
          </w:p>
        </w:tc>
        <w:tc>
          <w:tcPr>
            <w:tcW w:w="960" w:type="dxa"/>
            <w:tcBorders>
              <w:top w:val="nil"/>
              <w:left w:val="nil"/>
              <w:bottom w:val="single" w:sz="8"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95954</w:t>
            </w:r>
          </w:p>
        </w:tc>
        <w:tc>
          <w:tcPr>
            <w:tcW w:w="1219"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614" w:type="dxa"/>
            <w:tcBorders>
              <w:top w:val="nil"/>
              <w:left w:val="nil"/>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8"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116</w:t>
            </w:r>
          </w:p>
        </w:tc>
        <w:tc>
          <w:tcPr>
            <w:tcW w:w="3288" w:type="dxa"/>
            <w:tcBorders>
              <w:top w:val="nil"/>
              <w:left w:val="nil"/>
              <w:bottom w:val="single" w:sz="8" w:space="0" w:color="auto"/>
              <w:right w:val="single" w:sz="12" w:space="0" w:color="auto"/>
            </w:tcBorders>
            <w:shd w:val="clear" w:color="000000" w:fill="EAF1DD"/>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Vinyl Chloride</w:t>
            </w:r>
          </w:p>
        </w:tc>
        <w:tc>
          <w:tcPr>
            <w:tcW w:w="960" w:type="dxa"/>
            <w:tcBorders>
              <w:top w:val="nil"/>
              <w:left w:val="nil"/>
              <w:bottom w:val="single" w:sz="8" w:space="0" w:color="auto"/>
              <w:right w:val="nil"/>
            </w:tcBorders>
            <w:shd w:val="clear" w:color="000000" w:fill="EAF1DD"/>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75014</w:t>
            </w:r>
          </w:p>
        </w:tc>
        <w:tc>
          <w:tcPr>
            <w:tcW w:w="1219"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8" w:space="0" w:color="auto"/>
              <w:right w:val="double" w:sz="6"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9" w:type="dxa"/>
            <w:tcBorders>
              <w:top w:val="nil"/>
              <w:left w:val="nil"/>
              <w:bottom w:val="single" w:sz="8" w:space="0" w:color="auto"/>
              <w:right w:val="nil"/>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5" w:type="dxa"/>
            <w:tcBorders>
              <w:top w:val="nil"/>
              <w:left w:val="double" w:sz="6" w:space="0" w:color="auto"/>
              <w:bottom w:val="single" w:sz="8" w:space="0" w:color="auto"/>
              <w:right w:val="single" w:sz="12" w:space="0" w:color="auto"/>
            </w:tcBorders>
            <w:shd w:val="clear" w:color="000000" w:fill="EAF1DD"/>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1F7D92" w:rsidRPr="00342403" w:rsidTr="00F256F5">
        <w:trPr>
          <w:trHeight w:val="315"/>
        </w:trPr>
        <w:tc>
          <w:tcPr>
            <w:tcW w:w="953" w:type="dxa"/>
            <w:tcBorders>
              <w:top w:val="nil"/>
              <w:left w:val="single" w:sz="12" w:space="0" w:color="auto"/>
              <w:bottom w:val="single" w:sz="12" w:space="0" w:color="auto"/>
              <w:right w:val="single" w:sz="12" w:space="0" w:color="auto"/>
            </w:tcBorders>
            <w:shd w:val="clear" w:color="000000" w:fill="FFFFFF"/>
            <w:hideMark/>
          </w:tcPr>
          <w:p w:rsidR="001F7D92" w:rsidRPr="00342403" w:rsidRDefault="001F7D92" w:rsidP="00F256F5">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117</w:t>
            </w:r>
          </w:p>
        </w:tc>
        <w:tc>
          <w:tcPr>
            <w:tcW w:w="3288" w:type="dxa"/>
            <w:tcBorders>
              <w:top w:val="nil"/>
              <w:left w:val="nil"/>
              <w:bottom w:val="single" w:sz="12" w:space="0" w:color="auto"/>
              <w:right w:val="single" w:sz="12" w:space="0" w:color="auto"/>
            </w:tcBorders>
            <w:shd w:val="clear" w:color="auto" w:fill="auto"/>
            <w:noWrap/>
            <w:vAlign w:val="bottom"/>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Zinc</w:t>
            </w:r>
          </w:p>
        </w:tc>
        <w:tc>
          <w:tcPr>
            <w:tcW w:w="960" w:type="dxa"/>
            <w:tcBorders>
              <w:top w:val="nil"/>
              <w:left w:val="nil"/>
              <w:bottom w:val="single" w:sz="12" w:space="0" w:color="auto"/>
              <w:right w:val="nil"/>
            </w:tcBorders>
            <w:shd w:val="clear" w:color="auto" w:fill="auto"/>
            <w:noWrap/>
            <w:vAlign w:val="bottom"/>
            <w:hideMark/>
          </w:tcPr>
          <w:p w:rsidR="001F7D92" w:rsidRPr="00342403" w:rsidRDefault="001F7D92" w:rsidP="00F256F5">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7440666</w:t>
            </w:r>
          </w:p>
        </w:tc>
        <w:tc>
          <w:tcPr>
            <w:tcW w:w="1219" w:type="dxa"/>
            <w:tcBorders>
              <w:top w:val="nil"/>
              <w:left w:val="double" w:sz="6" w:space="0" w:color="auto"/>
              <w:bottom w:val="single" w:sz="12"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614" w:type="dxa"/>
            <w:tcBorders>
              <w:top w:val="nil"/>
              <w:left w:val="nil"/>
              <w:bottom w:val="single" w:sz="12"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54" w:type="dxa"/>
            <w:tcBorders>
              <w:top w:val="nil"/>
              <w:left w:val="nil"/>
              <w:bottom w:val="single" w:sz="12"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8" w:type="dxa"/>
            <w:tcBorders>
              <w:top w:val="nil"/>
              <w:left w:val="double" w:sz="6" w:space="0" w:color="auto"/>
              <w:bottom w:val="single" w:sz="12" w:space="0" w:color="auto"/>
              <w:right w:val="double" w:sz="6"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9" w:type="dxa"/>
            <w:tcBorders>
              <w:top w:val="nil"/>
              <w:left w:val="nil"/>
              <w:bottom w:val="single" w:sz="12" w:space="0" w:color="auto"/>
              <w:right w:val="nil"/>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5" w:type="dxa"/>
            <w:tcBorders>
              <w:top w:val="nil"/>
              <w:left w:val="double" w:sz="6" w:space="0" w:color="auto"/>
              <w:bottom w:val="single" w:sz="12" w:space="0" w:color="auto"/>
              <w:right w:val="single" w:sz="12" w:space="0" w:color="auto"/>
            </w:tcBorders>
            <w:shd w:val="clear" w:color="auto" w:fill="auto"/>
            <w:vAlign w:val="center"/>
            <w:hideMark/>
          </w:tcPr>
          <w:p w:rsidR="001F7D92" w:rsidRPr="00342403" w:rsidRDefault="001F7D92" w:rsidP="00F256F5">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bl>
    <w:p w:rsidR="001F7D92" w:rsidRDefault="001F7D92" w:rsidP="001F7D92"/>
    <w:p w:rsidR="00B77D1E" w:rsidRDefault="00B77D1E" w:rsidP="001F7D92"/>
    <w:p w:rsidR="00B77D1E" w:rsidRPr="00F65560" w:rsidRDefault="00B77D1E" w:rsidP="00B77D1E">
      <w:pPr>
        <w:spacing w:line="360" w:lineRule="auto"/>
      </w:pPr>
    </w:p>
    <w:sectPr w:rsidR="00B77D1E" w:rsidRPr="00F65560" w:rsidSect="001F7D92">
      <w:pgSz w:w="15840" w:h="12240" w:orient="landscape"/>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FD1" w:rsidRDefault="00C06FD1" w:rsidP="00F65560">
      <w:pPr>
        <w:spacing w:after="0" w:line="240" w:lineRule="auto"/>
      </w:pPr>
      <w:r>
        <w:separator/>
      </w:r>
    </w:p>
  </w:endnote>
  <w:endnote w:type="continuationSeparator" w:id="0">
    <w:p w:rsidR="00C06FD1" w:rsidRDefault="00C06FD1" w:rsidP="00F65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4691"/>
      <w:docPartObj>
        <w:docPartGallery w:val="Page Numbers (Bottom of Page)"/>
        <w:docPartUnique/>
      </w:docPartObj>
    </w:sdtPr>
    <w:sdtContent>
      <w:sdt>
        <w:sdtPr>
          <w:id w:val="22914692"/>
          <w:docPartObj>
            <w:docPartGallery w:val="Page Numbers (Top of Page)"/>
            <w:docPartUnique/>
          </w:docPartObj>
        </w:sdtPr>
        <w:sdtContent>
          <w:p w:rsidR="00C06FD1" w:rsidRDefault="00C06FD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E16A9">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E16A9">
              <w:rPr>
                <w:b/>
                <w:noProof/>
              </w:rPr>
              <w:t>17</w:t>
            </w:r>
            <w:r>
              <w:rPr>
                <w:b/>
                <w:sz w:val="24"/>
                <w:szCs w:val="24"/>
              </w:rPr>
              <w:fldChar w:fldCharType="end"/>
            </w:r>
          </w:p>
        </w:sdtContent>
      </w:sdt>
    </w:sdtContent>
  </w:sdt>
  <w:p w:rsidR="00C06FD1" w:rsidRDefault="00C06F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FD1" w:rsidRDefault="00C06FD1" w:rsidP="00F65560">
      <w:pPr>
        <w:spacing w:after="0" w:line="240" w:lineRule="auto"/>
      </w:pPr>
      <w:r>
        <w:separator/>
      </w:r>
    </w:p>
  </w:footnote>
  <w:footnote w:type="continuationSeparator" w:id="0">
    <w:p w:rsidR="00C06FD1" w:rsidRDefault="00C06FD1" w:rsidP="00F65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D1" w:rsidRDefault="00C06FD1">
    <w:pPr>
      <w:pStyle w:val="Header"/>
    </w:pPr>
    <w:r>
      <w:t>For RWG and Non-NPDES Workgroup Discussion August 17                                                            Draft August 9 2010</w:t>
    </w:r>
  </w:p>
  <w:p w:rsidR="00C06FD1" w:rsidRDefault="00C06F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6EB1"/>
    <w:multiLevelType w:val="hybridMultilevel"/>
    <w:tmpl w:val="F1CE02FC"/>
    <w:lvl w:ilvl="0" w:tplc="04090003">
      <w:start w:val="1"/>
      <w:numFmt w:val="bullet"/>
      <w:lvlText w:val="o"/>
      <w:lvlJc w:val="left"/>
      <w:pPr>
        <w:tabs>
          <w:tab w:val="num" w:pos="378"/>
        </w:tabs>
        <w:ind w:left="378"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174B0D"/>
    <w:multiLevelType w:val="hybridMultilevel"/>
    <w:tmpl w:val="5BA077F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312A44A6"/>
    <w:multiLevelType w:val="hybridMultilevel"/>
    <w:tmpl w:val="613EE33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C37C75"/>
    <w:multiLevelType w:val="hybridMultilevel"/>
    <w:tmpl w:val="D0865DD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6974502"/>
    <w:multiLevelType w:val="hybridMultilevel"/>
    <w:tmpl w:val="5C7A241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560B23C1"/>
    <w:multiLevelType w:val="hybridMultilevel"/>
    <w:tmpl w:val="E2FC639E"/>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609F10C4"/>
    <w:multiLevelType w:val="hybridMultilevel"/>
    <w:tmpl w:val="4F84DC9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8379DB"/>
    <w:multiLevelType w:val="hybridMultilevel"/>
    <w:tmpl w:val="1B1438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78E53498"/>
    <w:multiLevelType w:val="hybridMultilevel"/>
    <w:tmpl w:val="C720BAFC"/>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8"/>
  </w:num>
  <w:num w:numId="6">
    <w:abstractNumId w:val="4"/>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099F"/>
    <w:rsid w:val="00000D53"/>
    <w:rsid w:val="00001E24"/>
    <w:rsid w:val="0000228E"/>
    <w:rsid w:val="000039EA"/>
    <w:rsid w:val="0000593D"/>
    <w:rsid w:val="000076C1"/>
    <w:rsid w:val="00014688"/>
    <w:rsid w:val="00015B47"/>
    <w:rsid w:val="00016367"/>
    <w:rsid w:val="0001668D"/>
    <w:rsid w:val="000169EB"/>
    <w:rsid w:val="000170EC"/>
    <w:rsid w:val="000254AF"/>
    <w:rsid w:val="00034C7C"/>
    <w:rsid w:val="0003613B"/>
    <w:rsid w:val="00042A8A"/>
    <w:rsid w:val="0004741F"/>
    <w:rsid w:val="000476EE"/>
    <w:rsid w:val="00047E05"/>
    <w:rsid w:val="00055E66"/>
    <w:rsid w:val="00061451"/>
    <w:rsid w:val="00062691"/>
    <w:rsid w:val="00063836"/>
    <w:rsid w:val="00063DD3"/>
    <w:rsid w:val="000646B0"/>
    <w:rsid w:val="00066922"/>
    <w:rsid w:val="000710AB"/>
    <w:rsid w:val="00071ED6"/>
    <w:rsid w:val="00075306"/>
    <w:rsid w:val="0007708F"/>
    <w:rsid w:val="000833DB"/>
    <w:rsid w:val="00084E9E"/>
    <w:rsid w:val="00090F57"/>
    <w:rsid w:val="00092FEB"/>
    <w:rsid w:val="000962AB"/>
    <w:rsid w:val="0009759C"/>
    <w:rsid w:val="00097C24"/>
    <w:rsid w:val="000A324F"/>
    <w:rsid w:val="000A454E"/>
    <w:rsid w:val="000A466F"/>
    <w:rsid w:val="000A76F1"/>
    <w:rsid w:val="000A7CDE"/>
    <w:rsid w:val="000B3C5C"/>
    <w:rsid w:val="000B4FCC"/>
    <w:rsid w:val="000C01D1"/>
    <w:rsid w:val="000C059D"/>
    <w:rsid w:val="000C3FFF"/>
    <w:rsid w:val="000C46DC"/>
    <w:rsid w:val="000C46F8"/>
    <w:rsid w:val="000C4B3C"/>
    <w:rsid w:val="000C6FD6"/>
    <w:rsid w:val="000D1FE8"/>
    <w:rsid w:val="000D30BE"/>
    <w:rsid w:val="000D691D"/>
    <w:rsid w:val="000D73D6"/>
    <w:rsid w:val="000E242F"/>
    <w:rsid w:val="000E2C37"/>
    <w:rsid w:val="000E3886"/>
    <w:rsid w:val="000E4544"/>
    <w:rsid w:val="000F0F81"/>
    <w:rsid w:val="000F28CF"/>
    <w:rsid w:val="000F3BE6"/>
    <w:rsid w:val="000F4081"/>
    <w:rsid w:val="000F79A7"/>
    <w:rsid w:val="000F7B71"/>
    <w:rsid w:val="001012BF"/>
    <w:rsid w:val="00101B81"/>
    <w:rsid w:val="00102B0D"/>
    <w:rsid w:val="001031C8"/>
    <w:rsid w:val="00103208"/>
    <w:rsid w:val="00103F02"/>
    <w:rsid w:val="00104AC7"/>
    <w:rsid w:val="0010673A"/>
    <w:rsid w:val="0011197C"/>
    <w:rsid w:val="001135FE"/>
    <w:rsid w:val="001147F6"/>
    <w:rsid w:val="00114B55"/>
    <w:rsid w:val="0012636E"/>
    <w:rsid w:val="001410E1"/>
    <w:rsid w:val="001413C0"/>
    <w:rsid w:val="00142471"/>
    <w:rsid w:val="00147EC4"/>
    <w:rsid w:val="00147EE7"/>
    <w:rsid w:val="00152A75"/>
    <w:rsid w:val="001565BE"/>
    <w:rsid w:val="00156FA2"/>
    <w:rsid w:val="00157442"/>
    <w:rsid w:val="00160BD9"/>
    <w:rsid w:val="001612AB"/>
    <w:rsid w:val="00167190"/>
    <w:rsid w:val="0017043A"/>
    <w:rsid w:val="00171CD5"/>
    <w:rsid w:val="00172AE5"/>
    <w:rsid w:val="00183F09"/>
    <w:rsid w:val="00185320"/>
    <w:rsid w:val="00186BD3"/>
    <w:rsid w:val="0019225B"/>
    <w:rsid w:val="0019309E"/>
    <w:rsid w:val="00194374"/>
    <w:rsid w:val="00195C15"/>
    <w:rsid w:val="00197392"/>
    <w:rsid w:val="00197651"/>
    <w:rsid w:val="00197D64"/>
    <w:rsid w:val="001A0297"/>
    <w:rsid w:val="001A15F2"/>
    <w:rsid w:val="001A3522"/>
    <w:rsid w:val="001A3EAB"/>
    <w:rsid w:val="001A7B80"/>
    <w:rsid w:val="001B0E49"/>
    <w:rsid w:val="001B149A"/>
    <w:rsid w:val="001B6E60"/>
    <w:rsid w:val="001C388D"/>
    <w:rsid w:val="001C7D86"/>
    <w:rsid w:val="001D1899"/>
    <w:rsid w:val="001D1EC5"/>
    <w:rsid w:val="001D462C"/>
    <w:rsid w:val="001D6237"/>
    <w:rsid w:val="001D6312"/>
    <w:rsid w:val="001D7AE7"/>
    <w:rsid w:val="001E1B48"/>
    <w:rsid w:val="001E4191"/>
    <w:rsid w:val="001E591C"/>
    <w:rsid w:val="001F5BA0"/>
    <w:rsid w:val="001F6CBD"/>
    <w:rsid w:val="001F7D92"/>
    <w:rsid w:val="002014B3"/>
    <w:rsid w:val="00201B53"/>
    <w:rsid w:val="00205719"/>
    <w:rsid w:val="00206C95"/>
    <w:rsid w:val="002071EF"/>
    <w:rsid w:val="00207FDE"/>
    <w:rsid w:val="0021337D"/>
    <w:rsid w:val="00220FBE"/>
    <w:rsid w:val="002220D8"/>
    <w:rsid w:val="00224979"/>
    <w:rsid w:val="00226046"/>
    <w:rsid w:val="00227374"/>
    <w:rsid w:val="00240110"/>
    <w:rsid w:val="0024114E"/>
    <w:rsid w:val="002440E3"/>
    <w:rsid w:val="00244AAB"/>
    <w:rsid w:val="00247141"/>
    <w:rsid w:val="0025364A"/>
    <w:rsid w:val="002564AD"/>
    <w:rsid w:val="0026434C"/>
    <w:rsid w:val="00266649"/>
    <w:rsid w:val="00271493"/>
    <w:rsid w:val="00280103"/>
    <w:rsid w:val="0028348A"/>
    <w:rsid w:val="00285559"/>
    <w:rsid w:val="00286198"/>
    <w:rsid w:val="00292119"/>
    <w:rsid w:val="002929BF"/>
    <w:rsid w:val="002939CD"/>
    <w:rsid w:val="00295E19"/>
    <w:rsid w:val="002968B8"/>
    <w:rsid w:val="002A1F8D"/>
    <w:rsid w:val="002A2C44"/>
    <w:rsid w:val="002A2FCB"/>
    <w:rsid w:val="002A4515"/>
    <w:rsid w:val="002C5FC3"/>
    <w:rsid w:val="002C6628"/>
    <w:rsid w:val="002C719D"/>
    <w:rsid w:val="002D07D7"/>
    <w:rsid w:val="002D0C3A"/>
    <w:rsid w:val="002D3920"/>
    <w:rsid w:val="002D3988"/>
    <w:rsid w:val="002D62C6"/>
    <w:rsid w:val="002D689B"/>
    <w:rsid w:val="002E1C33"/>
    <w:rsid w:val="002E7718"/>
    <w:rsid w:val="002F47FE"/>
    <w:rsid w:val="00302157"/>
    <w:rsid w:val="003022BD"/>
    <w:rsid w:val="00302E9C"/>
    <w:rsid w:val="003046DB"/>
    <w:rsid w:val="00310776"/>
    <w:rsid w:val="00313215"/>
    <w:rsid w:val="003132E4"/>
    <w:rsid w:val="00314A69"/>
    <w:rsid w:val="00314A96"/>
    <w:rsid w:val="00315A2D"/>
    <w:rsid w:val="00325AA2"/>
    <w:rsid w:val="00326844"/>
    <w:rsid w:val="00327111"/>
    <w:rsid w:val="0032797D"/>
    <w:rsid w:val="00327CCD"/>
    <w:rsid w:val="00331D08"/>
    <w:rsid w:val="00333004"/>
    <w:rsid w:val="00333302"/>
    <w:rsid w:val="00341883"/>
    <w:rsid w:val="00343281"/>
    <w:rsid w:val="003445AF"/>
    <w:rsid w:val="0034713F"/>
    <w:rsid w:val="00347D44"/>
    <w:rsid w:val="00351361"/>
    <w:rsid w:val="00353E5E"/>
    <w:rsid w:val="00356ADE"/>
    <w:rsid w:val="00357C1B"/>
    <w:rsid w:val="00361B71"/>
    <w:rsid w:val="003621A9"/>
    <w:rsid w:val="003759FC"/>
    <w:rsid w:val="00381565"/>
    <w:rsid w:val="00385B8D"/>
    <w:rsid w:val="00387A77"/>
    <w:rsid w:val="0039396E"/>
    <w:rsid w:val="0039478E"/>
    <w:rsid w:val="00395452"/>
    <w:rsid w:val="003A225B"/>
    <w:rsid w:val="003A46BF"/>
    <w:rsid w:val="003A5864"/>
    <w:rsid w:val="003A7FF5"/>
    <w:rsid w:val="003C00B3"/>
    <w:rsid w:val="003C16A0"/>
    <w:rsid w:val="003C26B9"/>
    <w:rsid w:val="003C4801"/>
    <w:rsid w:val="003C4F64"/>
    <w:rsid w:val="003C6736"/>
    <w:rsid w:val="003C6AA8"/>
    <w:rsid w:val="003D0F53"/>
    <w:rsid w:val="003D2AD8"/>
    <w:rsid w:val="003D57C9"/>
    <w:rsid w:val="003D6638"/>
    <w:rsid w:val="003D6B00"/>
    <w:rsid w:val="003E5CF5"/>
    <w:rsid w:val="003F19F2"/>
    <w:rsid w:val="003F2EF1"/>
    <w:rsid w:val="003F38C6"/>
    <w:rsid w:val="003F6A55"/>
    <w:rsid w:val="0040263D"/>
    <w:rsid w:val="00403270"/>
    <w:rsid w:val="004048F2"/>
    <w:rsid w:val="004114C2"/>
    <w:rsid w:val="004128AE"/>
    <w:rsid w:val="00413591"/>
    <w:rsid w:val="00413888"/>
    <w:rsid w:val="004145D1"/>
    <w:rsid w:val="00416680"/>
    <w:rsid w:val="00416873"/>
    <w:rsid w:val="00421C14"/>
    <w:rsid w:val="0042395D"/>
    <w:rsid w:val="00424993"/>
    <w:rsid w:val="00433593"/>
    <w:rsid w:val="0044047A"/>
    <w:rsid w:val="00440ACF"/>
    <w:rsid w:val="00444DE8"/>
    <w:rsid w:val="00447DDD"/>
    <w:rsid w:val="004514E3"/>
    <w:rsid w:val="0045254C"/>
    <w:rsid w:val="004547DC"/>
    <w:rsid w:val="00463B65"/>
    <w:rsid w:val="004646A8"/>
    <w:rsid w:val="00466A45"/>
    <w:rsid w:val="0047084B"/>
    <w:rsid w:val="00470ACC"/>
    <w:rsid w:val="00471719"/>
    <w:rsid w:val="00471E3B"/>
    <w:rsid w:val="00472F8E"/>
    <w:rsid w:val="00473370"/>
    <w:rsid w:val="004774E1"/>
    <w:rsid w:val="00480111"/>
    <w:rsid w:val="00481E84"/>
    <w:rsid w:val="004821E3"/>
    <w:rsid w:val="00493197"/>
    <w:rsid w:val="004936B9"/>
    <w:rsid w:val="00493B70"/>
    <w:rsid w:val="004942D2"/>
    <w:rsid w:val="00496742"/>
    <w:rsid w:val="004A1431"/>
    <w:rsid w:val="004A1C29"/>
    <w:rsid w:val="004A3CDA"/>
    <w:rsid w:val="004A4008"/>
    <w:rsid w:val="004A6E49"/>
    <w:rsid w:val="004A7228"/>
    <w:rsid w:val="004B1CFC"/>
    <w:rsid w:val="004B2429"/>
    <w:rsid w:val="004B4D74"/>
    <w:rsid w:val="004C440D"/>
    <w:rsid w:val="004C6CBE"/>
    <w:rsid w:val="004D1811"/>
    <w:rsid w:val="004D1B28"/>
    <w:rsid w:val="004E2739"/>
    <w:rsid w:val="004E4764"/>
    <w:rsid w:val="004E49E9"/>
    <w:rsid w:val="004E5D9A"/>
    <w:rsid w:val="004E7730"/>
    <w:rsid w:val="004F0622"/>
    <w:rsid w:val="004F0826"/>
    <w:rsid w:val="004F2285"/>
    <w:rsid w:val="004F232D"/>
    <w:rsid w:val="004F40D0"/>
    <w:rsid w:val="004F6AF1"/>
    <w:rsid w:val="004F7E03"/>
    <w:rsid w:val="00501F1E"/>
    <w:rsid w:val="00502C7F"/>
    <w:rsid w:val="00503928"/>
    <w:rsid w:val="00504160"/>
    <w:rsid w:val="005047C3"/>
    <w:rsid w:val="00505966"/>
    <w:rsid w:val="00505B52"/>
    <w:rsid w:val="00505FD6"/>
    <w:rsid w:val="0051732B"/>
    <w:rsid w:val="005222CC"/>
    <w:rsid w:val="00525AD9"/>
    <w:rsid w:val="005277E6"/>
    <w:rsid w:val="00527BF3"/>
    <w:rsid w:val="00527DEF"/>
    <w:rsid w:val="00530D0D"/>
    <w:rsid w:val="00531F39"/>
    <w:rsid w:val="00536606"/>
    <w:rsid w:val="005413EC"/>
    <w:rsid w:val="00551EE0"/>
    <w:rsid w:val="005533B9"/>
    <w:rsid w:val="00554974"/>
    <w:rsid w:val="00555FAF"/>
    <w:rsid w:val="00564813"/>
    <w:rsid w:val="00565082"/>
    <w:rsid w:val="00566029"/>
    <w:rsid w:val="00566215"/>
    <w:rsid w:val="0056686F"/>
    <w:rsid w:val="005705E0"/>
    <w:rsid w:val="00571319"/>
    <w:rsid w:val="00571821"/>
    <w:rsid w:val="0057266B"/>
    <w:rsid w:val="00573A69"/>
    <w:rsid w:val="00577CC0"/>
    <w:rsid w:val="005815DD"/>
    <w:rsid w:val="0058380A"/>
    <w:rsid w:val="00587036"/>
    <w:rsid w:val="00587C69"/>
    <w:rsid w:val="00587F1A"/>
    <w:rsid w:val="005935F4"/>
    <w:rsid w:val="00593F49"/>
    <w:rsid w:val="00596331"/>
    <w:rsid w:val="00597096"/>
    <w:rsid w:val="00597F59"/>
    <w:rsid w:val="005A50F8"/>
    <w:rsid w:val="005A7463"/>
    <w:rsid w:val="005B14A5"/>
    <w:rsid w:val="005B1E29"/>
    <w:rsid w:val="005B273C"/>
    <w:rsid w:val="005B3107"/>
    <w:rsid w:val="005B388B"/>
    <w:rsid w:val="005B3CDD"/>
    <w:rsid w:val="005B58A1"/>
    <w:rsid w:val="005B5FE2"/>
    <w:rsid w:val="005B71F2"/>
    <w:rsid w:val="005C7179"/>
    <w:rsid w:val="005D43CC"/>
    <w:rsid w:val="005D6295"/>
    <w:rsid w:val="005D7A38"/>
    <w:rsid w:val="005E1FCD"/>
    <w:rsid w:val="005E4DA4"/>
    <w:rsid w:val="005F3FB7"/>
    <w:rsid w:val="00600A0C"/>
    <w:rsid w:val="00600F82"/>
    <w:rsid w:val="00600F9A"/>
    <w:rsid w:val="0060297F"/>
    <w:rsid w:val="0060329C"/>
    <w:rsid w:val="00605FE9"/>
    <w:rsid w:val="00613420"/>
    <w:rsid w:val="00613F71"/>
    <w:rsid w:val="00615205"/>
    <w:rsid w:val="0061659F"/>
    <w:rsid w:val="00620654"/>
    <w:rsid w:val="006208DB"/>
    <w:rsid w:val="00623ACA"/>
    <w:rsid w:val="00627C46"/>
    <w:rsid w:val="00631607"/>
    <w:rsid w:val="006330AA"/>
    <w:rsid w:val="00633F42"/>
    <w:rsid w:val="00636786"/>
    <w:rsid w:val="006403E3"/>
    <w:rsid w:val="006440E7"/>
    <w:rsid w:val="006442D9"/>
    <w:rsid w:val="006444D0"/>
    <w:rsid w:val="00647839"/>
    <w:rsid w:val="00650E59"/>
    <w:rsid w:val="006514A1"/>
    <w:rsid w:val="006545E6"/>
    <w:rsid w:val="006570B2"/>
    <w:rsid w:val="00660370"/>
    <w:rsid w:val="00660481"/>
    <w:rsid w:val="0066384C"/>
    <w:rsid w:val="006650DC"/>
    <w:rsid w:val="00665103"/>
    <w:rsid w:val="00665F7D"/>
    <w:rsid w:val="00673509"/>
    <w:rsid w:val="006746F6"/>
    <w:rsid w:val="0068243A"/>
    <w:rsid w:val="006863F4"/>
    <w:rsid w:val="00686A50"/>
    <w:rsid w:val="00691C5A"/>
    <w:rsid w:val="006942E3"/>
    <w:rsid w:val="006A5072"/>
    <w:rsid w:val="006A6AD4"/>
    <w:rsid w:val="006A7191"/>
    <w:rsid w:val="006B01F9"/>
    <w:rsid w:val="006B084F"/>
    <w:rsid w:val="006B595D"/>
    <w:rsid w:val="006B6E15"/>
    <w:rsid w:val="006B6FF1"/>
    <w:rsid w:val="006C0F99"/>
    <w:rsid w:val="006C18BC"/>
    <w:rsid w:val="006C1F86"/>
    <w:rsid w:val="006C3567"/>
    <w:rsid w:val="006C3AB2"/>
    <w:rsid w:val="006C6A75"/>
    <w:rsid w:val="006C7B55"/>
    <w:rsid w:val="006D0D09"/>
    <w:rsid w:val="006D734A"/>
    <w:rsid w:val="006E1A6F"/>
    <w:rsid w:val="006E28D3"/>
    <w:rsid w:val="006E497E"/>
    <w:rsid w:val="006E4AD7"/>
    <w:rsid w:val="006F057E"/>
    <w:rsid w:val="006F1175"/>
    <w:rsid w:val="006F2BAD"/>
    <w:rsid w:val="006F4954"/>
    <w:rsid w:val="006F5991"/>
    <w:rsid w:val="006F71AD"/>
    <w:rsid w:val="0070216B"/>
    <w:rsid w:val="007022E2"/>
    <w:rsid w:val="00703BBA"/>
    <w:rsid w:val="00704DB0"/>
    <w:rsid w:val="007070D4"/>
    <w:rsid w:val="00710AFF"/>
    <w:rsid w:val="0071458C"/>
    <w:rsid w:val="00714B9B"/>
    <w:rsid w:val="00714BDE"/>
    <w:rsid w:val="00715BDC"/>
    <w:rsid w:val="00717D56"/>
    <w:rsid w:val="007255D0"/>
    <w:rsid w:val="00725A61"/>
    <w:rsid w:val="00727178"/>
    <w:rsid w:val="0072723B"/>
    <w:rsid w:val="00730365"/>
    <w:rsid w:val="0073101F"/>
    <w:rsid w:val="00733F1A"/>
    <w:rsid w:val="0073682B"/>
    <w:rsid w:val="00741246"/>
    <w:rsid w:val="007422A6"/>
    <w:rsid w:val="00754126"/>
    <w:rsid w:val="00754DD0"/>
    <w:rsid w:val="00756B3B"/>
    <w:rsid w:val="007578A3"/>
    <w:rsid w:val="007613B2"/>
    <w:rsid w:val="007627F6"/>
    <w:rsid w:val="00763DF2"/>
    <w:rsid w:val="00766157"/>
    <w:rsid w:val="007719B7"/>
    <w:rsid w:val="00777896"/>
    <w:rsid w:val="00782338"/>
    <w:rsid w:val="00785BA0"/>
    <w:rsid w:val="007876F7"/>
    <w:rsid w:val="00787BD7"/>
    <w:rsid w:val="00790066"/>
    <w:rsid w:val="00791E88"/>
    <w:rsid w:val="007968F9"/>
    <w:rsid w:val="007A127D"/>
    <w:rsid w:val="007A20DF"/>
    <w:rsid w:val="007A45A8"/>
    <w:rsid w:val="007A5AD8"/>
    <w:rsid w:val="007A673A"/>
    <w:rsid w:val="007A7DEB"/>
    <w:rsid w:val="007B0B0A"/>
    <w:rsid w:val="007B1964"/>
    <w:rsid w:val="007B3B5E"/>
    <w:rsid w:val="007B511D"/>
    <w:rsid w:val="007B5B00"/>
    <w:rsid w:val="007B76CF"/>
    <w:rsid w:val="007B7B77"/>
    <w:rsid w:val="007C64E6"/>
    <w:rsid w:val="007C7475"/>
    <w:rsid w:val="007D1D42"/>
    <w:rsid w:val="007D6A98"/>
    <w:rsid w:val="007E1DA8"/>
    <w:rsid w:val="007E1E09"/>
    <w:rsid w:val="007E4862"/>
    <w:rsid w:val="007E7E99"/>
    <w:rsid w:val="007F05E0"/>
    <w:rsid w:val="007F36D3"/>
    <w:rsid w:val="00803876"/>
    <w:rsid w:val="00804201"/>
    <w:rsid w:val="008043F7"/>
    <w:rsid w:val="008063C6"/>
    <w:rsid w:val="008068E8"/>
    <w:rsid w:val="00810D5F"/>
    <w:rsid w:val="008123E6"/>
    <w:rsid w:val="008129C7"/>
    <w:rsid w:val="008136A5"/>
    <w:rsid w:val="00815B33"/>
    <w:rsid w:val="008168CC"/>
    <w:rsid w:val="00823441"/>
    <w:rsid w:val="00827CB5"/>
    <w:rsid w:val="00830497"/>
    <w:rsid w:val="0083050F"/>
    <w:rsid w:val="008315D9"/>
    <w:rsid w:val="00834D12"/>
    <w:rsid w:val="00835972"/>
    <w:rsid w:val="00836002"/>
    <w:rsid w:val="008369AB"/>
    <w:rsid w:val="00836DD0"/>
    <w:rsid w:val="00843E52"/>
    <w:rsid w:val="008549CC"/>
    <w:rsid w:val="00857AD5"/>
    <w:rsid w:val="00860FC6"/>
    <w:rsid w:val="00861B7F"/>
    <w:rsid w:val="0086267B"/>
    <w:rsid w:val="00862C84"/>
    <w:rsid w:val="0086731B"/>
    <w:rsid w:val="008675AF"/>
    <w:rsid w:val="0087507B"/>
    <w:rsid w:val="008778BF"/>
    <w:rsid w:val="0088280C"/>
    <w:rsid w:val="00882A78"/>
    <w:rsid w:val="00882F35"/>
    <w:rsid w:val="00883B96"/>
    <w:rsid w:val="00885A29"/>
    <w:rsid w:val="0088783B"/>
    <w:rsid w:val="00887BDF"/>
    <w:rsid w:val="008913E5"/>
    <w:rsid w:val="00897CCA"/>
    <w:rsid w:val="008A0D18"/>
    <w:rsid w:val="008A5955"/>
    <w:rsid w:val="008A6EA0"/>
    <w:rsid w:val="008A6FAC"/>
    <w:rsid w:val="008B09E5"/>
    <w:rsid w:val="008B2419"/>
    <w:rsid w:val="008B46EA"/>
    <w:rsid w:val="008B5EDB"/>
    <w:rsid w:val="008C2D47"/>
    <w:rsid w:val="008C40EA"/>
    <w:rsid w:val="008C6B4B"/>
    <w:rsid w:val="008C723E"/>
    <w:rsid w:val="008C7245"/>
    <w:rsid w:val="008D0231"/>
    <w:rsid w:val="008D1226"/>
    <w:rsid w:val="008D1C52"/>
    <w:rsid w:val="008D3178"/>
    <w:rsid w:val="008E3333"/>
    <w:rsid w:val="008E446B"/>
    <w:rsid w:val="008E7200"/>
    <w:rsid w:val="008F151C"/>
    <w:rsid w:val="008F3199"/>
    <w:rsid w:val="009030CD"/>
    <w:rsid w:val="00903C76"/>
    <w:rsid w:val="00904E0A"/>
    <w:rsid w:val="009068A2"/>
    <w:rsid w:val="00907EBD"/>
    <w:rsid w:val="0091434B"/>
    <w:rsid w:val="00915131"/>
    <w:rsid w:val="009166A3"/>
    <w:rsid w:val="00916EA5"/>
    <w:rsid w:val="009170BE"/>
    <w:rsid w:val="009170EE"/>
    <w:rsid w:val="0092184B"/>
    <w:rsid w:val="00922FBB"/>
    <w:rsid w:val="00923B4B"/>
    <w:rsid w:val="00925A1A"/>
    <w:rsid w:val="00926536"/>
    <w:rsid w:val="0093008A"/>
    <w:rsid w:val="00932391"/>
    <w:rsid w:val="00932E4C"/>
    <w:rsid w:val="009349B0"/>
    <w:rsid w:val="00934CDF"/>
    <w:rsid w:val="00940970"/>
    <w:rsid w:val="00942A8D"/>
    <w:rsid w:val="00954E82"/>
    <w:rsid w:val="00955174"/>
    <w:rsid w:val="00957797"/>
    <w:rsid w:val="00961B17"/>
    <w:rsid w:val="00962E16"/>
    <w:rsid w:val="0096598B"/>
    <w:rsid w:val="009668DC"/>
    <w:rsid w:val="00971350"/>
    <w:rsid w:val="0097358D"/>
    <w:rsid w:val="00973BAF"/>
    <w:rsid w:val="00975B90"/>
    <w:rsid w:val="009776F4"/>
    <w:rsid w:val="00977E8D"/>
    <w:rsid w:val="00982EF9"/>
    <w:rsid w:val="009832C0"/>
    <w:rsid w:val="009873B7"/>
    <w:rsid w:val="009879EA"/>
    <w:rsid w:val="009914B3"/>
    <w:rsid w:val="009933F9"/>
    <w:rsid w:val="009942E5"/>
    <w:rsid w:val="009946DE"/>
    <w:rsid w:val="00994CE8"/>
    <w:rsid w:val="009A12C2"/>
    <w:rsid w:val="009A50F4"/>
    <w:rsid w:val="009B111A"/>
    <w:rsid w:val="009B1A5B"/>
    <w:rsid w:val="009B229C"/>
    <w:rsid w:val="009B3ED4"/>
    <w:rsid w:val="009B5309"/>
    <w:rsid w:val="009C070D"/>
    <w:rsid w:val="009C3837"/>
    <w:rsid w:val="009C3923"/>
    <w:rsid w:val="009C4368"/>
    <w:rsid w:val="009C6434"/>
    <w:rsid w:val="009C6B95"/>
    <w:rsid w:val="009D0200"/>
    <w:rsid w:val="009D2C44"/>
    <w:rsid w:val="009D6D5E"/>
    <w:rsid w:val="009D7740"/>
    <w:rsid w:val="009E16A9"/>
    <w:rsid w:val="009E2F7F"/>
    <w:rsid w:val="009E7E23"/>
    <w:rsid w:val="009F02FA"/>
    <w:rsid w:val="009F68D8"/>
    <w:rsid w:val="009F7CA4"/>
    <w:rsid w:val="009F7EC8"/>
    <w:rsid w:val="00A00ED0"/>
    <w:rsid w:val="00A011A2"/>
    <w:rsid w:val="00A0126C"/>
    <w:rsid w:val="00A02755"/>
    <w:rsid w:val="00A0380E"/>
    <w:rsid w:val="00A03DC1"/>
    <w:rsid w:val="00A06EBE"/>
    <w:rsid w:val="00A11A9D"/>
    <w:rsid w:val="00A12147"/>
    <w:rsid w:val="00A13AA2"/>
    <w:rsid w:val="00A170A0"/>
    <w:rsid w:val="00A27268"/>
    <w:rsid w:val="00A3070C"/>
    <w:rsid w:val="00A3310C"/>
    <w:rsid w:val="00A33982"/>
    <w:rsid w:val="00A43BCB"/>
    <w:rsid w:val="00A478E6"/>
    <w:rsid w:val="00A52D45"/>
    <w:rsid w:val="00A544ED"/>
    <w:rsid w:val="00A54A4F"/>
    <w:rsid w:val="00A553A7"/>
    <w:rsid w:val="00A569FE"/>
    <w:rsid w:val="00A5775A"/>
    <w:rsid w:val="00A630FC"/>
    <w:rsid w:val="00A65648"/>
    <w:rsid w:val="00A73D96"/>
    <w:rsid w:val="00A74CA0"/>
    <w:rsid w:val="00A74D09"/>
    <w:rsid w:val="00A81365"/>
    <w:rsid w:val="00A8217B"/>
    <w:rsid w:val="00A8301C"/>
    <w:rsid w:val="00A83646"/>
    <w:rsid w:val="00A844D9"/>
    <w:rsid w:val="00A8766B"/>
    <w:rsid w:val="00A90B2C"/>
    <w:rsid w:val="00A94205"/>
    <w:rsid w:val="00A942D1"/>
    <w:rsid w:val="00AA041B"/>
    <w:rsid w:val="00AA2094"/>
    <w:rsid w:val="00AA3929"/>
    <w:rsid w:val="00AA5611"/>
    <w:rsid w:val="00AA561F"/>
    <w:rsid w:val="00AB140A"/>
    <w:rsid w:val="00AB3394"/>
    <w:rsid w:val="00AB4B34"/>
    <w:rsid w:val="00AB505F"/>
    <w:rsid w:val="00AB55D0"/>
    <w:rsid w:val="00AC394D"/>
    <w:rsid w:val="00AC6578"/>
    <w:rsid w:val="00AD3D6A"/>
    <w:rsid w:val="00AE2D78"/>
    <w:rsid w:val="00AE705C"/>
    <w:rsid w:val="00AE70C3"/>
    <w:rsid w:val="00AE7457"/>
    <w:rsid w:val="00AF357D"/>
    <w:rsid w:val="00AF5115"/>
    <w:rsid w:val="00AF6342"/>
    <w:rsid w:val="00B02265"/>
    <w:rsid w:val="00B03B20"/>
    <w:rsid w:val="00B06345"/>
    <w:rsid w:val="00B06364"/>
    <w:rsid w:val="00B07088"/>
    <w:rsid w:val="00B14818"/>
    <w:rsid w:val="00B14BF4"/>
    <w:rsid w:val="00B15BFA"/>
    <w:rsid w:val="00B17907"/>
    <w:rsid w:val="00B238EA"/>
    <w:rsid w:val="00B30FB1"/>
    <w:rsid w:val="00B31DDD"/>
    <w:rsid w:val="00B32E99"/>
    <w:rsid w:val="00B35D57"/>
    <w:rsid w:val="00B35F5E"/>
    <w:rsid w:val="00B368E1"/>
    <w:rsid w:val="00B375B4"/>
    <w:rsid w:val="00B44B07"/>
    <w:rsid w:val="00B4530E"/>
    <w:rsid w:val="00B46099"/>
    <w:rsid w:val="00B52731"/>
    <w:rsid w:val="00B57C61"/>
    <w:rsid w:val="00B63382"/>
    <w:rsid w:val="00B663C8"/>
    <w:rsid w:val="00B67448"/>
    <w:rsid w:val="00B676D8"/>
    <w:rsid w:val="00B67CD3"/>
    <w:rsid w:val="00B726E1"/>
    <w:rsid w:val="00B7354D"/>
    <w:rsid w:val="00B77D1E"/>
    <w:rsid w:val="00B8111D"/>
    <w:rsid w:val="00B8314F"/>
    <w:rsid w:val="00B83E63"/>
    <w:rsid w:val="00B8440B"/>
    <w:rsid w:val="00B86936"/>
    <w:rsid w:val="00B8773A"/>
    <w:rsid w:val="00B9166E"/>
    <w:rsid w:val="00B94D9E"/>
    <w:rsid w:val="00BA0BB7"/>
    <w:rsid w:val="00BA4B3C"/>
    <w:rsid w:val="00BA6413"/>
    <w:rsid w:val="00BB48D1"/>
    <w:rsid w:val="00BB5000"/>
    <w:rsid w:val="00BB5736"/>
    <w:rsid w:val="00BB679E"/>
    <w:rsid w:val="00BB7169"/>
    <w:rsid w:val="00BC0C9D"/>
    <w:rsid w:val="00BC1695"/>
    <w:rsid w:val="00BD09AF"/>
    <w:rsid w:val="00BD12A5"/>
    <w:rsid w:val="00BD225A"/>
    <w:rsid w:val="00BD3381"/>
    <w:rsid w:val="00BD355D"/>
    <w:rsid w:val="00BD59B2"/>
    <w:rsid w:val="00BE2960"/>
    <w:rsid w:val="00BE63FC"/>
    <w:rsid w:val="00BE72CA"/>
    <w:rsid w:val="00BE7D60"/>
    <w:rsid w:val="00BF4DA1"/>
    <w:rsid w:val="00C01812"/>
    <w:rsid w:val="00C0217E"/>
    <w:rsid w:val="00C04692"/>
    <w:rsid w:val="00C06456"/>
    <w:rsid w:val="00C06FD1"/>
    <w:rsid w:val="00C12A4B"/>
    <w:rsid w:val="00C13904"/>
    <w:rsid w:val="00C14C2A"/>
    <w:rsid w:val="00C15A73"/>
    <w:rsid w:val="00C244E4"/>
    <w:rsid w:val="00C25143"/>
    <w:rsid w:val="00C278D9"/>
    <w:rsid w:val="00C3084D"/>
    <w:rsid w:val="00C3185E"/>
    <w:rsid w:val="00C33059"/>
    <w:rsid w:val="00C34E2A"/>
    <w:rsid w:val="00C40C7A"/>
    <w:rsid w:val="00C40E38"/>
    <w:rsid w:val="00C41576"/>
    <w:rsid w:val="00C434DE"/>
    <w:rsid w:val="00C477DE"/>
    <w:rsid w:val="00C51FF1"/>
    <w:rsid w:val="00C53578"/>
    <w:rsid w:val="00C54302"/>
    <w:rsid w:val="00C551E1"/>
    <w:rsid w:val="00C5591B"/>
    <w:rsid w:val="00C55E95"/>
    <w:rsid w:val="00C6735C"/>
    <w:rsid w:val="00C7099F"/>
    <w:rsid w:val="00C72B0D"/>
    <w:rsid w:val="00C7755A"/>
    <w:rsid w:val="00C801C0"/>
    <w:rsid w:val="00C80F1D"/>
    <w:rsid w:val="00C86A3B"/>
    <w:rsid w:val="00C87762"/>
    <w:rsid w:val="00C87BF2"/>
    <w:rsid w:val="00C90F8C"/>
    <w:rsid w:val="00C90FD1"/>
    <w:rsid w:val="00CA01C7"/>
    <w:rsid w:val="00CA566C"/>
    <w:rsid w:val="00CB063A"/>
    <w:rsid w:val="00CB0942"/>
    <w:rsid w:val="00CB150A"/>
    <w:rsid w:val="00CB18BA"/>
    <w:rsid w:val="00CB2B86"/>
    <w:rsid w:val="00CB494A"/>
    <w:rsid w:val="00CC0BB4"/>
    <w:rsid w:val="00CC10E5"/>
    <w:rsid w:val="00CC2CAE"/>
    <w:rsid w:val="00CC5EA5"/>
    <w:rsid w:val="00CC6E2F"/>
    <w:rsid w:val="00CC729B"/>
    <w:rsid w:val="00CC7CEE"/>
    <w:rsid w:val="00CD2DB7"/>
    <w:rsid w:val="00CD54E6"/>
    <w:rsid w:val="00CD5968"/>
    <w:rsid w:val="00CD6C85"/>
    <w:rsid w:val="00CD77CE"/>
    <w:rsid w:val="00CD7D7B"/>
    <w:rsid w:val="00CE08CD"/>
    <w:rsid w:val="00CE4DD1"/>
    <w:rsid w:val="00CF0106"/>
    <w:rsid w:val="00CF2196"/>
    <w:rsid w:val="00D00CDA"/>
    <w:rsid w:val="00D01C49"/>
    <w:rsid w:val="00D075EE"/>
    <w:rsid w:val="00D100E2"/>
    <w:rsid w:val="00D132CD"/>
    <w:rsid w:val="00D16F54"/>
    <w:rsid w:val="00D21813"/>
    <w:rsid w:val="00D230F5"/>
    <w:rsid w:val="00D236BC"/>
    <w:rsid w:val="00D23BA4"/>
    <w:rsid w:val="00D24DA3"/>
    <w:rsid w:val="00D3118C"/>
    <w:rsid w:val="00D32BC4"/>
    <w:rsid w:val="00D343DF"/>
    <w:rsid w:val="00D365CB"/>
    <w:rsid w:val="00D40131"/>
    <w:rsid w:val="00D41A29"/>
    <w:rsid w:val="00D47647"/>
    <w:rsid w:val="00D47BAF"/>
    <w:rsid w:val="00D543F7"/>
    <w:rsid w:val="00D60484"/>
    <w:rsid w:val="00D61396"/>
    <w:rsid w:val="00D631B9"/>
    <w:rsid w:val="00D655B7"/>
    <w:rsid w:val="00D676FF"/>
    <w:rsid w:val="00D7215D"/>
    <w:rsid w:val="00D74C7A"/>
    <w:rsid w:val="00D801BD"/>
    <w:rsid w:val="00D80AD3"/>
    <w:rsid w:val="00D8138E"/>
    <w:rsid w:val="00D81F4F"/>
    <w:rsid w:val="00D8368C"/>
    <w:rsid w:val="00D84DAB"/>
    <w:rsid w:val="00D863FA"/>
    <w:rsid w:val="00D919CF"/>
    <w:rsid w:val="00D91EE8"/>
    <w:rsid w:val="00D94140"/>
    <w:rsid w:val="00D9511B"/>
    <w:rsid w:val="00D964BF"/>
    <w:rsid w:val="00D9787D"/>
    <w:rsid w:val="00DA0BFC"/>
    <w:rsid w:val="00DA1700"/>
    <w:rsid w:val="00DA2A55"/>
    <w:rsid w:val="00DA3E64"/>
    <w:rsid w:val="00DA47C0"/>
    <w:rsid w:val="00DA5F04"/>
    <w:rsid w:val="00DB3900"/>
    <w:rsid w:val="00DB7509"/>
    <w:rsid w:val="00DC11F7"/>
    <w:rsid w:val="00DC48C8"/>
    <w:rsid w:val="00DC6F95"/>
    <w:rsid w:val="00DD0B43"/>
    <w:rsid w:val="00DD1942"/>
    <w:rsid w:val="00DD215B"/>
    <w:rsid w:val="00DD5439"/>
    <w:rsid w:val="00DD56E6"/>
    <w:rsid w:val="00DD6A53"/>
    <w:rsid w:val="00DE292A"/>
    <w:rsid w:val="00DE48CC"/>
    <w:rsid w:val="00DE599A"/>
    <w:rsid w:val="00DF29E5"/>
    <w:rsid w:val="00DF2A9E"/>
    <w:rsid w:val="00DF386F"/>
    <w:rsid w:val="00DF3ACC"/>
    <w:rsid w:val="00DF5A05"/>
    <w:rsid w:val="00E00AFA"/>
    <w:rsid w:val="00E0350B"/>
    <w:rsid w:val="00E03C44"/>
    <w:rsid w:val="00E06D95"/>
    <w:rsid w:val="00E11816"/>
    <w:rsid w:val="00E11935"/>
    <w:rsid w:val="00E1584A"/>
    <w:rsid w:val="00E214E0"/>
    <w:rsid w:val="00E217DD"/>
    <w:rsid w:val="00E23C2F"/>
    <w:rsid w:val="00E252E9"/>
    <w:rsid w:val="00E27D09"/>
    <w:rsid w:val="00E30EC9"/>
    <w:rsid w:val="00E33AA8"/>
    <w:rsid w:val="00E3511B"/>
    <w:rsid w:val="00E36343"/>
    <w:rsid w:val="00E4344B"/>
    <w:rsid w:val="00E436FF"/>
    <w:rsid w:val="00E4385B"/>
    <w:rsid w:val="00E44498"/>
    <w:rsid w:val="00E46C80"/>
    <w:rsid w:val="00E509EC"/>
    <w:rsid w:val="00E513A6"/>
    <w:rsid w:val="00E51755"/>
    <w:rsid w:val="00E535D9"/>
    <w:rsid w:val="00E540CA"/>
    <w:rsid w:val="00E542DE"/>
    <w:rsid w:val="00E5466D"/>
    <w:rsid w:val="00E54B4E"/>
    <w:rsid w:val="00E553DE"/>
    <w:rsid w:val="00E55A0C"/>
    <w:rsid w:val="00E61A02"/>
    <w:rsid w:val="00E666B6"/>
    <w:rsid w:val="00E70743"/>
    <w:rsid w:val="00E75438"/>
    <w:rsid w:val="00E75772"/>
    <w:rsid w:val="00E80C6F"/>
    <w:rsid w:val="00E81E56"/>
    <w:rsid w:val="00E876BF"/>
    <w:rsid w:val="00E912E3"/>
    <w:rsid w:val="00E9170B"/>
    <w:rsid w:val="00E923DE"/>
    <w:rsid w:val="00E9290F"/>
    <w:rsid w:val="00E962F2"/>
    <w:rsid w:val="00E96708"/>
    <w:rsid w:val="00EA3AED"/>
    <w:rsid w:val="00EA3E28"/>
    <w:rsid w:val="00EA4555"/>
    <w:rsid w:val="00EA65FD"/>
    <w:rsid w:val="00EA6C66"/>
    <w:rsid w:val="00EA70D2"/>
    <w:rsid w:val="00EB1351"/>
    <w:rsid w:val="00EB2863"/>
    <w:rsid w:val="00EC40EA"/>
    <w:rsid w:val="00EC7934"/>
    <w:rsid w:val="00EC7AB3"/>
    <w:rsid w:val="00ED038F"/>
    <w:rsid w:val="00ED20E0"/>
    <w:rsid w:val="00ED51B1"/>
    <w:rsid w:val="00ED5698"/>
    <w:rsid w:val="00ED71CE"/>
    <w:rsid w:val="00EE1A2A"/>
    <w:rsid w:val="00EE20C6"/>
    <w:rsid w:val="00EE2648"/>
    <w:rsid w:val="00EE42D0"/>
    <w:rsid w:val="00EE539B"/>
    <w:rsid w:val="00EE5CCE"/>
    <w:rsid w:val="00EE6429"/>
    <w:rsid w:val="00EE6E9D"/>
    <w:rsid w:val="00EF3007"/>
    <w:rsid w:val="00EF3428"/>
    <w:rsid w:val="00F0155D"/>
    <w:rsid w:val="00F01EC8"/>
    <w:rsid w:val="00F06F26"/>
    <w:rsid w:val="00F1125A"/>
    <w:rsid w:val="00F20E1E"/>
    <w:rsid w:val="00F22217"/>
    <w:rsid w:val="00F2262B"/>
    <w:rsid w:val="00F24610"/>
    <w:rsid w:val="00F256F5"/>
    <w:rsid w:val="00F27D4E"/>
    <w:rsid w:val="00F33700"/>
    <w:rsid w:val="00F404CA"/>
    <w:rsid w:val="00F42F3C"/>
    <w:rsid w:val="00F462F6"/>
    <w:rsid w:val="00F47426"/>
    <w:rsid w:val="00F52DFA"/>
    <w:rsid w:val="00F52F56"/>
    <w:rsid w:val="00F562FA"/>
    <w:rsid w:val="00F6155D"/>
    <w:rsid w:val="00F65560"/>
    <w:rsid w:val="00F6751C"/>
    <w:rsid w:val="00F67810"/>
    <w:rsid w:val="00F70254"/>
    <w:rsid w:val="00F70597"/>
    <w:rsid w:val="00F71EC8"/>
    <w:rsid w:val="00F7211F"/>
    <w:rsid w:val="00F769F1"/>
    <w:rsid w:val="00F8126B"/>
    <w:rsid w:val="00F83390"/>
    <w:rsid w:val="00F83437"/>
    <w:rsid w:val="00F83780"/>
    <w:rsid w:val="00F84F3D"/>
    <w:rsid w:val="00F85E05"/>
    <w:rsid w:val="00F92A51"/>
    <w:rsid w:val="00F9409C"/>
    <w:rsid w:val="00F94AA7"/>
    <w:rsid w:val="00FA32A3"/>
    <w:rsid w:val="00FB298E"/>
    <w:rsid w:val="00FB654E"/>
    <w:rsid w:val="00FB77A9"/>
    <w:rsid w:val="00FC1516"/>
    <w:rsid w:val="00FC1CBD"/>
    <w:rsid w:val="00FC282C"/>
    <w:rsid w:val="00FD2ED2"/>
    <w:rsid w:val="00FD409E"/>
    <w:rsid w:val="00FD48A3"/>
    <w:rsid w:val="00FE1396"/>
    <w:rsid w:val="00FE4B6D"/>
    <w:rsid w:val="00FE4ECA"/>
    <w:rsid w:val="00FF122B"/>
    <w:rsid w:val="00FF5B08"/>
    <w:rsid w:val="00FF6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38"/>
  </w:style>
  <w:style w:type="paragraph" w:styleId="Heading1">
    <w:name w:val="heading 1"/>
    <w:basedOn w:val="Normal"/>
    <w:next w:val="Normal"/>
    <w:link w:val="Heading1Char"/>
    <w:uiPriority w:val="9"/>
    <w:qFormat/>
    <w:rsid w:val="001F7D9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1F7D9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1F7D92"/>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qFormat/>
    <w:rsid w:val="001F7D92"/>
    <w:pPr>
      <w:keepNext/>
      <w:keepLines/>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qFormat/>
    <w:rsid w:val="001F7D92"/>
    <w:pPr>
      <w:keepNext/>
      <w:keepLines/>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qFormat/>
    <w:rsid w:val="001F7D92"/>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qFormat/>
    <w:rsid w:val="001F7D92"/>
    <w:pPr>
      <w:keepNext/>
      <w:keepLines/>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qFormat/>
    <w:rsid w:val="001F7D92"/>
    <w:pPr>
      <w:keepNext/>
      <w:keepLines/>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qFormat/>
    <w:rsid w:val="001F7D92"/>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99F"/>
    <w:pPr>
      <w:ind w:left="720"/>
      <w:contextualSpacing/>
    </w:pPr>
  </w:style>
  <w:style w:type="paragraph" w:styleId="BalloonText">
    <w:name w:val="Balloon Text"/>
    <w:basedOn w:val="Normal"/>
    <w:link w:val="BalloonTextChar"/>
    <w:uiPriority w:val="99"/>
    <w:semiHidden/>
    <w:unhideWhenUsed/>
    <w:rsid w:val="00862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84"/>
    <w:rPr>
      <w:rFonts w:ascii="Tahoma" w:hAnsi="Tahoma" w:cs="Tahoma"/>
      <w:sz w:val="16"/>
      <w:szCs w:val="16"/>
    </w:rPr>
  </w:style>
  <w:style w:type="character" w:styleId="CommentReference">
    <w:name w:val="annotation reference"/>
    <w:basedOn w:val="DefaultParagraphFont"/>
    <w:uiPriority w:val="99"/>
    <w:semiHidden/>
    <w:unhideWhenUsed/>
    <w:rsid w:val="00B86936"/>
    <w:rPr>
      <w:sz w:val="16"/>
      <w:szCs w:val="16"/>
    </w:rPr>
  </w:style>
  <w:style w:type="paragraph" w:styleId="CommentText">
    <w:name w:val="annotation text"/>
    <w:basedOn w:val="Normal"/>
    <w:link w:val="CommentTextChar"/>
    <w:uiPriority w:val="99"/>
    <w:semiHidden/>
    <w:unhideWhenUsed/>
    <w:rsid w:val="00B86936"/>
    <w:pPr>
      <w:spacing w:line="240" w:lineRule="auto"/>
    </w:pPr>
    <w:rPr>
      <w:sz w:val="20"/>
      <w:szCs w:val="20"/>
    </w:rPr>
  </w:style>
  <w:style w:type="character" w:customStyle="1" w:styleId="CommentTextChar">
    <w:name w:val="Comment Text Char"/>
    <w:basedOn w:val="DefaultParagraphFont"/>
    <w:link w:val="CommentText"/>
    <w:uiPriority w:val="99"/>
    <w:semiHidden/>
    <w:rsid w:val="00B86936"/>
    <w:rPr>
      <w:sz w:val="20"/>
      <w:szCs w:val="20"/>
    </w:rPr>
  </w:style>
  <w:style w:type="paragraph" w:styleId="CommentSubject">
    <w:name w:val="annotation subject"/>
    <w:basedOn w:val="CommentText"/>
    <w:next w:val="CommentText"/>
    <w:link w:val="CommentSubjectChar"/>
    <w:uiPriority w:val="99"/>
    <w:semiHidden/>
    <w:unhideWhenUsed/>
    <w:rsid w:val="00B86936"/>
    <w:rPr>
      <w:b/>
      <w:bCs/>
    </w:rPr>
  </w:style>
  <w:style w:type="character" w:customStyle="1" w:styleId="CommentSubjectChar">
    <w:name w:val="Comment Subject Char"/>
    <w:basedOn w:val="CommentTextChar"/>
    <w:link w:val="CommentSubject"/>
    <w:uiPriority w:val="99"/>
    <w:semiHidden/>
    <w:rsid w:val="00B86936"/>
    <w:rPr>
      <w:b/>
      <w:bCs/>
    </w:rPr>
  </w:style>
  <w:style w:type="paragraph" w:styleId="Header">
    <w:name w:val="header"/>
    <w:basedOn w:val="Normal"/>
    <w:link w:val="HeaderChar"/>
    <w:uiPriority w:val="99"/>
    <w:unhideWhenUsed/>
    <w:rsid w:val="00F6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60"/>
  </w:style>
  <w:style w:type="paragraph" w:styleId="Footer">
    <w:name w:val="footer"/>
    <w:basedOn w:val="Normal"/>
    <w:link w:val="FooterChar"/>
    <w:uiPriority w:val="99"/>
    <w:unhideWhenUsed/>
    <w:rsid w:val="00F6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60"/>
  </w:style>
  <w:style w:type="character" w:styleId="Hyperlink">
    <w:name w:val="Hyperlink"/>
    <w:basedOn w:val="DefaultParagraphFont"/>
    <w:uiPriority w:val="99"/>
    <w:rsid w:val="000C3FFF"/>
    <w:rPr>
      <w:color w:val="0000FF"/>
      <w:u w:val="single"/>
    </w:rPr>
  </w:style>
  <w:style w:type="table" w:styleId="TableGrid">
    <w:name w:val="Table Grid"/>
    <w:basedOn w:val="TableNormal"/>
    <w:uiPriority w:val="59"/>
    <w:rsid w:val="000D1F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7D9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F7D9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F7D92"/>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rsid w:val="001F7D92"/>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1F7D92"/>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1F7D92"/>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1F7D92"/>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1F7D92"/>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1F7D92"/>
    <w:rPr>
      <w:rFonts w:ascii="Cambria" w:eastAsia="Times New Roman" w:hAnsi="Cambria" w:cs="Times New Roman"/>
      <w:i/>
      <w:iCs/>
      <w:color w:val="404040"/>
      <w:sz w:val="20"/>
      <w:szCs w:val="20"/>
    </w:rPr>
  </w:style>
  <w:style w:type="character" w:customStyle="1" w:styleId="TitleChar">
    <w:name w:val="Title Char"/>
    <w:basedOn w:val="DefaultParagraphFont"/>
    <w:link w:val="Title"/>
    <w:uiPriority w:val="10"/>
    <w:rsid w:val="001F7D92"/>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rsid w:val="001F7D9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SubtitleChar">
    <w:name w:val="Subtitle Char"/>
    <w:basedOn w:val="DefaultParagraphFont"/>
    <w:link w:val="Subtitle"/>
    <w:uiPriority w:val="11"/>
    <w:rsid w:val="001F7D92"/>
    <w:rPr>
      <w:rFonts w:ascii="Cambria" w:eastAsia="Times New Roman" w:hAnsi="Cambria" w:cs="Times New Roman"/>
      <w:i/>
      <w:iCs/>
      <w:color w:val="4F81BD"/>
      <w:spacing w:val="15"/>
      <w:sz w:val="24"/>
      <w:szCs w:val="24"/>
    </w:rPr>
  </w:style>
  <w:style w:type="paragraph" w:styleId="Subtitle">
    <w:name w:val="Subtitle"/>
    <w:basedOn w:val="Normal"/>
    <w:next w:val="Normal"/>
    <w:link w:val="SubtitleChar"/>
    <w:uiPriority w:val="11"/>
    <w:qFormat/>
    <w:rsid w:val="001F7D92"/>
    <w:pPr>
      <w:numPr>
        <w:ilvl w:val="1"/>
      </w:numPr>
    </w:pPr>
    <w:rPr>
      <w:rFonts w:ascii="Cambria" w:eastAsia="Times New Roman" w:hAnsi="Cambria" w:cs="Times New Roman"/>
      <w:i/>
      <w:iCs/>
      <w:color w:val="4F81BD"/>
      <w:spacing w:val="15"/>
      <w:sz w:val="24"/>
      <w:szCs w:val="24"/>
    </w:rPr>
  </w:style>
  <w:style w:type="character" w:customStyle="1" w:styleId="QuoteChar">
    <w:name w:val="Quote Char"/>
    <w:basedOn w:val="DefaultParagraphFont"/>
    <w:link w:val="Quote"/>
    <w:uiPriority w:val="29"/>
    <w:rsid w:val="001F7D92"/>
    <w:rPr>
      <w:rFonts w:ascii="Calibri" w:hAnsi="Calibri" w:cs="Times New Roman"/>
      <w:i/>
      <w:iCs/>
      <w:color w:val="000000"/>
      <w:sz w:val="20"/>
      <w:szCs w:val="20"/>
    </w:rPr>
  </w:style>
  <w:style w:type="paragraph" w:styleId="Quote">
    <w:name w:val="Quote"/>
    <w:basedOn w:val="Normal"/>
    <w:next w:val="Normal"/>
    <w:link w:val="QuoteChar"/>
    <w:uiPriority w:val="29"/>
    <w:qFormat/>
    <w:rsid w:val="001F7D92"/>
    <w:rPr>
      <w:rFonts w:ascii="Calibri" w:hAnsi="Calibri" w:cs="Times New Roman"/>
      <w:i/>
      <w:iCs/>
      <w:color w:val="000000"/>
      <w:sz w:val="20"/>
      <w:szCs w:val="20"/>
    </w:rPr>
  </w:style>
  <w:style w:type="character" w:customStyle="1" w:styleId="IntenseQuoteChar">
    <w:name w:val="Intense Quote Char"/>
    <w:basedOn w:val="DefaultParagraphFont"/>
    <w:link w:val="IntenseQuote"/>
    <w:uiPriority w:val="30"/>
    <w:rsid w:val="001F7D92"/>
    <w:rPr>
      <w:rFonts w:ascii="Calibri" w:hAnsi="Calibri" w:cs="Times New Roman"/>
      <w:b/>
      <w:bCs/>
      <w:i/>
      <w:iCs/>
      <w:color w:val="4F81BD"/>
      <w:sz w:val="20"/>
      <w:szCs w:val="20"/>
    </w:rPr>
  </w:style>
  <w:style w:type="paragraph" w:styleId="IntenseQuote">
    <w:name w:val="Intense Quote"/>
    <w:basedOn w:val="Normal"/>
    <w:next w:val="Normal"/>
    <w:link w:val="IntenseQuoteChar"/>
    <w:uiPriority w:val="30"/>
    <w:qFormat/>
    <w:rsid w:val="001F7D92"/>
    <w:pPr>
      <w:pBdr>
        <w:bottom w:val="single" w:sz="4" w:space="4" w:color="4F81BD"/>
      </w:pBdr>
      <w:spacing w:before="200" w:after="280"/>
      <w:ind w:left="936" w:right="936"/>
    </w:pPr>
    <w:rPr>
      <w:rFonts w:ascii="Calibri" w:hAnsi="Calibri" w:cs="Times New Roman"/>
      <w:b/>
      <w:bCs/>
      <w:i/>
      <w:iCs/>
      <w:color w:val="4F81BD"/>
      <w:sz w:val="20"/>
      <w:szCs w:val="20"/>
    </w:rPr>
  </w:style>
</w:styles>
</file>

<file path=word/webSettings.xml><?xml version="1.0" encoding="utf-8"?>
<w:webSettings xmlns:r="http://schemas.openxmlformats.org/officeDocument/2006/relationships" xmlns:w="http://schemas.openxmlformats.org/wordprocessingml/2006/main">
  <w:divs>
    <w:div w:id="295066853">
      <w:bodyDiv w:val="1"/>
      <w:marLeft w:val="0"/>
      <w:marRight w:val="0"/>
      <w:marTop w:val="0"/>
      <w:marBottom w:val="0"/>
      <w:divBdr>
        <w:top w:val="none" w:sz="0" w:space="0" w:color="auto"/>
        <w:left w:val="none" w:sz="0" w:space="0" w:color="auto"/>
        <w:bottom w:val="none" w:sz="0" w:space="0" w:color="auto"/>
        <w:right w:val="none" w:sz="0" w:space="0" w:color="auto"/>
      </w:divBdr>
    </w:div>
    <w:div w:id="465045546">
      <w:bodyDiv w:val="1"/>
      <w:marLeft w:val="0"/>
      <w:marRight w:val="0"/>
      <w:marTop w:val="0"/>
      <w:marBottom w:val="0"/>
      <w:divBdr>
        <w:top w:val="none" w:sz="0" w:space="0" w:color="auto"/>
        <w:left w:val="none" w:sz="0" w:space="0" w:color="auto"/>
        <w:bottom w:val="none" w:sz="0" w:space="0" w:color="auto"/>
        <w:right w:val="none" w:sz="0" w:space="0" w:color="auto"/>
      </w:divBdr>
    </w:div>
    <w:div w:id="5180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tandards/docs/toxics/ORToxicsComplianceCos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waterscience/criteria/humanhealth/metho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waterscience/criteria/wqctable/" TargetMode="External"/><Relationship Id="rId4" Type="http://schemas.openxmlformats.org/officeDocument/2006/relationships/settings" Target="settings.xml"/><Relationship Id="rId9" Type="http://schemas.openxmlformats.org/officeDocument/2006/relationships/hyperlink" Target="http://www.deq.state.or.us/wq/standards/docs/toxics/FIIACMemoToEQC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90354-057B-4DFF-9145-96AEA587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17</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Wigal</dc:creator>
  <cp:keywords/>
  <dc:description/>
  <cp:lastModifiedBy>Andrea Matzke</cp:lastModifiedBy>
  <cp:revision>6</cp:revision>
  <cp:lastPrinted>2010-08-10T22:40:00Z</cp:lastPrinted>
  <dcterms:created xsi:type="dcterms:W3CDTF">2010-08-10T15:49:00Z</dcterms:created>
  <dcterms:modified xsi:type="dcterms:W3CDTF">2010-08-10T23:03:00Z</dcterms:modified>
</cp:coreProperties>
</file>