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bCs/>
          <w:i/>
          <w:iCs/>
          <w:color w:val="4F81BD" w:themeColor="accent1"/>
        </w:rPr>
        <w:id w:val="22914516"/>
        <w:docPartObj>
          <w:docPartGallery w:val="Cover Pages"/>
          <w:docPartUnique/>
        </w:docPartObj>
      </w:sdtPr>
      <w:sdtContent>
        <w:p w:rsidR="00E63A05" w:rsidRDefault="00E63A05"/>
        <w:p w:rsidR="00E63A05" w:rsidRDefault="004F23E4">
          <w:r>
            <w:rPr>
              <w:noProof/>
              <w:lang w:eastAsia="zh-TW"/>
            </w:rPr>
            <w:pict>
              <v:group id="_x0000_s1026" style="position:absolute;margin-left:0;margin-top:0;width:611.95pt;height:579.3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043;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22914574"/>
                          <w:dataBinding w:prefixMappings="xmlns:ns0='http://schemas.openxmlformats.org/officeDocument/2006/extended-properties'" w:xpath="/ns0:Properties[1]/ns0:Company[1]" w:storeItemID="{6668398D-A668-4E3E-A5EB-62B293D839F1}"/>
                          <w:text/>
                        </w:sdtPr>
                        <w:sdtContent>
                          <w:p w:rsidR="00802210" w:rsidRDefault="00802210">
                            <w:pPr>
                              <w:spacing w:after="0"/>
                              <w:rPr>
                                <w:b/>
                                <w:bCs/>
                                <w:color w:val="808080" w:themeColor="text1" w:themeTint="7F"/>
                                <w:sz w:val="32"/>
                                <w:szCs w:val="32"/>
                              </w:rPr>
                            </w:pPr>
                            <w:r>
                              <w:rPr>
                                <w:b/>
                                <w:bCs/>
                                <w:color w:val="808080" w:themeColor="text1" w:themeTint="7F"/>
                                <w:sz w:val="32"/>
                                <w:szCs w:val="32"/>
                              </w:rPr>
                              <w:t>State of Oregon Department of Environmental Quality</w:t>
                            </w:r>
                          </w:p>
                        </w:sdtContent>
                      </w:sdt>
                      <w:p w:rsidR="00802210" w:rsidRDefault="00802210">
                        <w:pPr>
                          <w:spacing w:after="0"/>
                          <w:rPr>
                            <w:b/>
                            <w:bCs/>
                            <w:color w:val="808080" w:themeColor="text1" w:themeTint="7F"/>
                            <w:sz w:val="32"/>
                            <w:szCs w:val="32"/>
                          </w:rPr>
                        </w:pPr>
                      </w:p>
                    </w:txbxContent>
                  </v:textbox>
                </v:rect>
                <v:rect id="_x0000_s1039" style="position:absolute;left:6494;top:11160;width:4998;height:1692;mso-position-horizontal-relative:margin;mso-position-vertical-relative:margin" filled="f" stroked="f">
                  <v:textbox style="mso-next-textbox:#_x0000_s1039;mso-fit-shape-to-text:t">
                    <w:txbxContent>
                      <w:p w:rsidR="00802210" w:rsidRDefault="00802210">
                        <w:pPr>
                          <w:jc w:val="right"/>
                          <w:rPr>
                            <w:sz w:val="96"/>
                            <w:szCs w:val="96"/>
                          </w:rPr>
                        </w:pP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le"/>
                          <w:id w:val="22914575"/>
                          <w:dataBinding w:prefixMappings="xmlns:ns0='http://schemas.openxmlformats.org/package/2006/metadata/core-properties' xmlns:ns1='http://purl.org/dc/elements/1.1/'" w:xpath="/ns0:coreProperties[1]/ns1:title[1]" w:storeItemID="{6C3C8BC8-F283-45AE-878A-BAB7291924A1}"/>
                          <w:text/>
                        </w:sdtPr>
                        <w:sdtContent>
                          <w:p w:rsidR="00802210" w:rsidRDefault="00802210">
                            <w:pPr>
                              <w:spacing w:after="0"/>
                              <w:rPr>
                                <w:b/>
                                <w:bCs/>
                                <w:color w:val="1F497D" w:themeColor="text2"/>
                                <w:sz w:val="72"/>
                                <w:szCs w:val="72"/>
                              </w:rPr>
                            </w:pPr>
                            <w:r>
                              <w:rPr>
                                <w:b/>
                                <w:bCs/>
                                <w:color w:val="1F497D" w:themeColor="text2"/>
                                <w:sz w:val="72"/>
                                <w:szCs w:val="72"/>
                              </w:rPr>
                              <w:t xml:space="preserve">Proposed New and Amended Rule Language </w:t>
                            </w:r>
                          </w:p>
                        </w:sdtContent>
                      </w:sdt>
                      <w:sdt>
                        <w:sdtPr>
                          <w:rPr>
                            <w:b/>
                            <w:bCs/>
                            <w:color w:val="4F81BD" w:themeColor="accent1"/>
                            <w:sz w:val="40"/>
                            <w:szCs w:val="40"/>
                          </w:rPr>
                          <w:alias w:val="Subtitle"/>
                          <w:id w:val="22914576"/>
                          <w:dataBinding w:prefixMappings="xmlns:ns0='http://schemas.openxmlformats.org/package/2006/metadata/core-properties' xmlns:ns1='http://purl.org/dc/elements/1.1/'" w:xpath="/ns0:coreProperties[1]/ns1:subject[1]" w:storeItemID="{6C3C8BC8-F283-45AE-878A-BAB7291924A1}"/>
                          <w:text/>
                        </w:sdtPr>
                        <w:sdtContent>
                          <w:p w:rsidR="00802210" w:rsidRPr="00E63A05" w:rsidRDefault="00802210">
                            <w:pPr>
                              <w:rPr>
                                <w:b/>
                                <w:bCs/>
                                <w:color w:val="4F81BD" w:themeColor="accent1"/>
                                <w:sz w:val="40"/>
                                <w:szCs w:val="40"/>
                              </w:rPr>
                            </w:pPr>
                            <w:r>
                              <w:rPr>
                                <w:b/>
                                <w:bCs/>
                                <w:color w:val="4F81BD" w:themeColor="accent1"/>
                                <w:sz w:val="40"/>
                                <w:szCs w:val="40"/>
                              </w:rPr>
                              <w:t>Human Health Toxics Rulemaking</w:t>
                            </w:r>
                          </w:p>
                        </w:sdtContent>
                      </w:sdt>
                      <w:p w:rsidR="00802210" w:rsidRDefault="00802210">
                        <w:pPr>
                          <w:rPr>
                            <w:b/>
                            <w:bCs/>
                            <w:color w:val="808080" w:themeColor="text1" w:themeTint="7F"/>
                            <w:sz w:val="32"/>
                            <w:szCs w:val="32"/>
                          </w:rPr>
                        </w:pPr>
                      </w:p>
                    </w:txbxContent>
                  </v:textbox>
                </v:rect>
                <w10:wrap anchorx="page" anchory="margin"/>
              </v:group>
            </w:pict>
          </w:r>
        </w:p>
        <w:p w:rsidR="00E63A05" w:rsidRDefault="00E63A05" w:rsidP="00E63A05">
          <w:pPr>
            <w:rPr>
              <w:rFonts w:asciiTheme="minorHAnsi" w:hAnsiTheme="minorHAnsi"/>
              <w:b/>
              <w:bCs/>
            </w:rPr>
          </w:pPr>
          <w:r>
            <w:rPr>
              <w:rFonts w:asciiTheme="minorHAnsi" w:hAnsiTheme="minorHAnsi"/>
              <w:b/>
              <w:bCs/>
            </w:rPr>
            <w:br w:type="page"/>
          </w:r>
        </w:p>
        <w:p w:rsidR="00E63A05" w:rsidRDefault="0037280B" w:rsidP="00E63A05">
          <w:pPr>
            <w:pStyle w:val="IntenseQuote"/>
            <w:ind w:left="0"/>
            <w:jc w:val="both"/>
          </w:pPr>
          <w:r>
            <w:rPr>
              <w:sz w:val="32"/>
              <w:szCs w:val="32"/>
            </w:rPr>
            <w:lastRenderedPageBreak/>
            <w:t>Toxics</w:t>
          </w:r>
          <w:r w:rsidR="00E63A05" w:rsidRPr="00E63A05">
            <w:rPr>
              <w:sz w:val="32"/>
              <w:szCs w:val="32"/>
            </w:rPr>
            <w:t xml:space="preserve"> </w:t>
          </w:r>
          <w:r w:rsidR="00332437">
            <w:rPr>
              <w:sz w:val="32"/>
              <w:szCs w:val="32"/>
            </w:rPr>
            <w:t>Rulemaking Proposed Revisions</w:t>
          </w:r>
          <w:r>
            <w:rPr>
              <w:sz w:val="32"/>
              <w:szCs w:val="32"/>
            </w:rPr>
            <w:t>:  Division</w:t>
          </w:r>
          <w:r w:rsidR="00967B35">
            <w:rPr>
              <w:sz w:val="32"/>
              <w:szCs w:val="32"/>
            </w:rPr>
            <w:t xml:space="preserve"> 41 </w:t>
          </w:r>
        </w:p>
      </w:sdtContent>
    </w:sdt>
    <w:p w:rsidR="0037280B" w:rsidRDefault="0037280B" w:rsidP="0037280B">
      <w:pPr>
        <w:pStyle w:val="Heading6"/>
        <w:rPr>
          <w:rFonts w:asciiTheme="minorHAnsi" w:hAnsiTheme="minorHAnsi"/>
          <w:b/>
          <w:i w:val="0"/>
          <w:color w:val="000000"/>
          <w:sz w:val="22"/>
          <w:szCs w:val="22"/>
        </w:rPr>
      </w:pPr>
      <w:r w:rsidRPr="00493235">
        <w:rPr>
          <w:rFonts w:asciiTheme="minorHAnsi" w:hAnsiTheme="minorHAnsi"/>
          <w:b/>
          <w:i w:val="0"/>
          <w:color w:val="000000"/>
          <w:sz w:val="22"/>
          <w:szCs w:val="22"/>
        </w:rPr>
        <w:t>340-041-0007</w:t>
      </w:r>
    </w:p>
    <w:p w:rsidR="0037280B" w:rsidRPr="00493235" w:rsidRDefault="0037280B" w:rsidP="0037280B">
      <w:pPr>
        <w:pStyle w:val="Heading6"/>
        <w:rPr>
          <w:rFonts w:asciiTheme="minorHAnsi" w:hAnsiTheme="minorHAnsi"/>
          <w:b/>
          <w:i w:val="0"/>
          <w:sz w:val="22"/>
          <w:szCs w:val="22"/>
        </w:rPr>
      </w:pPr>
      <w:r>
        <w:rPr>
          <w:rFonts w:asciiTheme="minorHAnsi" w:hAnsiTheme="minorHAnsi"/>
          <w:b/>
          <w:i w:val="0"/>
          <w:color w:val="000000"/>
          <w:sz w:val="22"/>
          <w:szCs w:val="22"/>
        </w:rPr>
        <w:t>Statewide Narrative Criteria</w:t>
      </w:r>
      <w:r w:rsidRPr="00493235">
        <w:rPr>
          <w:rFonts w:asciiTheme="minorHAnsi" w:hAnsiTheme="minorHAnsi"/>
          <w:b/>
          <w:i w:val="0"/>
          <w:sz w:val="22"/>
          <w:szCs w:val="22"/>
        </w:rPr>
        <w:t xml:space="preserve"> </w:t>
      </w:r>
      <w:r>
        <w:rPr>
          <w:rFonts w:asciiTheme="minorHAnsi" w:hAnsiTheme="minorHAnsi"/>
          <w:b/>
          <w:i w:val="0"/>
          <w:sz w:val="22"/>
          <w:szCs w:val="22"/>
        </w:rPr>
        <w:t xml:space="preserve">  </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 xml:space="preserve">(1) Notwithstanding the water quality standards contained in this Division, the highest and best practicable treatment and/or control of wastes, activities, and flows must in every case be provided so as to maintain dissolved oxygen and overall water quality at the highest possible levels and water temperatures, </w:t>
      </w:r>
      <w:proofErr w:type="spellStart"/>
      <w:r w:rsidRPr="008B69C2">
        <w:rPr>
          <w:rFonts w:asciiTheme="minorHAnsi" w:hAnsiTheme="minorHAnsi"/>
          <w:sz w:val="22"/>
          <w:szCs w:val="22"/>
        </w:rPr>
        <w:t>coliform</w:t>
      </w:r>
      <w:proofErr w:type="spellEnd"/>
      <w:r w:rsidRPr="008B69C2">
        <w:rPr>
          <w:rFonts w:asciiTheme="minorHAnsi" w:hAnsiTheme="minorHAnsi"/>
          <w:sz w:val="22"/>
          <w:szCs w:val="22"/>
        </w:rPr>
        <w:t xml:space="preserve"> bacteria concentrations, dissolved chemical substances, toxic materials, radioactivity, turbidities, color, odor, and other deleterious factors at the lowest possible levels.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(2) Where a less stringent natural condition of a water of the State exceeds the numeric criteria set out in this Division, the natural condition supersedes the numeric criteria and becomes the standard for that water body. However, there are special restrictions, described in OAR 340-041-0004(9</w:t>
      </w:r>
      <w:proofErr w:type="gramStart"/>
      <w:r w:rsidRPr="008B69C2">
        <w:rPr>
          <w:rFonts w:asciiTheme="minorHAnsi" w:hAnsiTheme="minorHAnsi"/>
          <w:sz w:val="22"/>
          <w:szCs w:val="22"/>
        </w:rPr>
        <w:t>)(</w:t>
      </w:r>
      <w:proofErr w:type="gramEnd"/>
      <w:r w:rsidRPr="008B69C2">
        <w:rPr>
          <w:rFonts w:asciiTheme="minorHAnsi" w:hAnsiTheme="minorHAnsi"/>
          <w:sz w:val="22"/>
          <w:szCs w:val="22"/>
        </w:rPr>
        <w:t>a)(D)(iii), that may apply to discharges that affect dissolved oxygen.</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(3) For any new waste sources, alternatives that utilize reuse or disposal with no discharge to public waters must be given highest priority for use wherever practicable. New source discharges may be approved subject to the criteria in OAR 340-041-0004(9).</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(4) No discharges of wastes to lakes or reservoirs may be allowed except as provided in section OAR 340-041-0004(9).</w:t>
      </w:r>
    </w:p>
    <w:p w:rsidR="0037280B" w:rsidRPr="008B69C2" w:rsidRDefault="0037280B" w:rsidP="0037280B">
      <w:pPr>
        <w:rPr>
          <w:color w:val="FF0000"/>
          <w:szCs w:val="24"/>
          <w:u w:val="single"/>
        </w:rPr>
      </w:pPr>
      <w:r w:rsidRPr="008B69C2">
        <w:rPr>
          <w:rFonts w:asciiTheme="minorHAnsi" w:hAnsiTheme="minorHAnsi"/>
        </w:rPr>
        <w:t xml:space="preserve">(5) Logging and forest management activities must be conducted in accordance with the </w:t>
      </w:r>
      <w:r w:rsidRPr="008B69C2">
        <w:rPr>
          <w:rFonts w:asciiTheme="minorHAnsi" w:hAnsiTheme="minorHAnsi"/>
          <w:strike/>
        </w:rPr>
        <w:t>Oregon Forest Practices Act to minimize adverse effects on water quality.</w:t>
      </w:r>
      <w:r>
        <w:rPr>
          <w:rFonts w:asciiTheme="minorHAnsi" w:hAnsiTheme="minorHAnsi"/>
          <w:strike/>
        </w:rPr>
        <w:t xml:space="preserve">  </w:t>
      </w:r>
      <w:proofErr w:type="gramStart"/>
      <w:r w:rsidRPr="005B68F7">
        <w:rPr>
          <w:color w:val="FF0000"/>
          <w:u w:val="single"/>
        </w:rPr>
        <w:t>water</w:t>
      </w:r>
      <w:proofErr w:type="gramEnd"/>
      <w:r w:rsidRPr="005B68F7">
        <w:rPr>
          <w:color w:val="FF0000"/>
          <w:u w:val="single"/>
        </w:rPr>
        <w:t xml:space="preserve"> quality standards and implementing rules established by the Environmental Quality Commission.  Nonpoint sources of pollution from forest operations on state and private forest lands are subject to best management practices and other control measures established by the Oregon Board of Forestry as provided in ORS 527.765 and 527.770 and must not cause violation of water quality standards. Forest operations conducted in good faith compliance with best management practices and control measures established under the Forest Practice Act are generally deemed not to cause violations of water quality standards as provided in ORS 527.770.  Forest operations may be subject to load allocations established under ORS 468B.110 and OAR </w:t>
      </w:r>
      <w:r>
        <w:rPr>
          <w:color w:val="FF0000"/>
          <w:u w:val="single"/>
        </w:rPr>
        <w:t xml:space="preserve">division </w:t>
      </w:r>
      <w:r w:rsidRPr="005B68F7">
        <w:rPr>
          <w:color w:val="FF0000"/>
          <w:u w:val="single"/>
        </w:rPr>
        <w:t>340-042, however, to the extent needed to implement the federal Clean Water Act.</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(6) Log handling in public waters must conform to current Commission policies and guidelines.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 xml:space="preserve">(7) Sand and gravel removal operations must be conducted pursuant to a permit from the Division of State Lands and separated from the active flowing stream by a watertight </w:t>
      </w:r>
      <w:proofErr w:type="spellStart"/>
      <w:r w:rsidRPr="008B69C2">
        <w:rPr>
          <w:rFonts w:asciiTheme="minorHAnsi" w:hAnsiTheme="minorHAnsi"/>
          <w:sz w:val="22"/>
          <w:szCs w:val="22"/>
        </w:rPr>
        <w:t>berm</w:t>
      </w:r>
      <w:proofErr w:type="spellEnd"/>
      <w:r w:rsidRPr="008B69C2">
        <w:rPr>
          <w:rFonts w:asciiTheme="minorHAnsi" w:hAnsiTheme="minorHAnsi"/>
          <w:sz w:val="22"/>
          <w:szCs w:val="22"/>
        </w:rPr>
        <w:t xml:space="preserve"> wherever physically practicable. Recirculation and reuse of process water must be required wherever practicable. Discharges or seepage or leakage losses to public waters may not cause a violation of water quality standards or adversely affect legitimate beneficial uses.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(8) Road building and maintenance activities must be conducted in a manner so as to keep waste materials out of public waters and minimize erosion of cut banks, fills, and road surfaces.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lastRenderedPageBreak/>
        <w:t>(9) In order to improve controls over nonpoint sources of pollution, federal, State, and local resource management agencies will be encouraged and assisted to coordinate planning and implementation of programs to regulate or control runoff, erosion, turbidity, stream temperature, stream flow, and the withdrawal and use of irrigation water on a basin-wide approach so as to protect the quality and beneficial uses of water and related resources. Such programs may include, but not be limited to, the following:</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(a) Development of projects for storage and release of suitable quality waters to augment low stream flow;</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(b) Urban runoff control to reduce erosion;</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(c) Possible modification of irrigation practices to reduce or minimize adverse impacts from irrigation return flows;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(d) Stream bank erosion reduction projects; and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(e) Federal water quality restoration plans.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(10) The development of fungi or other growths having a deleterious effect on stream bottoms, fish or other aquatic life, or that are injurious to health, recreation, or industry may not be allowed;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 xml:space="preserve">(11) The creation of tastes or odors or toxic or other conditions that are deleterious to fish or other aquatic life or affect the </w:t>
      </w:r>
      <w:proofErr w:type="spellStart"/>
      <w:r w:rsidRPr="008B69C2">
        <w:rPr>
          <w:rFonts w:asciiTheme="minorHAnsi" w:hAnsiTheme="minorHAnsi"/>
          <w:sz w:val="22"/>
          <w:szCs w:val="22"/>
        </w:rPr>
        <w:t>potability</w:t>
      </w:r>
      <w:proofErr w:type="spellEnd"/>
      <w:r w:rsidRPr="008B69C2">
        <w:rPr>
          <w:rFonts w:asciiTheme="minorHAnsi" w:hAnsiTheme="minorHAnsi"/>
          <w:sz w:val="22"/>
          <w:szCs w:val="22"/>
        </w:rPr>
        <w:t xml:space="preserve"> of drinking water or the palatability of fish or shellfish may not be allowed;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(12) The formation of appreciable bottom or sludge deposits or the formation of any organic or inorganic deposits deleterious to fish or other aquatic life or injurious to public health, recreation, or industry may not be allowed;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(13) Objectionable discoloration, scum, oily sheens, or floating solids, or coating of aquatic life with oil films may not be allowed;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(14) Aesthetic conditions offensive to the human senses of sight, taste, smell, or touch may not be allowed;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(15) Radioisotope concentrations may not exceed maximum permissible concentrations (MPC's) in drinking water, edible fishes or shellfishes, wildlife, irrigated crops, livestock and dairy products, or pose an external radiation hazard;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(16) Minimum Design Criteria for Treatment and Control of Wastes. Except as provided in OAR 340-041-0101 through 340-041-0350, and subject to the implementation requirements set forth in OAR 340-041-0061, prior to discharge of any wastes from any new or modified facility to any waters of the State, such wastes must be treated and controlled in facilities designed in accordance with the following minimum criteria.</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(a) In designing treatment facilities, average conditions and a normal range of variability are generally used in establishing design criteria. A facility once completed and placed in operation should operate at or near the design limit most of the time but may operate below the design criteria limit at times due to variables which are unpredictable or uncontrollable. This is particularly true for biological treatment facilities. The actual operating limits are intended to be established by permit pursuant to ORS 468.740 and recognize that the actual performance level may at times be less than the design criteria.</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(A) Sewage wastes: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w:t>
      </w:r>
      <w:proofErr w:type="spellStart"/>
      <w:r w:rsidRPr="008B69C2">
        <w:rPr>
          <w:rFonts w:asciiTheme="minorHAnsi" w:hAnsiTheme="minorHAnsi"/>
          <w:sz w:val="22"/>
          <w:szCs w:val="22"/>
        </w:rPr>
        <w:t>i</w:t>
      </w:r>
      <w:proofErr w:type="spellEnd"/>
      <w:r w:rsidRPr="008B69C2">
        <w:rPr>
          <w:rFonts w:asciiTheme="minorHAnsi" w:hAnsiTheme="minorHAnsi"/>
          <w:sz w:val="22"/>
          <w:szCs w:val="22"/>
        </w:rPr>
        <w:t>) Effluent BOD concentrations in mg/l, divided by the dilution factor (ratio of receiving stream flow to effluent flow) may not exceed one unless otherwise approved by the Commission;</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(ii) Sewage wastes must be disinfected, after treatment, equivalent to thorough mixing with sufficient chlorine to provide a residual of at least 1 part per million after 60 minutes of contact time unless otherwise specifically authorized by permit;</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(iii) Positive protection must be provided to prevent bypassing raw or inadequately treated sewage to public waters unless otherwise approved by the Department where elimination of inflow and infiltration would be necessary but not presently practicable; and</w:t>
      </w:r>
    </w:p>
    <w:p w:rsidR="0037280B" w:rsidRPr="008B69C2" w:rsidRDefault="0037280B" w:rsidP="0037280B">
      <w:pPr>
        <w:pStyle w:val="NormalWeb"/>
        <w:rPr>
          <w:rFonts w:asciiTheme="minorHAnsi" w:hAnsiTheme="minorHAnsi"/>
          <w:sz w:val="22"/>
          <w:szCs w:val="22"/>
        </w:rPr>
      </w:pPr>
      <w:proofErr w:type="gramStart"/>
      <w:r w:rsidRPr="008B69C2">
        <w:rPr>
          <w:rFonts w:asciiTheme="minorHAnsi" w:hAnsiTheme="minorHAnsi"/>
          <w:sz w:val="22"/>
          <w:szCs w:val="22"/>
        </w:rPr>
        <w:t>(iv) More</w:t>
      </w:r>
      <w:proofErr w:type="gramEnd"/>
      <w:r w:rsidRPr="008B69C2">
        <w:rPr>
          <w:rFonts w:asciiTheme="minorHAnsi" w:hAnsiTheme="minorHAnsi"/>
          <w:sz w:val="22"/>
          <w:szCs w:val="22"/>
        </w:rPr>
        <w:t xml:space="preserve"> stringent waste treatment and control requirements may be imposed where special conditions make such action appropriate.</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(B) Industrial wastes: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w:t>
      </w:r>
      <w:proofErr w:type="spellStart"/>
      <w:r w:rsidRPr="008B69C2">
        <w:rPr>
          <w:rFonts w:asciiTheme="minorHAnsi" w:hAnsiTheme="minorHAnsi"/>
          <w:sz w:val="22"/>
          <w:szCs w:val="22"/>
        </w:rPr>
        <w:t>i</w:t>
      </w:r>
      <w:proofErr w:type="spellEnd"/>
      <w:r w:rsidRPr="008B69C2">
        <w:rPr>
          <w:rFonts w:asciiTheme="minorHAnsi" w:hAnsiTheme="minorHAnsi"/>
          <w:sz w:val="22"/>
          <w:szCs w:val="22"/>
        </w:rPr>
        <w:t>) After maximum practicable in-plant control, a minimum of secondary treatment or equivalent control (reduction of suspended solids and organic material where present in significant quantities, effective disinfection where bacterial organisms of public health significance are present, and control of toxic or other deleterious substances);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(ii) Specific industrial waste treatment requirements may be determined on an individual basis in accordance with the provisions of this plan, applicable federal requirements, and the following:</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 xml:space="preserve">(I) </w:t>
      </w:r>
      <w:proofErr w:type="gramStart"/>
      <w:r w:rsidRPr="008B69C2">
        <w:rPr>
          <w:rFonts w:asciiTheme="minorHAnsi" w:hAnsiTheme="minorHAnsi"/>
          <w:sz w:val="22"/>
          <w:szCs w:val="22"/>
        </w:rPr>
        <w:t>The</w:t>
      </w:r>
      <w:proofErr w:type="gramEnd"/>
      <w:r w:rsidRPr="008B69C2">
        <w:rPr>
          <w:rFonts w:asciiTheme="minorHAnsi" w:hAnsiTheme="minorHAnsi"/>
          <w:sz w:val="22"/>
          <w:szCs w:val="22"/>
        </w:rPr>
        <w:t xml:space="preserve"> uses that are or may likely be made of the receiving stream;</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(II) The size and nature of flow of the receiving stream;</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(III) The quantity and quality of wastes to be treated; and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(IV) The presence or absence of other sources of pollution on the same watershed.</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(iii) Where industrial, commercial, or agricultural effluents contain significant quantities of potentially toxic elements, treatment requirements may be determined utilizing appropriate bioassays;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(iv) Industrial cooling waters containing significant heat loads must be subjected to off-stream cooling or heat recovery prior to discharge to public waters;</w:t>
      </w:r>
    </w:p>
    <w:p w:rsidR="0037280B" w:rsidRPr="008B69C2" w:rsidRDefault="0037280B" w:rsidP="0037280B">
      <w:pPr>
        <w:pStyle w:val="NormalWeb"/>
        <w:rPr>
          <w:rFonts w:asciiTheme="minorHAnsi" w:hAnsiTheme="minorHAnsi"/>
          <w:sz w:val="22"/>
          <w:szCs w:val="22"/>
        </w:rPr>
      </w:pPr>
      <w:r w:rsidRPr="008B69C2">
        <w:rPr>
          <w:rFonts w:asciiTheme="minorHAnsi" w:hAnsiTheme="minorHAnsi"/>
          <w:sz w:val="22"/>
          <w:szCs w:val="22"/>
        </w:rPr>
        <w:t>(v) Positive protection must be provided to prevent bypassing of raw or inadequately treated industrial wastes to any public waters;</w:t>
      </w:r>
    </w:p>
    <w:p w:rsidR="0037280B" w:rsidRPr="008B69C2" w:rsidRDefault="0037280B" w:rsidP="0037280B">
      <w:pPr>
        <w:pStyle w:val="NormalWeb"/>
        <w:rPr>
          <w:rFonts w:asciiTheme="minorHAnsi" w:hAnsiTheme="minorHAnsi"/>
          <w:sz w:val="22"/>
          <w:szCs w:val="22"/>
        </w:rPr>
      </w:pPr>
      <w:proofErr w:type="gramStart"/>
      <w:r w:rsidRPr="008B69C2">
        <w:rPr>
          <w:rFonts w:asciiTheme="minorHAnsi" w:hAnsiTheme="minorHAnsi"/>
          <w:sz w:val="22"/>
          <w:szCs w:val="22"/>
        </w:rPr>
        <w:t>(vi) Facilities</w:t>
      </w:r>
      <w:proofErr w:type="gramEnd"/>
      <w:r w:rsidRPr="008B69C2">
        <w:rPr>
          <w:rFonts w:asciiTheme="minorHAnsi" w:hAnsiTheme="minorHAnsi"/>
          <w:sz w:val="22"/>
          <w:szCs w:val="22"/>
        </w:rPr>
        <w:t xml:space="preserve"> must be provided to prevent and contain spills of potentially toxic or hazardous materials.</w:t>
      </w:r>
    </w:p>
    <w:p w:rsidR="001C2178" w:rsidRPr="0016296C" w:rsidRDefault="002C174D" w:rsidP="0016296C">
      <w:pPr>
        <w:rPr>
          <w:b/>
          <w:iCs/>
          <w:color w:val="17365D" w:themeColor="text2" w:themeShade="BF"/>
          <w:sz w:val="28"/>
          <w:szCs w:val="28"/>
        </w:rPr>
      </w:pPr>
      <w:r>
        <w:rPr>
          <w:rStyle w:val="SubtleEmphasis"/>
          <w:b/>
          <w:i w:val="0"/>
          <w:color w:val="17365D" w:themeColor="text2" w:themeShade="BF"/>
          <w:sz w:val="28"/>
          <w:szCs w:val="28"/>
        </w:rPr>
        <w:br w:type="page"/>
      </w:r>
      <w:r w:rsidR="001C2178" w:rsidRPr="00177324">
        <w:rPr>
          <w:rFonts w:asciiTheme="minorHAnsi" w:hAnsiTheme="minorHAnsi"/>
          <w:b/>
          <w:bCs/>
        </w:rPr>
        <w:t>340-041-0033</w:t>
      </w:r>
      <w:r w:rsidR="004C717E">
        <w:rPr>
          <w:rFonts w:asciiTheme="minorHAnsi" w:hAnsiTheme="minorHAnsi"/>
          <w:b/>
          <w:bCs/>
        </w:rPr>
        <w:t xml:space="preserve"> [Contain</w:t>
      </w:r>
      <w:r>
        <w:rPr>
          <w:rFonts w:asciiTheme="minorHAnsi" w:hAnsiTheme="minorHAnsi"/>
          <w:b/>
          <w:bCs/>
        </w:rPr>
        <w:t>s</w:t>
      </w:r>
      <w:r w:rsidR="004C717E">
        <w:rPr>
          <w:rFonts w:asciiTheme="minorHAnsi" w:hAnsiTheme="minorHAnsi"/>
          <w:b/>
          <w:bCs/>
        </w:rPr>
        <w:t xml:space="preserve"> revisions for human health </w:t>
      </w:r>
      <w:r w:rsidR="00802210">
        <w:rPr>
          <w:rFonts w:asciiTheme="minorHAnsi" w:hAnsiTheme="minorHAnsi"/>
          <w:b/>
          <w:bCs/>
        </w:rPr>
        <w:t xml:space="preserve">criteria </w:t>
      </w:r>
      <w:r w:rsidR="004C717E">
        <w:rPr>
          <w:rFonts w:asciiTheme="minorHAnsi" w:hAnsiTheme="minorHAnsi"/>
          <w:b/>
          <w:bCs/>
        </w:rPr>
        <w:t>effective dates and background pollutant allowance]</w:t>
      </w:r>
      <w:r w:rsidR="001C2178" w:rsidRPr="00177324">
        <w:rPr>
          <w:rFonts w:asciiTheme="minorHAnsi" w:hAnsiTheme="minorHAnsi"/>
          <w:b/>
          <w:bCs/>
        </w:rPr>
        <w:t xml:space="preserve"> </w:t>
      </w:r>
    </w:p>
    <w:p w:rsidR="001C2178" w:rsidRPr="00177324" w:rsidRDefault="001C2178" w:rsidP="001C2178">
      <w:pPr>
        <w:pStyle w:val="NormalWeb"/>
        <w:rPr>
          <w:rFonts w:asciiTheme="minorHAnsi" w:hAnsiTheme="minorHAnsi"/>
          <w:sz w:val="22"/>
          <w:szCs w:val="22"/>
        </w:rPr>
      </w:pPr>
      <w:r w:rsidRPr="00177324">
        <w:rPr>
          <w:rFonts w:asciiTheme="minorHAnsi" w:hAnsiTheme="minorHAnsi"/>
          <w:b/>
          <w:bCs/>
          <w:sz w:val="22"/>
          <w:szCs w:val="22"/>
        </w:rPr>
        <w:t>Toxic Substances</w:t>
      </w:r>
    </w:p>
    <w:p w:rsidR="001C2178" w:rsidRPr="00177324" w:rsidRDefault="001C2178" w:rsidP="001C2178">
      <w:pPr>
        <w:pStyle w:val="NormalWeb"/>
        <w:rPr>
          <w:rFonts w:asciiTheme="minorHAnsi" w:hAnsiTheme="minorHAnsi"/>
          <w:color w:val="FF0000"/>
          <w:sz w:val="22"/>
          <w:szCs w:val="22"/>
        </w:rPr>
      </w:pPr>
      <w:r>
        <w:rPr>
          <w:rFonts w:asciiTheme="minorHAnsi" w:hAnsiTheme="minorHAnsi"/>
          <w:color w:val="FF0000"/>
          <w:sz w:val="22"/>
          <w:szCs w:val="22"/>
        </w:rPr>
        <w:t xml:space="preserve">(1) Amendments to this rule OAR 340-041-0033 </w:t>
      </w:r>
      <w:r w:rsidRPr="00177324">
        <w:rPr>
          <w:rFonts w:asciiTheme="minorHAnsi" w:hAnsiTheme="minorHAnsi"/>
          <w:color w:val="FF0000"/>
          <w:sz w:val="22"/>
          <w:szCs w:val="22"/>
        </w:rPr>
        <w:t>and associated revisions to Tables 20, 33A</w:t>
      </w:r>
      <w:r>
        <w:rPr>
          <w:rFonts w:asciiTheme="minorHAnsi" w:hAnsiTheme="minorHAnsi"/>
          <w:color w:val="FF0000"/>
          <w:sz w:val="22"/>
          <w:szCs w:val="22"/>
        </w:rPr>
        <w:t>, 33B or</w:t>
      </w:r>
      <w:r w:rsidRPr="00177324">
        <w:rPr>
          <w:rFonts w:asciiTheme="minorHAnsi" w:hAnsiTheme="minorHAnsi"/>
          <w:color w:val="FF0000"/>
          <w:sz w:val="22"/>
          <w:szCs w:val="22"/>
        </w:rPr>
        <w:t xml:space="preserve"> 40 become effective upon approval by the Environmental Protection Agency.</w:t>
      </w:r>
    </w:p>
    <w:p w:rsidR="001C2178" w:rsidRPr="00177324" w:rsidRDefault="001C2178" w:rsidP="001C2178">
      <w:pPr>
        <w:pStyle w:val="NormalWeb"/>
        <w:rPr>
          <w:rFonts w:asciiTheme="minorHAnsi" w:hAnsiTheme="minorHAnsi"/>
          <w:sz w:val="22"/>
          <w:szCs w:val="22"/>
        </w:rPr>
      </w:pPr>
      <w:r w:rsidRPr="00177324">
        <w:rPr>
          <w:rFonts w:asciiTheme="minorHAnsi" w:hAnsiTheme="minorHAnsi"/>
          <w:sz w:val="22"/>
          <w:szCs w:val="22"/>
        </w:rPr>
        <w:t>(</w:t>
      </w:r>
      <w:r w:rsidRPr="00177324">
        <w:rPr>
          <w:rFonts w:asciiTheme="minorHAnsi" w:hAnsiTheme="minorHAnsi"/>
          <w:strike/>
          <w:sz w:val="22"/>
          <w:szCs w:val="22"/>
        </w:rPr>
        <w:t>1</w:t>
      </w:r>
      <w:r w:rsidRPr="00177324">
        <w:rPr>
          <w:rFonts w:asciiTheme="minorHAnsi" w:hAnsiTheme="minorHAnsi"/>
          <w:color w:val="FF0000"/>
          <w:sz w:val="22"/>
          <w:szCs w:val="22"/>
        </w:rPr>
        <w:t>2</w:t>
      </w:r>
      <w:r w:rsidRPr="00177324">
        <w:rPr>
          <w:rFonts w:asciiTheme="minorHAnsi" w:hAnsiTheme="minorHAnsi"/>
          <w:sz w:val="22"/>
          <w:szCs w:val="22"/>
        </w:rPr>
        <w:t xml:space="preserve">) 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177324">
        <w:rPr>
          <w:rFonts w:asciiTheme="minorHAnsi" w:hAnsiTheme="minorHAnsi"/>
          <w:sz w:val="22"/>
          <w:szCs w:val="22"/>
        </w:rPr>
        <w:t>bioaccumulate</w:t>
      </w:r>
      <w:proofErr w:type="spellEnd"/>
      <w:r w:rsidRPr="00177324">
        <w:rPr>
          <w:rFonts w:asciiTheme="minorHAnsi" w:hAnsiTheme="minorHAnsi"/>
          <w:sz w:val="22"/>
          <w:szCs w:val="22"/>
        </w:rPr>
        <w:t xml:space="preserve"> in aquatic life or wildlife to levels that adversely affect public health, safety, or welfare or aquatic life, wildlife, or other designated beneficial uses.</w:t>
      </w:r>
    </w:p>
    <w:p w:rsidR="001C2178" w:rsidRPr="00177324" w:rsidRDefault="001C2178" w:rsidP="001C2178">
      <w:pPr>
        <w:pStyle w:val="NormalWeb"/>
        <w:rPr>
          <w:rFonts w:asciiTheme="minorHAnsi" w:hAnsiTheme="minorHAnsi"/>
          <w:color w:val="FF0000"/>
          <w:sz w:val="22"/>
          <w:szCs w:val="22"/>
        </w:rPr>
      </w:pPr>
      <w:r w:rsidRPr="00177324">
        <w:rPr>
          <w:rFonts w:asciiTheme="minorHAnsi" w:hAnsiTheme="minorHAnsi"/>
          <w:color w:val="FF0000"/>
          <w:sz w:val="22"/>
          <w:szCs w:val="22"/>
        </w:rPr>
        <w:t>(3) Aquatic Life Criteria</w:t>
      </w:r>
    </w:p>
    <w:p w:rsidR="001C2178" w:rsidRPr="00177324" w:rsidRDefault="001C2178" w:rsidP="001C2178">
      <w:pPr>
        <w:pStyle w:val="NormalWeb"/>
        <w:rPr>
          <w:rFonts w:asciiTheme="minorHAnsi" w:hAnsiTheme="minorHAnsi"/>
          <w:sz w:val="22"/>
          <w:szCs w:val="22"/>
        </w:rPr>
      </w:pPr>
      <w:r w:rsidRPr="00177324">
        <w:rPr>
          <w:rFonts w:asciiTheme="minorHAnsi" w:hAnsiTheme="minorHAnsi"/>
          <w:sz w:val="22"/>
          <w:szCs w:val="22"/>
        </w:rPr>
        <w:t>(</w:t>
      </w:r>
      <w:r w:rsidRPr="00177324">
        <w:rPr>
          <w:rFonts w:asciiTheme="minorHAnsi" w:hAnsiTheme="minorHAnsi"/>
          <w:strike/>
          <w:sz w:val="22"/>
          <w:szCs w:val="22"/>
        </w:rPr>
        <w:t>2</w:t>
      </w:r>
      <w:r w:rsidRPr="00177324">
        <w:rPr>
          <w:rFonts w:asciiTheme="minorHAnsi" w:hAnsiTheme="minorHAnsi"/>
          <w:color w:val="FF0000"/>
          <w:sz w:val="22"/>
          <w:szCs w:val="22"/>
        </w:rPr>
        <w:t>a</w:t>
      </w:r>
      <w:r w:rsidRPr="00177324">
        <w:rPr>
          <w:rFonts w:asciiTheme="minorHAnsi" w:hAnsiTheme="minorHAnsi"/>
          <w:sz w:val="22"/>
          <w:szCs w:val="22"/>
        </w:rPr>
        <w:t xml:space="preserve">) Levels of toxic substances in waters of the state may not exceed the applicable </w:t>
      </w:r>
      <w:r w:rsidRPr="00177324">
        <w:rPr>
          <w:rFonts w:asciiTheme="minorHAnsi" w:hAnsiTheme="minorHAnsi"/>
          <w:color w:val="FF0000"/>
          <w:sz w:val="22"/>
          <w:szCs w:val="22"/>
        </w:rPr>
        <w:t>aquatic life</w:t>
      </w:r>
      <w:r>
        <w:rPr>
          <w:rFonts w:asciiTheme="minorHAnsi" w:hAnsiTheme="minorHAnsi"/>
          <w:sz w:val="22"/>
          <w:szCs w:val="22"/>
        </w:rPr>
        <w:t xml:space="preserve"> </w:t>
      </w:r>
      <w:r w:rsidRPr="00177324">
        <w:rPr>
          <w:rFonts w:asciiTheme="minorHAnsi" w:hAnsiTheme="minorHAnsi"/>
          <w:sz w:val="22"/>
          <w:szCs w:val="22"/>
        </w:rPr>
        <w:t>criteria listed in Tables 20, 33A, and 33B. Tables 33A and 33B, adopted on May 20, 2004, update Table 20 as described in this section.</w:t>
      </w:r>
    </w:p>
    <w:p w:rsidR="001C2178" w:rsidRPr="00177324" w:rsidRDefault="001C2178" w:rsidP="001C2178">
      <w:pPr>
        <w:pStyle w:val="NormalWeb"/>
        <w:rPr>
          <w:rFonts w:asciiTheme="minorHAnsi" w:hAnsiTheme="minorHAnsi"/>
          <w:sz w:val="22"/>
          <w:szCs w:val="22"/>
        </w:rPr>
      </w:pPr>
      <w:r w:rsidRPr="00177324">
        <w:rPr>
          <w:rFonts w:asciiTheme="minorHAnsi" w:hAnsiTheme="minorHAnsi"/>
          <w:sz w:val="22"/>
          <w:szCs w:val="22"/>
        </w:rPr>
        <w:t>(</w:t>
      </w:r>
      <w:proofErr w:type="spellStart"/>
      <w:proofErr w:type="gramStart"/>
      <w:r w:rsidRPr="00177324">
        <w:rPr>
          <w:rFonts w:asciiTheme="minorHAnsi" w:hAnsiTheme="minorHAnsi"/>
          <w:strike/>
          <w:sz w:val="22"/>
          <w:szCs w:val="22"/>
        </w:rPr>
        <w:t>a</w:t>
      </w:r>
      <w:r w:rsidRPr="00177324">
        <w:rPr>
          <w:rFonts w:asciiTheme="minorHAnsi" w:hAnsiTheme="minorHAnsi"/>
          <w:color w:val="FF0000"/>
          <w:sz w:val="22"/>
          <w:szCs w:val="22"/>
        </w:rPr>
        <w:t>b</w:t>
      </w:r>
      <w:proofErr w:type="spellEnd"/>
      <w:proofErr w:type="gramEnd"/>
      <w:r w:rsidRPr="00177324">
        <w:rPr>
          <w:rFonts w:asciiTheme="minorHAnsi" w:hAnsiTheme="minorHAnsi"/>
          <w:sz w:val="22"/>
          <w:szCs w:val="22"/>
        </w:rPr>
        <w:t>) Each value for criteria in Table 20 is effective until the corresponding value in Tables 33A or 33B becomes effective.</w:t>
      </w:r>
    </w:p>
    <w:p w:rsidR="001C2178" w:rsidRPr="00177324" w:rsidRDefault="001C2178" w:rsidP="001C2178">
      <w:pPr>
        <w:pStyle w:val="NormalWeb"/>
        <w:rPr>
          <w:rFonts w:asciiTheme="minorHAnsi" w:hAnsiTheme="minorHAnsi"/>
          <w:sz w:val="22"/>
          <w:szCs w:val="22"/>
        </w:rPr>
      </w:pPr>
      <w:r w:rsidRPr="00177324">
        <w:rPr>
          <w:rFonts w:asciiTheme="minorHAnsi" w:hAnsiTheme="minorHAnsi"/>
          <w:sz w:val="22"/>
          <w:szCs w:val="22"/>
        </w:rPr>
        <w:t>(</w:t>
      </w:r>
      <w:r w:rsidRPr="00177324">
        <w:rPr>
          <w:rFonts w:asciiTheme="minorHAnsi" w:hAnsiTheme="minorHAnsi"/>
          <w:strike/>
          <w:sz w:val="22"/>
          <w:szCs w:val="22"/>
        </w:rPr>
        <w:t>A</w:t>
      </w:r>
      <w:r w:rsidRPr="00177324">
        <w:rPr>
          <w:rFonts w:asciiTheme="minorHAnsi" w:hAnsiTheme="minorHAnsi"/>
          <w:color w:val="FF0000"/>
          <w:sz w:val="22"/>
          <w:szCs w:val="22"/>
        </w:rPr>
        <w:t>c</w:t>
      </w:r>
      <w:r w:rsidRPr="00177324">
        <w:rPr>
          <w:rFonts w:asciiTheme="minorHAnsi" w:hAnsiTheme="minorHAnsi"/>
          <w:sz w:val="22"/>
          <w:szCs w:val="22"/>
        </w:rPr>
        <w:t>) Each value in Table 33A is effective on February 15, 2005, unless EPA has disapproved the value before that date. If a value is subsequently disapproved, any corresponding value in Table 20 becomes effective immediately. Values that are the same in Tables 20 and 33A remain in effect.</w:t>
      </w:r>
    </w:p>
    <w:p w:rsidR="001C2178" w:rsidRPr="00177324" w:rsidRDefault="001C2178" w:rsidP="001C2178">
      <w:pPr>
        <w:pStyle w:val="NormalWeb"/>
        <w:rPr>
          <w:rFonts w:asciiTheme="minorHAnsi" w:hAnsiTheme="minorHAnsi"/>
          <w:sz w:val="22"/>
          <w:szCs w:val="22"/>
        </w:rPr>
      </w:pPr>
      <w:r w:rsidRPr="00177324">
        <w:rPr>
          <w:rFonts w:asciiTheme="minorHAnsi" w:hAnsiTheme="minorHAnsi"/>
          <w:sz w:val="22"/>
          <w:szCs w:val="22"/>
        </w:rPr>
        <w:t>(</w:t>
      </w:r>
      <w:proofErr w:type="spellStart"/>
      <w:r w:rsidRPr="00177324">
        <w:rPr>
          <w:rFonts w:asciiTheme="minorHAnsi" w:hAnsiTheme="minorHAnsi"/>
          <w:strike/>
          <w:sz w:val="22"/>
          <w:szCs w:val="22"/>
        </w:rPr>
        <w:t>B</w:t>
      </w:r>
      <w:r w:rsidRPr="00177324">
        <w:rPr>
          <w:rFonts w:asciiTheme="minorHAnsi" w:hAnsiTheme="minorHAnsi"/>
          <w:color w:val="FF0000"/>
          <w:sz w:val="22"/>
          <w:szCs w:val="22"/>
        </w:rPr>
        <w:t>d</w:t>
      </w:r>
      <w:proofErr w:type="spellEnd"/>
      <w:r w:rsidRPr="00177324">
        <w:rPr>
          <w:rFonts w:asciiTheme="minorHAnsi" w:hAnsiTheme="minorHAnsi"/>
          <w:sz w:val="22"/>
          <w:szCs w:val="22"/>
        </w:rPr>
        <w:t>) Each value in Table 33B is effective upon EPA approval.</w:t>
      </w:r>
    </w:p>
    <w:p w:rsidR="001C2178" w:rsidRDefault="001C2178" w:rsidP="001C2178">
      <w:pPr>
        <w:pStyle w:val="NormalWeb"/>
        <w:rPr>
          <w:rFonts w:asciiTheme="minorHAnsi" w:hAnsiTheme="minorHAnsi"/>
          <w:sz w:val="22"/>
          <w:szCs w:val="22"/>
        </w:rPr>
      </w:pPr>
      <w:r w:rsidRPr="00177324">
        <w:rPr>
          <w:rFonts w:asciiTheme="minorHAnsi" w:hAnsiTheme="minorHAnsi"/>
          <w:sz w:val="22"/>
          <w:szCs w:val="22"/>
        </w:rPr>
        <w:t>(</w:t>
      </w:r>
      <w:proofErr w:type="gramStart"/>
      <w:r w:rsidRPr="00177324">
        <w:rPr>
          <w:rFonts w:asciiTheme="minorHAnsi" w:hAnsiTheme="minorHAnsi"/>
          <w:strike/>
          <w:sz w:val="22"/>
          <w:szCs w:val="22"/>
        </w:rPr>
        <w:t>b</w:t>
      </w:r>
      <w:r w:rsidRPr="00177324">
        <w:rPr>
          <w:rFonts w:asciiTheme="minorHAnsi" w:hAnsiTheme="minorHAnsi"/>
          <w:color w:val="FF0000"/>
          <w:sz w:val="22"/>
          <w:szCs w:val="22"/>
        </w:rPr>
        <w:t>e</w:t>
      </w:r>
      <w:proofErr w:type="gramEnd"/>
      <w:r w:rsidRPr="00177324">
        <w:rPr>
          <w:rFonts w:asciiTheme="minorHAnsi" w:hAnsiTheme="minorHAnsi"/>
          <w:sz w:val="22"/>
          <w:szCs w:val="22"/>
        </w:rPr>
        <w:t>) The department will note the effective date for each value in Tables 20, 33A, and 33B as described in this section.</w:t>
      </w:r>
    </w:p>
    <w:p w:rsidR="001C2178" w:rsidRDefault="001C2178" w:rsidP="001C2178">
      <w:pPr>
        <w:pStyle w:val="NormalWeb"/>
        <w:rPr>
          <w:rFonts w:asciiTheme="minorHAnsi" w:hAnsiTheme="minorHAnsi"/>
          <w:color w:val="FF0000"/>
          <w:sz w:val="22"/>
          <w:szCs w:val="22"/>
        </w:rPr>
      </w:pPr>
      <w:r w:rsidRPr="00177324">
        <w:rPr>
          <w:rFonts w:asciiTheme="minorHAnsi" w:hAnsiTheme="minorHAnsi"/>
          <w:color w:val="FF0000"/>
          <w:sz w:val="22"/>
          <w:szCs w:val="22"/>
        </w:rPr>
        <w:t>(4) Human Health Criteria</w:t>
      </w:r>
    </w:p>
    <w:p w:rsidR="001C2178" w:rsidRDefault="001C2178" w:rsidP="001C2178">
      <w:pPr>
        <w:pStyle w:val="NormalWeb"/>
        <w:rPr>
          <w:rFonts w:asciiTheme="minorHAnsi" w:hAnsiTheme="minorHAnsi"/>
          <w:color w:val="FF0000"/>
          <w:sz w:val="22"/>
          <w:szCs w:val="22"/>
        </w:rPr>
      </w:pPr>
      <w:r>
        <w:rPr>
          <w:rFonts w:asciiTheme="minorHAnsi" w:hAnsiTheme="minorHAnsi"/>
          <w:color w:val="FF0000"/>
          <w:sz w:val="22"/>
          <w:szCs w:val="22"/>
        </w:rPr>
        <w:t>(a) Levels of toxic substances in waters of the state may not exceed the applicable human health criteria listed in Table 40.</w:t>
      </w:r>
    </w:p>
    <w:p w:rsidR="001C2178" w:rsidRPr="00177324" w:rsidRDefault="001C2178" w:rsidP="001C2178">
      <w:pPr>
        <w:pStyle w:val="NormalWeb"/>
        <w:rPr>
          <w:rFonts w:asciiTheme="minorHAnsi" w:hAnsiTheme="minorHAnsi"/>
          <w:sz w:val="22"/>
          <w:szCs w:val="22"/>
        </w:rPr>
      </w:pPr>
      <w:r w:rsidRPr="00177324">
        <w:rPr>
          <w:rFonts w:asciiTheme="minorHAnsi" w:hAnsiTheme="minorHAnsi"/>
          <w:sz w:val="22"/>
          <w:szCs w:val="22"/>
        </w:rPr>
        <w:t>(</w:t>
      </w:r>
      <w:r w:rsidRPr="00060381">
        <w:rPr>
          <w:rFonts w:asciiTheme="minorHAnsi" w:hAnsiTheme="minorHAnsi"/>
          <w:strike/>
          <w:sz w:val="22"/>
          <w:szCs w:val="22"/>
        </w:rPr>
        <w:t>3</w:t>
      </w:r>
      <w:r w:rsidRPr="00060381">
        <w:rPr>
          <w:rFonts w:asciiTheme="minorHAnsi" w:hAnsiTheme="minorHAnsi"/>
          <w:color w:val="FF0000"/>
          <w:sz w:val="22"/>
          <w:szCs w:val="22"/>
        </w:rPr>
        <w:t>5</w:t>
      </w:r>
      <w:r w:rsidRPr="00177324">
        <w:rPr>
          <w:rFonts w:asciiTheme="minorHAnsi" w:hAnsiTheme="minorHAnsi"/>
          <w:sz w:val="22"/>
          <w:szCs w:val="22"/>
        </w:rPr>
        <w:t>)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066408" w:rsidRPr="00066408" w:rsidRDefault="00066408" w:rsidP="00066408">
      <w:pPr>
        <w:pStyle w:val="Default"/>
        <w:ind w:left="720" w:hanging="720"/>
        <w:rPr>
          <w:rFonts w:asciiTheme="minorHAnsi" w:hAnsiTheme="minorHAnsi"/>
          <w:iCs/>
          <w:color w:val="FF0000"/>
          <w:sz w:val="22"/>
          <w:szCs w:val="22"/>
        </w:rPr>
      </w:pPr>
      <w:r w:rsidRPr="00066408">
        <w:rPr>
          <w:rFonts w:asciiTheme="minorHAnsi" w:hAnsiTheme="minorHAnsi"/>
          <w:iCs/>
          <w:color w:val="FF0000"/>
          <w:sz w:val="22"/>
          <w:szCs w:val="22"/>
        </w:rPr>
        <w:t>(6)</w:t>
      </w:r>
      <w:r w:rsidRPr="00066408">
        <w:rPr>
          <w:rFonts w:asciiTheme="minorHAnsi" w:hAnsiTheme="minorHAnsi"/>
          <w:iCs/>
          <w:color w:val="FF0000"/>
          <w:sz w:val="22"/>
          <w:szCs w:val="22"/>
        </w:rPr>
        <w:tab/>
        <w:t xml:space="preserve">An increase of 3% or less in the background pollutant concentration of a water body that approaches or exceeds an applicable human health criterion for a carcinogen does not result in a significant change in human health protection and may be allowed under the conditions established in subsection (b) of this section.  </w:t>
      </w:r>
    </w:p>
    <w:p w:rsidR="00066408" w:rsidRPr="00066408" w:rsidRDefault="00066408" w:rsidP="00066408">
      <w:pPr>
        <w:pStyle w:val="Default"/>
        <w:ind w:left="720" w:hanging="720"/>
        <w:rPr>
          <w:rFonts w:asciiTheme="minorHAnsi" w:hAnsiTheme="minorHAnsi"/>
          <w:iCs/>
          <w:color w:val="FF0000"/>
          <w:sz w:val="22"/>
          <w:szCs w:val="22"/>
        </w:rPr>
      </w:pPr>
    </w:p>
    <w:p w:rsidR="00066408" w:rsidRPr="00066408" w:rsidRDefault="00066408" w:rsidP="00066408">
      <w:pPr>
        <w:pStyle w:val="Default"/>
        <w:ind w:left="1440" w:hanging="720"/>
        <w:rPr>
          <w:rFonts w:asciiTheme="minorHAnsi" w:hAnsiTheme="minorHAnsi"/>
          <w:iCs/>
          <w:color w:val="FF0000"/>
          <w:sz w:val="22"/>
          <w:szCs w:val="22"/>
        </w:rPr>
      </w:pPr>
      <w:r w:rsidRPr="00066408">
        <w:rPr>
          <w:rFonts w:asciiTheme="minorHAnsi" w:hAnsiTheme="minorHAnsi"/>
          <w:iCs/>
          <w:color w:val="FF0000"/>
          <w:sz w:val="22"/>
          <w:szCs w:val="22"/>
        </w:rPr>
        <w:t>(a)</w:t>
      </w:r>
      <w:r w:rsidRPr="00066408">
        <w:rPr>
          <w:rFonts w:asciiTheme="minorHAnsi" w:hAnsiTheme="minorHAnsi"/>
          <w:iCs/>
          <w:color w:val="FF0000"/>
          <w:sz w:val="22"/>
          <w:szCs w:val="22"/>
        </w:rPr>
        <w:tab/>
        <w:t xml:space="preserve">Definitions:  For the purpose of this section: </w:t>
      </w:r>
    </w:p>
    <w:p w:rsidR="00066408" w:rsidRPr="00066408" w:rsidRDefault="00066408" w:rsidP="00066408">
      <w:pPr>
        <w:pStyle w:val="Default"/>
        <w:ind w:left="1440" w:hanging="720"/>
        <w:rPr>
          <w:rFonts w:asciiTheme="minorHAnsi" w:hAnsiTheme="minorHAnsi"/>
          <w:iCs/>
          <w:color w:val="FF0000"/>
          <w:sz w:val="22"/>
          <w:szCs w:val="22"/>
        </w:rPr>
      </w:pPr>
    </w:p>
    <w:p w:rsidR="00066408" w:rsidRPr="00066408" w:rsidRDefault="00066408" w:rsidP="00066408">
      <w:pPr>
        <w:pStyle w:val="Default"/>
        <w:ind w:left="1440"/>
        <w:rPr>
          <w:rFonts w:asciiTheme="minorHAnsi" w:hAnsiTheme="minorHAnsi"/>
          <w:iCs/>
          <w:color w:val="FF0000"/>
          <w:sz w:val="22"/>
          <w:szCs w:val="22"/>
        </w:rPr>
      </w:pPr>
      <w:r w:rsidRPr="00066408">
        <w:rPr>
          <w:rFonts w:asciiTheme="minorHAnsi" w:hAnsiTheme="minorHAnsi"/>
          <w:iCs/>
          <w:color w:val="FF0000"/>
          <w:sz w:val="22"/>
          <w:szCs w:val="22"/>
        </w:rPr>
        <w:t>(A) “Background pollutant concentration” means the ambient water body concentration immediately upstream of the discharge, regardless of whether those pollutants are natural or result from upstream human activity.</w:t>
      </w:r>
    </w:p>
    <w:p w:rsidR="00066408" w:rsidRPr="00066408" w:rsidRDefault="00066408" w:rsidP="00066408">
      <w:pPr>
        <w:pStyle w:val="Default"/>
        <w:ind w:left="1440"/>
        <w:rPr>
          <w:rFonts w:asciiTheme="minorHAnsi" w:hAnsiTheme="minorHAnsi"/>
          <w:iCs/>
          <w:color w:val="FF0000"/>
          <w:sz w:val="22"/>
          <w:szCs w:val="22"/>
        </w:rPr>
      </w:pPr>
    </w:p>
    <w:p w:rsidR="00066408" w:rsidRPr="00066408" w:rsidRDefault="00066408" w:rsidP="00066408">
      <w:pPr>
        <w:pStyle w:val="Default"/>
        <w:ind w:left="1440"/>
        <w:rPr>
          <w:rFonts w:asciiTheme="minorHAnsi" w:hAnsiTheme="minorHAnsi"/>
          <w:iCs/>
          <w:color w:val="FF0000"/>
          <w:sz w:val="22"/>
          <w:szCs w:val="22"/>
        </w:rPr>
      </w:pPr>
      <w:r w:rsidRPr="00066408">
        <w:rPr>
          <w:rFonts w:asciiTheme="minorHAnsi" w:hAnsiTheme="minorHAnsi"/>
          <w:iCs/>
          <w:color w:val="FF0000"/>
          <w:sz w:val="22"/>
          <w:szCs w:val="22"/>
        </w:rPr>
        <w:t xml:space="preserve">(B)  “Approaches or exceeds an applicable human health criterion” means that the background pollutant concentration is equal to or greater than the applicable numeric criterion or would equal or exceed the criterion if it increased by 3%. </w:t>
      </w:r>
    </w:p>
    <w:p w:rsidR="00066408" w:rsidRPr="00066408" w:rsidRDefault="00066408" w:rsidP="00066408">
      <w:pPr>
        <w:pStyle w:val="Default"/>
        <w:ind w:left="1440"/>
        <w:rPr>
          <w:rFonts w:asciiTheme="minorHAnsi" w:hAnsiTheme="minorHAnsi"/>
          <w:iCs/>
          <w:color w:val="FF0000"/>
          <w:sz w:val="22"/>
          <w:szCs w:val="22"/>
        </w:rPr>
      </w:pPr>
    </w:p>
    <w:p w:rsidR="00066408" w:rsidRPr="00066408" w:rsidRDefault="00066408" w:rsidP="00066408">
      <w:pPr>
        <w:pStyle w:val="Default"/>
        <w:ind w:left="1440"/>
        <w:rPr>
          <w:rFonts w:asciiTheme="minorHAnsi" w:hAnsiTheme="minorHAnsi"/>
          <w:iCs/>
          <w:color w:val="FF0000"/>
          <w:sz w:val="22"/>
          <w:szCs w:val="22"/>
        </w:rPr>
      </w:pPr>
      <w:r w:rsidRPr="00066408">
        <w:rPr>
          <w:rFonts w:asciiTheme="minorHAnsi" w:hAnsiTheme="minorHAnsi"/>
          <w:iCs/>
          <w:color w:val="FF0000"/>
          <w:sz w:val="22"/>
          <w:szCs w:val="22"/>
        </w:rPr>
        <w:t xml:space="preserve">(C) The mass of pollutant in the facility’s intake water is from the “same water body” if it is taken into the facility from the receiving water body or a </w:t>
      </w:r>
      <w:proofErr w:type="spellStart"/>
      <w:r w:rsidRPr="00066408">
        <w:rPr>
          <w:rFonts w:asciiTheme="minorHAnsi" w:hAnsiTheme="minorHAnsi"/>
          <w:iCs/>
          <w:color w:val="FF0000"/>
          <w:sz w:val="22"/>
          <w:szCs w:val="22"/>
        </w:rPr>
        <w:t>hydrologically</w:t>
      </w:r>
      <w:proofErr w:type="spellEnd"/>
      <w:r w:rsidRPr="00066408">
        <w:rPr>
          <w:rFonts w:asciiTheme="minorHAnsi" w:hAnsiTheme="minorHAnsi"/>
          <w:iCs/>
          <w:color w:val="FF0000"/>
          <w:sz w:val="22"/>
          <w:szCs w:val="22"/>
        </w:rPr>
        <w:t xml:space="preserve"> connected water such that the intake pollutant would have reached the vicinity of the outfall in the receiving water within a reasonable period had it not been removed by the </w:t>
      </w:r>
      <w:proofErr w:type="spellStart"/>
      <w:r w:rsidRPr="00066408">
        <w:rPr>
          <w:rFonts w:asciiTheme="minorHAnsi" w:hAnsiTheme="minorHAnsi"/>
          <w:iCs/>
          <w:color w:val="FF0000"/>
          <w:sz w:val="22"/>
          <w:szCs w:val="22"/>
        </w:rPr>
        <w:t>permittee</w:t>
      </w:r>
      <w:proofErr w:type="spellEnd"/>
      <w:r w:rsidRPr="00066408">
        <w:rPr>
          <w:rFonts w:asciiTheme="minorHAnsi" w:hAnsiTheme="minorHAnsi"/>
          <w:iCs/>
          <w:color w:val="FF0000"/>
          <w:sz w:val="22"/>
          <w:szCs w:val="22"/>
        </w:rPr>
        <w:t>.  This definition is intended to be the same as and is further explained in the ‘intake credits” rule in OAR 340-045-105.</w:t>
      </w:r>
    </w:p>
    <w:p w:rsidR="00066408" w:rsidRPr="00066408" w:rsidRDefault="00066408" w:rsidP="00066408">
      <w:pPr>
        <w:pStyle w:val="Default"/>
        <w:rPr>
          <w:rFonts w:asciiTheme="minorHAnsi" w:hAnsiTheme="minorHAnsi"/>
          <w:iCs/>
          <w:color w:val="FF0000"/>
          <w:sz w:val="22"/>
          <w:szCs w:val="22"/>
        </w:rPr>
      </w:pPr>
    </w:p>
    <w:p w:rsidR="00066408" w:rsidRPr="00066408" w:rsidRDefault="00066408" w:rsidP="00066408">
      <w:pPr>
        <w:pStyle w:val="Default"/>
        <w:ind w:left="1440" w:hanging="720"/>
        <w:rPr>
          <w:rFonts w:asciiTheme="minorHAnsi" w:hAnsiTheme="minorHAnsi"/>
          <w:iCs/>
          <w:color w:val="FF0000"/>
          <w:sz w:val="22"/>
          <w:szCs w:val="22"/>
        </w:rPr>
      </w:pPr>
      <w:r w:rsidRPr="00066408">
        <w:rPr>
          <w:rFonts w:asciiTheme="minorHAnsi" w:hAnsiTheme="minorHAnsi"/>
          <w:iCs/>
          <w:color w:val="FF0000"/>
          <w:sz w:val="22"/>
          <w:szCs w:val="22"/>
        </w:rPr>
        <w:t>(b)</w:t>
      </w:r>
      <w:r w:rsidRPr="00066408">
        <w:rPr>
          <w:rFonts w:asciiTheme="minorHAnsi" w:hAnsiTheme="minorHAnsi"/>
          <w:iCs/>
          <w:color w:val="FF0000"/>
          <w:sz w:val="22"/>
          <w:szCs w:val="22"/>
        </w:rPr>
        <w:tab/>
        <w:t>Conditions for a background pollutant allowance:</w:t>
      </w:r>
    </w:p>
    <w:p w:rsidR="00066408" w:rsidRPr="00066408" w:rsidRDefault="00066408" w:rsidP="00066408">
      <w:pPr>
        <w:pStyle w:val="Default"/>
        <w:ind w:left="1440" w:hanging="720"/>
        <w:rPr>
          <w:rFonts w:asciiTheme="minorHAnsi" w:hAnsiTheme="minorHAnsi"/>
          <w:iCs/>
          <w:color w:val="FF0000"/>
          <w:sz w:val="22"/>
          <w:szCs w:val="22"/>
        </w:rPr>
      </w:pPr>
    </w:p>
    <w:p w:rsidR="00066408" w:rsidRPr="00066408" w:rsidRDefault="00066408" w:rsidP="00066408">
      <w:pPr>
        <w:pStyle w:val="Default"/>
        <w:ind w:left="1440"/>
        <w:rPr>
          <w:rFonts w:asciiTheme="minorHAnsi" w:hAnsiTheme="minorHAnsi"/>
          <w:iCs/>
          <w:color w:val="FF0000"/>
          <w:sz w:val="22"/>
          <w:szCs w:val="22"/>
        </w:rPr>
      </w:pPr>
      <w:r w:rsidRPr="00066408">
        <w:rPr>
          <w:rFonts w:asciiTheme="minorHAnsi" w:hAnsiTheme="minorHAnsi"/>
          <w:iCs/>
          <w:color w:val="FF0000"/>
          <w:sz w:val="22"/>
          <w:szCs w:val="22"/>
        </w:rPr>
        <w:t xml:space="preserve">(A) The mass of the pollutant in the discharge does not exceed the mass of the pollutant in the facility's intake water taken from the same water body that receives the discharge and, therefore, does not increase the mass load of the pollutant in the receiving water body.   </w:t>
      </w:r>
    </w:p>
    <w:p w:rsidR="00066408" w:rsidRPr="00066408" w:rsidRDefault="00066408" w:rsidP="00066408">
      <w:pPr>
        <w:pStyle w:val="Default"/>
        <w:rPr>
          <w:rFonts w:asciiTheme="minorHAnsi" w:hAnsiTheme="minorHAnsi"/>
          <w:iCs/>
          <w:color w:val="FF0000"/>
          <w:sz w:val="22"/>
          <w:szCs w:val="22"/>
        </w:rPr>
      </w:pPr>
    </w:p>
    <w:p w:rsidR="00066408" w:rsidRPr="00066408" w:rsidRDefault="00066408" w:rsidP="00066408">
      <w:pPr>
        <w:pStyle w:val="Default"/>
        <w:ind w:left="1440"/>
        <w:rPr>
          <w:rFonts w:asciiTheme="minorHAnsi" w:hAnsiTheme="minorHAnsi"/>
          <w:iCs/>
          <w:color w:val="FF0000"/>
          <w:sz w:val="22"/>
          <w:szCs w:val="22"/>
        </w:rPr>
      </w:pPr>
      <w:r w:rsidRPr="00066408">
        <w:rPr>
          <w:rFonts w:asciiTheme="minorHAnsi" w:hAnsiTheme="minorHAnsi"/>
          <w:iCs/>
          <w:color w:val="FF0000"/>
          <w:sz w:val="22"/>
          <w:szCs w:val="22"/>
        </w:rPr>
        <w:t xml:space="preserve">(B) The 3% increase above the background pollutant concentration is calculated: </w:t>
      </w:r>
    </w:p>
    <w:p w:rsidR="00066408" w:rsidRPr="00066408" w:rsidRDefault="00066408" w:rsidP="00066408">
      <w:pPr>
        <w:pStyle w:val="Default"/>
        <w:ind w:left="2880" w:hanging="720"/>
        <w:rPr>
          <w:rFonts w:asciiTheme="minorHAnsi" w:hAnsiTheme="minorHAnsi"/>
          <w:iCs/>
          <w:color w:val="FF0000"/>
          <w:sz w:val="22"/>
          <w:szCs w:val="22"/>
        </w:rPr>
      </w:pPr>
      <w:r w:rsidRPr="00066408">
        <w:rPr>
          <w:rFonts w:asciiTheme="minorHAnsi" w:hAnsiTheme="minorHAnsi"/>
          <w:iCs/>
          <w:color w:val="FF0000"/>
          <w:sz w:val="22"/>
          <w:szCs w:val="22"/>
        </w:rPr>
        <w:t>(</w:t>
      </w:r>
      <w:proofErr w:type="spellStart"/>
      <w:r w:rsidRPr="00066408">
        <w:rPr>
          <w:rFonts w:asciiTheme="minorHAnsi" w:hAnsiTheme="minorHAnsi"/>
          <w:iCs/>
          <w:color w:val="FF0000"/>
          <w:sz w:val="22"/>
          <w:szCs w:val="22"/>
        </w:rPr>
        <w:t>i</w:t>
      </w:r>
      <w:proofErr w:type="spellEnd"/>
      <w:r w:rsidRPr="00066408">
        <w:rPr>
          <w:rFonts w:asciiTheme="minorHAnsi" w:hAnsiTheme="minorHAnsi"/>
          <w:iCs/>
          <w:color w:val="FF0000"/>
          <w:sz w:val="22"/>
          <w:szCs w:val="22"/>
        </w:rPr>
        <w:t>)</w:t>
      </w:r>
      <w:r w:rsidRPr="00066408">
        <w:rPr>
          <w:rFonts w:asciiTheme="minorHAnsi" w:hAnsiTheme="minorHAnsi"/>
          <w:iCs/>
          <w:color w:val="FF0000"/>
          <w:sz w:val="22"/>
          <w:szCs w:val="22"/>
        </w:rPr>
        <w:tab/>
        <w:t xml:space="preserve">For the Willamette and Columbia Rivers, using 25% of the harmonic mean flow of the water body. </w:t>
      </w:r>
    </w:p>
    <w:p w:rsidR="00066408" w:rsidRPr="00066408" w:rsidRDefault="00066408" w:rsidP="00066408">
      <w:pPr>
        <w:pStyle w:val="Default"/>
        <w:ind w:left="2880" w:hanging="720"/>
        <w:rPr>
          <w:rFonts w:asciiTheme="minorHAnsi" w:hAnsiTheme="minorHAnsi"/>
          <w:iCs/>
          <w:color w:val="FF0000"/>
          <w:sz w:val="22"/>
          <w:szCs w:val="22"/>
        </w:rPr>
      </w:pPr>
      <w:r w:rsidRPr="00066408">
        <w:rPr>
          <w:rFonts w:asciiTheme="minorHAnsi" w:hAnsiTheme="minorHAnsi"/>
          <w:iCs/>
          <w:color w:val="FF0000"/>
          <w:sz w:val="22"/>
          <w:szCs w:val="22"/>
        </w:rPr>
        <w:t>(ii)</w:t>
      </w:r>
      <w:r w:rsidRPr="00066408">
        <w:rPr>
          <w:rFonts w:asciiTheme="minorHAnsi" w:hAnsiTheme="minorHAnsi"/>
          <w:iCs/>
          <w:color w:val="FF0000"/>
          <w:sz w:val="22"/>
          <w:szCs w:val="22"/>
        </w:rPr>
        <w:tab/>
        <w:t>For all other waters, using 100% of the harmonic mean flow of the water body.</w:t>
      </w:r>
    </w:p>
    <w:p w:rsidR="00066408" w:rsidRPr="00066408" w:rsidRDefault="00066408" w:rsidP="00066408">
      <w:pPr>
        <w:pStyle w:val="Default"/>
        <w:ind w:left="1440" w:hanging="720"/>
        <w:rPr>
          <w:rFonts w:asciiTheme="minorHAnsi" w:hAnsiTheme="minorHAnsi"/>
          <w:iCs/>
          <w:color w:val="FF0000"/>
          <w:sz w:val="22"/>
          <w:szCs w:val="22"/>
        </w:rPr>
      </w:pPr>
      <w:r w:rsidRPr="00066408">
        <w:rPr>
          <w:rFonts w:asciiTheme="minorHAnsi" w:hAnsiTheme="minorHAnsi"/>
          <w:iCs/>
          <w:color w:val="FF0000"/>
          <w:sz w:val="22"/>
          <w:szCs w:val="22"/>
        </w:rPr>
        <w:tab/>
      </w:r>
    </w:p>
    <w:p w:rsidR="00066408" w:rsidRPr="00066408" w:rsidRDefault="00066408" w:rsidP="00066408">
      <w:pPr>
        <w:pStyle w:val="Default"/>
        <w:ind w:left="1440"/>
        <w:rPr>
          <w:rFonts w:asciiTheme="minorHAnsi" w:hAnsiTheme="minorHAnsi"/>
          <w:iCs/>
          <w:color w:val="FF0000"/>
          <w:sz w:val="22"/>
          <w:szCs w:val="22"/>
        </w:rPr>
      </w:pPr>
      <w:r w:rsidRPr="00066408">
        <w:rPr>
          <w:rFonts w:asciiTheme="minorHAnsi" w:hAnsiTheme="minorHAnsi"/>
          <w:iCs/>
          <w:color w:val="FF0000"/>
          <w:sz w:val="22"/>
          <w:szCs w:val="22"/>
        </w:rPr>
        <w:t>(C) The background pollutant concentration is less than 97% of the value that represents a 1×10</w:t>
      </w:r>
      <w:r w:rsidRPr="00066408">
        <w:rPr>
          <w:rFonts w:asciiTheme="minorHAnsi" w:hAnsiTheme="minorHAnsi"/>
          <w:iCs/>
          <w:color w:val="FF0000"/>
          <w:sz w:val="22"/>
          <w:szCs w:val="22"/>
          <w:vertAlign w:val="superscript"/>
        </w:rPr>
        <w:t>-4</w:t>
      </w:r>
      <w:r w:rsidRPr="00066408">
        <w:rPr>
          <w:rFonts w:asciiTheme="minorHAnsi" w:hAnsiTheme="minorHAnsi"/>
          <w:iCs/>
          <w:color w:val="FF0000"/>
          <w:sz w:val="22"/>
          <w:szCs w:val="22"/>
        </w:rPr>
        <w:t xml:space="preserve"> human health risk level.  This value is calculated using EPA’s human health criteria derivation equation for carcinogens (EPA 2000). </w:t>
      </w:r>
    </w:p>
    <w:p w:rsidR="00066408" w:rsidRPr="00066408" w:rsidRDefault="00066408" w:rsidP="00066408">
      <w:pPr>
        <w:spacing w:after="0" w:line="240" w:lineRule="auto"/>
        <w:ind w:left="1440" w:hanging="720"/>
        <w:rPr>
          <w:iCs/>
          <w:color w:val="FF0000"/>
        </w:rPr>
      </w:pPr>
      <w:r w:rsidRPr="00066408">
        <w:rPr>
          <w:iCs/>
          <w:color w:val="FF0000"/>
        </w:rPr>
        <w:t xml:space="preserve"> </w:t>
      </w:r>
      <w:r w:rsidRPr="00066408">
        <w:rPr>
          <w:iCs/>
          <w:color w:val="FF0000"/>
        </w:rPr>
        <w:tab/>
      </w:r>
    </w:p>
    <w:p w:rsidR="00066408" w:rsidRPr="00066408" w:rsidRDefault="00066408" w:rsidP="00066408">
      <w:pPr>
        <w:spacing w:after="0" w:line="240" w:lineRule="auto"/>
        <w:ind w:left="720"/>
        <w:rPr>
          <w:iCs/>
          <w:color w:val="FF0000"/>
        </w:rPr>
      </w:pPr>
      <w:r w:rsidRPr="00066408">
        <w:rPr>
          <w:iCs/>
          <w:color w:val="FF0000"/>
        </w:rPr>
        <w:t>(c) The Department may require the discharger to use any technologically and economically feasible pollutant reduction measures that are known to be available to prevent or minimize a pollutant concentration increase in the receiving water body, provided that the measures do not have adverse environmental effects that outweigh the benefits of the reduction in pollutant concentration.</w:t>
      </w:r>
    </w:p>
    <w:p w:rsidR="0037280B" w:rsidRDefault="0037280B" w:rsidP="0037280B"/>
    <w:p w:rsidR="001C2178" w:rsidRPr="00177324" w:rsidRDefault="001C2178" w:rsidP="001C2178">
      <w:pPr>
        <w:pStyle w:val="NormalWeb"/>
        <w:rPr>
          <w:rFonts w:asciiTheme="minorHAnsi" w:hAnsiTheme="minorHAnsi"/>
          <w:sz w:val="22"/>
          <w:szCs w:val="22"/>
        </w:rPr>
      </w:pPr>
      <w:r w:rsidRPr="00177324">
        <w:rPr>
          <w:rFonts w:asciiTheme="minorHAnsi" w:hAnsiTheme="minorHAnsi"/>
          <w:sz w:val="22"/>
          <w:szCs w:val="22"/>
        </w:rPr>
        <w:t>Stat. Auth.: ORS 468.020, 468B.030, 468B.035 &amp; 468B.048</w:t>
      </w:r>
      <w:r w:rsidRPr="00177324">
        <w:rPr>
          <w:rFonts w:asciiTheme="minorHAnsi" w:hAnsiTheme="minorHAnsi"/>
          <w:sz w:val="22"/>
          <w:szCs w:val="22"/>
        </w:rPr>
        <w:br/>
        <w:t>Stats. Implemented: ORS 468B.030, 468B.035 &amp; 468B.048</w:t>
      </w:r>
      <w:r w:rsidRPr="00177324">
        <w:rPr>
          <w:rFonts w:asciiTheme="minorHAnsi" w:hAnsiTheme="minorHAnsi"/>
          <w:sz w:val="22"/>
          <w:szCs w:val="22"/>
        </w:rPr>
        <w:br/>
        <w:t xml:space="preserve">Hist.: DEQ 17-2003, f. &amp; cert. </w:t>
      </w:r>
      <w:proofErr w:type="spellStart"/>
      <w:r w:rsidRPr="00177324">
        <w:rPr>
          <w:rFonts w:asciiTheme="minorHAnsi" w:hAnsiTheme="minorHAnsi"/>
          <w:sz w:val="22"/>
          <w:szCs w:val="22"/>
        </w:rPr>
        <w:t>ef</w:t>
      </w:r>
      <w:proofErr w:type="spellEnd"/>
      <w:r w:rsidRPr="00177324">
        <w:rPr>
          <w:rFonts w:asciiTheme="minorHAnsi" w:hAnsiTheme="minorHAnsi"/>
          <w:sz w:val="22"/>
          <w:szCs w:val="22"/>
        </w:rPr>
        <w:t xml:space="preserve">. </w:t>
      </w:r>
      <w:proofErr w:type="gramStart"/>
      <w:r w:rsidRPr="00177324">
        <w:rPr>
          <w:rFonts w:asciiTheme="minorHAnsi" w:hAnsiTheme="minorHAnsi"/>
          <w:sz w:val="22"/>
          <w:szCs w:val="22"/>
        </w:rPr>
        <w:t xml:space="preserve">12-9-03; DEQ 3-2004, f. &amp; cert. </w:t>
      </w:r>
      <w:proofErr w:type="spellStart"/>
      <w:r w:rsidRPr="00177324">
        <w:rPr>
          <w:rFonts w:asciiTheme="minorHAnsi" w:hAnsiTheme="minorHAnsi"/>
          <w:sz w:val="22"/>
          <w:szCs w:val="22"/>
        </w:rPr>
        <w:t>ef</w:t>
      </w:r>
      <w:proofErr w:type="spellEnd"/>
      <w:r w:rsidRPr="00177324">
        <w:rPr>
          <w:rFonts w:asciiTheme="minorHAnsi" w:hAnsiTheme="minorHAnsi"/>
          <w:sz w:val="22"/>
          <w:szCs w:val="22"/>
        </w:rPr>
        <w:t>.</w:t>
      </w:r>
      <w:proofErr w:type="gramEnd"/>
      <w:r w:rsidRPr="00177324">
        <w:rPr>
          <w:rFonts w:asciiTheme="minorHAnsi" w:hAnsiTheme="minorHAnsi"/>
          <w:sz w:val="22"/>
          <w:szCs w:val="22"/>
        </w:rPr>
        <w:t xml:space="preserve"> 5-28-04</w:t>
      </w:r>
    </w:p>
    <w:p w:rsidR="001C2178" w:rsidRDefault="001C2178" w:rsidP="0037280B"/>
    <w:p w:rsidR="004C717E" w:rsidRDefault="004C717E" w:rsidP="0037280B">
      <w:pPr>
        <w:pStyle w:val="NormalWeb"/>
        <w:rPr>
          <w:rFonts w:asciiTheme="minorHAnsi" w:hAnsiTheme="minorHAnsi"/>
          <w:b/>
          <w:bCs/>
          <w:color w:val="FF0000"/>
          <w:sz w:val="22"/>
          <w:szCs w:val="22"/>
        </w:rPr>
      </w:pPr>
    </w:p>
    <w:p w:rsidR="004C717E" w:rsidRDefault="004C717E" w:rsidP="0037280B">
      <w:pPr>
        <w:pStyle w:val="NormalWeb"/>
        <w:rPr>
          <w:rFonts w:asciiTheme="minorHAnsi" w:hAnsiTheme="minorHAnsi"/>
          <w:b/>
          <w:bCs/>
          <w:color w:val="FF0000"/>
          <w:sz w:val="22"/>
          <w:szCs w:val="22"/>
        </w:rPr>
      </w:pPr>
    </w:p>
    <w:p w:rsidR="004C717E" w:rsidRPr="0016296C" w:rsidRDefault="002C174D" w:rsidP="0016296C">
      <w:pPr>
        <w:rPr>
          <w:rFonts w:asciiTheme="minorHAnsi" w:eastAsia="Times New Roman" w:hAnsiTheme="minorHAnsi"/>
          <w:b/>
          <w:bCs/>
          <w:color w:val="FF0000"/>
        </w:rPr>
      </w:pPr>
      <w:r>
        <w:rPr>
          <w:rFonts w:asciiTheme="minorHAnsi" w:hAnsiTheme="minorHAnsi"/>
          <w:b/>
          <w:bCs/>
          <w:color w:val="FF0000"/>
        </w:rPr>
        <w:br w:type="page"/>
      </w:r>
      <w:r w:rsidR="0037280B" w:rsidRPr="0018613F">
        <w:rPr>
          <w:rFonts w:asciiTheme="minorHAnsi" w:hAnsiTheme="minorHAnsi"/>
          <w:b/>
          <w:bCs/>
          <w:color w:val="FF0000"/>
        </w:rPr>
        <w:t>OAR 340-041-0059</w:t>
      </w:r>
      <w:r w:rsidR="004C717E">
        <w:rPr>
          <w:rFonts w:asciiTheme="minorHAnsi" w:hAnsiTheme="minorHAnsi"/>
          <w:b/>
          <w:bCs/>
          <w:color w:val="FF0000"/>
        </w:rPr>
        <w:t xml:space="preserve"> </w:t>
      </w:r>
      <w:r w:rsidR="004C717E" w:rsidRPr="004C717E">
        <w:rPr>
          <w:rFonts w:asciiTheme="minorHAnsi" w:hAnsiTheme="minorHAnsi"/>
          <w:bCs/>
        </w:rPr>
        <w:t>[</w:t>
      </w:r>
      <w:r w:rsidR="0016296C">
        <w:rPr>
          <w:rFonts w:asciiTheme="minorHAnsi" w:hAnsiTheme="minorHAnsi"/>
          <w:bCs/>
        </w:rPr>
        <w:t>DEQ proposes to amend</w:t>
      </w:r>
      <w:r w:rsidR="004C717E">
        <w:rPr>
          <w:rFonts w:asciiTheme="minorHAnsi" w:hAnsiTheme="minorHAnsi"/>
          <w:bCs/>
        </w:rPr>
        <w:t xml:space="preserve"> the existing variance provision at OAR 340-041-0061(2) with a new provision at OAR 340-041-0059.]</w:t>
      </w:r>
    </w:p>
    <w:p w:rsidR="0037280B" w:rsidRPr="0018613F" w:rsidRDefault="0037280B" w:rsidP="0037280B">
      <w:pPr>
        <w:pStyle w:val="NormalWeb"/>
        <w:rPr>
          <w:rFonts w:asciiTheme="minorHAnsi" w:hAnsiTheme="minorHAnsi"/>
          <w:color w:val="FF0000"/>
          <w:sz w:val="22"/>
          <w:szCs w:val="22"/>
        </w:rPr>
      </w:pPr>
      <w:r w:rsidRPr="0018613F">
        <w:rPr>
          <w:rFonts w:asciiTheme="minorHAnsi" w:hAnsiTheme="minorHAnsi"/>
          <w:b/>
          <w:bCs/>
          <w:color w:val="FF0000"/>
          <w:sz w:val="22"/>
          <w:szCs w:val="22"/>
        </w:rPr>
        <w:t xml:space="preserve">Variances </w:t>
      </w:r>
    </w:p>
    <w:p w:rsidR="0037280B" w:rsidRPr="004C717E" w:rsidRDefault="0016296C" w:rsidP="0037280B">
      <w:pPr>
        <w:pStyle w:val="NormalWeb"/>
        <w:rPr>
          <w:rFonts w:asciiTheme="minorHAnsi" w:hAnsiTheme="minorHAnsi"/>
          <w:color w:val="FF0000"/>
          <w:sz w:val="22"/>
          <w:szCs w:val="22"/>
        </w:rPr>
      </w:pPr>
      <w:r>
        <w:rPr>
          <w:rFonts w:asciiTheme="minorHAnsi" w:hAnsiTheme="minorHAnsi"/>
          <w:color w:val="FF0000"/>
          <w:sz w:val="22"/>
          <w:szCs w:val="22"/>
        </w:rPr>
        <w:t xml:space="preserve"> </w:t>
      </w:r>
      <w:r w:rsidR="0037280B" w:rsidRPr="004C717E">
        <w:rPr>
          <w:rFonts w:asciiTheme="minorHAnsi" w:hAnsiTheme="minorHAnsi"/>
          <w:color w:val="FF0000"/>
          <w:sz w:val="22"/>
          <w:szCs w:val="22"/>
        </w:rPr>
        <w:t>(1) Applicability.   Subject to the requirements and limitations set out in sections (2) through (8) below, a point source may request a variance.  If the variance is issued, the criteria in the variance will be used in lieu of the underlying water quality standard to determine permit limits.  The director of the department will determine whether to issue a variance for a source covered by an existing NPDES permit.  The commission will determine whether to issue a variance for a discharger that does not have a currently effective NPDES permit.</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(a) The variance applies only to the specified point source permit and pollutant(s); the underlying water quality standard(s) otherwise remains in effect.</w:t>
      </w:r>
    </w:p>
    <w:p w:rsidR="0037280B" w:rsidRPr="004C717E" w:rsidRDefault="0037280B" w:rsidP="0037280B">
      <w:pPr>
        <w:pStyle w:val="NormalWeb"/>
        <w:ind w:firstLine="720"/>
        <w:rPr>
          <w:rFonts w:asciiTheme="minorHAnsi" w:hAnsiTheme="minorHAnsi"/>
          <w:color w:val="FF0000"/>
          <w:sz w:val="22"/>
          <w:szCs w:val="22"/>
        </w:rPr>
      </w:pPr>
      <w:r w:rsidRPr="004C717E">
        <w:rPr>
          <w:rFonts w:asciiTheme="minorHAnsi" w:hAnsiTheme="minorHAnsi"/>
          <w:color w:val="FF0000"/>
          <w:sz w:val="22"/>
          <w:szCs w:val="22"/>
        </w:rPr>
        <w:t>(b) A variance may not be granted if:</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(A) The effluent limit sufficient to meet the underlying water quality standard can be attained by implementing technology-based effluent limits required under sections 301(b) and 306 of the federal Clean Water Act, and by implementing cost-effective and reasonable best management practices for nonpoint sources under the control of the discharger; or</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(B) The variance would likely jeopardize the continued existence of any threatened or endangered species listed under section 4 of the Endangered Species Act or result in the destruction or adverse modification of such species' critical habitat; or</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(C) The conditions allowed by the variance would result in an unreasonable risk to human health; or</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(D) A point source does not have a currently effective NPDES permit, unless the variance is necessary to:</w:t>
      </w:r>
    </w:p>
    <w:p w:rsidR="0037280B" w:rsidRPr="004C717E" w:rsidRDefault="0037280B" w:rsidP="0037280B">
      <w:pPr>
        <w:pStyle w:val="NormalWeb"/>
        <w:numPr>
          <w:ilvl w:val="0"/>
          <w:numId w:val="1"/>
        </w:numPr>
        <w:rPr>
          <w:rFonts w:asciiTheme="minorHAnsi" w:hAnsiTheme="minorHAnsi"/>
          <w:color w:val="FF0000"/>
          <w:sz w:val="22"/>
          <w:szCs w:val="22"/>
        </w:rPr>
      </w:pPr>
      <w:r w:rsidRPr="004C717E">
        <w:rPr>
          <w:rFonts w:asciiTheme="minorHAnsi" w:hAnsiTheme="minorHAnsi"/>
          <w:color w:val="FF0000"/>
          <w:sz w:val="22"/>
          <w:szCs w:val="22"/>
        </w:rPr>
        <w:t xml:space="preserve">prevent or mitigate a threat to public health or welfare; </w:t>
      </w:r>
    </w:p>
    <w:p w:rsidR="0037280B" w:rsidRPr="004C717E" w:rsidRDefault="0037280B" w:rsidP="0037280B">
      <w:pPr>
        <w:pStyle w:val="NormalWeb"/>
        <w:numPr>
          <w:ilvl w:val="0"/>
          <w:numId w:val="1"/>
        </w:numPr>
        <w:rPr>
          <w:rFonts w:asciiTheme="minorHAnsi" w:hAnsiTheme="minorHAnsi"/>
          <w:color w:val="FF0000"/>
          <w:sz w:val="22"/>
          <w:szCs w:val="22"/>
        </w:rPr>
      </w:pPr>
      <w:r w:rsidRPr="004C717E">
        <w:rPr>
          <w:rFonts w:asciiTheme="minorHAnsi" w:hAnsiTheme="minorHAnsi"/>
          <w:color w:val="FF0000"/>
          <w:sz w:val="22"/>
          <w:szCs w:val="22"/>
        </w:rPr>
        <w:t xml:space="preserve">allow a water quality or habitat restoration project that may cause short term water quality standards </w:t>
      </w:r>
      <w:proofErr w:type="spellStart"/>
      <w:r w:rsidRPr="004C717E">
        <w:rPr>
          <w:rFonts w:asciiTheme="minorHAnsi" w:hAnsiTheme="minorHAnsi"/>
          <w:color w:val="FF0000"/>
          <w:sz w:val="22"/>
          <w:szCs w:val="22"/>
        </w:rPr>
        <w:t>exceedances</w:t>
      </w:r>
      <w:proofErr w:type="spellEnd"/>
      <w:r w:rsidRPr="004C717E">
        <w:rPr>
          <w:rFonts w:asciiTheme="minorHAnsi" w:hAnsiTheme="minorHAnsi"/>
          <w:color w:val="FF0000"/>
          <w:sz w:val="22"/>
          <w:szCs w:val="22"/>
        </w:rPr>
        <w:t>, but will result in long term water quality or habitat improvement that enhances the support of aquatic life uses;</w:t>
      </w:r>
    </w:p>
    <w:p w:rsidR="0037280B" w:rsidRPr="004C717E" w:rsidRDefault="0037280B" w:rsidP="0037280B">
      <w:pPr>
        <w:pStyle w:val="NormalWeb"/>
        <w:numPr>
          <w:ilvl w:val="0"/>
          <w:numId w:val="1"/>
        </w:numPr>
        <w:rPr>
          <w:rFonts w:asciiTheme="minorHAnsi" w:hAnsiTheme="minorHAnsi"/>
          <w:color w:val="FF0000"/>
          <w:sz w:val="22"/>
          <w:szCs w:val="22"/>
        </w:rPr>
      </w:pPr>
      <w:proofErr w:type="gramStart"/>
      <w:r w:rsidRPr="004C717E">
        <w:rPr>
          <w:rFonts w:asciiTheme="minorHAnsi" w:hAnsiTheme="minorHAnsi"/>
          <w:color w:val="FF0000"/>
          <w:sz w:val="22"/>
          <w:szCs w:val="22"/>
        </w:rPr>
        <w:t>provide</w:t>
      </w:r>
      <w:proofErr w:type="gramEnd"/>
      <w:r w:rsidRPr="004C717E">
        <w:rPr>
          <w:rFonts w:asciiTheme="minorHAnsi" w:hAnsiTheme="minorHAnsi"/>
          <w:color w:val="FF0000"/>
          <w:sz w:val="22"/>
          <w:szCs w:val="22"/>
        </w:rPr>
        <w:t xml:space="preserve"> a widespread socioeconomic benefit that is demonstrated to outweigh the environmental cost of lowering water quality.  This analysis is comparable to that required under the </w:t>
      </w:r>
      <w:proofErr w:type="spellStart"/>
      <w:r w:rsidRPr="004C717E">
        <w:rPr>
          <w:rFonts w:asciiTheme="minorHAnsi" w:hAnsiTheme="minorHAnsi"/>
          <w:color w:val="FF0000"/>
          <w:sz w:val="22"/>
          <w:szCs w:val="22"/>
        </w:rPr>
        <w:t>antidegradation</w:t>
      </w:r>
      <w:proofErr w:type="spellEnd"/>
      <w:r w:rsidRPr="004C717E">
        <w:rPr>
          <w:rFonts w:asciiTheme="minorHAnsi" w:hAnsiTheme="minorHAnsi"/>
          <w:color w:val="FF0000"/>
          <w:sz w:val="22"/>
          <w:szCs w:val="22"/>
        </w:rPr>
        <w:t xml:space="preserve"> regulation contained in OAR-041-0004(6)(b); or </w:t>
      </w:r>
    </w:p>
    <w:p w:rsidR="0037280B" w:rsidRPr="004C717E" w:rsidRDefault="0037280B" w:rsidP="0037280B">
      <w:pPr>
        <w:pStyle w:val="NormalWeb"/>
        <w:numPr>
          <w:ilvl w:val="0"/>
          <w:numId w:val="1"/>
        </w:numPr>
        <w:rPr>
          <w:rFonts w:asciiTheme="minorHAnsi" w:hAnsiTheme="minorHAnsi"/>
          <w:color w:val="FF0000"/>
          <w:sz w:val="22"/>
          <w:szCs w:val="22"/>
        </w:rPr>
      </w:pPr>
      <w:r w:rsidRPr="004C717E">
        <w:rPr>
          <w:rFonts w:asciiTheme="minorHAnsi" w:hAnsiTheme="minorHAnsi"/>
          <w:color w:val="FF0000"/>
          <w:sz w:val="22"/>
          <w:szCs w:val="22"/>
        </w:rPr>
        <w:t>remediate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 xml:space="preserve">(E) The information and demonstration submitted in accordance with section (5) below does not allow the department or commission to conclude that a condition in section (2) has been met. </w:t>
      </w:r>
    </w:p>
    <w:p w:rsidR="0037280B" w:rsidRPr="004C717E" w:rsidRDefault="0037280B" w:rsidP="0037280B">
      <w:pPr>
        <w:pStyle w:val="NormalWeb"/>
        <w:rPr>
          <w:rFonts w:asciiTheme="minorHAnsi" w:hAnsiTheme="minorHAnsi"/>
          <w:color w:val="FF0000"/>
          <w:sz w:val="22"/>
          <w:szCs w:val="22"/>
        </w:rPr>
      </w:pPr>
      <w:r w:rsidRPr="004C717E">
        <w:rPr>
          <w:rFonts w:asciiTheme="minorHAnsi" w:hAnsiTheme="minorHAnsi"/>
          <w:color w:val="FF0000"/>
          <w:sz w:val="22"/>
          <w:szCs w:val="22"/>
        </w:rPr>
        <w:t xml:space="preserve">(2) Conditions to Grant a Variance.  Before the commission or department may grant a variance, it must determine that: </w:t>
      </w:r>
    </w:p>
    <w:p w:rsidR="0037280B" w:rsidRPr="004C717E" w:rsidRDefault="0037280B" w:rsidP="0037280B">
      <w:pPr>
        <w:pStyle w:val="NormalWeb"/>
        <w:ind w:firstLine="720"/>
        <w:rPr>
          <w:rFonts w:asciiTheme="minorHAnsi" w:hAnsiTheme="minorHAnsi"/>
          <w:color w:val="FF0000"/>
          <w:sz w:val="22"/>
          <w:szCs w:val="22"/>
        </w:rPr>
      </w:pPr>
      <w:r w:rsidRPr="004C717E">
        <w:rPr>
          <w:rFonts w:asciiTheme="minorHAnsi" w:hAnsiTheme="minorHAnsi"/>
          <w:color w:val="FF0000"/>
          <w:sz w:val="22"/>
          <w:szCs w:val="22"/>
        </w:rPr>
        <w:t xml:space="preserve">(a) </w:t>
      </w:r>
      <w:proofErr w:type="gramStart"/>
      <w:r w:rsidRPr="004C717E">
        <w:rPr>
          <w:rFonts w:asciiTheme="minorHAnsi" w:hAnsiTheme="minorHAnsi"/>
          <w:color w:val="FF0000"/>
          <w:sz w:val="22"/>
          <w:szCs w:val="22"/>
        </w:rPr>
        <w:t>an</w:t>
      </w:r>
      <w:proofErr w:type="gramEnd"/>
      <w:r w:rsidRPr="004C717E">
        <w:rPr>
          <w:rFonts w:asciiTheme="minorHAnsi" w:hAnsiTheme="minorHAnsi"/>
          <w:color w:val="FF0000"/>
          <w:sz w:val="22"/>
          <w:szCs w:val="22"/>
        </w:rPr>
        <w:t xml:space="preserve"> existing use would not be impaired or removed as a result of granting the variance and</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 xml:space="preserve">(b) </w:t>
      </w:r>
      <w:proofErr w:type="gramStart"/>
      <w:r w:rsidRPr="004C717E">
        <w:rPr>
          <w:rFonts w:asciiTheme="minorHAnsi" w:hAnsiTheme="minorHAnsi"/>
          <w:color w:val="FF0000"/>
          <w:sz w:val="22"/>
          <w:szCs w:val="22"/>
        </w:rPr>
        <w:t>attaining</w:t>
      </w:r>
      <w:proofErr w:type="gramEnd"/>
      <w:r w:rsidRPr="004C717E">
        <w:rPr>
          <w:rFonts w:asciiTheme="minorHAnsi" w:hAnsiTheme="minorHAnsi"/>
          <w:color w:val="FF0000"/>
          <w:sz w:val="22"/>
          <w:szCs w:val="22"/>
        </w:rPr>
        <w:t xml:space="preserve"> the water quality standard during the term of the variance is not feasible for one or more of the following reasons:</w:t>
      </w:r>
    </w:p>
    <w:p w:rsidR="0037280B" w:rsidRPr="004C717E" w:rsidRDefault="0037280B" w:rsidP="0037280B">
      <w:pPr>
        <w:pStyle w:val="NormalWeb"/>
        <w:ind w:left="720" w:firstLine="720"/>
        <w:rPr>
          <w:rFonts w:asciiTheme="minorHAnsi" w:hAnsiTheme="minorHAnsi"/>
          <w:color w:val="FF0000"/>
          <w:sz w:val="22"/>
          <w:szCs w:val="22"/>
        </w:rPr>
      </w:pPr>
      <w:r w:rsidRPr="004C717E">
        <w:rPr>
          <w:rFonts w:asciiTheme="minorHAnsi" w:hAnsiTheme="minorHAnsi"/>
          <w:color w:val="FF0000"/>
          <w:sz w:val="22"/>
          <w:szCs w:val="22"/>
        </w:rPr>
        <w:t>(A) Naturally occurring pollutant concentrations prevent the attainment of the use;</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4C717E">
        <w:rPr>
          <w:rFonts w:asciiTheme="minorHAnsi" w:hAnsiTheme="minorHAnsi"/>
          <w:color w:val="FF0000"/>
          <w:sz w:val="22"/>
          <w:szCs w:val="22"/>
        </w:rPr>
        <w:t>uses</w:t>
      </w:r>
      <w:proofErr w:type="spellEnd"/>
      <w:r w:rsidRPr="004C717E">
        <w:rPr>
          <w:rFonts w:asciiTheme="minorHAnsi" w:hAnsiTheme="minorHAnsi"/>
          <w:color w:val="FF0000"/>
          <w:sz w:val="22"/>
          <w:szCs w:val="22"/>
        </w:rPr>
        <w:t xml:space="preserve"> to be met without violating state water conservation requirements;</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(C) Human-caused conditions or sources of pollution prevent the attainment of the use and cannot be remedied or would cause more environmental damage to correct than to leave in place;</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(E) Physical conditions related to the natural features of the water body, such as the lack of a proper substrate, cover, flow, depth, pools, riffles, and unrelated to water quality preclude attainment of aquatic life protection uses; or</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(F) Controls more stringent than those required by sections 301(b) and 306 of the federal Clean Water Act would result in substantial and widespread economic and social impact.</w:t>
      </w:r>
    </w:p>
    <w:p w:rsidR="0037280B" w:rsidRPr="004C717E" w:rsidRDefault="0037280B" w:rsidP="0037280B">
      <w:pPr>
        <w:pStyle w:val="NormalWeb"/>
        <w:rPr>
          <w:rFonts w:asciiTheme="minorHAnsi" w:hAnsiTheme="minorHAnsi"/>
          <w:color w:val="FF0000"/>
          <w:sz w:val="22"/>
          <w:szCs w:val="22"/>
        </w:rPr>
      </w:pPr>
      <w:r w:rsidRPr="004C717E">
        <w:rPr>
          <w:rFonts w:asciiTheme="minorHAnsi" w:hAnsiTheme="minorHAnsi"/>
          <w:color w:val="FF0000"/>
          <w:sz w:val="22"/>
          <w:szCs w:val="22"/>
        </w:rPr>
        <w:t>(3) Sections (2</w:t>
      </w:r>
      <w:proofErr w:type="gramStart"/>
      <w:r w:rsidRPr="004C717E">
        <w:rPr>
          <w:rFonts w:asciiTheme="minorHAnsi" w:hAnsiTheme="minorHAnsi"/>
          <w:color w:val="FF0000"/>
          <w:sz w:val="22"/>
          <w:szCs w:val="22"/>
        </w:rPr>
        <w:t>)(</w:t>
      </w:r>
      <w:proofErr w:type="gramEnd"/>
      <w:r w:rsidRPr="004C717E">
        <w:rPr>
          <w:rFonts w:asciiTheme="minorHAnsi" w:hAnsiTheme="minorHAnsi"/>
          <w:color w:val="FF0000"/>
          <w:sz w:val="22"/>
          <w:szCs w:val="22"/>
        </w:rPr>
        <w:t>b)(A) and (2)(b)(C) of this rule include, but are not limited to, circumstances in which the department determines that all the following are demonstrated to be true:</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(a) The background concentration of the pollutant to which the variance applies exceeds the underlying water quality standard for that pollutant;</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(b) The background concentration of the pollutant would exceed the underlying water quality standard without pollutant loadings from sources regulated by the NPDES permit program; and</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(c) Enforceable controls on other pollutant sources are not likely to achieve the underlying water quality standard within the term of the variance.</w:t>
      </w:r>
    </w:p>
    <w:p w:rsidR="0037280B" w:rsidRPr="004C717E" w:rsidRDefault="0037280B" w:rsidP="0037280B">
      <w:pPr>
        <w:autoSpaceDE w:val="0"/>
        <w:autoSpaceDN w:val="0"/>
        <w:adjustRightInd w:val="0"/>
        <w:rPr>
          <w:color w:val="FF0000"/>
        </w:rPr>
      </w:pPr>
      <w:r w:rsidRPr="004C717E">
        <w:rPr>
          <w:color w:val="FF0000"/>
        </w:rPr>
        <w:t>(4) Variance Duration.</w:t>
      </w:r>
    </w:p>
    <w:p w:rsidR="0037280B" w:rsidRPr="004C717E" w:rsidRDefault="0037280B" w:rsidP="0037280B">
      <w:pPr>
        <w:autoSpaceDE w:val="0"/>
        <w:autoSpaceDN w:val="0"/>
        <w:adjustRightInd w:val="0"/>
        <w:ind w:left="720"/>
        <w:rPr>
          <w:color w:val="FF0000"/>
        </w:rPr>
      </w:pPr>
      <w:r w:rsidRPr="004C717E">
        <w:rPr>
          <w:color w:val="FF0000"/>
        </w:rPr>
        <w:t xml:space="preserve"> (a) The duration of the variance shall not exceed the term of the NPDES permit.  If the permit is administratively extended, the permit effluent limits and any other requirements based on the variance and associated pollutant reduction plan will continue to be in effect during the period of the administrative extension.   DEQ will give priority to NPDES permit renewals for permits containing variances and where a renewal application has been submitted to the director at least one hundred eighty days prior to the NPDES permit expiration date.   </w:t>
      </w:r>
    </w:p>
    <w:p w:rsidR="0037280B" w:rsidRPr="004C717E" w:rsidRDefault="0037280B" w:rsidP="0037280B">
      <w:pPr>
        <w:autoSpaceDE w:val="0"/>
        <w:autoSpaceDN w:val="0"/>
        <w:adjustRightInd w:val="0"/>
        <w:ind w:left="720"/>
        <w:rPr>
          <w:rFonts w:eastAsiaTheme="minorHAnsi"/>
          <w:color w:val="FF0000"/>
        </w:rPr>
      </w:pPr>
      <w:r w:rsidRPr="004C717E">
        <w:rPr>
          <w:color w:val="FF0000"/>
        </w:rPr>
        <w:t xml:space="preserve">(b) When the duration of the variance is less than the term of the permit, the </w:t>
      </w:r>
      <w:proofErr w:type="spellStart"/>
      <w:r w:rsidRPr="004C717E">
        <w:rPr>
          <w:color w:val="FF0000"/>
        </w:rPr>
        <w:t>permittee</w:t>
      </w:r>
      <w:proofErr w:type="spellEnd"/>
      <w:r w:rsidRPr="004C717E">
        <w:rPr>
          <w:color w:val="FF0000"/>
        </w:rPr>
        <w:t xml:space="preserve"> must be in compliance with the specified effluent limitation sufficient to meet the underlying water quality standard upon the expiration of the variance. </w:t>
      </w:r>
    </w:p>
    <w:p w:rsidR="0037280B" w:rsidRPr="004C717E" w:rsidRDefault="0037280B" w:rsidP="0037280B">
      <w:pPr>
        <w:autoSpaceDE w:val="0"/>
        <w:autoSpaceDN w:val="0"/>
        <w:adjustRightInd w:val="0"/>
        <w:ind w:left="720"/>
        <w:rPr>
          <w:color w:val="FF0000"/>
        </w:rPr>
      </w:pPr>
      <w:r w:rsidRPr="004C717E">
        <w:rPr>
          <w:rFonts w:eastAsiaTheme="minorHAnsi"/>
          <w:color w:val="FF0000"/>
        </w:rPr>
        <w:t xml:space="preserve">(c) </w:t>
      </w:r>
      <w:r w:rsidRPr="004C717E">
        <w:rPr>
          <w:color w:val="FF0000"/>
        </w:rPr>
        <w:t>A variance is effective only after EPA approval.  The effective date will be specified in a NPDES permit or order of the commission or department.</w:t>
      </w:r>
    </w:p>
    <w:p w:rsidR="0037280B" w:rsidRPr="004C717E" w:rsidRDefault="0037280B" w:rsidP="0037280B">
      <w:pPr>
        <w:pStyle w:val="NormalWeb"/>
        <w:rPr>
          <w:rFonts w:asciiTheme="minorHAnsi" w:hAnsiTheme="minorHAnsi"/>
          <w:color w:val="FF0000"/>
          <w:sz w:val="22"/>
          <w:szCs w:val="22"/>
        </w:rPr>
      </w:pPr>
      <w:r w:rsidRPr="004C717E" w:rsidDel="00A93AD0">
        <w:rPr>
          <w:rFonts w:asciiTheme="minorHAnsi" w:eastAsiaTheme="minorHAnsi" w:hAnsiTheme="minorHAnsi"/>
          <w:color w:val="FF0000"/>
          <w:sz w:val="22"/>
          <w:szCs w:val="22"/>
        </w:rPr>
        <w:t xml:space="preserve"> </w:t>
      </w:r>
      <w:r w:rsidRPr="004C717E">
        <w:rPr>
          <w:rFonts w:asciiTheme="minorHAnsi" w:hAnsiTheme="minorHAnsi"/>
          <w:color w:val="FF0000"/>
          <w:sz w:val="22"/>
          <w:szCs w:val="22"/>
        </w:rPr>
        <w:t xml:space="preserve">(5)  Variance Submittal Requirements.  To request a variance, a </w:t>
      </w:r>
      <w:proofErr w:type="spellStart"/>
      <w:r w:rsidRPr="004C717E">
        <w:rPr>
          <w:rFonts w:asciiTheme="minorHAnsi" w:hAnsiTheme="minorHAnsi"/>
          <w:color w:val="FF0000"/>
          <w:sz w:val="22"/>
          <w:szCs w:val="22"/>
        </w:rPr>
        <w:t>permittee</w:t>
      </w:r>
      <w:proofErr w:type="spellEnd"/>
      <w:r w:rsidRPr="004C717E">
        <w:rPr>
          <w:rFonts w:asciiTheme="minorHAnsi" w:hAnsiTheme="minorHAnsi"/>
          <w:color w:val="FF0000"/>
          <w:sz w:val="22"/>
          <w:szCs w:val="22"/>
        </w:rPr>
        <w:t xml:space="preserve"> must submit the following information to the department:   </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 xml:space="preserve">(a) A demonstration that attaining the water quality standard for a specific pollutant is not feasible for the requested duration of the variance based on one or more of the conditions found in section (2)(b) of this rule; </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(b) A description of treatment or alternative options considered to meet the applicable underlying water quality standard, and a description of why these options are not technically or financially feasible;</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(c) Sufficient water quality data and analyses to characterize ambient and discharge water pollutant concentrations;</w:t>
      </w:r>
      <w:r w:rsidRPr="004C717E" w:rsidDel="00FE7595">
        <w:rPr>
          <w:rFonts w:asciiTheme="minorHAnsi" w:hAnsiTheme="minorHAnsi"/>
          <w:color w:val="FF0000"/>
          <w:sz w:val="22"/>
          <w:szCs w:val="22"/>
        </w:rPr>
        <w:t xml:space="preserve"> </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 xml:space="preserve">(d)  A proposed pollutant reduction plan that includes any actions to be taken by the </w:t>
      </w:r>
      <w:proofErr w:type="spellStart"/>
      <w:r w:rsidRPr="004C717E">
        <w:rPr>
          <w:rFonts w:asciiTheme="minorHAnsi" w:hAnsiTheme="minorHAnsi"/>
          <w:color w:val="FF0000"/>
          <w:sz w:val="22"/>
          <w:szCs w:val="22"/>
        </w:rPr>
        <w:t>permittee</w:t>
      </w:r>
      <w:proofErr w:type="spellEnd"/>
      <w:r w:rsidRPr="004C717E">
        <w:rPr>
          <w:rFonts w:asciiTheme="minorHAnsi" w:hAnsiTheme="minorHAnsi"/>
          <w:color w:val="FF0000"/>
          <w:sz w:val="22"/>
          <w:szCs w:val="22"/>
        </w:rPr>
        <w:t xml:space="preserve"> that would result in reasonable progress toward meeting the underlying water quality standard.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 xml:space="preserve">(e) If the discharger is a publicly owned treatment works, a demonstration of the jurisdiction’s legal authority (such as a sewer use ordinance) to regulate the pollutant for which the variance is sought.  The jurisdiction’s legal authority must be sufficient to control potential sources of that pollutant that discharge into the jurisdiction’s sewer collection system. </w:t>
      </w:r>
    </w:p>
    <w:p w:rsidR="0037280B" w:rsidRPr="004C717E" w:rsidRDefault="0037280B" w:rsidP="0037280B">
      <w:pPr>
        <w:pStyle w:val="NormalWeb"/>
        <w:rPr>
          <w:rFonts w:ascii="Calibri" w:hAnsi="Calibri"/>
          <w:color w:val="FF0000"/>
          <w:sz w:val="22"/>
          <w:szCs w:val="22"/>
        </w:rPr>
      </w:pPr>
      <w:r w:rsidRPr="004C717E">
        <w:rPr>
          <w:rFonts w:asciiTheme="minorHAnsi" w:hAnsiTheme="minorHAnsi"/>
          <w:color w:val="FF0000"/>
          <w:sz w:val="22"/>
          <w:szCs w:val="22"/>
        </w:rPr>
        <w:t xml:space="preserve">(6)  Variance Permit Conditions.  The department shall </w:t>
      </w:r>
      <w:r w:rsidRPr="004C717E">
        <w:rPr>
          <w:rFonts w:ascii="Calibri" w:hAnsi="Calibri"/>
          <w:color w:val="FF0000"/>
          <w:sz w:val="22"/>
          <w:szCs w:val="22"/>
        </w:rPr>
        <w:t xml:space="preserve">establish and incorporate into the discharger’s NPDES permit all conditions necessary to implement and enforce an approved variance and associated pollutant reduction plan.  Such conditions shall, at a minimum, include: </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 xml:space="preserve"> (a) an interim permit limit or requirement representing the best achievable effluent quality based on discharge monitoring data and which is no less stringent than that achieved under the previous permit;</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(b) a requirement to implement any pollutant reduction actions approved as part of a pollutant reduction plan submitted in accordance with section (5)(d) above and that reasonable progress is made toward attaining the underlying water quality standard(s);</w:t>
      </w:r>
    </w:p>
    <w:p w:rsidR="0037280B" w:rsidRPr="004C717E" w:rsidRDefault="0037280B" w:rsidP="0037280B">
      <w:pPr>
        <w:ind w:left="720"/>
        <w:rPr>
          <w:color w:val="FF0000"/>
        </w:rPr>
      </w:pPr>
      <w:r w:rsidRPr="004C717E">
        <w:rPr>
          <w:color w:val="FF0000"/>
        </w:rPr>
        <w:t xml:space="preserve">(c) </w:t>
      </w:r>
      <w:proofErr w:type="gramStart"/>
      <w:r w:rsidRPr="004C717E">
        <w:rPr>
          <w:color w:val="FF0000"/>
        </w:rPr>
        <w:t>any</w:t>
      </w:r>
      <w:proofErr w:type="gramEnd"/>
      <w:r w:rsidRPr="004C717E">
        <w:rPr>
          <w:color w:val="FF0000"/>
        </w:rPr>
        <w:t xml:space="preserve"> studies, effluent monitoring, or other monitoring necessary to ensure compliance with the conditions of the variance;</w:t>
      </w:r>
    </w:p>
    <w:p w:rsidR="0037280B" w:rsidRPr="004C717E" w:rsidRDefault="0037280B" w:rsidP="0037280B">
      <w:pPr>
        <w:ind w:left="720"/>
        <w:rPr>
          <w:color w:val="FF0000"/>
        </w:rPr>
      </w:pPr>
      <w:r w:rsidRPr="004C717E">
        <w:rPr>
          <w:color w:val="FF0000"/>
        </w:rPr>
        <w:t xml:space="preserve">(d) an annual progress report to the department describing the results of any required studies or monitoring during the reporting year and identifying any impediments to reaching any specific milestones stated in the variance; </w:t>
      </w:r>
    </w:p>
    <w:p w:rsidR="0037280B" w:rsidRPr="004C717E" w:rsidRDefault="0037280B" w:rsidP="0037280B">
      <w:pPr>
        <w:ind w:left="720"/>
        <w:rPr>
          <w:color w:val="FF0000"/>
        </w:rPr>
      </w:pPr>
      <w:r w:rsidRPr="004C717E">
        <w:rPr>
          <w:color w:val="FF0000"/>
        </w:rPr>
        <w:t xml:space="preserve"> (e) </w:t>
      </w:r>
      <w:proofErr w:type="gramStart"/>
      <w:r w:rsidRPr="004C717E">
        <w:rPr>
          <w:color w:val="FF0000"/>
        </w:rPr>
        <w:t>any</w:t>
      </w:r>
      <w:proofErr w:type="gramEnd"/>
      <w:r w:rsidRPr="004C717E">
        <w:rPr>
          <w:color w:val="FF0000"/>
        </w:rPr>
        <w:t xml:space="preserve"> milestones contained in the pollutant reduction plan that would be effective beyond the term of the permit in the event that the permit is administratively extended. </w:t>
      </w:r>
    </w:p>
    <w:p w:rsidR="0037280B" w:rsidRPr="004C717E" w:rsidRDefault="0037280B" w:rsidP="0037280B">
      <w:pPr>
        <w:pStyle w:val="NormalWeb"/>
        <w:rPr>
          <w:rFonts w:asciiTheme="minorHAnsi" w:hAnsiTheme="minorHAnsi"/>
          <w:color w:val="FF0000"/>
          <w:sz w:val="22"/>
          <w:szCs w:val="22"/>
        </w:rPr>
      </w:pPr>
      <w:r w:rsidRPr="004C717E">
        <w:rPr>
          <w:rFonts w:asciiTheme="minorHAnsi" w:hAnsiTheme="minorHAnsi"/>
          <w:color w:val="FF0000"/>
          <w:sz w:val="22"/>
          <w:szCs w:val="22"/>
        </w:rPr>
        <w:t xml:space="preserve"> (7) Public Notification Requirements.</w:t>
      </w:r>
    </w:p>
    <w:p w:rsidR="0037280B" w:rsidRPr="004C717E" w:rsidRDefault="0037280B" w:rsidP="0037280B">
      <w:pPr>
        <w:pStyle w:val="NormalWeb"/>
        <w:ind w:left="720"/>
        <w:rPr>
          <w:rFonts w:asciiTheme="minorHAnsi" w:hAnsiTheme="minorHAnsi"/>
          <w:color w:val="FF0000"/>
          <w:sz w:val="22"/>
          <w:szCs w:val="22"/>
        </w:rPr>
      </w:pPr>
      <w:r w:rsidRPr="004C717E" w:rsidDel="00BD78CB">
        <w:rPr>
          <w:rFonts w:asciiTheme="minorHAnsi" w:hAnsiTheme="minorHAnsi"/>
          <w:color w:val="FF0000"/>
          <w:sz w:val="22"/>
          <w:szCs w:val="22"/>
        </w:rPr>
        <w:t xml:space="preserve"> </w:t>
      </w:r>
      <w:r w:rsidRPr="004C717E">
        <w:rPr>
          <w:rFonts w:asciiTheme="minorHAnsi" w:hAnsiTheme="minorHAnsi"/>
          <w:color w:val="FF0000"/>
          <w:sz w:val="22"/>
          <w:szCs w:val="22"/>
        </w:rPr>
        <w:t>(a) If the department proposes to grant a variance, it must provide public notice of the proposal and an opportunity for public comment and hearing.  The public notice may be included in the public notification of a draft NPDES permit or other draft regulatory decision that would rely on the variance;</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(b) The department will publish a list of all variances approved pursuant to this rule.  Newly approved variances will be added to this list within 30 days of their effective date.  The list will identify: the discharger; the underlying water quality standard the pollutant reduction plan was developed to achieve; the waters of the state to which the variance applies; the effective date and duration of the variance; the allowable pollutant effluent limit granted under the variance; and how to obtain additional information about the variance.</w:t>
      </w:r>
    </w:p>
    <w:p w:rsidR="0037280B" w:rsidRPr="004C717E" w:rsidRDefault="0037280B" w:rsidP="0037280B">
      <w:pPr>
        <w:pStyle w:val="NormalWeb"/>
        <w:rPr>
          <w:rFonts w:asciiTheme="minorHAnsi" w:hAnsiTheme="minorHAnsi"/>
          <w:color w:val="FF0000"/>
          <w:sz w:val="22"/>
          <w:szCs w:val="22"/>
        </w:rPr>
      </w:pPr>
      <w:r w:rsidRPr="004C717E">
        <w:rPr>
          <w:rFonts w:asciiTheme="minorHAnsi" w:hAnsiTheme="minorHAnsi"/>
          <w:color w:val="FF0000"/>
          <w:sz w:val="22"/>
          <w:szCs w:val="22"/>
        </w:rPr>
        <w:t xml:space="preserve">(8)  Variance Renewals.  </w:t>
      </w:r>
    </w:p>
    <w:p w:rsidR="0037280B" w:rsidRPr="004C717E" w:rsidRDefault="0037280B" w:rsidP="0037280B">
      <w:pPr>
        <w:pStyle w:val="NormalWeb"/>
        <w:ind w:firstLine="720"/>
        <w:rPr>
          <w:rFonts w:asciiTheme="minorHAnsi" w:hAnsiTheme="minorHAnsi"/>
          <w:color w:val="FF0000"/>
          <w:sz w:val="22"/>
          <w:szCs w:val="22"/>
        </w:rPr>
      </w:pPr>
      <w:r w:rsidRPr="004C717E">
        <w:rPr>
          <w:rFonts w:asciiTheme="minorHAnsi" w:hAnsiTheme="minorHAnsi"/>
          <w:color w:val="FF0000"/>
          <w:sz w:val="22"/>
          <w:szCs w:val="22"/>
        </w:rPr>
        <w:t xml:space="preserve">(a) A variance may be renewed if the </w:t>
      </w:r>
      <w:proofErr w:type="spellStart"/>
      <w:r w:rsidRPr="004C717E">
        <w:rPr>
          <w:rFonts w:asciiTheme="minorHAnsi" w:hAnsiTheme="minorHAnsi"/>
          <w:color w:val="FF0000"/>
          <w:sz w:val="22"/>
          <w:szCs w:val="22"/>
        </w:rPr>
        <w:t>permittee</w:t>
      </w:r>
      <w:proofErr w:type="spellEnd"/>
      <w:r w:rsidRPr="004C717E">
        <w:rPr>
          <w:rFonts w:asciiTheme="minorHAnsi" w:hAnsiTheme="minorHAnsi"/>
          <w:color w:val="FF0000"/>
          <w:sz w:val="22"/>
          <w:szCs w:val="22"/>
        </w:rPr>
        <w:t>:</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 xml:space="preserve">(A) makes a renewed demonstration pursuant to section (2) of this rule that attaining the water quality standard continues to be infeasible, </w:t>
      </w:r>
    </w:p>
    <w:p w:rsidR="0037280B" w:rsidRPr="004C717E" w:rsidRDefault="0037280B" w:rsidP="0037280B">
      <w:pPr>
        <w:pStyle w:val="NormalWeb"/>
        <w:ind w:left="1440"/>
        <w:rPr>
          <w:rFonts w:asciiTheme="minorHAnsi" w:hAnsiTheme="minorHAnsi"/>
          <w:color w:val="FF0000"/>
          <w:sz w:val="22"/>
          <w:szCs w:val="22"/>
        </w:rPr>
      </w:pPr>
      <w:r w:rsidRPr="004C717E">
        <w:rPr>
          <w:rFonts w:asciiTheme="minorHAnsi" w:hAnsiTheme="minorHAnsi"/>
          <w:color w:val="FF0000"/>
          <w:sz w:val="22"/>
          <w:szCs w:val="22"/>
        </w:rPr>
        <w:t xml:space="preserve">(B) </w:t>
      </w:r>
      <w:proofErr w:type="gramStart"/>
      <w:r w:rsidRPr="004C717E">
        <w:rPr>
          <w:rFonts w:asciiTheme="minorHAnsi" w:hAnsiTheme="minorHAnsi"/>
          <w:color w:val="FF0000"/>
          <w:sz w:val="22"/>
          <w:szCs w:val="22"/>
        </w:rPr>
        <w:t>demonstrates</w:t>
      </w:r>
      <w:proofErr w:type="gramEnd"/>
      <w:r w:rsidRPr="004C717E">
        <w:rPr>
          <w:rFonts w:asciiTheme="minorHAnsi" w:hAnsiTheme="minorHAnsi"/>
          <w:color w:val="FF0000"/>
          <w:sz w:val="22"/>
          <w:szCs w:val="22"/>
        </w:rPr>
        <w:t xml:space="preserve"> that all conditions and requirements of the previous variance and actions contained in the pollutant reduction plan are being met, and </w:t>
      </w:r>
    </w:p>
    <w:p w:rsidR="0037280B" w:rsidRPr="004C717E" w:rsidRDefault="0037280B" w:rsidP="0037280B">
      <w:pPr>
        <w:pStyle w:val="NormalWeb"/>
        <w:ind w:left="720" w:firstLine="720"/>
        <w:rPr>
          <w:rFonts w:asciiTheme="minorHAnsi" w:hAnsiTheme="minorHAnsi"/>
          <w:color w:val="FF0000"/>
          <w:sz w:val="22"/>
          <w:szCs w:val="22"/>
        </w:rPr>
      </w:pPr>
      <w:r w:rsidRPr="004C717E">
        <w:rPr>
          <w:rFonts w:asciiTheme="minorHAnsi" w:hAnsiTheme="minorHAnsi"/>
          <w:color w:val="FF0000"/>
          <w:sz w:val="22"/>
          <w:szCs w:val="22"/>
        </w:rPr>
        <w:t xml:space="preserve">(C) </w:t>
      </w:r>
      <w:proofErr w:type="gramStart"/>
      <w:r w:rsidRPr="004C717E">
        <w:rPr>
          <w:rFonts w:asciiTheme="minorHAnsi" w:hAnsiTheme="minorHAnsi"/>
          <w:color w:val="FF0000"/>
          <w:sz w:val="22"/>
          <w:szCs w:val="22"/>
        </w:rPr>
        <w:t>meets</w:t>
      </w:r>
      <w:proofErr w:type="gramEnd"/>
      <w:r w:rsidRPr="004C717E">
        <w:rPr>
          <w:rFonts w:asciiTheme="minorHAnsi" w:hAnsiTheme="minorHAnsi"/>
          <w:color w:val="FF0000"/>
          <w:sz w:val="22"/>
          <w:szCs w:val="22"/>
        </w:rPr>
        <w:t xml:space="preserve"> all other requirements of this rule.  </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 xml:space="preserve">(b) A variance renewal must be approved by either the department director or the commission, and by EPA.  </w:t>
      </w:r>
    </w:p>
    <w:p w:rsidR="0037280B" w:rsidRPr="004C717E" w:rsidRDefault="0037280B" w:rsidP="0037280B">
      <w:pPr>
        <w:pStyle w:val="NormalWeb"/>
        <w:ind w:left="720"/>
        <w:rPr>
          <w:rFonts w:asciiTheme="minorHAnsi" w:hAnsiTheme="minorHAnsi"/>
          <w:color w:val="FF0000"/>
          <w:sz w:val="22"/>
          <w:szCs w:val="22"/>
        </w:rPr>
      </w:pPr>
      <w:r w:rsidRPr="004C717E">
        <w:rPr>
          <w:rFonts w:asciiTheme="minorHAnsi" w:hAnsiTheme="minorHAnsi"/>
          <w:color w:val="FF0000"/>
          <w:sz w:val="22"/>
          <w:szCs w:val="22"/>
        </w:rPr>
        <w:t xml:space="preserve">(c) Renewal of the variance shall be denied if the </w:t>
      </w:r>
      <w:proofErr w:type="spellStart"/>
      <w:r w:rsidRPr="004C717E">
        <w:rPr>
          <w:rFonts w:asciiTheme="minorHAnsi" w:hAnsiTheme="minorHAnsi"/>
          <w:color w:val="FF0000"/>
          <w:sz w:val="22"/>
          <w:szCs w:val="22"/>
        </w:rPr>
        <w:t>permittee</w:t>
      </w:r>
      <w:proofErr w:type="spellEnd"/>
      <w:r w:rsidRPr="004C717E">
        <w:rPr>
          <w:rFonts w:asciiTheme="minorHAnsi" w:hAnsiTheme="minorHAnsi"/>
          <w:color w:val="FF0000"/>
          <w:sz w:val="22"/>
          <w:szCs w:val="22"/>
        </w:rPr>
        <w:t xml:space="preserve"> is not in compliance with the conditions of the previous variance, including those specified in section (6) of this rule, or otherwise does not meet the requirements of this rule.  </w:t>
      </w:r>
    </w:p>
    <w:p w:rsidR="0078189E" w:rsidRPr="0016296C" w:rsidRDefault="002C174D" w:rsidP="0016296C">
      <w:pPr>
        <w:rPr>
          <w:rFonts w:asciiTheme="minorHAnsi" w:eastAsia="Times New Roman" w:hAnsiTheme="minorHAnsi"/>
          <w:b/>
          <w:bCs/>
        </w:rPr>
      </w:pPr>
      <w:r>
        <w:rPr>
          <w:rFonts w:asciiTheme="minorHAnsi" w:hAnsiTheme="minorHAnsi"/>
          <w:b/>
          <w:bCs/>
        </w:rPr>
        <w:br w:type="page"/>
      </w:r>
      <w:r w:rsidR="0078189E" w:rsidRPr="0078189E">
        <w:rPr>
          <w:rFonts w:asciiTheme="minorHAnsi" w:hAnsiTheme="minorHAnsi"/>
          <w:b/>
          <w:bCs/>
        </w:rPr>
        <w:t xml:space="preserve">340-041-0061 </w:t>
      </w:r>
      <w:r w:rsidR="004C717E">
        <w:rPr>
          <w:rFonts w:asciiTheme="minorHAnsi" w:hAnsiTheme="minorHAnsi"/>
          <w:b/>
          <w:bCs/>
        </w:rPr>
        <w:t>[de</w:t>
      </w:r>
      <w:r w:rsidR="00920C0D">
        <w:rPr>
          <w:rFonts w:asciiTheme="minorHAnsi" w:hAnsiTheme="minorHAnsi"/>
          <w:b/>
          <w:bCs/>
        </w:rPr>
        <w:t>letes current variance language and revises forestry and agriculture rule language]</w:t>
      </w:r>
      <w:r w:rsidR="004C717E">
        <w:rPr>
          <w:rFonts w:asciiTheme="minorHAnsi" w:hAnsiTheme="minorHAnsi"/>
          <w:b/>
          <w:bCs/>
        </w:rPr>
        <w:t xml:space="preserve"> </w:t>
      </w:r>
    </w:p>
    <w:p w:rsidR="0078189E" w:rsidRPr="0078189E" w:rsidRDefault="0078189E" w:rsidP="0078189E">
      <w:pPr>
        <w:pStyle w:val="NormalWeb"/>
        <w:rPr>
          <w:rFonts w:asciiTheme="minorHAnsi" w:hAnsiTheme="minorHAnsi"/>
          <w:sz w:val="22"/>
          <w:szCs w:val="22"/>
        </w:rPr>
      </w:pPr>
      <w:r w:rsidRPr="0078189E">
        <w:rPr>
          <w:rFonts w:asciiTheme="minorHAnsi" w:hAnsiTheme="minorHAnsi"/>
          <w:b/>
          <w:bCs/>
          <w:sz w:val="22"/>
          <w:szCs w:val="22"/>
        </w:rPr>
        <w:t xml:space="preserve">Other Implementation of Water Quality Criteria </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(1) A waste treatment and disposal facility may not be constructed or operated and wastes may not be discharged to public waters without a permit from the department in accordance with ORS 468B.050.</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(2) Water quality variances. The commission may grant point source variances from the water quality standards in this Division where the following requirements are met.</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(b) A water quality standard variance may not be granted if:</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(A) Standards will be attained by all point source dischargers implementing effluent limitations required under sections 301(b) and 306 of the federal Clean Water Act and by nonpoint sources implementing cost-effective and reasonable best management practices; or</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(c) Before a variance is granted, the applicant must demonstrate that attaining the water quality standard is not feasible for one of the following reasons:</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(A) Naturally occurring pollutant concentrations prevent the attainment of the use.</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18613F">
        <w:rPr>
          <w:rFonts w:asciiTheme="minorHAnsi" w:hAnsiTheme="minorHAnsi"/>
          <w:strike/>
          <w:color w:val="FF0000"/>
          <w:sz w:val="22"/>
          <w:szCs w:val="22"/>
        </w:rPr>
        <w:t>uses</w:t>
      </w:r>
      <w:proofErr w:type="spellEnd"/>
      <w:r w:rsidRPr="0018613F">
        <w:rPr>
          <w:rFonts w:asciiTheme="minorHAnsi" w:hAnsiTheme="minorHAnsi"/>
          <w:strike/>
          <w:color w:val="FF0000"/>
          <w:sz w:val="22"/>
          <w:szCs w:val="22"/>
        </w:rPr>
        <w:t xml:space="preserve"> to be met without violating state water conservation requirements.</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(C) Human-caused conditions or sources of pollution prevent the attainment of the use and cannot be remedied or would cause more environmental damage to correct than to leave in place.</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(E) Physical conditions related to the natural features of the water body, such as the lack of a proper substrate, cover, flow, depth, pools, riffles, and unrelated to water quality preclude attainment of aquatic life protection uses.</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(F) Controls more stringent than those required by sections 301(b) and 306 of the federal Clean Water Act would result in substantial and widespread economic and social impact.</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(d) Procedures. An applicant for a water quality standards variance must submit a request for a variance to the department. The application must include all relevant information showing that the requirements for a variance have been satisfied. The burden is on the applicant to demonstrate that the designated use is unattainable for one of the reasons specified in subsection (c) of this section. If the department preliminarily determines that grounds exist for granting a variance, it must provide public notice of the proposed variance and an opportunity for public comment.</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(A) The department may condition the variance on the performance of additional studies, monitoring, management practices, and other controls deemed necessary. These terms and conditions will be incorporated into the applicant's NPDES permit or department order.</w:t>
      </w:r>
    </w:p>
    <w:p w:rsidR="0078189E" w:rsidRPr="0018613F" w:rsidRDefault="0078189E" w:rsidP="0078189E">
      <w:pPr>
        <w:pStyle w:val="NormalWeb"/>
        <w:rPr>
          <w:rFonts w:asciiTheme="minorHAnsi" w:hAnsiTheme="minorHAnsi"/>
          <w:strike/>
          <w:color w:val="FF0000"/>
          <w:sz w:val="22"/>
          <w:szCs w:val="22"/>
        </w:rPr>
      </w:pPr>
      <w:r w:rsidRPr="0018613F">
        <w:rPr>
          <w:rFonts w:asciiTheme="minorHAnsi" w:hAnsiTheme="minorHAnsi"/>
          <w:strike/>
          <w:color w:val="FF0000"/>
          <w:sz w:val="22"/>
          <w:szCs w:val="22"/>
        </w:rPr>
        <w:t>(B) A variance may not exceed three years or the term of the NPDES permit, whichever is less. A variance may be renewed if the applicant reapplies and demonstrates that the use in question is still not attainable. Renewal of the variance may be denied if the applicant does not comply with the conditions of the original variance or otherwise does not meet the requirements of this section.</w:t>
      </w:r>
    </w:p>
    <w:p w:rsidR="0078189E" w:rsidRPr="0018613F" w:rsidRDefault="0078189E" w:rsidP="0078189E">
      <w:pPr>
        <w:pStyle w:val="NormalWeb"/>
        <w:rPr>
          <w:rFonts w:asciiTheme="minorHAnsi" w:hAnsiTheme="minorHAnsi"/>
          <w:color w:val="FF0000"/>
          <w:sz w:val="22"/>
          <w:szCs w:val="22"/>
        </w:rPr>
      </w:pPr>
      <w:r w:rsidRPr="0018613F">
        <w:rPr>
          <w:rFonts w:asciiTheme="minorHAnsi" w:hAnsiTheme="minorHAnsi"/>
          <w:strike/>
          <w:color w:val="FF0000"/>
          <w:sz w:val="22"/>
          <w:szCs w:val="22"/>
        </w:rPr>
        <w:t>(C) DEQ approval of a variance for a point source is not effective under the federal Clean Water Act until submitted to and approved by EPA.</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3</w:t>
      </w:r>
      <w:r w:rsidRPr="0018613F">
        <w:rPr>
          <w:rFonts w:asciiTheme="minorHAnsi" w:hAnsiTheme="minorHAnsi"/>
          <w:color w:val="FF0000"/>
          <w:sz w:val="22"/>
          <w:szCs w:val="22"/>
          <w:u w:val="single"/>
        </w:rPr>
        <w:t>2</w:t>
      </w:r>
      <w:r w:rsidRPr="0078189E">
        <w:rPr>
          <w:rFonts w:asciiTheme="minorHAnsi" w:hAnsiTheme="minorHAnsi"/>
          <w:sz w:val="22"/>
          <w:szCs w:val="22"/>
        </w:rPr>
        <w:t>) Plans for all sewage and industrial waste treatment, control, and disposal facilities must be submitted to the department for review and approval prior to construction as required by ORS 468B.055.</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4</w:t>
      </w:r>
      <w:r w:rsidRPr="0018613F">
        <w:rPr>
          <w:rFonts w:asciiTheme="minorHAnsi" w:hAnsiTheme="minorHAnsi"/>
          <w:color w:val="FF0000"/>
          <w:sz w:val="22"/>
          <w:szCs w:val="22"/>
          <w:u w:val="single"/>
        </w:rPr>
        <w:t>3</w:t>
      </w:r>
      <w:r w:rsidRPr="0078189E">
        <w:rPr>
          <w:rFonts w:asciiTheme="minorHAnsi" w:hAnsiTheme="minorHAnsi"/>
          <w:sz w:val="22"/>
          <w:szCs w:val="22"/>
        </w:rPr>
        <w:t>) Minimum design criteria for waste treatment and control facilities prescribed under this plan and other waste treatment and controls deemed necessary to ensure compliance with the water quality standards contained in this plan must be provided in accordance with specific permit conditions for those sources or activi</w:t>
      </w:r>
      <w:r w:rsidRPr="0078189E">
        <w:rPr>
          <w:rFonts w:asciiTheme="minorHAnsi" w:hAnsiTheme="minorHAnsi"/>
          <w:color w:val="000000"/>
          <w:sz w:val="22"/>
          <w:szCs w:val="22"/>
        </w:rPr>
        <w:t xml:space="preserve">ties for which permits are required and the following implementation program. </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(a) For new or expanded waste loads or activities, fully approved treatment or control facilities, or both, must be provided prior to discharge of any wastes from the new or expanded facilities or conduct of the new or expanded activity.</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(b) For existing waste loads or activities, additional treatment or control facilities necessary to correct specific unacceptable water quality conditions must be provided in accordance with a specific program and timetable incorporated into the waste discharge permit for the individual discharger or activity. In developing treatment requirements and implementation schedules for existing installations or activities, consideration will be given to the impact upon the overall environmental quality, including air, water, land use, and aesthetics.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(c) Wherever minimum design criteria for waste treatment and control facilities set forth in this plan are more stringent than applicable federal standards and treatment levels currently being provided, upgrading to the more stringent requirements will be deferred until it is necessary to expand or otherwise modify or replace the existing treatment facilities. Such deferral will be acknowledged in the permit for the source.</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(d) Where planning, design, or construction of new or modified waste treatment and controls to meet prior applicable state or federal requirements is underway at the time this plan is adopted, such plans, design, or construction may be completed under the requirements in effect when the project was initiated. Upgrading to meet more stringent future requirements will be timed in accordance with section (3) of this rule.</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5</w:t>
      </w:r>
      <w:r w:rsidRPr="0018613F">
        <w:rPr>
          <w:rFonts w:asciiTheme="minorHAnsi" w:hAnsiTheme="minorHAnsi"/>
          <w:color w:val="FF0000"/>
          <w:sz w:val="22"/>
          <w:szCs w:val="22"/>
          <w:u w:val="single"/>
        </w:rPr>
        <w:t>4</w:t>
      </w:r>
      <w:r w:rsidRPr="0078189E">
        <w:rPr>
          <w:rFonts w:asciiTheme="minorHAnsi" w:hAnsiTheme="minorHAnsi"/>
          <w:sz w:val="22"/>
          <w:szCs w:val="22"/>
        </w:rPr>
        <w:t>) Confined animal feeding operations (CAFOs) are regulated under OAR 340-051-0005 through 340-051-0080 to minimize potential adverse effect on water quality (see also OAR 603-074-0005 through 603-074-0070).</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6</w:t>
      </w:r>
      <w:r w:rsidRPr="0018613F">
        <w:rPr>
          <w:rFonts w:asciiTheme="minorHAnsi" w:hAnsiTheme="minorHAnsi"/>
          <w:color w:val="FF0000"/>
          <w:sz w:val="22"/>
          <w:szCs w:val="22"/>
          <w:u w:val="single"/>
        </w:rPr>
        <w:t>5</w:t>
      </w:r>
      <w:r w:rsidRPr="0078189E">
        <w:rPr>
          <w:rFonts w:asciiTheme="minorHAnsi" w:hAnsiTheme="minorHAnsi"/>
          <w:sz w:val="22"/>
          <w:szCs w:val="22"/>
        </w:rPr>
        <w:t>) Programs for control of pollution from nonpoint sources when developed by the department or by other agencies pursuant to section 208 of the federal Clean Water Act and approved by the department will be incorporated into this plan by amendment via the same process used to adopt the plan unless other procedures are established by law.</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7</w:t>
      </w:r>
      <w:r w:rsidRPr="0018613F">
        <w:rPr>
          <w:rFonts w:asciiTheme="minorHAnsi" w:hAnsiTheme="minorHAnsi"/>
          <w:color w:val="FF0000"/>
          <w:sz w:val="22"/>
          <w:szCs w:val="22"/>
          <w:u w:val="single"/>
        </w:rPr>
        <w:t>6</w:t>
      </w:r>
      <w:r w:rsidRPr="0078189E">
        <w:rPr>
          <w:rFonts w:asciiTheme="minorHAnsi" w:hAnsiTheme="minorHAnsi"/>
          <w:sz w:val="22"/>
          <w:szCs w:val="22"/>
        </w:rPr>
        <w:t>) Where minimum requirements of federal law or enforceable regulations are more stringent than specific provisions of this plan, the federal requirements will prevail.</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8</w:t>
      </w:r>
      <w:r w:rsidRPr="0018613F">
        <w:rPr>
          <w:rFonts w:asciiTheme="minorHAnsi" w:hAnsiTheme="minorHAnsi"/>
          <w:color w:val="FF0000"/>
          <w:sz w:val="22"/>
          <w:szCs w:val="22"/>
          <w:u w:val="single"/>
        </w:rPr>
        <w:t>7</w:t>
      </w:r>
      <w:r w:rsidRPr="0078189E">
        <w:rPr>
          <w:rFonts w:asciiTheme="minorHAnsi" w:hAnsiTheme="minorHAnsi"/>
          <w:sz w:val="22"/>
          <w:szCs w:val="22"/>
        </w:rPr>
        <w:t>) Within the framework of statewide priorities and available resources, the department will monitor water quality within the basin for the purposes of evaluating conformance with the plan and developing information for additions or updates.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9</w:t>
      </w:r>
      <w:r w:rsidRPr="0018613F">
        <w:rPr>
          <w:rFonts w:asciiTheme="minorHAnsi" w:hAnsiTheme="minorHAnsi"/>
          <w:color w:val="FF0000"/>
          <w:sz w:val="22"/>
          <w:szCs w:val="22"/>
        </w:rPr>
        <w:t>8</w:t>
      </w:r>
      <w:r w:rsidRPr="0078189E">
        <w:rPr>
          <w:rFonts w:asciiTheme="minorHAnsi" w:hAnsiTheme="minorHAnsi"/>
          <w:sz w:val="22"/>
          <w:szCs w:val="22"/>
        </w:rPr>
        <w:t>) The commission recognizes that the potential exists for conflicts between water quality management plans and the land use plans and resource management plans that local governments and other agencies are required to develop. If conflicts develop, the department will meet with the local governments or responsible agencies to resolve the conflicts. Revisions will be presented for adoption via the same process used to adopt the plan unless other specific procedures are established by law.</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10</w:t>
      </w:r>
      <w:r w:rsidRPr="0018613F">
        <w:rPr>
          <w:rFonts w:asciiTheme="minorHAnsi" w:hAnsiTheme="minorHAnsi"/>
          <w:color w:val="FF0000"/>
          <w:sz w:val="22"/>
          <w:szCs w:val="22"/>
        </w:rPr>
        <w:t>9</w:t>
      </w:r>
      <w:r w:rsidRPr="0078189E">
        <w:rPr>
          <w:rFonts w:asciiTheme="minorHAnsi" w:hAnsiTheme="minorHAnsi"/>
          <w:sz w:val="22"/>
          <w:szCs w:val="22"/>
        </w:rPr>
        <w:t xml:space="preserve">) </w:t>
      </w:r>
      <w:proofErr w:type="gramStart"/>
      <w:r w:rsidRPr="0078189E">
        <w:rPr>
          <w:rFonts w:asciiTheme="minorHAnsi" w:hAnsiTheme="minorHAnsi"/>
          <w:sz w:val="22"/>
          <w:szCs w:val="22"/>
        </w:rPr>
        <w:t>The</w:t>
      </w:r>
      <w:proofErr w:type="gramEnd"/>
      <w:r w:rsidRPr="0078189E">
        <w:rPr>
          <w:rFonts w:asciiTheme="minorHAnsi" w:hAnsiTheme="minorHAnsi"/>
          <w:sz w:val="22"/>
          <w:szCs w:val="22"/>
        </w:rPr>
        <w:t xml:space="preserve"> department will calculate and include effluent limits specified in pounds per day, which will be the mass load limits for biochemical oxygen demand or carbonaceous biochemical oxygen demand and total suspended solids in National Pollutant Discharge Elimination System permits issued to all sewage treatment facilities. These limits must be calculated as follows.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(a) Except as noted in paragraph (H) of this subsection, the following requirements apply to existing facilities and to facilities receiving departmental approval for engineering plans and specifications for new treatment facilities or treatment facilities expanding the average dry weather treatment capacity before June 30, 1992:</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(A) During periods of low stream flows (approximately May 1 through October 31), the monthly average mass load expressed as pounds per day may not exceed the applicable monthly concentration effluent limit times the design average dry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(B) During the period of high stream flows (approximately November 1 through April 30), the monthly average mass load expressed as pounds per day may not exceed the monthly concentration effluent limit times the design average wet weather flow expressed in million gallons per day times 8.34. The weekly average mass load expressed as pounds per day may not exceed the monthly average mass load times 1.5. The daily mass load expressed in pounds per day may not exceed the monthly average mass load times 2.0.</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 xml:space="preserve">(C) On any day that the daily flow to a sewage treatment facility exceeds the lesser hydraulic capacity of the secondary treatment portion of the facility or twice the design average dry weather flow, the daily mass load limit does not apply. The </w:t>
      </w:r>
      <w:proofErr w:type="spellStart"/>
      <w:r w:rsidRPr="0078189E">
        <w:rPr>
          <w:rFonts w:asciiTheme="minorHAnsi" w:hAnsiTheme="minorHAnsi"/>
          <w:sz w:val="22"/>
          <w:szCs w:val="22"/>
        </w:rPr>
        <w:t>permittee</w:t>
      </w:r>
      <w:proofErr w:type="spellEnd"/>
      <w:r w:rsidRPr="0078189E">
        <w:rPr>
          <w:rFonts w:asciiTheme="minorHAnsi" w:hAnsiTheme="minorHAnsi"/>
          <w:sz w:val="22"/>
          <w:szCs w:val="22"/>
        </w:rPr>
        <w:t xml:space="preserve"> must operate the treatment facility at highest and best practicable treatment and control.</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 xml:space="preserve">(D) The design average wet weather flow used in calculating mass loads must be approved by the department in accordance with prudent engineering practice and must be based on a facility plan approved by the department, engineering plans and specifications approved by the department, or an engineering evaluation. The </w:t>
      </w:r>
      <w:proofErr w:type="spellStart"/>
      <w:r w:rsidRPr="0078189E">
        <w:rPr>
          <w:rFonts w:asciiTheme="minorHAnsi" w:hAnsiTheme="minorHAnsi"/>
          <w:sz w:val="22"/>
          <w:szCs w:val="22"/>
        </w:rPr>
        <w:t>permittee</w:t>
      </w:r>
      <w:proofErr w:type="spellEnd"/>
      <w:r w:rsidRPr="0078189E">
        <w:rPr>
          <w:rFonts w:asciiTheme="minorHAnsi" w:hAnsiTheme="minorHAnsi"/>
          <w:sz w:val="22"/>
          <w:szCs w:val="22"/>
        </w:rPr>
        <w:t xml:space="preserve"> must submit documentation describing and supporting the design average wet weather flow with the permit application, application for permit renewal, or modification request or upon request by the department. The design average wet weather flow is defined as the average flow between November 1 and April 30 when the sewage treatment facility is projected to be at design capacity for that portion of the year.</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(E) Mass loads assigned as described in paragraphs (B) and (C) of this subsection will not be subject to OAR 340-041-0004(7);</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(F) Mass loads as described in this rule will be included in permits upon renewal or upon a request for permit modification.</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 xml:space="preserve">(G) Within 180 days after permit renewal or modification, a </w:t>
      </w:r>
      <w:proofErr w:type="spellStart"/>
      <w:r w:rsidRPr="0078189E">
        <w:rPr>
          <w:rFonts w:asciiTheme="minorHAnsi" w:hAnsiTheme="minorHAnsi"/>
          <w:sz w:val="22"/>
          <w:szCs w:val="22"/>
        </w:rPr>
        <w:t>permittee</w:t>
      </w:r>
      <w:proofErr w:type="spellEnd"/>
      <w:r w:rsidRPr="0078189E">
        <w:rPr>
          <w:rFonts w:asciiTheme="minorHAnsi" w:hAnsiTheme="minorHAnsi"/>
          <w:sz w:val="22"/>
          <w:szCs w:val="22"/>
        </w:rPr>
        <w:t xml:space="preserve"> receiving higher mass loads under this rule and having a separate sanitary sewer system must submit to the department for review and approval a proposed program and time schedule for identifying and reducing inflow. The program must include the following:</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proofErr w:type="spellStart"/>
      <w:proofErr w:type="gramStart"/>
      <w:r w:rsidRPr="0078189E">
        <w:rPr>
          <w:rFonts w:asciiTheme="minorHAnsi" w:hAnsiTheme="minorHAnsi"/>
          <w:sz w:val="22"/>
          <w:szCs w:val="22"/>
        </w:rPr>
        <w:t>i</w:t>
      </w:r>
      <w:proofErr w:type="spellEnd"/>
      <w:proofErr w:type="gramEnd"/>
      <w:r w:rsidRPr="0078189E">
        <w:rPr>
          <w:rFonts w:asciiTheme="minorHAnsi" w:hAnsiTheme="minorHAnsi"/>
          <w:sz w:val="22"/>
          <w:szCs w:val="22"/>
        </w:rPr>
        <w:t>) Identification of all overflow points and verification that sewer system overflows are not occurring up to a 24-hour, five-year storm event or equivalent;</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(ii) Monitoring of all pump station overflow points;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(iii) A program for identifying and removing all inflow sources into the permit holder's sewer system over which the permit holder has legal control; and</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(iv) For those permit holders not having the necessary legal authority for all portions of the sewer system discharging into the permit holder's sewer system or treatment facility, a program and schedule for gaining legal authority to require inflow reduction and a program and schedule for removing inflow sources.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(H) Within one year after the department's approval of the program, the permit holder must begin implementation of the program.</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(I) Paragraphs (A) through (G) of this subsection do not apply to the cities of Athena, Elgin, Adair Village, Halsey, Harrisburg, Independence, Carlton, and Sweet Home. Mass load limits have been individually assigned to these facilities.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(b) For new sewage treatment facilities or treatment facilities expanding the average dry weather treatment capacity and receiving engineering plans and specifications approval from the department after June 30, 1992, the mass load limits must be calculated by the department based on the proposed treatment facility capabilities and the highest and best practicable treatment to minimize the discharge of pollutants.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(c) Mass load limits as defined in this rule may be replaced by more stringent limits if required by waste load allocations established in accordance with a TMDL for treatment facilities discharging to water quality limited streams or if required to prevent or eliminate violations of water quality standards.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 xml:space="preserve">(d) If the design average wet weather flow or the hydraulic secondary treatment capacity is not known or has not been approved by the department at the time of permit issuance, the </w:t>
      </w:r>
      <w:r w:rsidRPr="0078189E">
        <w:rPr>
          <w:rFonts w:asciiTheme="minorHAnsi" w:hAnsiTheme="minorHAnsi"/>
          <w:color w:val="000000"/>
          <w:sz w:val="22"/>
          <w:szCs w:val="22"/>
        </w:rPr>
        <w:t>permit must include as interim mass load limits the mass load limits in the previous permit issued to the permit holder for the treatment facility. The permit must also include a requirement that the permit holder submit to the department the design average wet weather flow and hydraulic secondary treatment capacity within 12 months after permit issuance. Upon review and approval of the design flow information, the department will modify the permit and include mass load limits as described in subsection (a) of this section.</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(e) Each permit holder with existing sewage treatment facilities otherwise subject to subsection (a) of this section may choose mass load limits calculated as follows: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(A) The monthly average mass load expressed as pounds per day may not exceed the applicable monthly concentration effluent limit times the design average dry weather flow expressed in million gallons per day times 8.34 pounds per gallon.</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(B) The weekly average mass load expressed as pounds per day may not exceed the monthly average mass load times 1.5.</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(C) The daily mass load expressed in pounds per day may not exceed the monthly average mass load times 2.0. If existing mass load limits are retained by the permit holder, the terms and requirements of subsection (a) of this section do not apply.</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(f) The commission may grant exceptions to subsection (a) of this section. In allowing increased discharged loads, the commission must make the findings specified in OAR 340-041-0004(9</w:t>
      </w:r>
      <w:proofErr w:type="gramStart"/>
      <w:r w:rsidRPr="0078189E">
        <w:rPr>
          <w:rFonts w:asciiTheme="minorHAnsi" w:hAnsiTheme="minorHAnsi"/>
          <w:sz w:val="22"/>
          <w:szCs w:val="22"/>
        </w:rPr>
        <w:t>)(</w:t>
      </w:r>
      <w:proofErr w:type="gramEnd"/>
      <w:r w:rsidRPr="0078189E">
        <w:rPr>
          <w:rFonts w:asciiTheme="minorHAnsi" w:hAnsiTheme="minorHAnsi"/>
          <w:sz w:val="22"/>
          <w:szCs w:val="22"/>
        </w:rPr>
        <w:t>a) for waste loads and the following findings: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(A) Mass loads calculated in subsection (a) of this section cannot be achieved with the existing treatment facilities operated at maximum efficiency at projected design flows; and</w:t>
      </w:r>
    </w:p>
    <w:p w:rsidR="0078189E" w:rsidRDefault="0078189E" w:rsidP="0078189E">
      <w:pPr>
        <w:pStyle w:val="NormalWeb"/>
        <w:rPr>
          <w:rFonts w:asciiTheme="minorHAnsi" w:hAnsiTheme="minorHAnsi"/>
          <w:sz w:val="22"/>
          <w:szCs w:val="22"/>
        </w:rPr>
      </w:pPr>
      <w:r w:rsidRPr="0078189E">
        <w:rPr>
          <w:rFonts w:asciiTheme="minorHAnsi" w:hAnsiTheme="minorHAnsi"/>
          <w:sz w:val="22"/>
          <w:szCs w:val="22"/>
        </w:rPr>
        <w:t>(B) There are no practicable alternatives to achieving the mass loads as calculated in subsection (a) of this section.</w:t>
      </w:r>
    </w:p>
    <w:p w:rsidR="005B432E" w:rsidRPr="0083100D" w:rsidRDefault="005B432E" w:rsidP="005B432E">
      <w:pPr>
        <w:pStyle w:val="NormalWeb"/>
        <w:rPr>
          <w:sz w:val="22"/>
          <w:szCs w:val="22"/>
        </w:rPr>
      </w:pPr>
      <w:proofErr w:type="gramStart"/>
      <w:r w:rsidRPr="0083100D">
        <w:rPr>
          <w:rFonts w:asciiTheme="minorHAnsi" w:hAnsiTheme="minorHAnsi"/>
          <w:sz w:val="22"/>
          <w:szCs w:val="22"/>
        </w:rPr>
        <w:t>(</w:t>
      </w:r>
      <w:r w:rsidRPr="0083100D">
        <w:rPr>
          <w:rFonts w:asciiTheme="minorHAnsi" w:hAnsiTheme="minorHAnsi"/>
          <w:strike/>
          <w:sz w:val="22"/>
          <w:szCs w:val="22"/>
        </w:rPr>
        <w:t>11</w:t>
      </w:r>
      <w:r w:rsidRPr="004F71D7">
        <w:rPr>
          <w:rFonts w:asciiTheme="minorHAnsi" w:hAnsiTheme="minorHAnsi"/>
          <w:color w:val="FF0000"/>
          <w:sz w:val="22"/>
          <w:szCs w:val="22"/>
          <w:u w:val="single"/>
        </w:rPr>
        <w:t>10</w:t>
      </w:r>
      <w:r w:rsidRPr="0083100D">
        <w:rPr>
          <w:rFonts w:asciiTheme="minorHAnsi" w:hAnsiTheme="minorHAnsi"/>
          <w:sz w:val="22"/>
          <w:szCs w:val="22"/>
        </w:rPr>
        <w:t xml:space="preserve">) </w:t>
      </w:r>
      <w:r w:rsidRPr="0083100D">
        <w:rPr>
          <w:rFonts w:ascii="Calibri" w:hAnsi="Calibri"/>
          <w:sz w:val="22"/>
          <w:szCs w:val="22"/>
        </w:rPr>
        <w:t>Forestry on state and private lands.</w:t>
      </w:r>
      <w:proofErr w:type="gramEnd"/>
      <w:r w:rsidRPr="004F71D7">
        <w:rPr>
          <w:color w:val="FF0000"/>
          <w:sz w:val="22"/>
          <w:szCs w:val="22"/>
          <w:u w:val="single"/>
        </w:rPr>
        <w:t xml:space="preserve"> </w:t>
      </w:r>
      <w:r w:rsidRPr="004F71D7">
        <w:rPr>
          <w:rFonts w:ascii="Calibri" w:hAnsi="Calibri"/>
          <w:color w:val="FF0000"/>
          <w:sz w:val="22"/>
          <w:szCs w:val="22"/>
          <w:u w:val="single"/>
        </w:rPr>
        <w:t>Nonpoint sources of pollution from</w:t>
      </w:r>
      <w:r w:rsidRPr="0083100D">
        <w:rPr>
          <w:strike/>
          <w:sz w:val="22"/>
          <w:szCs w:val="22"/>
        </w:rPr>
        <w:t xml:space="preserve"> </w:t>
      </w:r>
      <w:r w:rsidRPr="0083100D">
        <w:rPr>
          <w:rFonts w:ascii="Calibri" w:hAnsi="Calibri"/>
          <w:strike/>
          <w:sz w:val="22"/>
          <w:szCs w:val="22"/>
        </w:rPr>
        <w:t>For</w:t>
      </w:r>
      <w:r w:rsidRPr="0083100D">
        <w:rPr>
          <w:rFonts w:ascii="Calibri" w:hAnsi="Calibri"/>
          <w:sz w:val="22"/>
          <w:szCs w:val="22"/>
        </w:rPr>
        <w:t xml:space="preserve"> forest operations on state or private lands</w:t>
      </w:r>
      <w:r w:rsidRPr="004F71D7">
        <w:rPr>
          <w:rFonts w:ascii="Calibri" w:hAnsi="Calibri"/>
          <w:color w:val="FF0000"/>
          <w:sz w:val="22"/>
          <w:szCs w:val="22"/>
          <w:u w:val="single"/>
        </w:rPr>
        <w:t xml:space="preserve"> are subject to</w:t>
      </w:r>
      <w:r w:rsidRPr="0083100D">
        <w:rPr>
          <w:rFonts w:ascii="Calibri" w:hAnsi="Calibri"/>
          <w:strike/>
          <w:sz w:val="22"/>
          <w:szCs w:val="22"/>
        </w:rPr>
        <w:t>, water quality standards are intended to be attained and are implemented through</w:t>
      </w:r>
      <w:r w:rsidRPr="0083100D">
        <w:rPr>
          <w:rFonts w:ascii="Calibri" w:hAnsi="Calibri"/>
          <w:sz w:val="22"/>
          <w:szCs w:val="22"/>
        </w:rPr>
        <w:t xml:space="preserve"> best management practices and other control</w:t>
      </w:r>
      <w:r w:rsidRPr="004F71D7">
        <w:rPr>
          <w:color w:val="FF0000"/>
          <w:sz w:val="22"/>
          <w:szCs w:val="22"/>
          <w:u w:val="single"/>
        </w:rPr>
        <w:t xml:space="preserve"> </w:t>
      </w:r>
      <w:r w:rsidRPr="004F71D7">
        <w:rPr>
          <w:rFonts w:ascii="Calibri" w:hAnsi="Calibri"/>
          <w:color w:val="FF0000"/>
          <w:sz w:val="22"/>
          <w:szCs w:val="22"/>
          <w:u w:val="single"/>
        </w:rPr>
        <w:t>measures</w:t>
      </w:r>
      <w:r w:rsidRPr="0083100D">
        <w:rPr>
          <w:strike/>
          <w:sz w:val="22"/>
          <w:szCs w:val="22"/>
        </w:rPr>
        <w:t xml:space="preserve"> </w:t>
      </w:r>
      <w:r w:rsidRPr="0083100D">
        <w:rPr>
          <w:rFonts w:ascii="Calibri" w:hAnsi="Calibri"/>
          <w:strike/>
          <w:sz w:val="22"/>
          <w:szCs w:val="22"/>
        </w:rPr>
        <w:t>mechanisms</w:t>
      </w:r>
      <w:r w:rsidRPr="0083100D">
        <w:rPr>
          <w:sz w:val="22"/>
          <w:szCs w:val="22"/>
        </w:rPr>
        <w:t xml:space="preserve"> </w:t>
      </w:r>
      <w:r w:rsidRPr="0083100D">
        <w:rPr>
          <w:rFonts w:ascii="Calibri" w:hAnsi="Calibri"/>
          <w:sz w:val="22"/>
          <w:szCs w:val="22"/>
        </w:rPr>
        <w:t>established</w:t>
      </w:r>
      <w:r w:rsidRPr="004F71D7">
        <w:rPr>
          <w:color w:val="FF0000"/>
          <w:sz w:val="22"/>
          <w:szCs w:val="22"/>
          <w:u w:val="single"/>
        </w:rPr>
        <w:t xml:space="preserve"> </w:t>
      </w:r>
      <w:r w:rsidRPr="004F71D7">
        <w:rPr>
          <w:rFonts w:ascii="Calibri" w:hAnsi="Calibri"/>
          <w:color w:val="FF0000"/>
          <w:sz w:val="22"/>
          <w:szCs w:val="22"/>
          <w:u w:val="single"/>
        </w:rPr>
        <w:t>by the Oregon Department of Forestry</w:t>
      </w:r>
      <w:r w:rsidRPr="0083100D">
        <w:rPr>
          <w:sz w:val="22"/>
          <w:szCs w:val="22"/>
        </w:rPr>
        <w:t xml:space="preserve"> </w:t>
      </w:r>
      <w:r w:rsidRPr="0083100D">
        <w:rPr>
          <w:rFonts w:ascii="Calibri" w:hAnsi="Calibri"/>
          <w:sz w:val="22"/>
          <w:szCs w:val="22"/>
        </w:rPr>
        <w:t>under the Forest Practices Act (ORS 527.610 to 527.992)</w:t>
      </w:r>
      <w:r w:rsidRPr="004F71D7">
        <w:rPr>
          <w:rFonts w:ascii="Calibri" w:hAnsi="Calibri"/>
          <w:color w:val="FF0000"/>
          <w:sz w:val="22"/>
          <w:szCs w:val="22"/>
          <w:u w:val="single"/>
        </w:rPr>
        <w:t xml:space="preserve"> and must not cause violation of water quality standards.</w:t>
      </w:r>
      <w:r w:rsidRPr="004F71D7">
        <w:rPr>
          <w:strike/>
          <w:sz w:val="22"/>
          <w:szCs w:val="22"/>
        </w:rPr>
        <w:t xml:space="preserve"> </w:t>
      </w:r>
      <w:proofErr w:type="gramStart"/>
      <w:r w:rsidRPr="0083100D">
        <w:rPr>
          <w:rFonts w:ascii="Calibri" w:hAnsi="Calibri"/>
          <w:strike/>
          <w:sz w:val="22"/>
          <w:szCs w:val="22"/>
        </w:rPr>
        <w:t>and</w:t>
      </w:r>
      <w:proofErr w:type="gramEnd"/>
      <w:r w:rsidRPr="0083100D">
        <w:rPr>
          <w:rFonts w:ascii="Calibri" w:hAnsi="Calibri"/>
          <w:strike/>
          <w:sz w:val="22"/>
          <w:szCs w:val="22"/>
        </w:rPr>
        <w:t xml:space="preserve"> rules </w:t>
      </w:r>
      <w:proofErr w:type="spellStart"/>
      <w:r w:rsidRPr="0083100D">
        <w:rPr>
          <w:rFonts w:ascii="Calibri" w:hAnsi="Calibri"/>
          <w:strike/>
          <w:sz w:val="22"/>
          <w:szCs w:val="22"/>
        </w:rPr>
        <w:t>thereunder</w:t>
      </w:r>
      <w:proofErr w:type="spellEnd"/>
      <w:r w:rsidRPr="0083100D">
        <w:rPr>
          <w:rFonts w:ascii="Calibri" w:hAnsi="Calibri"/>
          <w:strike/>
          <w:sz w:val="22"/>
          <w:szCs w:val="22"/>
        </w:rPr>
        <w:t xml:space="preserve">, administered by the Oregon Department of Forestry. Therefore, </w:t>
      </w:r>
      <w:r>
        <w:rPr>
          <w:rFonts w:ascii="Calibri" w:hAnsi="Calibri"/>
          <w:strike/>
          <w:sz w:val="22"/>
          <w:szCs w:val="22"/>
        </w:rPr>
        <w:t xml:space="preserve"> </w:t>
      </w:r>
      <w:r w:rsidRPr="004F71D7">
        <w:rPr>
          <w:rFonts w:ascii="Calibri" w:hAnsi="Calibri"/>
          <w:color w:val="FF0000"/>
          <w:sz w:val="22"/>
          <w:szCs w:val="22"/>
          <w:u w:val="single"/>
        </w:rPr>
        <w:t xml:space="preserve">Such </w:t>
      </w:r>
      <w:r w:rsidRPr="004F71D7">
        <w:rPr>
          <w:rFonts w:ascii="Calibri" w:hAnsi="Calibri"/>
          <w:sz w:val="22"/>
          <w:szCs w:val="22"/>
        </w:rPr>
        <w:t>f</w:t>
      </w:r>
      <w:r w:rsidRPr="0083100D">
        <w:rPr>
          <w:rFonts w:ascii="Calibri" w:hAnsi="Calibri"/>
          <w:sz w:val="22"/>
          <w:szCs w:val="22"/>
        </w:rPr>
        <w:t>orest operations</w:t>
      </w:r>
      <w:r w:rsidRPr="004F71D7">
        <w:rPr>
          <w:rFonts w:ascii="Calibri" w:hAnsi="Calibri"/>
          <w:color w:val="FF0000"/>
          <w:sz w:val="22"/>
          <w:szCs w:val="22"/>
          <w:u w:val="single"/>
        </w:rPr>
        <w:t>, when conducted in good faith</w:t>
      </w:r>
      <w:r w:rsidRPr="004F71D7">
        <w:rPr>
          <w:strike/>
          <w:color w:val="FF0000"/>
          <w:sz w:val="22"/>
          <w:szCs w:val="22"/>
        </w:rPr>
        <w:t xml:space="preserve"> </w:t>
      </w:r>
      <w:r w:rsidRPr="0083100D">
        <w:rPr>
          <w:rFonts w:ascii="Calibri" w:hAnsi="Calibri"/>
          <w:strike/>
          <w:sz w:val="22"/>
          <w:szCs w:val="22"/>
        </w:rPr>
        <w:t>that are in</w:t>
      </w:r>
      <w:r w:rsidRPr="0083100D">
        <w:rPr>
          <w:rFonts w:ascii="Calibri" w:hAnsi="Calibri"/>
          <w:sz w:val="22"/>
          <w:szCs w:val="22"/>
        </w:rPr>
        <w:t xml:space="preserve"> compliance with the Forest Practices Act requirements are</w:t>
      </w:r>
      <w:r w:rsidRPr="0083100D">
        <w:rPr>
          <w:sz w:val="22"/>
          <w:szCs w:val="22"/>
          <w:u w:val="single"/>
        </w:rPr>
        <w:t xml:space="preserve"> </w:t>
      </w:r>
      <w:r w:rsidRPr="004F71D7">
        <w:rPr>
          <w:rFonts w:ascii="Calibri" w:hAnsi="Calibri"/>
          <w:color w:val="FF0000"/>
          <w:sz w:val="22"/>
          <w:szCs w:val="22"/>
          <w:u w:val="single"/>
        </w:rPr>
        <w:t>generally deemed not to cause violations of water quality standards as provided in</w:t>
      </w:r>
      <w:r w:rsidRPr="0083100D">
        <w:rPr>
          <w:strike/>
          <w:sz w:val="22"/>
          <w:szCs w:val="22"/>
        </w:rPr>
        <w:t xml:space="preserve"> </w:t>
      </w:r>
      <w:r w:rsidRPr="0083100D">
        <w:rPr>
          <w:rFonts w:ascii="Calibri" w:hAnsi="Calibri"/>
          <w:strike/>
          <w:sz w:val="22"/>
          <w:szCs w:val="22"/>
        </w:rPr>
        <w:t>(except for the limits set out in</w:t>
      </w:r>
      <w:r w:rsidRPr="0083100D">
        <w:rPr>
          <w:sz w:val="22"/>
          <w:szCs w:val="22"/>
        </w:rPr>
        <w:t xml:space="preserve"> </w:t>
      </w:r>
      <w:r w:rsidRPr="0083100D">
        <w:rPr>
          <w:rFonts w:ascii="Calibri" w:hAnsi="Calibri"/>
          <w:sz w:val="22"/>
          <w:szCs w:val="22"/>
        </w:rPr>
        <w:t>ORS 527.770</w:t>
      </w:r>
      <w:r w:rsidRPr="0083100D">
        <w:rPr>
          <w:rFonts w:ascii="Calibri" w:hAnsi="Calibri"/>
          <w:strike/>
          <w:sz w:val="22"/>
          <w:szCs w:val="22"/>
        </w:rPr>
        <w:t>)</w:t>
      </w:r>
      <w:r w:rsidRPr="004F71D7">
        <w:rPr>
          <w:rFonts w:ascii="Calibri" w:hAnsi="Calibri"/>
          <w:color w:val="FF0000"/>
          <w:sz w:val="22"/>
          <w:szCs w:val="22"/>
          <w:u w:val="single"/>
        </w:rPr>
        <w:t xml:space="preserve">.  </w:t>
      </w:r>
      <w:proofErr w:type="gramStart"/>
      <w:r w:rsidRPr="004F71D7">
        <w:rPr>
          <w:rFonts w:ascii="Calibri" w:hAnsi="Calibri"/>
          <w:color w:val="FF0000"/>
          <w:sz w:val="22"/>
          <w:szCs w:val="22"/>
          <w:u w:val="single"/>
        </w:rPr>
        <w:t>Forest operations on state and private lands may be subject to load allocations under ORS 468.110 and OAR 340, Division 42 to the extent necessary to implement the federal Clean Water Act.</w:t>
      </w:r>
      <w:proofErr w:type="gramEnd"/>
      <w:r w:rsidRPr="004F71D7">
        <w:rPr>
          <w:rFonts w:ascii="Calibri" w:hAnsi="Calibri"/>
          <w:color w:val="FF0000"/>
          <w:sz w:val="22"/>
          <w:szCs w:val="22"/>
          <w:u w:val="single"/>
        </w:rPr>
        <w:t> </w:t>
      </w:r>
      <w:r w:rsidRPr="004F71D7">
        <w:rPr>
          <w:color w:val="FF0000"/>
          <w:sz w:val="22"/>
          <w:szCs w:val="22"/>
        </w:rPr>
        <w:t> </w:t>
      </w:r>
      <w:r w:rsidRPr="004F71D7">
        <w:rPr>
          <w:rFonts w:ascii="Calibri" w:hAnsi="Calibri"/>
          <w:color w:val="FF0000"/>
          <w:sz w:val="22"/>
          <w:szCs w:val="22"/>
        </w:rPr>
        <w:t xml:space="preserve"> </w:t>
      </w:r>
      <w:proofErr w:type="gramStart"/>
      <w:r w:rsidRPr="0083100D">
        <w:rPr>
          <w:rFonts w:ascii="Calibri" w:hAnsi="Calibri"/>
          <w:strike/>
          <w:sz w:val="22"/>
          <w:szCs w:val="22"/>
        </w:rPr>
        <w:t>deemed</w:t>
      </w:r>
      <w:proofErr w:type="gramEnd"/>
      <w:r w:rsidRPr="0083100D">
        <w:rPr>
          <w:rFonts w:ascii="Calibri" w:hAnsi="Calibri"/>
          <w:strike/>
          <w:sz w:val="22"/>
          <w:szCs w:val="22"/>
        </w:rPr>
        <w:t xml:space="preserve"> in compliance with this division. DEQ will work with the Oregon Department of Forestry to revise the Forest Practices program to attain water quality standards.</w:t>
      </w:r>
    </w:p>
    <w:p w:rsidR="005B432E" w:rsidRPr="0078189E" w:rsidRDefault="005B432E" w:rsidP="005B432E">
      <w:pPr>
        <w:pStyle w:val="NormalWeb"/>
        <w:rPr>
          <w:rFonts w:asciiTheme="minorHAnsi" w:hAnsiTheme="minorHAnsi"/>
          <w:sz w:val="22"/>
          <w:szCs w:val="22"/>
        </w:rPr>
      </w:pPr>
      <w:r w:rsidRPr="0078189E">
        <w:rPr>
          <w:rFonts w:asciiTheme="minorHAnsi" w:hAnsiTheme="minorHAnsi"/>
          <w:sz w:val="22"/>
          <w:szCs w:val="22"/>
        </w:rPr>
        <w:t>(</w:t>
      </w:r>
      <w:r w:rsidRPr="0078189E">
        <w:rPr>
          <w:rFonts w:asciiTheme="minorHAnsi" w:hAnsiTheme="minorHAnsi"/>
          <w:strike/>
          <w:sz w:val="22"/>
          <w:szCs w:val="22"/>
        </w:rPr>
        <w:t>12</w:t>
      </w:r>
      <w:r w:rsidRPr="004F71D7">
        <w:rPr>
          <w:rFonts w:asciiTheme="minorHAnsi" w:hAnsiTheme="minorHAnsi"/>
          <w:color w:val="FF0000"/>
          <w:sz w:val="22"/>
          <w:szCs w:val="22"/>
          <w:u w:val="single"/>
        </w:rPr>
        <w:t>11</w:t>
      </w:r>
      <w:r w:rsidRPr="0078189E">
        <w:rPr>
          <w:rFonts w:asciiTheme="minorHAnsi" w:hAnsiTheme="minorHAnsi"/>
          <w:sz w:val="22"/>
          <w:szCs w:val="22"/>
        </w:rPr>
        <w:t xml:space="preserve">) </w:t>
      </w:r>
      <w:r w:rsidRPr="004F71D7">
        <w:rPr>
          <w:rFonts w:asciiTheme="minorHAnsi" w:hAnsiTheme="minorHAnsi"/>
          <w:color w:val="FF0000"/>
          <w:sz w:val="22"/>
          <w:szCs w:val="22"/>
          <w:u w:val="single"/>
        </w:rPr>
        <w:t>In areas subject to the</w:t>
      </w:r>
      <w:r w:rsidRPr="0078189E">
        <w:rPr>
          <w:rFonts w:asciiTheme="minorHAnsi" w:hAnsiTheme="minorHAnsi"/>
          <w:sz w:val="22"/>
          <w:szCs w:val="22"/>
        </w:rPr>
        <w:t xml:space="preserve"> Agricultural </w:t>
      </w:r>
      <w:proofErr w:type="spellStart"/>
      <w:r w:rsidRPr="004F71D7">
        <w:rPr>
          <w:rFonts w:asciiTheme="minorHAnsi" w:hAnsiTheme="minorHAnsi"/>
          <w:color w:val="FF0000"/>
          <w:sz w:val="22"/>
          <w:szCs w:val="22"/>
          <w:u w:val="single"/>
        </w:rPr>
        <w:t>W</w:t>
      </w:r>
      <w:r w:rsidRPr="0078189E">
        <w:rPr>
          <w:rFonts w:asciiTheme="minorHAnsi" w:hAnsiTheme="minorHAnsi"/>
          <w:strike/>
          <w:sz w:val="22"/>
          <w:szCs w:val="22"/>
        </w:rPr>
        <w:t>w</w:t>
      </w:r>
      <w:r w:rsidRPr="0078189E">
        <w:rPr>
          <w:rFonts w:asciiTheme="minorHAnsi" w:hAnsiTheme="minorHAnsi"/>
          <w:sz w:val="22"/>
          <w:szCs w:val="22"/>
        </w:rPr>
        <w:t>ater</w:t>
      </w:r>
      <w:proofErr w:type="spellEnd"/>
      <w:r w:rsidRPr="0078189E">
        <w:rPr>
          <w:rFonts w:asciiTheme="minorHAnsi" w:hAnsiTheme="minorHAnsi"/>
          <w:sz w:val="22"/>
          <w:szCs w:val="22"/>
        </w:rPr>
        <w:t xml:space="preserve"> </w:t>
      </w:r>
      <w:proofErr w:type="spellStart"/>
      <w:r w:rsidRPr="004F71D7">
        <w:rPr>
          <w:rFonts w:asciiTheme="minorHAnsi" w:hAnsiTheme="minorHAnsi"/>
          <w:color w:val="FF0000"/>
          <w:sz w:val="22"/>
          <w:szCs w:val="22"/>
          <w:u w:val="single"/>
        </w:rPr>
        <w:t>Q</w:t>
      </w:r>
      <w:r w:rsidRPr="0078189E">
        <w:rPr>
          <w:rFonts w:asciiTheme="minorHAnsi" w:hAnsiTheme="minorHAnsi"/>
          <w:strike/>
          <w:sz w:val="22"/>
          <w:szCs w:val="22"/>
        </w:rPr>
        <w:t>q</w:t>
      </w:r>
      <w:r w:rsidRPr="0078189E">
        <w:rPr>
          <w:rFonts w:asciiTheme="minorHAnsi" w:hAnsiTheme="minorHAnsi"/>
          <w:sz w:val="22"/>
          <w:szCs w:val="22"/>
        </w:rPr>
        <w:t>uality</w:t>
      </w:r>
      <w:proofErr w:type="spellEnd"/>
      <w:r w:rsidRPr="0078189E">
        <w:rPr>
          <w:rFonts w:asciiTheme="minorHAnsi" w:hAnsiTheme="minorHAnsi"/>
          <w:sz w:val="22"/>
          <w:szCs w:val="22"/>
        </w:rPr>
        <w:t xml:space="preserve"> </w:t>
      </w:r>
      <w:proofErr w:type="spellStart"/>
      <w:r w:rsidRPr="004F71D7">
        <w:rPr>
          <w:rFonts w:asciiTheme="minorHAnsi" w:hAnsiTheme="minorHAnsi"/>
          <w:color w:val="FF0000"/>
          <w:sz w:val="22"/>
          <w:szCs w:val="22"/>
          <w:u w:val="single"/>
        </w:rPr>
        <w:t>M</w:t>
      </w:r>
      <w:r w:rsidRPr="0078189E">
        <w:rPr>
          <w:rFonts w:asciiTheme="minorHAnsi" w:hAnsiTheme="minorHAnsi"/>
          <w:strike/>
          <w:sz w:val="22"/>
          <w:szCs w:val="22"/>
        </w:rPr>
        <w:t>m</w:t>
      </w:r>
      <w:r w:rsidRPr="0078189E">
        <w:rPr>
          <w:rFonts w:asciiTheme="minorHAnsi" w:hAnsiTheme="minorHAnsi"/>
          <w:sz w:val="22"/>
          <w:szCs w:val="22"/>
        </w:rPr>
        <w:t>anagement</w:t>
      </w:r>
      <w:proofErr w:type="spellEnd"/>
      <w:r w:rsidRPr="0078189E">
        <w:rPr>
          <w:rFonts w:asciiTheme="minorHAnsi" w:hAnsiTheme="minorHAnsi"/>
          <w:sz w:val="22"/>
          <w:szCs w:val="22"/>
        </w:rPr>
        <w:t xml:space="preserve"> </w:t>
      </w:r>
      <w:r w:rsidRPr="004F71D7">
        <w:rPr>
          <w:rFonts w:asciiTheme="minorHAnsi" w:hAnsiTheme="minorHAnsi"/>
          <w:color w:val="FF0000"/>
          <w:sz w:val="22"/>
          <w:szCs w:val="22"/>
          <w:u w:val="single"/>
        </w:rPr>
        <w:t xml:space="preserve">Act </w:t>
      </w:r>
      <w:r w:rsidRPr="0078189E">
        <w:rPr>
          <w:rFonts w:asciiTheme="minorHAnsi" w:hAnsiTheme="minorHAnsi"/>
          <w:strike/>
          <w:sz w:val="22"/>
          <w:szCs w:val="22"/>
        </w:rPr>
        <w:t xml:space="preserve">plans to reduce agricultural nonpoint source pollution are developed and implemented by </w:t>
      </w:r>
      <w:r w:rsidRPr="0078189E">
        <w:rPr>
          <w:rFonts w:asciiTheme="minorHAnsi" w:hAnsiTheme="minorHAnsi"/>
          <w:sz w:val="22"/>
          <w:szCs w:val="22"/>
        </w:rPr>
        <w:t xml:space="preserve">the Oregon Department of Agriculture (ODA) </w:t>
      </w:r>
      <w:r w:rsidRPr="0078189E">
        <w:rPr>
          <w:rFonts w:asciiTheme="minorHAnsi" w:hAnsiTheme="minorHAnsi"/>
          <w:strike/>
          <w:sz w:val="22"/>
          <w:szCs w:val="22"/>
        </w:rPr>
        <w:t>through a cooperative agreement with the department to implement applicable provisions of</w:t>
      </w:r>
      <w:r w:rsidRPr="0078189E">
        <w:rPr>
          <w:rFonts w:asciiTheme="minorHAnsi" w:hAnsiTheme="minorHAnsi"/>
          <w:sz w:val="22"/>
          <w:szCs w:val="22"/>
        </w:rPr>
        <w:t xml:space="preserve"> </w:t>
      </w:r>
      <w:r w:rsidRPr="004F71D7">
        <w:rPr>
          <w:rFonts w:asciiTheme="minorHAnsi" w:hAnsiTheme="minorHAnsi"/>
          <w:color w:val="FF0000"/>
          <w:sz w:val="22"/>
          <w:szCs w:val="22"/>
          <w:u w:val="single"/>
        </w:rPr>
        <w:t>under</w:t>
      </w:r>
      <w:r w:rsidRPr="004F71D7">
        <w:rPr>
          <w:rFonts w:asciiTheme="minorHAnsi" w:hAnsiTheme="minorHAnsi"/>
          <w:color w:val="FF0000"/>
          <w:sz w:val="22"/>
          <w:szCs w:val="22"/>
        </w:rPr>
        <w:t xml:space="preserve"> </w:t>
      </w:r>
      <w:r w:rsidRPr="0078189E">
        <w:rPr>
          <w:rFonts w:asciiTheme="minorHAnsi" w:hAnsiTheme="minorHAnsi"/>
          <w:sz w:val="22"/>
          <w:szCs w:val="22"/>
        </w:rPr>
        <w:t xml:space="preserve">ORS 568.900 to 568.933 and 561.191 </w:t>
      </w:r>
      <w:r w:rsidRPr="004F71D7">
        <w:rPr>
          <w:rFonts w:asciiTheme="minorHAnsi" w:hAnsiTheme="minorHAnsi"/>
          <w:color w:val="FF0000"/>
          <w:sz w:val="22"/>
          <w:szCs w:val="22"/>
          <w:u w:val="single"/>
        </w:rPr>
        <w:t>develops and implements agricultural water quality management area plans and rules to prevent and control water pollution from agricultural activities and soil erosion on agricultural and rural lands.</w:t>
      </w:r>
      <w:r>
        <w:rPr>
          <w:rFonts w:asciiTheme="minorHAnsi" w:hAnsiTheme="minorHAnsi"/>
          <w:color w:val="FF0000"/>
          <w:sz w:val="22"/>
          <w:szCs w:val="22"/>
          <w:u w:val="single"/>
        </w:rPr>
        <w:t xml:space="preserve"> </w:t>
      </w:r>
      <w:r w:rsidRPr="004F71D7">
        <w:rPr>
          <w:rFonts w:asciiTheme="minorHAnsi" w:hAnsiTheme="minorHAnsi"/>
          <w:color w:val="FF0000"/>
          <w:sz w:val="22"/>
          <w:szCs w:val="22"/>
          <w:u w:val="single"/>
        </w:rPr>
        <w:t xml:space="preserve"> Area plans and rules must be designed to achieve and maintain water quality standards.  If</w:t>
      </w:r>
      <w:r w:rsidRPr="0078189E">
        <w:rPr>
          <w:rFonts w:asciiTheme="minorHAnsi" w:hAnsiTheme="minorHAnsi"/>
          <w:sz w:val="22"/>
          <w:szCs w:val="22"/>
        </w:rPr>
        <w:t xml:space="preserve"> the department </w:t>
      </w:r>
      <w:r w:rsidRPr="0078189E">
        <w:rPr>
          <w:rFonts w:asciiTheme="minorHAnsi" w:hAnsiTheme="minorHAnsi"/>
          <w:strike/>
          <w:sz w:val="22"/>
          <w:szCs w:val="22"/>
        </w:rPr>
        <w:t>has reason to believe</w:t>
      </w:r>
      <w:r w:rsidRPr="0078189E">
        <w:rPr>
          <w:rFonts w:asciiTheme="minorHAnsi" w:hAnsiTheme="minorHAnsi"/>
          <w:sz w:val="22"/>
          <w:szCs w:val="22"/>
        </w:rPr>
        <w:t xml:space="preserve"> </w:t>
      </w:r>
      <w:r w:rsidRPr="004F71D7">
        <w:rPr>
          <w:rFonts w:asciiTheme="minorHAnsi" w:hAnsiTheme="minorHAnsi"/>
          <w:color w:val="FF0000"/>
          <w:sz w:val="22"/>
          <w:szCs w:val="22"/>
          <w:u w:val="single"/>
        </w:rPr>
        <w:t xml:space="preserve">determines </w:t>
      </w:r>
      <w:r w:rsidRPr="0078189E">
        <w:rPr>
          <w:rFonts w:asciiTheme="minorHAnsi" w:hAnsiTheme="minorHAnsi"/>
          <w:sz w:val="22"/>
          <w:szCs w:val="22"/>
        </w:rPr>
        <w:t xml:space="preserve">that </w:t>
      </w:r>
      <w:r w:rsidRPr="004F71D7">
        <w:rPr>
          <w:rFonts w:asciiTheme="minorHAnsi" w:hAnsiTheme="minorHAnsi"/>
          <w:color w:val="FF0000"/>
          <w:sz w:val="22"/>
          <w:szCs w:val="22"/>
          <w:u w:val="single"/>
        </w:rPr>
        <w:t>the area plan and rules are not adequate to</w:t>
      </w:r>
      <w:r w:rsidRPr="0078189E">
        <w:rPr>
          <w:rFonts w:asciiTheme="minorHAnsi" w:hAnsiTheme="minorHAnsi"/>
          <w:sz w:val="22"/>
          <w:szCs w:val="22"/>
        </w:rPr>
        <w:t xml:space="preserve"> </w:t>
      </w:r>
      <w:r w:rsidRPr="0078189E">
        <w:rPr>
          <w:rFonts w:asciiTheme="minorHAnsi" w:hAnsiTheme="minorHAnsi"/>
          <w:strike/>
          <w:sz w:val="22"/>
          <w:szCs w:val="22"/>
        </w:rPr>
        <w:t>agricultural discharges or activities are contributing to water quality problems resulting in</w:t>
      </w:r>
      <w:r w:rsidRPr="0078189E">
        <w:rPr>
          <w:rFonts w:asciiTheme="minorHAnsi" w:hAnsiTheme="minorHAnsi"/>
          <w:sz w:val="22"/>
          <w:szCs w:val="22"/>
        </w:rPr>
        <w:t xml:space="preserve"> </w:t>
      </w:r>
      <w:r w:rsidRPr="004F71D7">
        <w:rPr>
          <w:rFonts w:asciiTheme="minorHAnsi" w:hAnsiTheme="minorHAnsi"/>
          <w:color w:val="FF0000"/>
          <w:sz w:val="22"/>
          <w:szCs w:val="22"/>
          <w:u w:val="single"/>
        </w:rPr>
        <w:t>achieve and maintain</w:t>
      </w:r>
      <w:r w:rsidRPr="0078189E">
        <w:rPr>
          <w:rFonts w:asciiTheme="minorHAnsi" w:hAnsiTheme="minorHAnsi"/>
          <w:sz w:val="22"/>
          <w:szCs w:val="22"/>
        </w:rPr>
        <w:t xml:space="preserve"> water quality standards</w:t>
      </w:r>
      <w:r w:rsidRPr="004F71D7">
        <w:rPr>
          <w:rFonts w:asciiTheme="minorHAnsi" w:hAnsiTheme="minorHAnsi"/>
          <w:color w:val="FF0000"/>
          <w:sz w:val="22"/>
          <w:szCs w:val="22"/>
          <w:u w:val="single"/>
        </w:rPr>
        <w:t>, the department will provide ODA with comments on what would be sufficient to meet WQS or TMDL load allocations.  In addition, the department may request the Environmental Quality Commission (EQC) to petition</w:t>
      </w:r>
      <w:r w:rsidRPr="0078189E">
        <w:rPr>
          <w:rFonts w:asciiTheme="minorHAnsi" w:hAnsiTheme="minorHAnsi"/>
          <w:sz w:val="22"/>
          <w:szCs w:val="22"/>
          <w:u w:val="single"/>
        </w:rPr>
        <w:t xml:space="preserve"> </w:t>
      </w:r>
      <w:r w:rsidRPr="004F71D7">
        <w:rPr>
          <w:rFonts w:asciiTheme="minorHAnsi" w:hAnsiTheme="minorHAnsi"/>
          <w:strike/>
          <w:sz w:val="22"/>
          <w:szCs w:val="22"/>
        </w:rPr>
        <w:t>violations,</w:t>
      </w:r>
      <w:r w:rsidRPr="0078189E">
        <w:rPr>
          <w:rFonts w:asciiTheme="minorHAnsi" w:hAnsiTheme="minorHAnsi"/>
          <w:strike/>
          <w:sz w:val="22"/>
          <w:szCs w:val="22"/>
        </w:rPr>
        <w:t xml:space="preserve"> the department may consult with the </w:t>
      </w:r>
      <w:r w:rsidRPr="0078189E">
        <w:rPr>
          <w:rFonts w:asciiTheme="minorHAnsi" w:hAnsiTheme="minorHAnsi"/>
          <w:sz w:val="22"/>
          <w:szCs w:val="22"/>
        </w:rPr>
        <w:t xml:space="preserve">ODA </w:t>
      </w:r>
      <w:r w:rsidRPr="004F71D7">
        <w:rPr>
          <w:rFonts w:asciiTheme="minorHAnsi" w:hAnsiTheme="minorHAnsi"/>
          <w:color w:val="FF0000"/>
          <w:sz w:val="22"/>
          <w:szCs w:val="22"/>
          <w:u w:val="single"/>
        </w:rPr>
        <w:t xml:space="preserve">for a review of part or all </w:t>
      </w:r>
      <w:proofErr w:type="gramStart"/>
      <w:r w:rsidRPr="004F71D7">
        <w:rPr>
          <w:rFonts w:asciiTheme="minorHAnsi" w:hAnsiTheme="minorHAnsi"/>
          <w:color w:val="FF0000"/>
          <w:sz w:val="22"/>
          <w:szCs w:val="22"/>
          <w:u w:val="single"/>
        </w:rPr>
        <w:t>of</w:t>
      </w:r>
      <w:r w:rsidRPr="0078189E">
        <w:rPr>
          <w:rFonts w:asciiTheme="minorHAnsi" w:hAnsiTheme="minorHAnsi"/>
          <w:sz w:val="22"/>
          <w:szCs w:val="22"/>
          <w:u w:val="single"/>
        </w:rPr>
        <w:t xml:space="preserve"> </w:t>
      </w:r>
      <w:r w:rsidRPr="004F71D7">
        <w:rPr>
          <w:rFonts w:asciiTheme="minorHAnsi" w:hAnsiTheme="minorHAnsi"/>
          <w:strike/>
          <w:sz w:val="22"/>
          <w:szCs w:val="22"/>
        </w:rPr>
        <w:t>.</w:t>
      </w:r>
      <w:proofErr w:type="gramEnd"/>
      <w:r w:rsidRPr="004F71D7">
        <w:rPr>
          <w:rFonts w:asciiTheme="minorHAnsi" w:hAnsiTheme="minorHAnsi"/>
          <w:strike/>
          <w:sz w:val="22"/>
          <w:szCs w:val="22"/>
        </w:rPr>
        <w:t xml:space="preserve"> If</w:t>
      </w:r>
      <w:r w:rsidRPr="0078189E">
        <w:rPr>
          <w:rFonts w:asciiTheme="minorHAnsi" w:hAnsiTheme="minorHAnsi"/>
          <w:strike/>
          <w:sz w:val="22"/>
          <w:szCs w:val="22"/>
        </w:rPr>
        <w:t xml:space="preserve"> water quality impacts are likely from agricultural sources and the department determines that a</w:t>
      </w:r>
      <w:r w:rsidRPr="0078189E">
        <w:rPr>
          <w:rFonts w:asciiTheme="minorHAnsi" w:hAnsiTheme="minorHAnsi"/>
          <w:sz w:val="22"/>
          <w:szCs w:val="22"/>
        </w:rPr>
        <w:t xml:space="preserve"> water quality management </w:t>
      </w:r>
      <w:r w:rsidRPr="004F71D7">
        <w:rPr>
          <w:rFonts w:asciiTheme="minorHAnsi" w:hAnsiTheme="minorHAnsi"/>
          <w:color w:val="FF0000"/>
          <w:sz w:val="22"/>
          <w:szCs w:val="22"/>
          <w:u w:val="single"/>
        </w:rPr>
        <w:t>area</w:t>
      </w:r>
      <w:r w:rsidRPr="0078189E">
        <w:rPr>
          <w:rFonts w:asciiTheme="minorHAnsi" w:hAnsiTheme="minorHAnsi"/>
          <w:sz w:val="22"/>
          <w:szCs w:val="22"/>
          <w:u w:val="single"/>
        </w:rPr>
        <w:t xml:space="preserve"> </w:t>
      </w:r>
      <w:r w:rsidRPr="0078189E">
        <w:rPr>
          <w:rFonts w:asciiTheme="minorHAnsi" w:hAnsiTheme="minorHAnsi"/>
          <w:sz w:val="22"/>
          <w:szCs w:val="22"/>
        </w:rPr>
        <w:t xml:space="preserve">plan </w:t>
      </w:r>
      <w:r w:rsidRPr="004F71D7">
        <w:rPr>
          <w:rFonts w:asciiTheme="minorHAnsi" w:hAnsiTheme="minorHAnsi"/>
          <w:color w:val="FF0000"/>
          <w:sz w:val="22"/>
          <w:szCs w:val="22"/>
          <w:u w:val="single"/>
        </w:rPr>
        <w:t>and rules.</w:t>
      </w:r>
      <w:r>
        <w:rPr>
          <w:rFonts w:asciiTheme="minorHAnsi" w:hAnsiTheme="minorHAnsi"/>
          <w:color w:val="FF0000"/>
          <w:sz w:val="22"/>
          <w:szCs w:val="22"/>
          <w:u w:val="single"/>
        </w:rPr>
        <w:t xml:space="preserve">  If a </w:t>
      </w:r>
      <w:r w:rsidRPr="00A25D93">
        <w:rPr>
          <w:rFonts w:asciiTheme="minorHAnsi" w:hAnsiTheme="minorHAnsi"/>
          <w:color w:val="FF0000"/>
          <w:sz w:val="22"/>
          <w:szCs w:val="22"/>
          <w:u w:val="single"/>
        </w:rPr>
        <w:t>person subject to an ODA area plan and implementing rules</w:t>
      </w:r>
      <w:r w:rsidRPr="00A25D93">
        <w:rPr>
          <w:rFonts w:ascii="Georgia" w:hAnsi="Georgia"/>
          <w:color w:val="FF0000"/>
          <w:u w:val="single"/>
        </w:rPr>
        <w:t xml:space="preserve"> </w:t>
      </w:r>
      <w:r w:rsidRPr="00A25D93">
        <w:rPr>
          <w:rFonts w:asciiTheme="minorHAnsi" w:hAnsiTheme="minorHAnsi"/>
          <w:color w:val="FF0000"/>
          <w:sz w:val="22"/>
          <w:szCs w:val="22"/>
          <w:u w:val="single"/>
        </w:rPr>
        <w:t>causes</w:t>
      </w:r>
      <w:r>
        <w:rPr>
          <w:rFonts w:asciiTheme="minorHAnsi" w:hAnsiTheme="minorHAnsi"/>
          <w:color w:val="FF0000"/>
          <w:sz w:val="22"/>
          <w:szCs w:val="22"/>
          <w:u w:val="single"/>
        </w:rPr>
        <w:t xml:space="preserve"> or contributes</w:t>
      </w:r>
      <w:r w:rsidRPr="004F71D7">
        <w:rPr>
          <w:rFonts w:asciiTheme="minorHAnsi" w:hAnsiTheme="minorHAnsi"/>
          <w:color w:val="FF0000"/>
          <w:sz w:val="22"/>
          <w:szCs w:val="22"/>
          <w:u w:val="single"/>
        </w:rPr>
        <w:t xml:space="preserve"> to water quality standards violations, the department will refer the activity to ODA for further evaluation and potential requirements.  The department may also require remedies of </w:t>
      </w:r>
      <w:r>
        <w:rPr>
          <w:rFonts w:asciiTheme="minorHAnsi" w:hAnsiTheme="minorHAnsi"/>
          <w:color w:val="FF0000"/>
          <w:sz w:val="22"/>
          <w:szCs w:val="22"/>
          <w:u w:val="single"/>
        </w:rPr>
        <w:t>a person</w:t>
      </w:r>
      <w:r w:rsidRPr="004F71D7">
        <w:rPr>
          <w:rFonts w:asciiTheme="minorHAnsi" w:hAnsiTheme="minorHAnsi"/>
          <w:color w:val="FF0000"/>
          <w:sz w:val="22"/>
          <w:szCs w:val="22"/>
          <w:u w:val="single"/>
        </w:rPr>
        <w:t xml:space="preserve"> causing pollution or contributing to water quality standards violation if ODA does not take action.</w:t>
      </w:r>
      <w:r w:rsidRPr="0078189E">
        <w:rPr>
          <w:rFonts w:asciiTheme="minorHAnsi" w:hAnsiTheme="minorHAnsi"/>
          <w:sz w:val="22"/>
          <w:szCs w:val="22"/>
        </w:rPr>
        <w:t xml:space="preserve"> </w:t>
      </w:r>
      <w:r w:rsidRPr="0078189E">
        <w:rPr>
          <w:rFonts w:asciiTheme="minorHAnsi" w:hAnsiTheme="minorHAnsi"/>
          <w:strike/>
          <w:sz w:val="22"/>
          <w:szCs w:val="22"/>
        </w:rPr>
        <w:t xml:space="preserve"> </w:t>
      </w:r>
      <w:proofErr w:type="gramStart"/>
      <w:r w:rsidRPr="0078189E">
        <w:rPr>
          <w:rFonts w:asciiTheme="minorHAnsi" w:hAnsiTheme="minorHAnsi"/>
          <w:strike/>
          <w:sz w:val="22"/>
          <w:szCs w:val="22"/>
        </w:rPr>
        <w:t>is</w:t>
      </w:r>
      <w:proofErr w:type="gramEnd"/>
      <w:r w:rsidRPr="0078189E">
        <w:rPr>
          <w:rFonts w:asciiTheme="minorHAnsi" w:hAnsiTheme="minorHAnsi"/>
          <w:strike/>
          <w:sz w:val="22"/>
          <w:szCs w:val="22"/>
        </w:rPr>
        <w:t xml:space="preserve"> necessary, the director may write a letter to the director of the ODA requesting that such a management plan be prepared and implemented to reduce pollutant loads and achieve the water quality criteria.</w:t>
      </w:r>
    </w:p>
    <w:p w:rsidR="0078189E" w:rsidRPr="0078189E" w:rsidRDefault="005B432E" w:rsidP="0078189E">
      <w:pPr>
        <w:pStyle w:val="NormalWeb"/>
        <w:rPr>
          <w:rFonts w:asciiTheme="minorHAnsi" w:hAnsiTheme="minorHAnsi"/>
          <w:sz w:val="22"/>
          <w:szCs w:val="22"/>
        </w:rPr>
      </w:pPr>
      <w:r w:rsidRPr="0078189E">
        <w:rPr>
          <w:rFonts w:asciiTheme="minorHAnsi" w:hAnsiTheme="minorHAnsi"/>
          <w:sz w:val="22"/>
          <w:szCs w:val="22"/>
        </w:rPr>
        <w:t xml:space="preserve"> </w:t>
      </w:r>
      <w:proofErr w:type="gramStart"/>
      <w:r w:rsidR="0078189E" w:rsidRPr="0078189E">
        <w:rPr>
          <w:rFonts w:asciiTheme="minorHAnsi" w:hAnsiTheme="minorHAnsi"/>
          <w:sz w:val="22"/>
          <w:szCs w:val="22"/>
        </w:rPr>
        <w:t>(</w:t>
      </w:r>
      <w:r w:rsidR="0078189E" w:rsidRPr="0018613F">
        <w:rPr>
          <w:rFonts w:asciiTheme="minorHAnsi" w:hAnsiTheme="minorHAnsi"/>
          <w:strike/>
          <w:color w:val="FF0000"/>
          <w:sz w:val="22"/>
          <w:szCs w:val="22"/>
        </w:rPr>
        <w:t>13</w:t>
      </w:r>
      <w:r w:rsidR="0078189E" w:rsidRPr="0018613F">
        <w:rPr>
          <w:rFonts w:asciiTheme="minorHAnsi" w:hAnsiTheme="minorHAnsi"/>
          <w:color w:val="FF0000"/>
          <w:sz w:val="22"/>
          <w:szCs w:val="22"/>
          <w:u w:val="single"/>
        </w:rPr>
        <w:t>12</w:t>
      </w:r>
      <w:r w:rsidR="0078189E" w:rsidRPr="0078189E">
        <w:rPr>
          <w:rFonts w:asciiTheme="minorHAnsi" w:hAnsiTheme="minorHAnsi"/>
          <w:sz w:val="22"/>
          <w:szCs w:val="22"/>
        </w:rPr>
        <w:t>) Agriculture and forestry on federal lands.</w:t>
      </w:r>
      <w:proofErr w:type="gramEnd"/>
      <w:r w:rsidR="0078189E" w:rsidRPr="0078189E">
        <w:rPr>
          <w:rFonts w:asciiTheme="minorHAnsi" w:hAnsiTheme="minorHAnsi"/>
          <w:sz w:val="22"/>
          <w:szCs w:val="22"/>
        </w:rPr>
        <w:t xml:space="preserve"> Agriculture and forestry activities conducted on federal land must meet the requirements of this division and are subject to the department's jurisdiction. Pursuant to Memoranda of Agreement with the U.S. Forest Service and the Bureau of Land Management, water quality standards are expected to be met through the development and implementation of water quality restoration plans, best management practices, and aquatic conservation strategies. Where the department designates a federal agency as a designated management agency, implementation of these plans, practices, and strategies is deemed compliance with this division.</w:t>
      </w:r>
    </w:p>
    <w:p w:rsidR="0078189E" w:rsidRPr="0078189E" w:rsidRDefault="0078189E" w:rsidP="0078189E">
      <w:pPr>
        <w:pStyle w:val="NormalWeb"/>
        <w:rPr>
          <w:rFonts w:asciiTheme="minorHAnsi" w:hAnsiTheme="minorHAnsi"/>
          <w:sz w:val="22"/>
          <w:szCs w:val="22"/>
        </w:rPr>
      </w:pPr>
      <w:proofErr w:type="gramStart"/>
      <w:r w:rsidRPr="0078189E">
        <w:rPr>
          <w:rFonts w:asciiTheme="minorHAnsi" w:hAnsiTheme="minorHAnsi"/>
          <w:sz w:val="22"/>
          <w:szCs w:val="22"/>
        </w:rPr>
        <w:t>(</w:t>
      </w:r>
      <w:r w:rsidRPr="0018613F">
        <w:rPr>
          <w:rFonts w:asciiTheme="minorHAnsi" w:hAnsiTheme="minorHAnsi"/>
          <w:strike/>
          <w:color w:val="FF0000"/>
          <w:sz w:val="22"/>
          <w:szCs w:val="22"/>
        </w:rPr>
        <w:t>14</w:t>
      </w:r>
      <w:r w:rsidRPr="0018613F">
        <w:rPr>
          <w:rFonts w:asciiTheme="minorHAnsi" w:hAnsiTheme="minorHAnsi"/>
          <w:color w:val="FF0000"/>
          <w:sz w:val="22"/>
          <w:szCs w:val="22"/>
          <w:u w:val="single"/>
        </w:rPr>
        <w:t>13</w:t>
      </w:r>
      <w:r w:rsidRPr="0078189E">
        <w:rPr>
          <w:rFonts w:asciiTheme="minorHAnsi" w:hAnsiTheme="minorHAnsi"/>
          <w:sz w:val="22"/>
          <w:szCs w:val="22"/>
        </w:rPr>
        <w:t>) Testing methods.</w:t>
      </w:r>
      <w:proofErr w:type="gramEnd"/>
      <w:r w:rsidRPr="0078189E">
        <w:rPr>
          <w:rFonts w:asciiTheme="minorHAnsi" w:hAnsiTheme="minorHAnsi"/>
          <w:sz w:val="22"/>
          <w:szCs w:val="22"/>
        </w:rPr>
        <w:t xml:space="preserve"> The analytical testing methods for determining compliance with the water quality standards in this rule must comply with 40 CFR Part 136 or, if Part 136 does not prescribe a method, with the most recent edition of Standard Methods for the Examination of Water and Waste Water published jointly by the American Public Health Association, American Water Works Association, and Water Pollution Control Federation; if the department has published an applicable superseding method, testing must comply with the superseding method. Testing in accordance with an alternative method must comply with this rule if the department has published the method or has approved the method in writing.</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15</w:t>
      </w:r>
      <w:r w:rsidRPr="0018613F">
        <w:rPr>
          <w:rFonts w:asciiTheme="minorHAnsi" w:hAnsiTheme="minorHAnsi"/>
          <w:color w:val="FF0000"/>
          <w:sz w:val="22"/>
          <w:szCs w:val="22"/>
          <w:u w:val="single"/>
        </w:rPr>
        <w:t>14</w:t>
      </w:r>
      <w:r w:rsidRPr="0078189E">
        <w:rPr>
          <w:rFonts w:asciiTheme="minorHAnsi" w:hAnsiTheme="minorHAnsi"/>
          <w:sz w:val="22"/>
          <w:szCs w:val="22"/>
        </w:rPr>
        <w:t>) Reservoirs or managed lakes are deemed in compliance with water quality criteria for temperature, pH, or dissolved oxygen (DO) if all of the following circumstances exist.</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(a) The water body has thermally stratified naturally or due to the presence of an impoundment.</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 xml:space="preserve">(b) The water body has three observable layers, defined as the </w:t>
      </w:r>
      <w:proofErr w:type="spellStart"/>
      <w:r w:rsidRPr="0078189E">
        <w:rPr>
          <w:rFonts w:asciiTheme="minorHAnsi" w:hAnsiTheme="minorHAnsi"/>
          <w:sz w:val="22"/>
          <w:szCs w:val="22"/>
        </w:rPr>
        <w:t>epilimnion</w:t>
      </w:r>
      <w:proofErr w:type="spellEnd"/>
      <w:r w:rsidRPr="0078189E">
        <w:rPr>
          <w:rFonts w:asciiTheme="minorHAnsi" w:hAnsiTheme="minorHAnsi"/>
          <w:sz w:val="22"/>
          <w:szCs w:val="22"/>
        </w:rPr>
        <w:t xml:space="preserve">, </w:t>
      </w:r>
      <w:proofErr w:type="spellStart"/>
      <w:r w:rsidRPr="0078189E">
        <w:rPr>
          <w:rFonts w:asciiTheme="minorHAnsi" w:hAnsiTheme="minorHAnsi"/>
          <w:sz w:val="22"/>
          <w:szCs w:val="22"/>
        </w:rPr>
        <w:t>metalimnion</w:t>
      </w:r>
      <w:proofErr w:type="spellEnd"/>
      <w:r w:rsidRPr="0078189E">
        <w:rPr>
          <w:rFonts w:asciiTheme="minorHAnsi" w:hAnsiTheme="minorHAnsi"/>
          <w:sz w:val="22"/>
          <w:szCs w:val="22"/>
        </w:rPr>
        <w:t xml:space="preserve">, and </w:t>
      </w:r>
      <w:proofErr w:type="spellStart"/>
      <w:r w:rsidRPr="0078189E">
        <w:rPr>
          <w:rFonts w:asciiTheme="minorHAnsi" w:hAnsiTheme="minorHAnsi"/>
          <w:sz w:val="22"/>
          <w:szCs w:val="22"/>
        </w:rPr>
        <w:t>hypolimnion</w:t>
      </w:r>
      <w:proofErr w:type="spellEnd"/>
      <w:r w:rsidRPr="0078189E">
        <w:rPr>
          <w:rFonts w:asciiTheme="minorHAnsi" w:hAnsiTheme="minorHAnsi"/>
          <w:sz w:val="22"/>
          <w:szCs w:val="22"/>
        </w:rPr>
        <w:t>.</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(c) A layer exists in the reservoir or managed lake in which temperature, pH, and DO criteria are all met, and the layer is sufficient to support beneficial uses.</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(d) All practicable measures have been taken by the entities responsible for management of the reservoir or managed lake to maximize the layers meeting the temperature, pH, and DO criteria.</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(e) One of the following conditions is met:</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(A) The streams or river segments immediately downstream of the water body meet applicable criteria for temperature, pH, and DO.</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(B) All practicable measures have been taken to maximize downstream water quality potential and fish passage.</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(C) If the applicable criteria are not met in the stream or river segment immediately upstream of the water body, then no further measurable downstream degradation of water quality has taken place due to stratification of the reservoir or managed lake.</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w:t>
      </w:r>
      <w:r w:rsidRPr="0018613F">
        <w:rPr>
          <w:rFonts w:asciiTheme="minorHAnsi" w:hAnsiTheme="minorHAnsi"/>
          <w:strike/>
          <w:color w:val="FF0000"/>
          <w:sz w:val="22"/>
          <w:szCs w:val="22"/>
        </w:rPr>
        <w:t>16</w:t>
      </w:r>
      <w:r w:rsidRPr="0018613F">
        <w:rPr>
          <w:rFonts w:asciiTheme="minorHAnsi" w:hAnsiTheme="minorHAnsi"/>
          <w:color w:val="FF0000"/>
          <w:sz w:val="22"/>
          <w:szCs w:val="22"/>
          <w:u w:val="single"/>
        </w:rPr>
        <w:t>15</w:t>
      </w:r>
      <w:r w:rsidRPr="0078189E">
        <w:rPr>
          <w:rFonts w:asciiTheme="minorHAnsi" w:hAnsiTheme="minorHAnsi"/>
          <w:sz w:val="22"/>
          <w:szCs w:val="22"/>
        </w:rPr>
        <w:t>) Compliance schedules. In a permit issued under OAR 340, division 045 or in a water quality certification under OAR 340, division 48, the department may include compliance schedules for the implementation of effluent limits derived from water quality criteria in this division. A compliance schedule in an NPDES permit is allowed only for water quality based effluent limits that are newly applicable to the permit and must comply with provisions in 40 CFR ¦122.47 (including the requirement that water quality criteria must be achieved as soon as possible).</w:t>
      </w:r>
    </w:p>
    <w:p w:rsidR="0078189E" w:rsidRPr="0078189E" w:rsidRDefault="0078189E" w:rsidP="0078189E">
      <w:pPr>
        <w:pStyle w:val="NormalWeb"/>
        <w:rPr>
          <w:rFonts w:asciiTheme="minorHAnsi" w:hAnsiTheme="minorHAnsi"/>
          <w:sz w:val="22"/>
          <w:szCs w:val="22"/>
        </w:rPr>
      </w:pPr>
      <w:r w:rsidRPr="0078189E">
        <w:rPr>
          <w:rFonts w:asciiTheme="minorHAnsi" w:hAnsiTheme="minorHAnsi"/>
          <w:sz w:val="22"/>
          <w:szCs w:val="22"/>
        </w:rPr>
        <w:t>Stat. Auth.: ORS 468.020, 468B.030, 468B.035 &amp; 468B.048</w:t>
      </w:r>
      <w:r w:rsidRPr="0078189E">
        <w:rPr>
          <w:rFonts w:asciiTheme="minorHAnsi" w:hAnsiTheme="minorHAnsi"/>
          <w:sz w:val="22"/>
          <w:szCs w:val="22"/>
        </w:rPr>
        <w:br/>
        <w:t>Stats. Implemented: ORS 468B.030, 468B.035 &amp; 468B.048</w:t>
      </w:r>
      <w:r w:rsidRPr="0078189E">
        <w:rPr>
          <w:rFonts w:asciiTheme="minorHAnsi" w:hAnsiTheme="minorHAnsi"/>
          <w:sz w:val="22"/>
          <w:szCs w:val="22"/>
        </w:rPr>
        <w:br/>
        <w:t xml:space="preserve">Hist.: DEQ 17-2003, f. &amp; cert. </w:t>
      </w:r>
      <w:proofErr w:type="spellStart"/>
      <w:r w:rsidRPr="0078189E">
        <w:rPr>
          <w:rFonts w:asciiTheme="minorHAnsi" w:hAnsiTheme="minorHAnsi"/>
          <w:sz w:val="22"/>
          <w:szCs w:val="22"/>
        </w:rPr>
        <w:t>ef</w:t>
      </w:r>
      <w:proofErr w:type="spellEnd"/>
      <w:r w:rsidRPr="0078189E">
        <w:rPr>
          <w:rFonts w:asciiTheme="minorHAnsi" w:hAnsiTheme="minorHAnsi"/>
          <w:sz w:val="22"/>
          <w:szCs w:val="22"/>
        </w:rPr>
        <w:t xml:space="preserve">. </w:t>
      </w:r>
      <w:proofErr w:type="gramStart"/>
      <w:r w:rsidRPr="0078189E">
        <w:rPr>
          <w:rFonts w:asciiTheme="minorHAnsi" w:hAnsiTheme="minorHAnsi"/>
          <w:sz w:val="22"/>
          <w:szCs w:val="22"/>
        </w:rPr>
        <w:t xml:space="preserve">12-9-03; DEQ 3-2004, f. &amp; cert. </w:t>
      </w:r>
      <w:proofErr w:type="spellStart"/>
      <w:r w:rsidRPr="0078189E">
        <w:rPr>
          <w:rFonts w:asciiTheme="minorHAnsi" w:hAnsiTheme="minorHAnsi"/>
          <w:sz w:val="22"/>
          <w:szCs w:val="22"/>
        </w:rPr>
        <w:t>ef</w:t>
      </w:r>
      <w:proofErr w:type="spellEnd"/>
      <w:r w:rsidRPr="0078189E">
        <w:rPr>
          <w:rFonts w:asciiTheme="minorHAnsi" w:hAnsiTheme="minorHAnsi"/>
          <w:sz w:val="22"/>
          <w:szCs w:val="22"/>
        </w:rPr>
        <w:t>.</w:t>
      </w:r>
      <w:proofErr w:type="gramEnd"/>
      <w:r w:rsidRPr="0078189E">
        <w:rPr>
          <w:rFonts w:asciiTheme="minorHAnsi" w:hAnsiTheme="minorHAnsi"/>
          <w:sz w:val="22"/>
          <w:szCs w:val="22"/>
        </w:rPr>
        <w:t xml:space="preserve"> 5-28-04</w:t>
      </w:r>
    </w:p>
    <w:p w:rsidR="00095204" w:rsidRPr="003A7D2E" w:rsidRDefault="00095204" w:rsidP="0018613F">
      <w:pPr>
        <w:pStyle w:val="NormalWeb"/>
        <w:rPr>
          <w:rFonts w:asciiTheme="minorHAnsi" w:hAnsiTheme="minorHAnsi"/>
          <w:i/>
          <w:sz w:val="22"/>
          <w:szCs w:val="22"/>
        </w:rPr>
      </w:pPr>
    </w:p>
    <w:p w:rsidR="002C174D" w:rsidRDefault="002C174D">
      <w:pPr>
        <w:rPr>
          <w:b/>
          <w:color w:val="17365D" w:themeColor="text2" w:themeShade="BF"/>
        </w:rPr>
      </w:pPr>
      <w:r>
        <w:rPr>
          <w:b/>
          <w:color w:val="17365D" w:themeColor="text2" w:themeShade="BF"/>
        </w:rPr>
        <w:br w:type="page"/>
      </w:r>
    </w:p>
    <w:p w:rsidR="005561B1" w:rsidRPr="005561B1" w:rsidRDefault="005561B1" w:rsidP="005561B1">
      <w:pPr>
        <w:pStyle w:val="IntenseQuote"/>
        <w:ind w:left="0"/>
        <w:rPr>
          <w:sz w:val="36"/>
          <w:szCs w:val="36"/>
        </w:rPr>
      </w:pPr>
      <w:r w:rsidRPr="005561B1">
        <w:rPr>
          <w:sz w:val="36"/>
          <w:szCs w:val="36"/>
        </w:rPr>
        <w:t>Toxics Rulemaking Proposed Revisions:  Division 42</w:t>
      </w:r>
    </w:p>
    <w:p w:rsidR="005B68F7" w:rsidRDefault="005B68F7" w:rsidP="00493235">
      <w:pPr>
        <w:pStyle w:val="NormalWeb"/>
        <w:rPr>
          <w:rFonts w:asciiTheme="minorHAnsi" w:hAnsiTheme="minorHAnsi"/>
          <w:b/>
          <w:sz w:val="22"/>
          <w:szCs w:val="22"/>
        </w:rPr>
      </w:pPr>
      <w:r w:rsidRPr="00493235">
        <w:rPr>
          <w:rFonts w:asciiTheme="minorHAnsi" w:hAnsiTheme="minorHAnsi"/>
          <w:b/>
          <w:bCs/>
          <w:sz w:val="22"/>
          <w:szCs w:val="22"/>
        </w:rPr>
        <w:t>340-042-0040</w:t>
      </w:r>
      <w:r w:rsidRPr="00493235">
        <w:rPr>
          <w:rFonts w:asciiTheme="minorHAnsi" w:hAnsiTheme="minorHAnsi"/>
          <w:b/>
          <w:sz w:val="22"/>
          <w:szCs w:val="22"/>
        </w:rPr>
        <w:t xml:space="preserve"> </w:t>
      </w:r>
      <w:r>
        <w:rPr>
          <w:rFonts w:asciiTheme="minorHAnsi" w:hAnsiTheme="minorHAnsi"/>
          <w:b/>
          <w:sz w:val="22"/>
          <w:szCs w:val="22"/>
        </w:rPr>
        <w:t xml:space="preserve"> </w:t>
      </w:r>
    </w:p>
    <w:p w:rsidR="00493235" w:rsidRPr="00493235" w:rsidRDefault="00493235" w:rsidP="00493235">
      <w:pPr>
        <w:pStyle w:val="NormalWeb"/>
        <w:rPr>
          <w:rFonts w:asciiTheme="minorHAnsi" w:hAnsiTheme="minorHAnsi"/>
          <w:b/>
          <w:sz w:val="22"/>
          <w:szCs w:val="22"/>
        </w:rPr>
      </w:pPr>
      <w:r w:rsidRPr="00493235">
        <w:rPr>
          <w:rFonts w:asciiTheme="minorHAnsi" w:hAnsiTheme="minorHAnsi"/>
          <w:b/>
          <w:bCs/>
          <w:sz w:val="22"/>
          <w:szCs w:val="22"/>
        </w:rPr>
        <w:t>Establishing Total Maximum Daily Loads (TMDLs)</w:t>
      </w:r>
      <w:r w:rsidRPr="00493235">
        <w:rPr>
          <w:rFonts w:asciiTheme="minorHAnsi" w:hAnsiTheme="minorHAnsi"/>
          <w:b/>
          <w:sz w:val="22"/>
          <w:szCs w:val="22"/>
        </w:rPr>
        <w:t xml:space="preserve">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(1) The Department will establish TMDLs for pollutants in waters of the state that are listed in accordance with the </w:t>
      </w:r>
      <w:r w:rsidRPr="00493235">
        <w:rPr>
          <w:rFonts w:asciiTheme="minorHAnsi" w:hAnsiTheme="minorHAnsi"/>
          <w:bCs/>
          <w:sz w:val="22"/>
          <w:szCs w:val="22"/>
        </w:rPr>
        <w:t>Federal Water Pollution Control Act Section 303(d) (33 USC Section 1313(d))</w:t>
      </w:r>
      <w:r w:rsidRPr="00493235">
        <w:rPr>
          <w:rFonts w:asciiTheme="minorHAnsi" w:hAnsiTheme="minorHAnsi"/>
          <w:sz w:val="22"/>
          <w:szCs w:val="22"/>
        </w:rPr>
        <w:t xml:space="preserve">.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(2) The Department will group stream segments and other </w:t>
      </w:r>
      <w:proofErr w:type="spellStart"/>
      <w:r w:rsidRPr="00493235">
        <w:rPr>
          <w:rFonts w:asciiTheme="minorHAnsi" w:hAnsiTheme="minorHAnsi"/>
          <w:sz w:val="22"/>
          <w:szCs w:val="22"/>
        </w:rPr>
        <w:t>waterbodies</w:t>
      </w:r>
      <w:proofErr w:type="spellEnd"/>
      <w:r w:rsidRPr="00493235">
        <w:rPr>
          <w:rFonts w:asciiTheme="minorHAnsi" w:hAnsiTheme="minorHAnsi"/>
          <w:sz w:val="22"/>
          <w:szCs w:val="22"/>
        </w:rPr>
        <w:t xml:space="preserve"> geographically by </w:t>
      </w:r>
      <w:proofErr w:type="spellStart"/>
      <w:r w:rsidRPr="00493235">
        <w:rPr>
          <w:rFonts w:asciiTheme="minorHAnsi" w:hAnsiTheme="minorHAnsi"/>
          <w:sz w:val="22"/>
          <w:szCs w:val="22"/>
        </w:rPr>
        <w:t>subbasin</w:t>
      </w:r>
      <w:proofErr w:type="spellEnd"/>
      <w:r w:rsidRPr="00493235">
        <w:rPr>
          <w:rFonts w:asciiTheme="minorHAnsi" w:hAnsiTheme="minorHAnsi"/>
          <w:sz w:val="22"/>
          <w:szCs w:val="22"/>
        </w:rPr>
        <w:t xml:space="preserve"> and develop TMDLs for those </w:t>
      </w:r>
      <w:proofErr w:type="spellStart"/>
      <w:r w:rsidRPr="00493235">
        <w:rPr>
          <w:rFonts w:asciiTheme="minorHAnsi" w:hAnsiTheme="minorHAnsi"/>
          <w:sz w:val="22"/>
          <w:szCs w:val="22"/>
        </w:rPr>
        <w:t>subbasins</w:t>
      </w:r>
      <w:proofErr w:type="spellEnd"/>
      <w:r w:rsidRPr="00493235">
        <w:rPr>
          <w:rFonts w:asciiTheme="minorHAnsi" w:hAnsiTheme="minorHAnsi"/>
          <w:sz w:val="22"/>
          <w:szCs w:val="22"/>
        </w:rPr>
        <w:t xml:space="preserve">, unless it determines another approach is warranted.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(3) The Department will prioritize and schedule TMDLs for completion considering the following factors: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(a) Severity of the pollution,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(b) Uses of the water,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(c) Availability of resources to develop TMDLs,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(d) Specific judicial requirements, and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(e) Any other relevant information.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(4) A TMDL will include the following elements: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(a) Name and location. This element describes the geographic area for which the TMDL is developed and includes maps as appropriate.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(b) Pollutant identification. This element identifies the pollutants causing impairment of water quality that are addressed in the TMDL.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(c) Water quality standards and beneficial uses. This element identifies the beneficial uses in the basin and the relevant water quality standards, including specific basin standards established in OAR 340-041-0202 through 340-041-0975. The beneficial use that is most sensitive to impairment by the pollutant or pollutants addressed in the TMDL will be specified.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(d) Loading capacity. This element specifies the amount of a pollutant or pollutants that a </w:t>
      </w:r>
      <w:proofErr w:type="spellStart"/>
      <w:r w:rsidRPr="00493235">
        <w:rPr>
          <w:rFonts w:asciiTheme="minorHAnsi" w:hAnsiTheme="minorHAnsi"/>
          <w:sz w:val="22"/>
          <w:szCs w:val="22"/>
        </w:rPr>
        <w:t>waterbody</w:t>
      </w:r>
      <w:proofErr w:type="spellEnd"/>
      <w:r w:rsidRPr="00493235">
        <w:rPr>
          <w:rFonts w:asciiTheme="minorHAnsi" w:hAnsiTheme="minorHAnsi"/>
          <w:sz w:val="22"/>
          <w:szCs w:val="22"/>
        </w:rPr>
        <w:t xml:space="preserve"> can receive and still meet water quality standards. The TMDL will be set at a level to ensure that loading capacity is not exceeded. Flow assumptions used in the TMDL will be specified.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(e) Excess load. This element evaluates, to the extent existing data allow, the difference between the actual pollutant load in a </w:t>
      </w:r>
      <w:proofErr w:type="spellStart"/>
      <w:r w:rsidRPr="00493235">
        <w:rPr>
          <w:rFonts w:asciiTheme="minorHAnsi" w:hAnsiTheme="minorHAnsi"/>
          <w:sz w:val="22"/>
          <w:szCs w:val="22"/>
        </w:rPr>
        <w:t>waterbody</w:t>
      </w:r>
      <w:proofErr w:type="spellEnd"/>
      <w:r w:rsidRPr="00493235">
        <w:rPr>
          <w:rFonts w:asciiTheme="minorHAnsi" w:hAnsiTheme="minorHAnsi"/>
          <w:sz w:val="22"/>
          <w:szCs w:val="22"/>
        </w:rPr>
        <w:t xml:space="preserve"> and the loading capacity of that </w:t>
      </w:r>
      <w:proofErr w:type="spellStart"/>
      <w:r w:rsidRPr="00493235">
        <w:rPr>
          <w:rFonts w:asciiTheme="minorHAnsi" w:hAnsiTheme="minorHAnsi"/>
          <w:sz w:val="22"/>
          <w:szCs w:val="22"/>
        </w:rPr>
        <w:t>waterbody</w:t>
      </w:r>
      <w:proofErr w:type="spellEnd"/>
      <w:r w:rsidRPr="00493235">
        <w:rPr>
          <w:rFonts w:asciiTheme="minorHAnsi" w:hAnsiTheme="minorHAnsi"/>
          <w:sz w:val="22"/>
          <w:szCs w:val="22"/>
        </w:rPr>
        <w:t xml:space="preserve">.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(f) Sources or source categories. This element identifies the pollutant sources and estimates, to the extent existing data allow, the amount of actual pollutant loading from these sources. The TMDL will establish </w:t>
      </w:r>
      <w:proofErr w:type="spellStart"/>
      <w:r w:rsidRPr="00493235">
        <w:rPr>
          <w:rFonts w:asciiTheme="minorHAnsi" w:hAnsiTheme="minorHAnsi"/>
          <w:sz w:val="22"/>
          <w:szCs w:val="22"/>
        </w:rPr>
        <w:t>wasteload</w:t>
      </w:r>
      <w:proofErr w:type="spellEnd"/>
      <w:r w:rsidRPr="00493235">
        <w:rPr>
          <w:rFonts w:asciiTheme="minorHAnsi" w:hAnsiTheme="minorHAnsi"/>
          <w:sz w:val="22"/>
          <w:szCs w:val="22"/>
        </w:rPr>
        <w:t xml:space="preserve"> allocations and load allocations for these sources. The Department will use available information and analyses to identify and document sources.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(g) </w:t>
      </w:r>
      <w:proofErr w:type="spellStart"/>
      <w:r w:rsidRPr="00493235">
        <w:rPr>
          <w:rFonts w:asciiTheme="minorHAnsi" w:hAnsiTheme="minorHAnsi"/>
          <w:sz w:val="22"/>
          <w:szCs w:val="22"/>
        </w:rPr>
        <w:t>Wasteload</w:t>
      </w:r>
      <w:proofErr w:type="spellEnd"/>
      <w:r w:rsidRPr="00493235">
        <w:rPr>
          <w:rFonts w:asciiTheme="minorHAnsi" w:hAnsiTheme="minorHAnsi"/>
          <w:sz w:val="22"/>
          <w:szCs w:val="22"/>
        </w:rPr>
        <w:t xml:space="preserve"> allocations. This element determines the portions of the receiving water's loading capacity that are allocated to existing point sources of pollution, including all point source discharges regulated under the </w:t>
      </w:r>
      <w:r w:rsidRPr="00493235">
        <w:rPr>
          <w:rFonts w:asciiTheme="minorHAnsi" w:hAnsiTheme="minorHAnsi"/>
          <w:bCs/>
          <w:sz w:val="22"/>
          <w:szCs w:val="22"/>
        </w:rPr>
        <w:t>Federal Water Pollution Control Act Section 402 (33 USC Section 1342)</w:t>
      </w:r>
      <w:r w:rsidRPr="00493235">
        <w:rPr>
          <w:rFonts w:asciiTheme="minorHAnsi" w:hAnsiTheme="minorHAnsi"/>
          <w:sz w:val="22"/>
          <w:szCs w:val="22"/>
        </w:rPr>
        <w:t xml:space="preserve">. </w:t>
      </w:r>
    </w:p>
    <w:p w:rsidR="005B68F7" w:rsidRDefault="00493235" w:rsidP="00493235">
      <w:pPr>
        <w:pStyle w:val="NormalWeb"/>
      </w:pPr>
      <w:r w:rsidRPr="00493235">
        <w:rPr>
          <w:rFonts w:asciiTheme="minorHAnsi" w:hAnsiTheme="minorHAnsi"/>
          <w:sz w:val="22"/>
          <w:szCs w:val="22"/>
        </w:rPr>
        <w:t xml:space="preserve">(h) </w:t>
      </w:r>
      <w:r w:rsidR="005B68F7" w:rsidRPr="005B68F7">
        <w:rPr>
          <w:rFonts w:asciiTheme="minorHAnsi" w:hAnsiTheme="minorHAnsi"/>
          <w:sz w:val="22"/>
          <w:szCs w:val="22"/>
        </w:rPr>
        <w:t xml:space="preserve">Load allocations. This element determines the portions of the receiving water's loading capacity that are allocated to existing nonpoint sources, </w:t>
      </w:r>
      <w:r w:rsidR="005B68F7" w:rsidRPr="005B68F7">
        <w:rPr>
          <w:rFonts w:asciiTheme="minorHAnsi" w:hAnsiTheme="minorHAnsi"/>
          <w:color w:val="FF0000"/>
          <w:sz w:val="22"/>
          <w:szCs w:val="22"/>
          <w:u w:val="single"/>
        </w:rPr>
        <w:t>including runoff, deposition, soil contamination and groundwater discharges,</w:t>
      </w:r>
      <w:r w:rsidR="005B68F7" w:rsidRPr="005B68F7">
        <w:rPr>
          <w:rFonts w:asciiTheme="minorHAnsi" w:hAnsiTheme="minorHAnsi"/>
          <w:sz w:val="22"/>
          <w:szCs w:val="22"/>
        </w:rPr>
        <w:t xml:space="preserve"> or to background sources. Load allocations are best estimates of loading, and may range from reasonably accurate estimates to gross allotments depending on the availability of data and appropriate techniques for predicting loading. Whenever reasonably feasible, natural background,</w:t>
      </w:r>
      <w:r w:rsidR="005B68F7" w:rsidRPr="005B68F7">
        <w:rPr>
          <w:rFonts w:asciiTheme="minorHAnsi" w:hAnsiTheme="minorHAnsi"/>
          <w:color w:val="FF0000"/>
          <w:sz w:val="22"/>
          <w:szCs w:val="22"/>
          <w:u w:val="single"/>
        </w:rPr>
        <w:t xml:space="preserve"> long-range transport</w:t>
      </w:r>
      <w:r w:rsidR="005B68F7" w:rsidRPr="005B68F7">
        <w:rPr>
          <w:rFonts w:asciiTheme="minorHAnsi" w:hAnsiTheme="minorHAnsi"/>
          <w:sz w:val="22"/>
          <w:szCs w:val="22"/>
        </w:rPr>
        <w:t xml:space="preserve"> and anthropogenic nonpoint source loads will be distinguished from each other.</w:t>
      </w:r>
      <w:r w:rsidR="005B68F7">
        <w:t xml:space="preserve">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w:t>
      </w:r>
      <w:proofErr w:type="spellStart"/>
      <w:r w:rsidRPr="00493235">
        <w:rPr>
          <w:rFonts w:asciiTheme="minorHAnsi" w:hAnsiTheme="minorHAnsi"/>
          <w:sz w:val="22"/>
          <w:szCs w:val="22"/>
        </w:rPr>
        <w:t>i</w:t>
      </w:r>
      <w:proofErr w:type="spellEnd"/>
      <w:r w:rsidRPr="00493235">
        <w:rPr>
          <w:rFonts w:asciiTheme="minorHAnsi" w:hAnsiTheme="minorHAnsi"/>
          <w:sz w:val="22"/>
          <w:szCs w:val="22"/>
        </w:rPr>
        <w:t xml:space="preserve">) Margin of safety. This element accounts for uncertainty related to the TMDL and, where feasible, quantifies uncertainties associated with estimating pollutant loads, modeling water quality and monitoring water quality. The TMDL will explain how the margin of safety was derived and incorporated into the TMDL.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(j) Seasonal variation. This element accounts for seasonal variation and critical conditions in stream flow, sensitive beneficial uses, pollutant loading and water quality parameters so that water quality standards will be attained and maintained during all seasons of the year.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(k) Reserve capacity. This element is an allocation for increases in pollutant loads from future growth and new or expanded sources. The TMDL may allocate no reserve capacity and explain that decision.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(l) Water quality management plan (WQMP). This element provides the framework of management strategies to attain and maintain water quality standards. The framework is designed to work in conjunction with detailed plans and analyses provided in sector-specific or source-specific implementation plans. The WQMP will address the following: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(A) Condition assessment and problem description.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(B) Goals and objectives.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(C) Proposed management strategies designed to meet the </w:t>
      </w:r>
      <w:proofErr w:type="spellStart"/>
      <w:r w:rsidRPr="00493235">
        <w:rPr>
          <w:rFonts w:asciiTheme="minorHAnsi" w:hAnsiTheme="minorHAnsi"/>
          <w:sz w:val="22"/>
          <w:szCs w:val="22"/>
        </w:rPr>
        <w:t>wasteload</w:t>
      </w:r>
      <w:proofErr w:type="spellEnd"/>
      <w:r w:rsidRPr="00493235">
        <w:rPr>
          <w:rFonts w:asciiTheme="minorHAnsi" w:hAnsiTheme="minorHAnsi"/>
          <w:sz w:val="22"/>
          <w:szCs w:val="22"/>
        </w:rPr>
        <w:t xml:space="preserve"> allocations and load allocations in the TMDL. This will include a categorization of sources and a description of the management strategies proposed for each source category.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(D) Timeline for implementing management strategies including: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w:t>
      </w:r>
      <w:proofErr w:type="spellStart"/>
      <w:r w:rsidRPr="00493235">
        <w:rPr>
          <w:rFonts w:asciiTheme="minorHAnsi" w:hAnsiTheme="minorHAnsi"/>
          <w:sz w:val="22"/>
          <w:szCs w:val="22"/>
        </w:rPr>
        <w:t>i</w:t>
      </w:r>
      <w:proofErr w:type="spellEnd"/>
      <w:r w:rsidRPr="00493235">
        <w:rPr>
          <w:rFonts w:asciiTheme="minorHAnsi" w:hAnsiTheme="minorHAnsi"/>
          <w:sz w:val="22"/>
          <w:szCs w:val="22"/>
        </w:rPr>
        <w:t xml:space="preserve">) Schedule for revising permits,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(ii) Schedule for achieving appropriate incremental and measurable water quality targets,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(iii) Schedule for implementing control actions, and </w:t>
      </w:r>
    </w:p>
    <w:p w:rsidR="00493235" w:rsidRPr="00493235" w:rsidRDefault="00493235" w:rsidP="00493235">
      <w:pPr>
        <w:pStyle w:val="NormalWeb"/>
        <w:rPr>
          <w:rFonts w:asciiTheme="minorHAnsi" w:hAnsiTheme="minorHAnsi"/>
          <w:sz w:val="22"/>
          <w:szCs w:val="22"/>
        </w:rPr>
      </w:pPr>
      <w:proofErr w:type="gramStart"/>
      <w:r w:rsidRPr="00493235">
        <w:rPr>
          <w:rFonts w:asciiTheme="minorHAnsi" w:hAnsiTheme="minorHAnsi"/>
          <w:sz w:val="22"/>
          <w:szCs w:val="22"/>
        </w:rPr>
        <w:t>(iv) Schedule</w:t>
      </w:r>
      <w:proofErr w:type="gramEnd"/>
      <w:r w:rsidRPr="00493235">
        <w:rPr>
          <w:rFonts w:asciiTheme="minorHAnsi" w:hAnsiTheme="minorHAnsi"/>
          <w:sz w:val="22"/>
          <w:szCs w:val="22"/>
        </w:rPr>
        <w:t xml:space="preserve"> for completing other measurable milestones.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(E) Explanation of how implementing the management strategies will result in attainment of water quality standards.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(F) Timeline for attainment of water quality standards.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(G) Identification of persons, including Designated Management Agencies (DMAs), responsible for implementing the management strategies and developing and revising sector-specific or source-specific implementation plans.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(H) Identification of sector-specific or source-specific implementation plans that are available at the time the TMDL is issued.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(I) Schedule for preparation and submission of sector-specific or source-specific implementation plans by responsible persons, including DMAs, and processes that trigger revisions to these implementation plans.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(J) Description of reasonable assurance that management strategies and sector-specific or source-specific implementation plans will be carried out through regulatory or voluntary actions.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(K) Plan to monitor and evaluate progress toward achieving TMDL allocations and water quality standards including: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w:t>
      </w:r>
      <w:proofErr w:type="spellStart"/>
      <w:r w:rsidRPr="00493235">
        <w:rPr>
          <w:rFonts w:asciiTheme="minorHAnsi" w:hAnsiTheme="minorHAnsi"/>
          <w:sz w:val="22"/>
          <w:szCs w:val="22"/>
        </w:rPr>
        <w:t>i</w:t>
      </w:r>
      <w:proofErr w:type="spellEnd"/>
      <w:r w:rsidRPr="00493235">
        <w:rPr>
          <w:rFonts w:asciiTheme="minorHAnsi" w:hAnsiTheme="minorHAnsi"/>
          <w:sz w:val="22"/>
          <w:szCs w:val="22"/>
        </w:rPr>
        <w:t xml:space="preserve">) Identification of persons responsible for monitoring, and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(ii) Plan and schedule for reviewing monitoring information and revising the TMDL.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(L) Plan for public involvement in implementing management strategies.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(M) Description of planned efforts to maintain management strategies over time.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(N) General discussion of costs and funding for implementing management strategies. Sector-specific or source-specific implementation plans may provide more detailed analyses of costs and funding for specific management strategies.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(O) Citation of legal authorities relating to implementation of management strategies.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(5) To determine allocations for sources identified in the TMDL, the Department: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(a) Will use water quality data analyses, which may include statistical analyses or mathematical models.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(b) May use surrogate measures to estimate allocations for pollutants addressed in the TMDL. The Department may use one or more surrogate measures for a pollutant that is difficult to measure or highly variable. A surrogate measure will be closely related to the pollutant, and may be easier to monitor and track. The TMDL will establish the correlation between the surrogate measure and pollutant.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(6) The Department will distribute </w:t>
      </w:r>
      <w:proofErr w:type="spellStart"/>
      <w:r w:rsidRPr="00493235">
        <w:rPr>
          <w:rFonts w:asciiTheme="minorHAnsi" w:hAnsiTheme="minorHAnsi"/>
          <w:sz w:val="22"/>
          <w:szCs w:val="22"/>
        </w:rPr>
        <w:t>wasteload</w:t>
      </w:r>
      <w:proofErr w:type="spellEnd"/>
      <w:r w:rsidRPr="00493235">
        <w:rPr>
          <w:rFonts w:asciiTheme="minorHAnsi" w:hAnsiTheme="minorHAnsi"/>
          <w:sz w:val="22"/>
          <w:szCs w:val="22"/>
        </w:rPr>
        <w:t xml:space="preserve"> and load allocations among identified sources and in doing so, may consider the following factors: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(a) Contributions from sources;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(b) Costs of implementing measures;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(c) Ease of implementation;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(d) Timelines for attainment of water quality standards;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(e) Environmental impacts of allocations;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(f) Unintended consequences;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(g) Reasonable assurances of implementation; and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(h) Any other relevant factor. </w:t>
      </w:r>
    </w:p>
    <w:p w:rsidR="00493235" w:rsidRP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(7) After issuing the TMDL, the Department may revise the loading capacity and allocations to accommodate changed needs or new information. In making these revisions, the Department will comply with the public notice provisions in OAR 340-042-0050(2) and procedures for issuing TMDL orders in OAR 340-042-0060. </w:t>
      </w:r>
    </w:p>
    <w:p w:rsidR="00493235" w:rsidRDefault="00493235" w:rsidP="00493235">
      <w:pPr>
        <w:pStyle w:val="NormalWeb"/>
        <w:rPr>
          <w:rFonts w:asciiTheme="minorHAnsi" w:hAnsiTheme="minorHAnsi"/>
          <w:sz w:val="22"/>
          <w:szCs w:val="22"/>
        </w:rPr>
      </w:pPr>
      <w:r w:rsidRPr="00493235">
        <w:rPr>
          <w:rFonts w:asciiTheme="minorHAnsi" w:hAnsiTheme="minorHAnsi"/>
          <w:sz w:val="22"/>
          <w:szCs w:val="22"/>
        </w:rPr>
        <w:t xml:space="preserve">(8) If the Environmental Protection Agency establishes a TMDL addressing </w:t>
      </w:r>
      <w:proofErr w:type="spellStart"/>
      <w:r w:rsidRPr="00493235">
        <w:rPr>
          <w:rFonts w:asciiTheme="minorHAnsi" w:hAnsiTheme="minorHAnsi"/>
          <w:sz w:val="22"/>
          <w:szCs w:val="22"/>
        </w:rPr>
        <w:t>waterbodies</w:t>
      </w:r>
      <w:proofErr w:type="spellEnd"/>
      <w:r w:rsidRPr="00493235">
        <w:rPr>
          <w:rFonts w:asciiTheme="minorHAnsi" w:hAnsiTheme="minorHAnsi"/>
          <w:sz w:val="22"/>
          <w:szCs w:val="22"/>
        </w:rPr>
        <w:t xml:space="preserve"> in Oregon, the Department may prepare a WQMP to implement that TMDL </w:t>
      </w:r>
    </w:p>
    <w:p w:rsidR="002C174D" w:rsidRPr="00493235" w:rsidRDefault="002C174D" w:rsidP="00493235">
      <w:pPr>
        <w:pStyle w:val="NormalWeb"/>
        <w:rPr>
          <w:rFonts w:asciiTheme="minorHAnsi" w:hAnsiTheme="minorHAnsi"/>
          <w:sz w:val="22"/>
          <w:szCs w:val="22"/>
        </w:rPr>
      </w:pPr>
    </w:p>
    <w:p w:rsidR="005561B1" w:rsidRDefault="005561B1" w:rsidP="005B68F7">
      <w:pPr>
        <w:pStyle w:val="NormalWeb"/>
        <w:rPr>
          <w:rFonts w:asciiTheme="minorHAnsi" w:hAnsiTheme="minorHAnsi"/>
          <w:b/>
          <w:bCs/>
          <w:sz w:val="22"/>
          <w:szCs w:val="22"/>
        </w:rPr>
      </w:pPr>
    </w:p>
    <w:p w:rsidR="005B68F7" w:rsidRPr="0016296C" w:rsidRDefault="0016296C" w:rsidP="0016296C">
      <w:pPr>
        <w:rPr>
          <w:rFonts w:asciiTheme="minorHAnsi" w:eastAsia="Times New Roman" w:hAnsiTheme="minorHAnsi"/>
          <w:b/>
          <w:bCs/>
        </w:rPr>
      </w:pPr>
      <w:r>
        <w:rPr>
          <w:rFonts w:asciiTheme="minorHAnsi" w:hAnsiTheme="minorHAnsi"/>
          <w:b/>
          <w:bCs/>
        </w:rPr>
        <w:br w:type="page"/>
      </w:r>
      <w:r w:rsidR="005B68F7" w:rsidRPr="005B68F7">
        <w:rPr>
          <w:rFonts w:asciiTheme="minorHAnsi" w:hAnsiTheme="minorHAnsi"/>
          <w:b/>
          <w:bCs/>
        </w:rPr>
        <w:t>340-042-0080</w:t>
      </w:r>
      <w:r w:rsidR="005B68F7" w:rsidRPr="005B68F7">
        <w:rPr>
          <w:rFonts w:asciiTheme="minorHAnsi" w:hAnsiTheme="minorHAnsi"/>
        </w:rPr>
        <w:t xml:space="preserve"> </w:t>
      </w:r>
    </w:p>
    <w:p w:rsidR="005B68F7" w:rsidRPr="005B68F7" w:rsidRDefault="005B68F7" w:rsidP="005B68F7">
      <w:pPr>
        <w:pStyle w:val="NormalWeb"/>
        <w:rPr>
          <w:rFonts w:asciiTheme="minorHAnsi" w:hAnsiTheme="minorHAnsi"/>
          <w:sz w:val="22"/>
          <w:szCs w:val="22"/>
        </w:rPr>
      </w:pPr>
      <w:r w:rsidRPr="005B68F7">
        <w:rPr>
          <w:rFonts w:asciiTheme="minorHAnsi" w:hAnsiTheme="minorHAnsi"/>
          <w:b/>
          <w:bCs/>
          <w:sz w:val="22"/>
          <w:szCs w:val="22"/>
        </w:rPr>
        <w:t xml:space="preserve">Implementing a Total Maximum Daily Load </w:t>
      </w:r>
    </w:p>
    <w:p w:rsidR="005B68F7" w:rsidRPr="005B68F7" w:rsidRDefault="005B68F7" w:rsidP="0016296C">
      <w:pPr>
        <w:pStyle w:val="NormalWeb"/>
        <w:rPr>
          <w:rFonts w:asciiTheme="minorHAnsi" w:hAnsiTheme="minorHAnsi"/>
          <w:sz w:val="22"/>
          <w:szCs w:val="22"/>
        </w:rPr>
      </w:pPr>
      <w:r w:rsidRPr="005B68F7">
        <w:rPr>
          <w:rFonts w:asciiTheme="minorHAnsi" w:hAnsiTheme="minorHAnsi"/>
          <w:sz w:val="22"/>
          <w:szCs w:val="22"/>
        </w:rPr>
        <w:t xml:space="preserve">(1) Management strategies identified in a WQMP to achieve </w:t>
      </w:r>
      <w:proofErr w:type="spellStart"/>
      <w:r w:rsidRPr="005B68F7">
        <w:rPr>
          <w:rFonts w:asciiTheme="minorHAnsi" w:hAnsiTheme="minorHAnsi"/>
          <w:sz w:val="22"/>
          <w:szCs w:val="22"/>
        </w:rPr>
        <w:t>wasteload</w:t>
      </w:r>
      <w:proofErr w:type="spellEnd"/>
      <w:r w:rsidRPr="005B68F7">
        <w:rPr>
          <w:rFonts w:asciiTheme="minorHAnsi" w:hAnsiTheme="minorHAnsi"/>
          <w:sz w:val="22"/>
          <w:szCs w:val="22"/>
        </w:rPr>
        <w:t xml:space="preserve"> and load allocations in a TMDL will be implemented through water quality permits for those sources subject to permit requirements in ORS 468B.050 and through sector-specific or source-specific implementation plans for other sources. WQMPs will identify the sector and source-specific implementation plans required and the persons, including DMAs, responsible for developing and revising those plans. </w:t>
      </w:r>
    </w:p>
    <w:p w:rsidR="005B68F7" w:rsidRPr="00F112D8" w:rsidRDefault="005B68F7" w:rsidP="005B68F7">
      <w:pPr>
        <w:rPr>
          <w:rFonts w:ascii="Times-Roman" w:hAnsi="Times-Roman"/>
          <w:u w:val="single"/>
        </w:rPr>
      </w:pPr>
      <w:r w:rsidRPr="005B68F7">
        <w:rPr>
          <w:color w:val="000000"/>
          <w:szCs w:val="24"/>
        </w:rPr>
        <w:t>(2)</w:t>
      </w:r>
      <w:r w:rsidRPr="005B68F7">
        <w:rPr>
          <w:szCs w:val="24"/>
        </w:rPr>
        <w:t xml:space="preserve"> </w:t>
      </w:r>
      <w:r w:rsidRPr="005B68F7">
        <w:rPr>
          <w:color w:val="FF0000"/>
          <w:szCs w:val="24"/>
          <w:u w:val="single"/>
        </w:rPr>
        <w:t>Nonpoint</w:t>
      </w:r>
      <w:r w:rsidRPr="00F112D8">
        <w:rPr>
          <w:color w:val="FF0000"/>
          <w:szCs w:val="24"/>
          <w:u w:val="single"/>
        </w:rPr>
        <w:t xml:space="preserve"> source</w:t>
      </w:r>
      <w:r>
        <w:rPr>
          <w:color w:val="FF0000"/>
          <w:szCs w:val="24"/>
          <w:u w:val="single"/>
        </w:rPr>
        <w:t>s of</w:t>
      </w:r>
      <w:r w:rsidRPr="00F112D8">
        <w:rPr>
          <w:color w:val="FF0000"/>
          <w:szCs w:val="24"/>
          <w:u w:val="single"/>
        </w:rPr>
        <w:t xml:space="preserve"> </w:t>
      </w:r>
      <w:r>
        <w:rPr>
          <w:color w:val="FF0000"/>
          <w:szCs w:val="24"/>
          <w:u w:val="single"/>
        </w:rPr>
        <w:t>pollution</w:t>
      </w:r>
      <w:r w:rsidRPr="00F112D8">
        <w:rPr>
          <w:color w:val="FF0000"/>
          <w:szCs w:val="24"/>
          <w:u w:val="single"/>
        </w:rPr>
        <w:t xml:space="preserve"> from forest operations on state or private lands are subject to </w:t>
      </w:r>
      <w:r w:rsidRPr="00F112D8">
        <w:rPr>
          <w:color w:val="FF0000"/>
          <w:u w:val="single"/>
        </w:rPr>
        <w:t>best management practices and other control measures</w:t>
      </w:r>
      <w:r w:rsidRPr="00F112D8">
        <w:rPr>
          <w:u w:val="single"/>
        </w:rPr>
        <w:t xml:space="preserve"> </w:t>
      </w:r>
      <w:r w:rsidRPr="00F112D8">
        <w:rPr>
          <w:color w:val="FF0000"/>
          <w:szCs w:val="24"/>
          <w:u w:val="single"/>
        </w:rPr>
        <w:t xml:space="preserve">established by </w:t>
      </w:r>
      <w:proofErr w:type="spellStart"/>
      <w:r w:rsidRPr="00F112D8">
        <w:rPr>
          <w:color w:val="FF0000"/>
          <w:szCs w:val="24"/>
          <w:u w:val="single"/>
        </w:rPr>
        <w:t>t</w:t>
      </w:r>
      <w:r w:rsidRPr="00F112D8">
        <w:rPr>
          <w:strike/>
          <w:color w:val="FF0000"/>
          <w:szCs w:val="24"/>
          <w:u w:val="single"/>
        </w:rPr>
        <w:t>T</w:t>
      </w:r>
      <w:r w:rsidRPr="00F112D8">
        <w:rPr>
          <w:szCs w:val="24"/>
        </w:rPr>
        <w:t>he</w:t>
      </w:r>
      <w:proofErr w:type="spellEnd"/>
      <w:r w:rsidRPr="00F112D8">
        <w:rPr>
          <w:szCs w:val="24"/>
        </w:rPr>
        <w:t xml:space="preserve"> </w:t>
      </w:r>
      <w:r w:rsidRPr="003E788D">
        <w:rPr>
          <w:szCs w:val="24"/>
        </w:rPr>
        <w:t xml:space="preserve">Oregon Department of Forestry </w:t>
      </w:r>
      <w:r w:rsidRPr="00F112D8">
        <w:rPr>
          <w:color w:val="FF0000"/>
          <w:szCs w:val="24"/>
          <w:u w:val="single"/>
        </w:rPr>
        <w:t xml:space="preserve">under </w:t>
      </w:r>
      <w:r w:rsidRPr="008D61A6">
        <w:rPr>
          <w:strike/>
          <w:color w:val="FF0000"/>
          <w:szCs w:val="24"/>
        </w:rPr>
        <w:t xml:space="preserve">will develop and enforce implementation plans addressing state and private forestry sources as authorized by </w:t>
      </w:r>
      <w:r w:rsidRPr="003E788D">
        <w:rPr>
          <w:szCs w:val="24"/>
        </w:rPr>
        <w:t>ORS 527.610 through 527.992</w:t>
      </w:r>
      <w:r w:rsidRPr="008D61A6">
        <w:rPr>
          <w:szCs w:val="24"/>
        </w:rPr>
        <w:t xml:space="preserve"> and according to OAR chapter 629, divisions 600 through 665.</w:t>
      </w:r>
      <w:r w:rsidRPr="003E788D">
        <w:rPr>
          <w:szCs w:val="24"/>
        </w:rPr>
        <w:t xml:space="preserve"> </w:t>
      </w:r>
      <w:r w:rsidRPr="00F112D8">
        <w:rPr>
          <w:color w:val="FF0000"/>
          <w:u w:val="single"/>
        </w:rPr>
        <w:t>Such forest operations, when conducted in good faith compliance with the Forest Practices Act requirements</w:t>
      </w:r>
      <w:r w:rsidR="001F4608">
        <w:rPr>
          <w:color w:val="FF0000"/>
          <w:u w:val="single"/>
        </w:rPr>
        <w:t>,</w:t>
      </w:r>
      <w:r w:rsidRPr="00F112D8">
        <w:rPr>
          <w:color w:val="FF0000"/>
          <w:u w:val="single"/>
        </w:rPr>
        <w:t xml:space="preserve"> are generally deemed not to cause violations of water quality standards as provided in ORS 527.770.  The department may also assign sector or source specific load allocations needed for nonpoint sources of pollution on state and private forestlands to implement the load allocations.   In areas where a TMDL has been approved, </w:t>
      </w:r>
      <w:r w:rsidR="000331B5">
        <w:rPr>
          <w:color w:val="FF0000"/>
          <w:u w:val="single"/>
        </w:rPr>
        <w:t xml:space="preserve">site specific rules under the </w:t>
      </w:r>
      <w:r w:rsidRPr="00F112D8">
        <w:rPr>
          <w:color w:val="FF0000"/>
          <w:u w:val="single"/>
        </w:rPr>
        <w:t xml:space="preserve">Forest Practices Act rules may need to be revised to meet the TMDL load allocations.  If the department determines that the </w:t>
      </w:r>
      <w:r w:rsidR="000331B5">
        <w:rPr>
          <w:color w:val="FF0000"/>
          <w:u w:val="single"/>
        </w:rPr>
        <w:t xml:space="preserve">generally applicable </w:t>
      </w:r>
      <w:r w:rsidRPr="00F112D8">
        <w:rPr>
          <w:color w:val="FF0000"/>
          <w:u w:val="single"/>
        </w:rPr>
        <w:t>Forest Practices Act rules are not adequate to implement the load allocation, the department may request the Environmental Quality Commission to petition the Board of Forestry for a review of part or all of Forest Practices Act rules implementing the TMDL.</w:t>
      </w:r>
      <w:r w:rsidRPr="00F112D8">
        <w:rPr>
          <w:u w:val="single"/>
        </w:rPr>
        <w:t xml:space="preserve">  </w:t>
      </w:r>
    </w:p>
    <w:p w:rsidR="005B68F7" w:rsidRDefault="005B68F7" w:rsidP="005B68F7">
      <w:r w:rsidRPr="005B68F7">
        <w:rPr>
          <w:color w:val="FF0000"/>
          <w:szCs w:val="24"/>
          <w:u w:val="single"/>
        </w:rPr>
        <w:t xml:space="preserve"> (3)</w:t>
      </w:r>
      <w:r w:rsidRPr="005B68F7">
        <w:rPr>
          <w:szCs w:val="24"/>
        </w:rPr>
        <w:t xml:space="preserve"> </w:t>
      </w:r>
      <w:r w:rsidRPr="005B68F7">
        <w:rPr>
          <w:color w:val="FF0000"/>
          <w:szCs w:val="24"/>
          <w:u w:val="single"/>
        </w:rPr>
        <w:t>In</w:t>
      </w:r>
      <w:r w:rsidRPr="00F112D8">
        <w:rPr>
          <w:color w:val="FF0000"/>
          <w:szCs w:val="24"/>
          <w:u w:val="single"/>
        </w:rPr>
        <w:t xml:space="preserve"> areas subject to the Agricultural </w:t>
      </w:r>
      <w:r w:rsidRPr="00F112D8">
        <w:rPr>
          <w:color w:val="FF0000"/>
          <w:u w:val="single"/>
        </w:rPr>
        <w:t>Water Quality Management Act</w:t>
      </w:r>
      <w:r w:rsidRPr="008D61A6">
        <w:rPr>
          <w:color w:val="FF0000"/>
        </w:rPr>
        <w:t xml:space="preserve"> </w:t>
      </w:r>
      <w:proofErr w:type="spellStart"/>
      <w:r w:rsidRPr="00F112D8">
        <w:rPr>
          <w:color w:val="FF0000"/>
          <w:u w:val="single"/>
        </w:rPr>
        <w:t>t</w:t>
      </w:r>
      <w:r w:rsidRPr="008D61A6">
        <w:rPr>
          <w:strike/>
          <w:color w:val="FF0000"/>
          <w:szCs w:val="24"/>
        </w:rPr>
        <w:t>T</w:t>
      </w:r>
      <w:r w:rsidRPr="003E788D">
        <w:rPr>
          <w:szCs w:val="24"/>
        </w:rPr>
        <w:t>he</w:t>
      </w:r>
      <w:proofErr w:type="spellEnd"/>
      <w:r w:rsidRPr="003E788D">
        <w:rPr>
          <w:szCs w:val="24"/>
        </w:rPr>
        <w:t xml:space="preserve"> Oregon Department of Agriculture </w:t>
      </w:r>
      <w:r>
        <w:rPr>
          <w:color w:val="FF0000"/>
          <w:szCs w:val="24"/>
        </w:rPr>
        <w:t xml:space="preserve">(ODA) </w:t>
      </w:r>
      <w:r w:rsidRPr="008D61A6">
        <w:rPr>
          <w:strike/>
          <w:color w:val="FF0000"/>
          <w:szCs w:val="24"/>
        </w:rPr>
        <w:t>will develop implementation plans for agricultural activities and soil erosion and enforce associated rules as authorized by</w:t>
      </w:r>
      <w:r w:rsidRPr="003E788D">
        <w:rPr>
          <w:szCs w:val="24"/>
        </w:rPr>
        <w:t xml:space="preserve"> </w:t>
      </w:r>
      <w:r>
        <w:rPr>
          <w:color w:val="FF0000"/>
          <w:szCs w:val="24"/>
        </w:rPr>
        <w:t xml:space="preserve">under </w:t>
      </w:r>
      <w:r w:rsidRPr="003E788D">
        <w:rPr>
          <w:szCs w:val="24"/>
        </w:rPr>
        <w:t>ORS 568.900 through 568.933 and according to OAR c</w:t>
      </w:r>
      <w:r>
        <w:rPr>
          <w:szCs w:val="24"/>
        </w:rPr>
        <w:t>hapter 603, divisions 90 and 95</w:t>
      </w:r>
      <w:r w:rsidRPr="003E788D">
        <w:rPr>
          <w:szCs w:val="24"/>
        </w:rPr>
        <w:t xml:space="preserve"> </w:t>
      </w:r>
      <w:r w:rsidRPr="00F112D8">
        <w:rPr>
          <w:color w:val="FF0000"/>
          <w:u w:val="single"/>
        </w:rPr>
        <w:t>develops and implements agricultural water quality management area plans and rules to prevent and control water pollution from agricultural activities and soil erosion on agricultural and rural lands.  The department may also assign sector or source specific load allocations needed for agricultural or rural residential nonpoint sources to implement the load allocations.  In areas where a TMDL has been approved, agricultural water quality management area plans and rules must be sufficient to meet the load allocations.  If the department determines that plan</w:t>
      </w:r>
      <w:r w:rsidR="001F4608">
        <w:rPr>
          <w:color w:val="FF0000"/>
          <w:u w:val="single"/>
        </w:rPr>
        <w:t>s</w:t>
      </w:r>
      <w:r w:rsidRPr="00F112D8">
        <w:rPr>
          <w:color w:val="FF0000"/>
          <w:u w:val="single"/>
        </w:rPr>
        <w:t xml:space="preserve"> and rules are not adequate to implement the load allocation</w:t>
      </w:r>
      <w:r w:rsidR="001F4608">
        <w:rPr>
          <w:color w:val="FF0000"/>
          <w:u w:val="single"/>
        </w:rPr>
        <w:t>s</w:t>
      </w:r>
      <w:r w:rsidRPr="00F112D8">
        <w:rPr>
          <w:color w:val="FF0000"/>
          <w:u w:val="single"/>
        </w:rPr>
        <w:t>, the department may request the Environmental Quality Commission to petition ODA for a review of part or all of water quality management area plan and rules implementing the TMDL</w:t>
      </w:r>
      <w:r w:rsidRPr="00F112D8">
        <w:t>.</w:t>
      </w:r>
      <w:r w:rsidRPr="008D61A6">
        <w:rPr>
          <w:color w:val="FF0000"/>
        </w:rPr>
        <w:t xml:space="preserve">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 xml:space="preserve"> (</w:t>
      </w:r>
      <w:r w:rsidRPr="005B68F7">
        <w:rPr>
          <w:rFonts w:asciiTheme="minorHAnsi" w:hAnsiTheme="minorHAnsi"/>
          <w:strike/>
          <w:sz w:val="22"/>
          <w:szCs w:val="22"/>
        </w:rPr>
        <w:t>3</w:t>
      </w:r>
      <w:r w:rsidRPr="005B68F7">
        <w:rPr>
          <w:rFonts w:asciiTheme="minorHAnsi" w:hAnsiTheme="minorHAnsi"/>
          <w:color w:val="FF0000"/>
          <w:sz w:val="22"/>
          <w:szCs w:val="22"/>
          <w:u w:val="single"/>
        </w:rPr>
        <w:t>4</w:t>
      </w:r>
      <w:r w:rsidRPr="005B68F7">
        <w:rPr>
          <w:rFonts w:asciiTheme="minorHAnsi" w:hAnsiTheme="minorHAnsi"/>
          <w:sz w:val="22"/>
          <w:szCs w:val="22"/>
        </w:rPr>
        <w:t xml:space="preserve">) Persons, including DMAs other than the Oregon Department of Forestry or the Oregon Department of Agriculture, identified in a WQMP as responsible for developing and revising sector-specific or source-specific implementation plans must: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 xml:space="preserve">(a) Prepare an implementation plan and submit the plan to the Department for review and approval according to the schedule specified in the WQMP. The implementation plan must: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 xml:space="preserve">(A) Identify the management strategies the DMA or other responsible person will use to achieve load allocations and reduce pollutant loading;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 xml:space="preserve">(B) Provide a timeline for implementing management strategies and a schedule for completing measurable milestones;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 xml:space="preserve">(C) Provide for performance monitoring with a plan for periodic review and revision of the implementation plan; </w:t>
      </w:r>
    </w:p>
    <w:p w:rsidR="005B68F7" w:rsidRPr="005B68F7" w:rsidRDefault="005B68F7" w:rsidP="002C174D">
      <w:pPr>
        <w:pStyle w:val="NormalWeb"/>
        <w:rPr>
          <w:rFonts w:asciiTheme="minorHAnsi" w:hAnsiTheme="minorHAnsi"/>
          <w:sz w:val="22"/>
          <w:szCs w:val="22"/>
        </w:rPr>
      </w:pPr>
      <w:r w:rsidRPr="005B68F7">
        <w:rPr>
          <w:rFonts w:asciiTheme="minorHAnsi" w:hAnsiTheme="minorHAnsi"/>
          <w:sz w:val="22"/>
          <w:szCs w:val="22"/>
        </w:rPr>
        <w:t xml:space="preserve">(D) To the extent required by ORS 197.180 and OAR chapter 340, division 18, provide evidence of compliance with applicable statewide land use requirements; and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 xml:space="preserve">(E) Provide any other analyses or information specified in the WQMP.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 xml:space="preserve">(b) Implement and revise the plan as needed. </w:t>
      </w:r>
    </w:p>
    <w:p w:rsidR="005B68F7" w:rsidRPr="005B68F7" w:rsidRDefault="005B68F7" w:rsidP="005B68F7">
      <w:pPr>
        <w:pStyle w:val="NormalWeb"/>
        <w:rPr>
          <w:rFonts w:asciiTheme="minorHAnsi" w:hAnsiTheme="minorHAnsi"/>
          <w:sz w:val="22"/>
          <w:szCs w:val="22"/>
        </w:rPr>
      </w:pPr>
      <w:r w:rsidRPr="005B68F7">
        <w:rPr>
          <w:rFonts w:asciiTheme="minorHAnsi" w:hAnsiTheme="minorHAnsi"/>
          <w:sz w:val="22"/>
          <w:szCs w:val="22"/>
        </w:rPr>
        <w:t>(</w:t>
      </w:r>
      <w:r w:rsidRPr="005B68F7">
        <w:rPr>
          <w:rFonts w:asciiTheme="minorHAnsi" w:hAnsiTheme="minorHAnsi"/>
          <w:strike/>
          <w:sz w:val="22"/>
          <w:szCs w:val="22"/>
        </w:rPr>
        <w:t>4</w:t>
      </w:r>
      <w:r w:rsidRPr="005B68F7">
        <w:rPr>
          <w:rFonts w:asciiTheme="minorHAnsi" w:hAnsiTheme="minorHAnsi"/>
          <w:color w:val="FF0000"/>
          <w:sz w:val="22"/>
          <w:szCs w:val="22"/>
          <w:u w:val="single"/>
        </w:rPr>
        <w:t>5</w:t>
      </w:r>
      <w:r w:rsidRPr="005B68F7">
        <w:rPr>
          <w:rFonts w:asciiTheme="minorHAnsi" w:hAnsiTheme="minorHAnsi"/>
          <w:sz w:val="22"/>
          <w:szCs w:val="22"/>
        </w:rPr>
        <w:t xml:space="preserve">) For sources subject to permit requirements in ORS 468B.050, </w:t>
      </w:r>
      <w:proofErr w:type="spellStart"/>
      <w:r w:rsidRPr="005B68F7">
        <w:rPr>
          <w:rFonts w:asciiTheme="minorHAnsi" w:hAnsiTheme="minorHAnsi"/>
          <w:sz w:val="22"/>
          <w:szCs w:val="22"/>
        </w:rPr>
        <w:t>wasteload</w:t>
      </w:r>
      <w:proofErr w:type="spellEnd"/>
      <w:r w:rsidRPr="005B68F7">
        <w:rPr>
          <w:rFonts w:asciiTheme="minorHAnsi" w:hAnsiTheme="minorHAnsi"/>
          <w:sz w:val="22"/>
          <w:szCs w:val="22"/>
        </w:rPr>
        <w:t xml:space="preserve"> allocations and other management strategies will be incorporated into permit requirements.</w:t>
      </w:r>
    </w:p>
    <w:p w:rsidR="005561B1" w:rsidRDefault="005561B1">
      <w:pPr>
        <w:rPr>
          <w:b/>
          <w:sz w:val="28"/>
          <w:szCs w:val="28"/>
        </w:rPr>
      </w:pPr>
      <w:r>
        <w:rPr>
          <w:b/>
          <w:sz w:val="28"/>
          <w:szCs w:val="28"/>
        </w:rPr>
        <w:br w:type="page"/>
      </w:r>
    </w:p>
    <w:p w:rsidR="005561B1" w:rsidRPr="005561B1" w:rsidRDefault="005561B1" w:rsidP="00920C0D">
      <w:pPr>
        <w:pStyle w:val="IntenseQuote"/>
        <w:ind w:left="0"/>
        <w:rPr>
          <w:sz w:val="36"/>
          <w:szCs w:val="36"/>
        </w:rPr>
      </w:pPr>
      <w:r w:rsidRPr="005561B1">
        <w:rPr>
          <w:sz w:val="36"/>
          <w:szCs w:val="36"/>
        </w:rPr>
        <w:t>Toxics Rulemaking Proposed Revisions:  Division 45</w:t>
      </w:r>
    </w:p>
    <w:p w:rsidR="005561B1" w:rsidRDefault="005561B1" w:rsidP="005561B1">
      <w:pPr>
        <w:rPr>
          <w:b/>
          <w:bCs/>
          <w:color w:val="FF0000"/>
        </w:rPr>
      </w:pPr>
      <w:r w:rsidRPr="00B5309E">
        <w:rPr>
          <w:b/>
          <w:bCs/>
          <w:color w:val="FF0000"/>
        </w:rPr>
        <w:t>OAR 340-045-</w:t>
      </w:r>
      <w:r>
        <w:rPr>
          <w:b/>
          <w:bCs/>
          <w:color w:val="FF0000"/>
        </w:rPr>
        <w:t>0105</w:t>
      </w:r>
    </w:p>
    <w:p w:rsidR="003366DF" w:rsidRPr="00B5309E" w:rsidRDefault="003366DF" w:rsidP="005561B1">
      <w:pPr>
        <w:rPr>
          <w:b/>
          <w:bCs/>
          <w:color w:val="FF0000"/>
        </w:rPr>
      </w:pPr>
      <w:r>
        <w:rPr>
          <w:b/>
          <w:bCs/>
          <w:color w:val="FF0000"/>
        </w:rPr>
        <w:t>Intake Credits</w:t>
      </w:r>
    </w:p>
    <w:p w:rsidR="005561B1" w:rsidRPr="00333993" w:rsidRDefault="005561B1" w:rsidP="00920C0D">
      <w:pPr>
        <w:autoSpaceDE w:val="0"/>
        <w:autoSpaceDN w:val="0"/>
        <w:adjustRightInd w:val="0"/>
        <w:rPr>
          <w:iCs/>
          <w:color w:val="FF0000"/>
        </w:rPr>
      </w:pPr>
      <w:r w:rsidRPr="00333993">
        <w:rPr>
          <w:iCs/>
          <w:color w:val="FF0000"/>
        </w:rPr>
        <w:t>(1)  General Provisions.  The following provisions apply to the consideration of intake pollutants in determining reasonable potential under section (2) of this rule and the consideration of intake pollutants in establishing water quality based effluent limits under section (3) of this rule.</w:t>
      </w:r>
    </w:p>
    <w:p w:rsidR="005561B1" w:rsidRPr="00333993" w:rsidRDefault="005561B1" w:rsidP="00920C0D">
      <w:pPr>
        <w:autoSpaceDE w:val="0"/>
        <w:autoSpaceDN w:val="0"/>
        <w:adjustRightInd w:val="0"/>
        <w:rPr>
          <w:iCs/>
          <w:color w:val="FF0000"/>
        </w:rPr>
      </w:pPr>
      <w:r w:rsidRPr="00333993">
        <w:rPr>
          <w:iCs/>
          <w:color w:val="FF0000"/>
        </w:rPr>
        <w:t xml:space="preserve">These provisions apply only in the absence of a TMDL applicable to the discharge prepared by the State and approved by </w:t>
      </w:r>
      <w:r w:rsidRPr="00333993">
        <w:rPr>
          <w:rFonts w:cs="Arial"/>
          <w:color w:val="FF0000"/>
        </w:rPr>
        <w:t>Environmental Protection Agency (EPA)</w:t>
      </w:r>
      <w:r w:rsidRPr="00333993">
        <w:rPr>
          <w:iCs/>
          <w:color w:val="FF0000"/>
        </w:rPr>
        <w:t>, or prepared by EPA pursuant to 40 CFR 130.7(d).  These provisions do not alter the permitting authority's obligation under 40 CFR 122.44(d</w:t>
      </w:r>
      <w:proofErr w:type="gramStart"/>
      <w:r w:rsidRPr="00333993">
        <w:rPr>
          <w:iCs/>
          <w:color w:val="FF0000"/>
        </w:rPr>
        <w:t>)(</w:t>
      </w:r>
      <w:proofErr w:type="gramEnd"/>
      <w:r w:rsidRPr="00333993">
        <w:rPr>
          <w:iCs/>
          <w:color w:val="FF0000"/>
        </w:rPr>
        <w:t>vii)(B) to develop effluent limitations consistent with the assumptions and requirements of any available waste load allocations for the discharge, which is part of a TMDL prepared by the department and approved by EPA pursuant to 40 CFR 130.7, or prepared by EPA pursuant to 40 CFR 130.7(d).</w:t>
      </w:r>
    </w:p>
    <w:p w:rsidR="005561B1" w:rsidRPr="00333993" w:rsidRDefault="005561B1" w:rsidP="00920C0D">
      <w:pPr>
        <w:autoSpaceDE w:val="0"/>
        <w:autoSpaceDN w:val="0"/>
        <w:adjustRightInd w:val="0"/>
        <w:rPr>
          <w:iCs/>
          <w:color w:val="FF0000"/>
        </w:rPr>
      </w:pPr>
      <w:r w:rsidRPr="00333993">
        <w:rPr>
          <w:iCs/>
          <w:color w:val="FF0000"/>
        </w:rPr>
        <w:t>(a) An “intake pollutant” is the amount of a pollutant that is present in public waters (including groundwater as provided in subsection (d), below, at the time it is withdrawn from such waters by the discharger or other facility supplying the discharger with intake water.</w:t>
      </w:r>
    </w:p>
    <w:p w:rsidR="005561B1" w:rsidRPr="00333993" w:rsidRDefault="005561B1" w:rsidP="00920C0D">
      <w:pPr>
        <w:autoSpaceDE w:val="0"/>
        <w:autoSpaceDN w:val="0"/>
        <w:adjustRightInd w:val="0"/>
        <w:rPr>
          <w:iCs/>
          <w:color w:val="FF0000"/>
        </w:rPr>
      </w:pPr>
      <w:r w:rsidRPr="00333993">
        <w:rPr>
          <w:iCs/>
          <w:color w:val="FF0000"/>
        </w:rPr>
        <w:t xml:space="preserve">(b)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333993">
        <w:rPr>
          <w:iCs/>
          <w:color w:val="FF0000"/>
        </w:rPr>
        <w:t>permittee</w:t>
      </w:r>
      <w:proofErr w:type="spellEnd"/>
      <w:r w:rsidRPr="00333993">
        <w:rPr>
          <w:iCs/>
          <w:color w:val="FF0000"/>
        </w:rPr>
        <w:t>. This finding may be deemed established if:</w:t>
      </w:r>
    </w:p>
    <w:p w:rsidR="005561B1" w:rsidRPr="00333993" w:rsidRDefault="005561B1" w:rsidP="00920C0D">
      <w:pPr>
        <w:autoSpaceDE w:val="0"/>
        <w:autoSpaceDN w:val="0"/>
        <w:adjustRightInd w:val="0"/>
        <w:ind w:left="720"/>
        <w:rPr>
          <w:iCs/>
          <w:color w:val="FF0000"/>
        </w:rPr>
      </w:pPr>
      <w:r w:rsidRPr="00333993">
        <w:rPr>
          <w:iCs/>
          <w:color w:val="FF0000"/>
        </w:rPr>
        <w:t>(A) The background concentration of the pollutant in the receiving water (excluding any amount of the pollutant in the facility's discharge) is similar to that in the intake water;</w:t>
      </w:r>
    </w:p>
    <w:p w:rsidR="005561B1" w:rsidRPr="00333993" w:rsidRDefault="005561B1" w:rsidP="00920C0D">
      <w:pPr>
        <w:autoSpaceDE w:val="0"/>
        <w:autoSpaceDN w:val="0"/>
        <w:adjustRightInd w:val="0"/>
        <w:ind w:left="720"/>
        <w:rPr>
          <w:iCs/>
          <w:color w:val="FF0000"/>
        </w:rPr>
      </w:pPr>
      <w:r w:rsidRPr="00333993">
        <w:rPr>
          <w:iCs/>
          <w:color w:val="FF0000"/>
        </w:rPr>
        <w:t>(B) There is a direct hydrological connection between the intake and discharge points; and</w:t>
      </w:r>
    </w:p>
    <w:p w:rsidR="005561B1" w:rsidRPr="00333993" w:rsidRDefault="005561B1" w:rsidP="00920C0D">
      <w:pPr>
        <w:autoSpaceDE w:val="0"/>
        <w:autoSpaceDN w:val="0"/>
        <w:adjustRightInd w:val="0"/>
        <w:ind w:left="720"/>
        <w:rPr>
          <w:iCs/>
          <w:color w:val="FF0000"/>
        </w:rPr>
      </w:pPr>
      <w:r w:rsidRPr="00333993">
        <w:rPr>
          <w:iCs/>
          <w:color w:val="FF0000"/>
        </w:rPr>
        <w:t>(C) Water quality characteristics (e.g., temperature, pH, hardness) are similar in the intake and receiving waters.</w:t>
      </w:r>
    </w:p>
    <w:p w:rsidR="005561B1" w:rsidRPr="00333993" w:rsidRDefault="005561B1" w:rsidP="00920C0D">
      <w:pPr>
        <w:autoSpaceDE w:val="0"/>
        <w:autoSpaceDN w:val="0"/>
        <w:adjustRightInd w:val="0"/>
        <w:rPr>
          <w:iCs/>
          <w:color w:val="FF0000"/>
        </w:rPr>
      </w:pPr>
      <w:r w:rsidRPr="00333993">
        <w:rPr>
          <w:iCs/>
          <w:color w:val="FF0000"/>
        </w:rPr>
        <w:t xml:space="preserve">(c)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333993">
        <w:rPr>
          <w:iCs/>
          <w:color w:val="FF0000"/>
        </w:rPr>
        <w:t>permittee</w:t>
      </w:r>
      <w:proofErr w:type="spellEnd"/>
      <w:r w:rsidRPr="00333993">
        <w:rPr>
          <w:iCs/>
          <w:color w:val="FF0000"/>
        </w:rPr>
        <w:t>.</w:t>
      </w:r>
    </w:p>
    <w:p w:rsidR="005561B1" w:rsidRPr="00333993" w:rsidRDefault="001B2039" w:rsidP="00920C0D">
      <w:pPr>
        <w:autoSpaceDE w:val="0"/>
        <w:autoSpaceDN w:val="0"/>
        <w:adjustRightInd w:val="0"/>
        <w:rPr>
          <w:iCs/>
          <w:color w:val="FF0000"/>
        </w:rPr>
      </w:pPr>
      <w:r>
        <w:rPr>
          <w:iCs/>
          <w:color w:val="FF0000"/>
        </w:rPr>
        <w:t>(d</w:t>
      </w:r>
      <w:r w:rsidR="005561B1" w:rsidRPr="00333993">
        <w:rPr>
          <w:iCs/>
          <w:color w:val="FF0000"/>
        </w:rPr>
        <w:t xml:space="preserve">) An intake pollutant from groundwater may be considered to be from the “same body of water” if the  department determines that the pollutant would have reached the vicinity of the outfall point in the receiving water within a reasonable period had it not been removed by the </w:t>
      </w:r>
      <w:proofErr w:type="spellStart"/>
      <w:r w:rsidR="005561B1" w:rsidRPr="00333993">
        <w:rPr>
          <w:iCs/>
          <w:color w:val="FF0000"/>
        </w:rPr>
        <w:t>permittee</w:t>
      </w:r>
      <w:proofErr w:type="spellEnd"/>
      <w:r w:rsidR="005561B1" w:rsidRPr="00333993">
        <w:rPr>
          <w:iCs/>
          <w:color w:val="FF0000"/>
        </w:rPr>
        <w:t>, except that such a pollutant is not from the same body of water if the groundwater contains the pollutant partially or entirely due to human activity, such as industrial, commercial, or municipal operations, disposal actions, or treatment processes.</w:t>
      </w:r>
    </w:p>
    <w:p w:rsidR="005561B1" w:rsidRPr="00333993" w:rsidRDefault="001B2039" w:rsidP="00920C0D">
      <w:pPr>
        <w:autoSpaceDE w:val="0"/>
        <w:autoSpaceDN w:val="0"/>
        <w:adjustRightInd w:val="0"/>
        <w:rPr>
          <w:iCs/>
          <w:color w:val="FF0000"/>
        </w:rPr>
      </w:pPr>
      <w:r>
        <w:rPr>
          <w:iCs/>
          <w:color w:val="FF0000"/>
        </w:rPr>
        <w:t>(e</w:t>
      </w:r>
      <w:r w:rsidR="005561B1" w:rsidRPr="00333993">
        <w:rPr>
          <w:iCs/>
          <w:color w:val="FF0000"/>
        </w:rPr>
        <w:t>) The determinations made under Sections</w:t>
      </w:r>
      <w:r w:rsidR="00333993" w:rsidRPr="00333993">
        <w:rPr>
          <w:iCs/>
          <w:color w:val="FF0000"/>
        </w:rPr>
        <w:t xml:space="preserve"> </w:t>
      </w:r>
      <w:r w:rsidR="005561B1" w:rsidRPr="00333993">
        <w:rPr>
          <w:iCs/>
          <w:color w:val="FF0000"/>
        </w:rPr>
        <w:t xml:space="preserve">(2) </w:t>
      </w:r>
      <w:proofErr w:type="gramStart"/>
      <w:r w:rsidR="005561B1" w:rsidRPr="00333993">
        <w:rPr>
          <w:iCs/>
          <w:color w:val="FF0000"/>
        </w:rPr>
        <w:t>and(</w:t>
      </w:r>
      <w:proofErr w:type="gramEnd"/>
      <w:r w:rsidR="005561B1" w:rsidRPr="00333993">
        <w:rPr>
          <w:iCs/>
          <w:color w:val="FF0000"/>
        </w:rPr>
        <w:t>3), below,  be made on a pollutant-by-pollutant and outfall-by-outfall basis.</w:t>
      </w:r>
    </w:p>
    <w:p w:rsidR="005561B1" w:rsidRPr="00333993" w:rsidRDefault="005561B1" w:rsidP="00920C0D">
      <w:pPr>
        <w:autoSpaceDE w:val="0"/>
        <w:autoSpaceDN w:val="0"/>
        <w:adjustRightInd w:val="0"/>
        <w:rPr>
          <w:iCs/>
          <w:color w:val="FF0000"/>
        </w:rPr>
      </w:pPr>
      <w:r w:rsidRPr="00333993">
        <w:rPr>
          <w:iCs/>
          <w:color w:val="FF0000"/>
        </w:rPr>
        <w:t>(2)  Consideration of Intake Pollutants in Determining Reasonable Potential:</w:t>
      </w:r>
    </w:p>
    <w:p w:rsidR="005561B1" w:rsidRPr="00333993" w:rsidRDefault="005561B1" w:rsidP="00920C0D">
      <w:pPr>
        <w:autoSpaceDE w:val="0"/>
        <w:autoSpaceDN w:val="0"/>
        <w:adjustRightInd w:val="0"/>
        <w:rPr>
          <w:iCs/>
          <w:color w:val="FF0000"/>
        </w:rPr>
      </w:pPr>
      <w:r w:rsidRPr="00333993">
        <w:rPr>
          <w:iCs/>
          <w:color w:val="FF0000"/>
        </w:rPr>
        <w:t>(a)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deemed necessary by the Department) that:</w:t>
      </w:r>
    </w:p>
    <w:p w:rsidR="005561B1" w:rsidRPr="00333993" w:rsidRDefault="005561B1" w:rsidP="00920C0D">
      <w:pPr>
        <w:autoSpaceDE w:val="0"/>
        <w:autoSpaceDN w:val="0"/>
        <w:adjustRightInd w:val="0"/>
        <w:ind w:left="720"/>
        <w:rPr>
          <w:iCs/>
          <w:color w:val="FF0000"/>
        </w:rPr>
      </w:pPr>
      <w:r w:rsidRPr="00333993">
        <w:rPr>
          <w:iCs/>
          <w:color w:val="FF0000"/>
        </w:rPr>
        <w:t>(A) The facility withdraws 100 percent of the intake water containing the pollutant from the same body of water into which the discharge is made;</w:t>
      </w:r>
    </w:p>
    <w:p w:rsidR="005561B1" w:rsidRPr="00333993" w:rsidRDefault="005561B1" w:rsidP="00920C0D">
      <w:pPr>
        <w:autoSpaceDE w:val="0"/>
        <w:autoSpaceDN w:val="0"/>
        <w:adjustRightInd w:val="0"/>
        <w:ind w:left="720"/>
        <w:rPr>
          <w:iCs/>
          <w:color w:val="FF0000"/>
        </w:rPr>
      </w:pPr>
      <w:r w:rsidRPr="00333993">
        <w:rPr>
          <w:iCs/>
          <w:color w:val="FF0000"/>
        </w:rPr>
        <w:t>(B) The facility does not contribute any additional mass of the identified intake pollutant to its wastewater;</w:t>
      </w:r>
    </w:p>
    <w:p w:rsidR="005561B1" w:rsidRPr="00333993" w:rsidRDefault="005561B1" w:rsidP="00920C0D">
      <w:pPr>
        <w:autoSpaceDE w:val="0"/>
        <w:autoSpaceDN w:val="0"/>
        <w:adjustRightInd w:val="0"/>
        <w:ind w:left="720"/>
        <w:rPr>
          <w:iCs/>
          <w:color w:val="FF0000"/>
        </w:rPr>
      </w:pPr>
      <w:r w:rsidRPr="00333993">
        <w:rPr>
          <w:iCs/>
          <w:color w:val="FF0000"/>
        </w:rPr>
        <w:t>(C) The facility does not alter the identified intake pollutant chemically or physically in a manner that would cause adverse water quality impacts to occur that would not occur if the pollutants were left in-stream;</w:t>
      </w:r>
    </w:p>
    <w:p w:rsidR="005561B1" w:rsidRPr="00333993" w:rsidRDefault="005561B1" w:rsidP="00920C0D">
      <w:pPr>
        <w:autoSpaceDE w:val="0"/>
        <w:autoSpaceDN w:val="0"/>
        <w:adjustRightInd w:val="0"/>
        <w:ind w:left="720"/>
        <w:rPr>
          <w:iCs/>
          <w:color w:val="FF0000"/>
        </w:rPr>
      </w:pPr>
      <w:r w:rsidRPr="00333993">
        <w:rPr>
          <w:iCs/>
          <w:color w:val="FF0000"/>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5561B1" w:rsidRPr="00333993" w:rsidRDefault="005561B1" w:rsidP="00920C0D">
      <w:pPr>
        <w:autoSpaceDE w:val="0"/>
        <w:autoSpaceDN w:val="0"/>
        <w:adjustRightInd w:val="0"/>
        <w:ind w:left="720"/>
        <w:rPr>
          <w:iCs/>
          <w:color w:val="FF0000"/>
        </w:rPr>
      </w:pPr>
      <w:r w:rsidRPr="00333993">
        <w:rPr>
          <w:iCs/>
          <w:color w:val="FF0000"/>
        </w:rPr>
        <w:t>(E) The timing and location of the discharge would not cause adverse water quality impacts to occur that would not occur if the identified intake pollutant were left in-stream.</w:t>
      </w:r>
    </w:p>
    <w:p w:rsidR="005561B1" w:rsidRPr="00333993" w:rsidRDefault="005561B1" w:rsidP="00920C0D">
      <w:pPr>
        <w:autoSpaceDE w:val="0"/>
        <w:autoSpaceDN w:val="0"/>
        <w:adjustRightInd w:val="0"/>
        <w:rPr>
          <w:iCs/>
          <w:color w:val="FF0000"/>
        </w:rPr>
      </w:pPr>
      <w:r w:rsidRPr="00333993">
        <w:rPr>
          <w:iCs/>
          <w:color w:val="FF0000"/>
        </w:rPr>
        <w:t>(b) Upon a finding under subsection (a) of this section that an intake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5561B1" w:rsidRPr="00333993" w:rsidRDefault="005561B1" w:rsidP="00920C0D">
      <w:pPr>
        <w:autoSpaceDE w:val="0"/>
        <w:autoSpaceDN w:val="0"/>
        <w:adjustRightInd w:val="0"/>
        <w:ind w:left="720"/>
        <w:rPr>
          <w:iCs/>
          <w:color w:val="FF0000"/>
        </w:rPr>
      </w:pPr>
      <w:r w:rsidRPr="00333993">
        <w:rPr>
          <w:iCs/>
          <w:color w:val="FF0000"/>
        </w:rPr>
        <w:t xml:space="preserve">(A)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 </w:t>
      </w:r>
      <w:r w:rsidRPr="00333993">
        <w:rPr>
          <w:rFonts w:cs="Arial"/>
          <w:color w:val="FF0000"/>
        </w:rPr>
        <w:t>included in the administrative record</w:t>
      </w:r>
      <w:r w:rsidRPr="00333993">
        <w:rPr>
          <w:iCs/>
          <w:color w:val="FF0000"/>
        </w:rPr>
        <w:t>;</w:t>
      </w:r>
    </w:p>
    <w:p w:rsidR="005561B1" w:rsidRPr="00333993" w:rsidRDefault="005561B1" w:rsidP="00920C0D">
      <w:pPr>
        <w:autoSpaceDE w:val="0"/>
        <w:autoSpaceDN w:val="0"/>
        <w:adjustRightInd w:val="0"/>
        <w:ind w:left="720"/>
        <w:rPr>
          <w:iCs/>
          <w:color w:val="FF0000"/>
        </w:rPr>
      </w:pPr>
      <w:r w:rsidRPr="00333993">
        <w:rPr>
          <w:iCs/>
          <w:color w:val="FF0000"/>
        </w:rPr>
        <w:t>(B) The permit requires all influent, effluent, and ambient monitoring necessary to demonstrate that the conditions above in subsection (a) of this section, are maintained during the permit term; and</w:t>
      </w:r>
    </w:p>
    <w:p w:rsidR="005561B1" w:rsidRPr="00333993" w:rsidRDefault="005561B1" w:rsidP="00920C0D">
      <w:pPr>
        <w:autoSpaceDE w:val="0"/>
        <w:autoSpaceDN w:val="0"/>
        <w:adjustRightInd w:val="0"/>
        <w:ind w:left="720"/>
        <w:rPr>
          <w:iCs/>
          <w:color w:val="FF0000"/>
        </w:rPr>
      </w:pPr>
      <w:r w:rsidRPr="00333993">
        <w:rPr>
          <w:iCs/>
          <w:color w:val="FF0000"/>
        </w:rPr>
        <w:t>(C) The permit contains a re-opener clause authorizing modification or revocation and re-issuance of the permit if new information shows changes in the conditions in subsection (a) (A) through (E) of this section.</w:t>
      </w:r>
    </w:p>
    <w:p w:rsidR="005561B1" w:rsidRPr="00333993" w:rsidRDefault="005561B1" w:rsidP="00920C0D">
      <w:pPr>
        <w:autoSpaceDE w:val="0"/>
        <w:autoSpaceDN w:val="0"/>
        <w:adjustRightInd w:val="0"/>
        <w:rPr>
          <w:iCs/>
          <w:color w:val="FF0000"/>
        </w:rPr>
      </w:pPr>
      <w:r w:rsidRPr="00333993">
        <w:rPr>
          <w:iCs/>
          <w:color w:val="FF0000"/>
        </w:rPr>
        <w:t>(3)  Consideration of Intake Pollutants in Establishing WQBELs:</w:t>
      </w:r>
    </w:p>
    <w:p w:rsidR="005561B1" w:rsidRPr="00333993" w:rsidRDefault="005561B1" w:rsidP="00920C0D">
      <w:pPr>
        <w:autoSpaceDE w:val="0"/>
        <w:autoSpaceDN w:val="0"/>
        <w:adjustRightInd w:val="0"/>
        <w:rPr>
          <w:iCs/>
          <w:color w:val="FF0000"/>
        </w:rPr>
      </w:pPr>
      <w:r w:rsidRPr="00333993">
        <w:rPr>
          <w:iCs/>
          <w:color w:val="FF0000"/>
        </w:rPr>
        <w:t>(a) The Department may consider pollutants in intake water as provided in this Section III when establishing water quality-based effluent limitations based on narrative or numeric criteria, provided that the discharger has demonstrated to the satisfaction of the Department that the following conditions are met:</w:t>
      </w:r>
    </w:p>
    <w:p w:rsidR="005561B1" w:rsidRPr="00333993" w:rsidRDefault="005561B1" w:rsidP="00920C0D">
      <w:pPr>
        <w:autoSpaceDE w:val="0"/>
        <w:autoSpaceDN w:val="0"/>
        <w:adjustRightInd w:val="0"/>
        <w:ind w:left="720"/>
        <w:rPr>
          <w:iCs/>
          <w:color w:val="FF0000"/>
        </w:rPr>
      </w:pPr>
      <w:r w:rsidRPr="00333993">
        <w:rPr>
          <w:iCs/>
          <w:color w:val="FF0000"/>
        </w:rPr>
        <w:t>(A) The facility withdraws 100 percent of the intake water containing the pollutant from the same body of water into which the discharge is made;</w:t>
      </w:r>
    </w:p>
    <w:p w:rsidR="005561B1" w:rsidRPr="00333993" w:rsidRDefault="005561B1" w:rsidP="00920C0D">
      <w:pPr>
        <w:autoSpaceDE w:val="0"/>
        <w:autoSpaceDN w:val="0"/>
        <w:adjustRightInd w:val="0"/>
        <w:ind w:left="720"/>
        <w:rPr>
          <w:iCs/>
          <w:color w:val="FF0000"/>
        </w:rPr>
      </w:pPr>
      <w:r w:rsidRPr="00333993">
        <w:rPr>
          <w:iCs/>
          <w:color w:val="FF0000"/>
        </w:rPr>
        <w:t xml:space="preserve">(B) The observed maximum ambient background concentration and the intake water concentration of the pollutant </w:t>
      </w:r>
      <w:proofErr w:type="gramStart"/>
      <w:r w:rsidRPr="00333993">
        <w:rPr>
          <w:iCs/>
          <w:color w:val="FF0000"/>
        </w:rPr>
        <w:t>exceeds</w:t>
      </w:r>
      <w:proofErr w:type="gramEnd"/>
      <w:r w:rsidRPr="00333993">
        <w:rPr>
          <w:iCs/>
          <w:color w:val="FF0000"/>
        </w:rPr>
        <w:t xml:space="preserve"> the most stringent applicable water quality criterion for that pollutant;</w:t>
      </w:r>
    </w:p>
    <w:p w:rsidR="005561B1" w:rsidRPr="00333993" w:rsidRDefault="005561B1" w:rsidP="00920C0D">
      <w:pPr>
        <w:autoSpaceDE w:val="0"/>
        <w:autoSpaceDN w:val="0"/>
        <w:adjustRightInd w:val="0"/>
        <w:ind w:left="720"/>
        <w:rPr>
          <w:iCs/>
          <w:color w:val="FF0000"/>
        </w:rPr>
      </w:pPr>
      <w:r w:rsidRPr="00333993">
        <w:rPr>
          <w:iCs/>
          <w:color w:val="FF0000"/>
        </w:rPr>
        <w:t>(C) The facility does not alter the identified intake pollutant chemically or physically in a manner that would cause adverse water quality impacts to occur that would not occur if the pollutants were left in-stream;</w:t>
      </w:r>
    </w:p>
    <w:p w:rsidR="005561B1" w:rsidRPr="00333993" w:rsidRDefault="005561B1" w:rsidP="00920C0D">
      <w:pPr>
        <w:autoSpaceDE w:val="0"/>
        <w:autoSpaceDN w:val="0"/>
        <w:adjustRightInd w:val="0"/>
        <w:ind w:left="720"/>
        <w:rPr>
          <w:iCs/>
          <w:color w:val="FF0000"/>
        </w:rPr>
      </w:pPr>
      <w:r w:rsidRPr="00333993">
        <w:rPr>
          <w:iCs/>
          <w:color w:val="FF0000"/>
        </w:rPr>
        <w:t>(D) The facility does not increase the identified intake pollutant concentration, as defined by the Department, at the point of discharge as compared to the pollutant concentration in the intake water; and</w:t>
      </w:r>
    </w:p>
    <w:p w:rsidR="005561B1" w:rsidRPr="00333993" w:rsidRDefault="005561B1" w:rsidP="00920C0D">
      <w:pPr>
        <w:autoSpaceDE w:val="0"/>
        <w:autoSpaceDN w:val="0"/>
        <w:adjustRightInd w:val="0"/>
        <w:ind w:left="720"/>
        <w:rPr>
          <w:iCs/>
          <w:color w:val="FF0000"/>
        </w:rPr>
      </w:pPr>
      <w:r w:rsidRPr="00333993">
        <w:rPr>
          <w:iCs/>
          <w:color w:val="FF0000"/>
        </w:rPr>
        <w:t>(E) The timing and location of the discharge would not cause adverse water quality impacts to occur that would not occur if the identified intake pollutant were left in-stream.</w:t>
      </w:r>
    </w:p>
    <w:p w:rsidR="005561B1" w:rsidRPr="00333993" w:rsidRDefault="005561B1" w:rsidP="00920C0D">
      <w:pPr>
        <w:autoSpaceDE w:val="0"/>
        <w:autoSpaceDN w:val="0"/>
        <w:adjustRightInd w:val="0"/>
        <w:rPr>
          <w:iCs/>
          <w:color w:val="FF0000"/>
        </w:rPr>
      </w:pPr>
      <w:r w:rsidRPr="00333993">
        <w:rPr>
          <w:iCs/>
          <w:color w:val="FF0000"/>
        </w:rPr>
        <w:t xml:space="preserve">(b) Where the conditions in subsection (a)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5561B1" w:rsidRPr="00333993" w:rsidRDefault="005561B1" w:rsidP="00920C0D">
      <w:pPr>
        <w:autoSpaceDE w:val="0"/>
        <w:autoSpaceDN w:val="0"/>
        <w:adjustRightInd w:val="0"/>
        <w:rPr>
          <w:iCs/>
          <w:color w:val="FF0000"/>
        </w:rPr>
      </w:pPr>
      <w:r w:rsidRPr="00333993">
        <w:rPr>
          <w:iCs/>
          <w:color w:val="FF0000"/>
        </w:rPr>
        <w:t>(c) Where proper operation and maintenance of a facility’s treatment system results in the removal of an intake water pollutant, the Department may establish limitations that reflect the lower mass and concentration of the pollutant achieved by such treatment.</w:t>
      </w:r>
    </w:p>
    <w:p w:rsidR="005561B1" w:rsidRPr="00333993" w:rsidRDefault="005561B1" w:rsidP="00920C0D">
      <w:pPr>
        <w:autoSpaceDE w:val="0"/>
        <w:autoSpaceDN w:val="0"/>
        <w:adjustRightInd w:val="0"/>
        <w:rPr>
          <w:iCs/>
          <w:color w:val="FF0000"/>
        </w:rPr>
      </w:pPr>
      <w:r w:rsidRPr="00333993">
        <w:rPr>
          <w:iCs/>
          <w:color w:val="FF0000"/>
        </w:rPr>
        <w:t>(d)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supplier’s distribution system.</w:t>
      </w:r>
    </w:p>
    <w:p w:rsidR="005561B1" w:rsidRPr="00333993" w:rsidRDefault="005561B1" w:rsidP="00920C0D">
      <w:pPr>
        <w:autoSpaceDE w:val="0"/>
        <w:autoSpaceDN w:val="0"/>
        <w:adjustRightInd w:val="0"/>
        <w:rPr>
          <w:iCs/>
          <w:color w:val="FF0000"/>
        </w:rPr>
      </w:pPr>
      <w:r w:rsidRPr="00333993">
        <w:rPr>
          <w:iCs/>
          <w:color w:val="FF0000"/>
        </w:rPr>
        <w:t xml:space="preserve">(e)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t>
      </w:r>
    </w:p>
    <w:p w:rsidR="005561B1" w:rsidRPr="00333993" w:rsidRDefault="005561B1" w:rsidP="00920C0D">
      <w:pPr>
        <w:autoSpaceDE w:val="0"/>
        <w:autoSpaceDN w:val="0"/>
        <w:adjustRightInd w:val="0"/>
        <w:rPr>
          <w:iCs/>
          <w:color w:val="FF0000"/>
        </w:rPr>
      </w:pPr>
      <w:r w:rsidRPr="00333993">
        <w:rPr>
          <w:iCs/>
          <w:color w:val="FF0000"/>
        </w:rPr>
        <w:t xml:space="preserve">(f) The permit shall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5561B1" w:rsidRPr="00333993" w:rsidRDefault="005561B1" w:rsidP="00920C0D">
      <w:pPr>
        <w:autoSpaceDE w:val="0"/>
        <w:autoSpaceDN w:val="0"/>
        <w:adjustRightInd w:val="0"/>
        <w:rPr>
          <w:iCs/>
          <w:color w:val="FF0000"/>
        </w:rPr>
      </w:pPr>
      <w:r w:rsidRPr="00333993">
        <w:rPr>
          <w:iCs/>
          <w:color w:val="FF0000"/>
        </w:rPr>
        <w:t>(g)  In addition to the above, effluent limitations must be established to comply with all other applicable State and Federal laws and regulations including technology-based requirements and anti-degradation policies.</w:t>
      </w:r>
    </w:p>
    <w:p w:rsidR="005561B1" w:rsidRPr="00333993" w:rsidRDefault="005561B1" w:rsidP="00920C0D">
      <w:pPr>
        <w:autoSpaceDE w:val="0"/>
        <w:autoSpaceDN w:val="0"/>
        <w:adjustRightInd w:val="0"/>
        <w:rPr>
          <w:iCs/>
          <w:color w:val="FF0000"/>
        </w:rPr>
      </w:pPr>
      <w:r w:rsidRPr="00333993">
        <w:rPr>
          <w:iCs/>
          <w:color w:val="FF0000"/>
        </w:rPr>
        <w:t xml:space="preserve">(h) When determining whether WQBELs are necessary, information from chemical-specific, </w:t>
      </w:r>
      <w:proofErr w:type="gramStart"/>
      <w:r w:rsidRPr="00333993">
        <w:rPr>
          <w:iCs/>
          <w:color w:val="FF0000"/>
        </w:rPr>
        <w:t>whole</w:t>
      </w:r>
      <w:proofErr w:type="gramEnd"/>
      <w:r w:rsidRPr="00333993">
        <w:rPr>
          <w:iCs/>
          <w:color w:val="FF0000"/>
        </w:rPr>
        <w:t xml:space="preserve"> effluent toxicity and biological assessments shall be considered independently.</w:t>
      </w:r>
    </w:p>
    <w:p w:rsidR="005561B1" w:rsidRPr="00333993" w:rsidRDefault="005561B1" w:rsidP="00920C0D">
      <w:pPr>
        <w:autoSpaceDE w:val="0"/>
        <w:autoSpaceDN w:val="0"/>
        <w:adjustRightInd w:val="0"/>
        <w:rPr>
          <w:iCs/>
          <w:color w:val="FF0000"/>
        </w:rPr>
      </w:pPr>
      <w:r w:rsidRPr="00333993">
        <w:rPr>
          <w:rFonts w:cs="Arial"/>
          <w:color w:val="FF0000"/>
        </w:rPr>
        <w:t>(</w:t>
      </w:r>
      <w:proofErr w:type="spellStart"/>
      <w:proofErr w:type="gramStart"/>
      <w:r w:rsidRPr="00333993">
        <w:rPr>
          <w:rFonts w:cs="Arial"/>
          <w:color w:val="FF0000"/>
        </w:rPr>
        <w:t>i</w:t>
      </w:r>
      <w:proofErr w:type="spellEnd"/>
      <w:proofErr w:type="gramEnd"/>
      <w:r w:rsidRPr="00333993">
        <w:rPr>
          <w:rFonts w:cs="Arial"/>
          <w:color w:val="FF0000"/>
        </w:rPr>
        <w:t>)Permits limits must be consistent with the assumptions and requirements of waste load allocations or other provisions in a TMDL that has been approved by the EPA.</w:t>
      </w: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5561B1" w:rsidRDefault="005561B1" w:rsidP="005561B1">
      <w:pPr>
        <w:rPr>
          <w:b/>
          <w:sz w:val="28"/>
          <w:szCs w:val="28"/>
        </w:rPr>
      </w:pPr>
    </w:p>
    <w:p w:rsidR="002C174D" w:rsidRPr="002B2E16" w:rsidRDefault="00333993" w:rsidP="002C174D">
      <w:r>
        <w:rPr>
          <w:b/>
          <w:sz w:val="28"/>
          <w:szCs w:val="28"/>
        </w:rPr>
        <w:t>Proposed Human Health Criteria</w:t>
      </w:r>
      <w:r w:rsidRPr="00490BFD">
        <w:rPr>
          <w:b/>
          <w:sz w:val="28"/>
          <w:szCs w:val="28"/>
        </w:rPr>
        <w:t xml:space="preserve"> Table</w:t>
      </w:r>
      <w:r w:rsidR="002C174D">
        <w:rPr>
          <w:b/>
          <w:sz w:val="28"/>
          <w:szCs w:val="28"/>
        </w:rPr>
        <w:t xml:space="preserve">:  </w:t>
      </w:r>
      <w:r w:rsidR="002C174D">
        <w:t>DEQ is proposing a new Table 40 which will only contain criteria applicable to human health.  Human health criteria will be deleted from Table 20, Table 33A, and Table 33B.  These tables will remain a part of Oregon’s water quality standards and only contain the aquatic life criteria.  Once EPA takes action on the aquatic life criteria, DEQ anticipates combining these criteria into one table containing all of the aquatic life criteria.</w:t>
      </w:r>
    </w:p>
    <w:p w:rsidR="00333993" w:rsidRPr="00490BFD" w:rsidRDefault="00333993" w:rsidP="00333993">
      <w:pPr>
        <w:jc w:val="center"/>
        <w:rPr>
          <w:b/>
          <w:sz w:val="28"/>
          <w:szCs w:val="28"/>
        </w:rPr>
      </w:pPr>
    </w:p>
    <w:p w:rsidR="00333993" w:rsidRDefault="00333993" w:rsidP="00333993">
      <w:pPr>
        <w:jc w:val="center"/>
        <w:rPr>
          <w:rFonts w:ascii="Arial" w:hAnsi="Arial" w:cs="Arial"/>
          <w:b/>
          <w:sz w:val="32"/>
          <w:szCs w:val="32"/>
        </w:rPr>
      </w:pPr>
    </w:p>
    <w:p w:rsidR="00333993" w:rsidRDefault="00333993" w:rsidP="00333993">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Human Health Criteria for Toxic Pollutants</w:t>
      </w:r>
    </w:p>
    <w:p w:rsidR="00333993" w:rsidRPr="00300148" w:rsidRDefault="00333993" w:rsidP="00333993">
      <w:pPr>
        <w:jc w:val="center"/>
        <w:rPr>
          <w:rFonts w:ascii="Arial" w:hAnsi="Arial" w:cs="Arial"/>
          <w:b/>
          <w:sz w:val="32"/>
          <w:szCs w:val="32"/>
        </w:rPr>
      </w:pPr>
      <w:r>
        <w:rPr>
          <w:rFonts w:ascii="Arial" w:hAnsi="Arial" w:cs="Arial"/>
          <w:b/>
          <w:sz w:val="32"/>
          <w:szCs w:val="32"/>
        </w:rPr>
        <w:t>DRAFT</w:t>
      </w:r>
    </w:p>
    <w:p w:rsidR="00333993" w:rsidRPr="00300148" w:rsidRDefault="00333993" w:rsidP="00333993">
      <w:pPr>
        <w:rPr>
          <w:rFonts w:ascii="Arial" w:hAnsi="Arial" w:cs="Arial"/>
        </w:rPr>
      </w:pPr>
    </w:p>
    <w:p w:rsidR="00333993" w:rsidRDefault="00333993" w:rsidP="00333993">
      <w:pPr>
        <w:rPr>
          <w:rFonts w:ascii="Arial" w:hAnsi="Arial" w:cs="Arial"/>
        </w:rPr>
      </w:pPr>
      <w:r>
        <w:rPr>
          <w:rFonts w:ascii="Arial" w:hAnsi="Arial" w:cs="Arial"/>
        </w:rPr>
        <w:t>Note: The criteria in Table 40 are effective under state and federal law only after they are approved by the EPA.</w:t>
      </w:r>
    </w:p>
    <w:p w:rsidR="00333993" w:rsidRDefault="00333993" w:rsidP="00333993">
      <w:pPr>
        <w:rPr>
          <w:rFonts w:ascii="Arial" w:hAnsi="Arial" w:cs="Arial"/>
        </w:rPr>
      </w:pPr>
      <w:r>
        <w:rPr>
          <w:rFonts w:ascii="Arial" w:hAnsi="Arial" w:cs="Arial"/>
        </w:rPr>
        <w:t xml:space="preserve"> </w:t>
      </w:r>
    </w:p>
    <w:p w:rsidR="00333993" w:rsidRPr="00300148" w:rsidRDefault="00333993" w:rsidP="00333993">
      <w:pPr>
        <w:jc w:val="center"/>
        <w:rPr>
          <w:rFonts w:ascii="Arial" w:hAnsi="Arial" w:cs="Arial"/>
          <w:b/>
          <w:sz w:val="28"/>
          <w:szCs w:val="28"/>
        </w:rPr>
      </w:pPr>
      <w:r w:rsidRPr="00300148">
        <w:rPr>
          <w:rFonts w:ascii="Arial" w:hAnsi="Arial" w:cs="Arial"/>
          <w:b/>
          <w:sz w:val="28"/>
          <w:szCs w:val="28"/>
        </w:rPr>
        <w:t>Human Health Criteria Summary</w:t>
      </w:r>
    </w:p>
    <w:p w:rsidR="00333993" w:rsidRDefault="00333993" w:rsidP="00333993">
      <w:pPr>
        <w:rPr>
          <w:rFonts w:ascii="Arial" w:hAnsi="Arial" w:cs="Arial"/>
        </w:rPr>
      </w:pPr>
      <w:r w:rsidRPr="007C0BB3">
        <w:rPr>
          <w:rFonts w:ascii="Arial" w:hAnsi="Arial" w:cs="Arial"/>
          <w:color w:val="000000"/>
        </w:rPr>
        <w:t>A human health criterion is the highest concentration of a pollutant in water that is not expected to pose a significant risk to human health.</w:t>
      </w:r>
      <w:r>
        <w:rPr>
          <w:rFonts w:ascii="Arial" w:hAnsi="Arial" w:cs="Arial"/>
          <w:color w:val="000000"/>
        </w:rPr>
        <w:t xml:space="preserve"> </w:t>
      </w:r>
      <w:r>
        <w:rPr>
          <w:rFonts w:ascii="Arial" w:hAnsi="Arial" w:cs="Arial"/>
        </w:rPr>
        <w:t xml:space="preserve">The concentration for each pollutant listed in Table 40 is a criterion not to be exceeded in waters of the state in order to protect human health except as otherwise provided in OAR 340-041.  Values in Table 40 are applicable to all waters of the state designated for fishing (organism only) or domestic water supply (water + organism) uses and are expressed as micrograms per liter (µg/L).  Pollutants are listed in alphabetical order with the corresponding Chemical Abstract Service (CAS) number, whether the criterion is based on carcinogenic effects (can cause cancer in humans), and whether there is an aquatic life criterion for that pollutant (i.e. “y”= yes, “n” = no).  The “water + organism” criteria refer to safe limits that have been established for the consumption of drinking water and fish, including shellfish.  The “organism only” criteria refer to safe limits that have been established for the consumption of fish and shellfish only. </w:t>
      </w:r>
      <w:r w:rsidRPr="005F07B3">
        <w:rPr>
          <w:rFonts w:ascii="Arial" w:hAnsi="Arial" w:cs="Arial"/>
        </w:rPr>
        <w:t>The</w:t>
      </w:r>
      <w:r>
        <w:rPr>
          <w:rFonts w:ascii="Arial" w:hAnsi="Arial" w:cs="Arial"/>
        </w:rPr>
        <w:t xml:space="preserve"> </w:t>
      </w:r>
      <w:r w:rsidRPr="005F07B3">
        <w:rPr>
          <w:rFonts w:ascii="Arial" w:hAnsi="Arial" w:cs="Arial"/>
        </w:rPr>
        <w:t>“organism only” criteria are solely applicable in waters designated as having a fishing use, but not a domestic or private water supply.</w:t>
      </w:r>
      <w:r>
        <w:t xml:space="preserve">  </w:t>
      </w:r>
      <w:r>
        <w:rPr>
          <w:rFonts w:ascii="Arial" w:hAnsi="Arial" w:cs="Arial"/>
        </w:rPr>
        <w:t xml:space="preserve">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xml:space="preserve">), unless otherwise noted.  All metals criteria are for total metal concentration.  Italicized pollutants represent non-priority pollutants.  </w:t>
      </w:r>
    </w:p>
    <w:p w:rsidR="00333993" w:rsidRDefault="00333993" w:rsidP="00333993">
      <w:pPr>
        <w:rPr>
          <w:rFonts w:ascii="Arial" w:hAnsi="Arial" w:cs="Arial"/>
        </w:rPr>
      </w:pPr>
    </w:p>
    <w:p w:rsidR="00333993" w:rsidRDefault="00333993" w:rsidP="00333993">
      <w:pPr>
        <w:rPr>
          <w:rFonts w:ascii="Arial" w:hAnsi="Arial" w:cs="Arial"/>
        </w:rPr>
      </w:pPr>
    </w:p>
    <w:p w:rsidR="00333993" w:rsidRDefault="00333993" w:rsidP="00333993">
      <w:pPr>
        <w:rPr>
          <w:rFonts w:ascii="Arial" w:hAnsi="Arial" w:cs="Arial"/>
        </w:rPr>
      </w:pPr>
    </w:p>
    <w:tbl>
      <w:tblPr>
        <w:tblW w:w="10908" w:type="dxa"/>
        <w:tblInd w:w="108" w:type="dxa"/>
        <w:tblLook w:val="04A0"/>
      </w:tblPr>
      <w:tblGrid>
        <w:gridCol w:w="550"/>
        <w:gridCol w:w="3162"/>
        <w:gridCol w:w="1106"/>
        <w:gridCol w:w="1360"/>
        <w:gridCol w:w="1050"/>
        <w:gridCol w:w="2024"/>
        <w:gridCol w:w="1656"/>
      </w:tblGrid>
      <w:tr w:rsidR="00333993" w:rsidRPr="00300148" w:rsidTr="002C174D">
        <w:trPr>
          <w:trHeight w:val="546"/>
          <w:tblHeader/>
        </w:trPr>
        <w:tc>
          <w:tcPr>
            <w:tcW w:w="550" w:type="dxa"/>
            <w:vMerge w:val="restart"/>
            <w:tcBorders>
              <w:top w:val="single" w:sz="12" w:space="0" w:color="auto"/>
              <w:left w:val="single" w:sz="12" w:space="0" w:color="auto"/>
              <w:bottom w:val="thinThickSmallGap" w:sz="24" w:space="0" w:color="auto"/>
              <w:right w:val="single" w:sz="12" w:space="0" w:color="auto"/>
            </w:tcBorders>
            <w:shd w:val="clear" w:color="auto" w:fill="FFFFFF" w:themeFill="background1"/>
            <w:vAlign w:val="bottom"/>
          </w:tcPr>
          <w:p w:rsidR="00333993" w:rsidRPr="001C3DC5" w:rsidRDefault="00333993" w:rsidP="002C174D">
            <w:pPr>
              <w:spacing w:after="0" w:line="240" w:lineRule="auto"/>
              <w:jc w:val="center"/>
              <w:rPr>
                <w:rFonts w:ascii="Arial" w:eastAsia="Times New Roman" w:hAnsi="Arial" w:cs="Arial"/>
                <w:b/>
                <w:bCs/>
                <w:color w:val="000000" w:themeColor="text1"/>
                <w:sz w:val="20"/>
                <w:szCs w:val="20"/>
              </w:rPr>
            </w:pPr>
            <w:r w:rsidRPr="001C3DC5">
              <w:rPr>
                <w:rFonts w:ascii="Arial" w:eastAsia="Times New Roman" w:hAnsi="Arial" w:cs="Arial"/>
                <w:b/>
                <w:bCs/>
                <w:color w:val="000000" w:themeColor="text1"/>
                <w:sz w:val="20"/>
                <w:szCs w:val="20"/>
              </w:rPr>
              <w:t>No.</w:t>
            </w:r>
          </w:p>
        </w:tc>
        <w:tc>
          <w:tcPr>
            <w:tcW w:w="3162" w:type="dxa"/>
            <w:vMerge w:val="restart"/>
            <w:tcBorders>
              <w:top w:val="single" w:sz="12" w:space="0" w:color="auto"/>
              <w:left w:val="single" w:sz="12" w:space="0" w:color="auto"/>
              <w:bottom w:val="thinThickSmallGap" w:sz="2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Pollutant</w:t>
            </w:r>
          </w:p>
        </w:tc>
        <w:tc>
          <w:tcPr>
            <w:tcW w:w="1106" w:type="dxa"/>
            <w:vMerge w:val="restart"/>
            <w:tcBorders>
              <w:top w:val="single" w:sz="12" w:space="0" w:color="auto"/>
              <w:left w:val="nil"/>
              <w:bottom w:val="thinThickSmallGap" w:sz="24" w:space="0" w:color="auto"/>
              <w:right w:val="nil"/>
            </w:tcBorders>
            <w:shd w:val="clear" w:color="auto" w:fill="auto"/>
            <w:vAlign w:val="bottom"/>
            <w:hideMark/>
          </w:tcPr>
          <w:p w:rsidR="00333993" w:rsidRPr="00300148" w:rsidRDefault="00333993" w:rsidP="002C174D">
            <w:pPr>
              <w:spacing w:after="0" w:line="240" w:lineRule="auto"/>
              <w:jc w:val="center"/>
              <w:rPr>
                <w:rFonts w:ascii="Arial" w:eastAsia="Times New Roman" w:hAnsi="Arial" w:cs="Arial"/>
                <w:b/>
                <w:bCs/>
                <w:sz w:val="20"/>
                <w:szCs w:val="20"/>
              </w:rPr>
            </w:pPr>
            <w:r w:rsidRPr="00300148">
              <w:rPr>
                <w:rFonts w:ascii="Arial" w:eastAsia="Times New Roman" w:hAnsi="Arial" w:cs="Arial"/>
                <w:b/>
                <w:bCs/>
                <w:sz w:val="20"/>
                <w:szCs w:val="20"/>
              </w:rPr>
              <w:t>CAS No.</w:t>
            </w:r>
          </w:p>
        </w:tc>
        <w:tc>
          <w:tcPr>
            <w:tcW w:w="136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333993" w:rsidRPr="00300148" w:rsidRDefault="00333993" w:rsidP="002C174D">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Carcinogen</w:t>
            </w:r>
          </w:p>
        </w:tc>
        <w:tc>
          <w:tcPr>
            <w:tcW w:w="1050" w:type="dxa"/>
            <w:vMerge w:val="restart"/>
            <w:tcBorders>
              <w:top w:val="single" w:sz="12" w:space="0" w:color="auto"/>
              <w:left w:val="single" w:sz="12" w:space="0" w:color="auto"/>
              <w:bottom w:val="thinThickSmallGap" w:sz="24" w:space="0" w:color="auto"/>
              <w:right w:val="single" w:sz="12" w:space="0" w:color="auto"/>
            </w:tcBorders>
            <w:shd w:val="clear" w:color="auto" w:fill="auto"/>
            <w:vAlign w:val="bottom"/>
            <w:hideMark/>
          </w:tcPr>
          <w:p w:rsidR="00333993" w:rsidRPr="00300148" w:rsidRDefault="00333993" w:rsidP="002C174D">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Aquatic Life Criteri</w:t>
            </w:r>
            <w:r>
              <w:rPr>
                <w:rFonts w:ascii="Arial" w:eastAsia="Times New Roman" w:hAnsi="Arial" w:cs="Arial"/>
                <w:b/>
                <w:bCs/>
                <w:color w:val="000000"/>
                <w:sz w:val="20"/>
                <w:szCs w:val="20"/>
              </w:rPr>
              <w:t>on</w:t>
            </w:r>
          </w:p>
        </w:tc>
        <w:tc>
          <w:tcPr>
            <w:tcW w:w="3680" w:type="dxa"/>
            <w:gridSpan w:val="2"/>
            <w:tcBorders>
              <w:top w:val="single" w:sz="12" w:space="0" w:color="auto"/>
              <w:left w:val="nil"/>
              <w:bottom w:val="single" w:sz="12" w:space="0" w:color="auto"/>
              <w:right w:val="single" w:sz="12" w:space="0" w:color="000000"/>
            </w:tcBorders>
            <w:shd w:val="clear" w:color="000000" w:fill="FFFFFF"/>
            <w:vAlign w:val="center"/>
            <w:hideMark/>
          </w:tcPr>
          <w:p w:rsidR="00333993" w:rsidRPr="00300148" w:rsidRDefault="00333993" w:rsidP="002C174D">
            <w:pPr>
              <w:spacing w:after="0" w:line="240" w:lineRule="auto"/>
              <w:jc w:val="center"/>
              <w:rPr>
                <w:rFonts w:ascii="Arial" w:eastAsia="Times New Roman" w:hAnsi="Arial" w:cs="Arial"/>
                <w:b/>
                <w:bCs/>
                <w:i/>
                <w:iCs/>
                <w:sz w:val="20"/>
                <w:szCs w:val="20"/>
              </w:rPr>
            </w:pPr>
            <w:r w:rsidRPr="00300148">
              <w:rPr>
                <w:rFonts w:ascii="Arial" w:eastAsia="Times New Roman" w:hAnsi="Arial" w:cs="Arial"/>
                <w:b/>
                <w:bCs/>
                <w:i/>
                <w:iCs/>
                <w:sz w:val="20"/>
                <w:szCs w:val="20"/>
              </w:rPr>
              <w:t>Human Health Criteria</w:t>
            </w:r>
            <w:r>
              <w:rPr>
                <w:rFonts w:ascii="Arial" w:eastAsia="Times New Roman" w:hAnsi="Arial" w:cs="Arial"/>
                <w:b/>
                <w:bCs/>
                <w:i/>
                <w:iCs/>
                <w:sz w:val="20"/>
                <w:szCs w:val="20"/>
              </w:rPr>
              <w:t xml:space="preserve"> for the Consumption of:</w:t>
            </w:r>
          </w:p>
        </w:tc>
      </w:tr>
      <w:tr w:rsidR="00333993" w:rsidRPr="00300148" w:rsidTr="002C174D">
        <w:trPr>
          <w:trHeight w:val="519"/>
          <w:tblHeader/>
        </w:trPr>
        <w:tc>
          <w:tcPr>
            <w:tcW w:w="550" w:type="dxa"/>
            <w:vMerge/>
            <w:tcBorders>
              <w:left w:val="single" w:sz="12" w:space="0" w:color="auto"/>
              <w:bottom w:val="thinThickSmallGap" w:sz="2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b/>
                <w:bCs/>
                <w:color w:val="000000" w:themeColor="text1"/>
                <w:sz w:val="20"/>
                <w:szCs w:val="20"/>
              </w:rPr>
            </w:pPr>
          </w:p>
        </w:tc>
        <w:tc>
          <w:tcPr>
            <w:tcW w:w="3162" w:type="dxa"/>
            <w:vMerge/>
            <w:tcBorders>
              <w:top w:val="single" w:sz="12" w:space="0" w:color="auto"/>
              <w:left w:val="single" w:sz="12" w:space="0" w:color="auto"/>
              <w:bottom w:val="thinThickSmallGap" w:sz="24" w:space="0" w:color="auto"/>
              <w:right w:val="single" w:sz="12" w:space="0" w:color="auto"/>
            </w:tcBorders>
            <w:vAlign w:val="center"/>
            <w:hideMark/>
          </w:tcPr>
          <w:p w:rsidR="00333993" w:rsidRPr="00300148" w:rsidRDefault="00333993" w:rsidP="002C174D">
            <w:pPr>
              <w:spacing w:after="0" w:line="240" w:lineRule="auto"/>
              <w:rPr>
                <w:rFonts w:ascii="Arial" w:eastAsia="Times New Roman" w:hAnsi="Arial" w:cs="Arial"/>
                <w:b/>
                <w:bCs/>
                <w:sz w:val="20"/>
                <w:szCs w:val="20"/>
              </w:rPr>
            </w:pPr>
          </w:p>
        </w:tc>
        <w:tc>
          <w:tcPr>
            <w:tcW w:w="1106" w:type="dxa"/>
            <w:vMerge/>
            <w:tcBorders>
              <w:top w:val="single" w:sz="12" w:space="0" w:color="auto"/>
              <w:left w:val="nil"/>
              <w:bottom w:val="thinThickSmallGap" w:sz="24" w:space="0" w:color="auto"/>
              <w:right w:val="nil"/>
            </w:tcBorders>
            <w:vAlign w:val="center"/>
            <w:hideMark/>
          </w:tcPr>
          <w:p w:rsidR="00333993" w:rsidRPr="00300148" w:rsidRDefault="00333993" w:rsidP="002C174D">
            <w:pPr>
              <w:spacing w:after="0" w:line="240" w:lineRule="auto"/>
              <w:rPr>
                <w:rFonts w:ascii="Arial" w:eastAsia="Times New Roman" w:hAnsi="Arial" w:cs="Arial"/>
                <w:b/>
                <w:bCs/>
                <w:sz w:val="20"/>
                <w:szCs w:val="20"/>
              </w:rPr>
            </w:pPr>
          </w:p>
        </w:tc>
        <w:tc>
          <w:tcPr>
            <w:tcW w:w="1360" w:type="dxa"/>
            <w:vMerge/>
            <w:tcBorders>
              <w:top w:val="single" w:sz="12" w:space="0" w:color="auto"/>
              <w:left w:val="single" w:sz="12" w:space="0" w:color="auto"/>
              <w:bottom w:val="thinThickSmallGap" w:sz="24" w:space="0" w:color="auto"/>
              <w:right w:val="single" w:sz="12" w:space="0" w:color="auto"/>
            </w:tcBorders>
            <w:vAlign w:val="center"/>
            <w:hideMark/>
          </w:tcPr>
          <w:p w:rsidR="00333993" w:rsidRPr="00300148" w:rsidRDefault="00333993" w:rsidP="002C174D">
            <w:pPr>
              <w:spacing w:after="0" w:line="240" w:lineRule="auto"/>
              <w:rPr>
                <w:rFonts w:ascii="Arial" w:eastAsia="Times New Roman" w:hAnsi="Arial" w:cs="Arial"/>
                <w:b/>
                <w:bCs/>
                <w:color w:val="000000"/>
                <w:sz w:val="20"/>
                <w:szCs w:val="20"/>
              </w:rPr>
            </w:pPr>
          </w:p>
        </w:tc>
        <w:tc>
          <w:tcPr>
            <w:tcW w:w="1050" w:type="dxa"/>
            <w:vMerge/>
            <w:tcBorders>
              <w:top w:val="single" w:sz="12" w:space="0" w:color="auto"/>
              <w:left w:val="single" w:sz="12" w:space="0" w:color="auto"/>
              <w:bottom w:val="thinThickSmallGap" w:sz="24" w:space="0" w:color="auto"/>
              <w:right w:val="single" w:sz="12" w:space="0" w:color="auto"/>
            </w:tcBorders>
            <w:vAlign w:val="center"/>
            <w:hideMark/>
          </w:tcPr>
          <w:p w:rsidR="00333993" w:rsidRPr="00300148" w:rsidRDefault="00333993" w:rsidP="002C174D">
            <w:pPr>
              <w:spacing w:after="0" w:line="240" w:lineRule="auto"/>
              <w:rPr>
                <w:rFonts w:ascii="Arial" w:eastAsia="Times New Roman" w:hAnsi="Arial" w:cs="Arial"/>
                <w:b/>
                <w:bCs/>
                <w:color w:val="000000"/>
                <w:sz w:val="20"/>
                <w:szCs w:val="20"/>
              </w:rPr>
            </w:pPr>
          </w:p>
        </w:tc>
        <w:tc>
          <w:tcPr>
            <w:tcW w:w="2024" w:type="dxa"/>
            <w:tcBorders>
              <w:top w:val="single" w:sz="12" w:space="0" w:color="auto"/>
              <w:left w:val="nil"/>
              <w:bottom w:val="thinThickSmallGap" w:sz="24" w:space="0" w:color="auto"/>
              <w:right w:val="single" w:sz="12" w:space="0" w:color="auto"/>
            </w:tcBorders>
            <w:shd w:val="clear" w:color="000000" w:fill="D7E4BC"/>
            <w:vAlign w:val="bottom"/>
            <w:hideMark/>
          </w:tcPr>
          <w:p w:rsidR="00333993" w:rsidRPr="00300148" w:rsidRDefault="00333993" w:rsidP="002C174D">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Water + Organism (µg/L)</w:t>
            </w:r>
          </w:p>
        </w:tc>
        <w:tc>
          <w:tcPr>
            <w:tcW w:w="1656" w:type="dxa"/>
            <w:tcBorders>
              <w:top w:val="single" w:sz="12" w:space="0" w:color="auto"/>
              <w:left w:val="nil"/>
              <w:bottom w:val="thinThickSmallGap" w:sz="24" w:space="0" w:color="auto"/>
              <w:right w:val="single" w:sz="12" w:space="0" w:color="auto"/>
            </w:tcBorders>
            <w:shd w:val="clear" w:color="000000" w:fill="D7E4BC"/>
            <w:vAlign w:val="bottom"/>
            <w:hideMark/>
          </w:tcPr>
          <w:p w:rsidR="00333993" w:rsidRPr="00300148" w:rsidRDefault="00333993" w:rsidP="002C174D">
            <w:pPr>
              <w:spacing w:after="0" w:line="240" w:lineRule="auto"/>
              <w:jc w:val="center"/>
              <w:rPr>
                <w:rFonts w:ascii="Arial" w:eastAsia="Times New Roman" w:hAnsi="Arial" w:cs="Arial"/>
                <w:b/>
                <w:bCs/>
                <w:color w:val="000000"/>
                <w:sz w:val="20"/>
                <w:szCs w:val="20"/>
              </w:rPr>
            </w:pPr>
            <w:r w:rsidRPr="00300148">
              <w:rPr>
                <w:rFonts w:ascii="Arial" w:eastAsia="Times New Roman" w:hAnsi="Arial" w:cs="Arial"/>
                <w:b/>
                <w:bCs/>
                <w:color w:val="000000"/>
                <w:sz w:val="20"/>
                <w:szCs w:val="20"/>
              </w:rPr>
              <w:t>Organism Only (µg/L)</w:t>
            </w:r>
          </w:p>
        </w:tc>
      </w:tr>
      <w:tr w:rsidR="00333993" w:rsidRPr="00300148" w:rsidTr="002C174D">
        <w:trPr>
          <w:trHeight w:val="255"/>
        </w:trPr>
        <w:tc>
          <w:tcPr>
            <w:tcW w:w="550" w:type="dxa"/>
            <w:tcBorders>
              <w:top w:val="thinThickSmallGap" w:sz="24" w:space="0" w:color="auto"/>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162"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hinThickSmallGap" w:sz="24" w:space="0" w:color="auto"/>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hinThickSmallGap" w:sz="24" w:space="0" w:color="auto"/>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hinThickSmallGap" w:sz="24" w:space="0" w:color="auto"/>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hinThickSmallGap" w:sz="24" w:space="0" w:color="auto"/>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hinThickSmallGap" w:sz="24" w:space="0" w:color="auto"/>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417D51" w:rsidRDefault="00333993" w:rsidP="002C174D">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commentRangeStart w:id="0"/>
            <w:r>
              <w:rPr>
                <w:rFonts w:ascii="Arial" w:eastAsia="Times New Roman" w:hAnsi="Arial" w:cs="Arial"/>
                <w:color w:val="000000"/>
                <w:sz w:val="20"/>
                <w:szCs w:val="20"/>
              </w:rPr>
              <w:t>.0022</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.0175</w:t>
            </w:r>
            <w:commentRangeEnd w:id="0"/>
            <w:r>
              <w:rPr>
                <w:rStyle w:val="CommentReference"/>
              </w:rPr>
              <w:commentReference w:id="0"/>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Default="00333993" w:rsidP="002C174D">
            <w:pPr>
              <w:spacing w:after="0" w:line="240" w:lineRule="auto"/>
              <w:jc w:val="center"/>
              <w:rPr>
                <w:rFonts w:ascii="Arial" w:eastAsia="Times New Roman" w:hAnsi="Arial" w:cs="Arial"/>
                <w:color w:val="000000"/>
                <w:sz w:val="20"/>
                <w:szCs w:val="20"/>
              </w:rPr>
            </w:pPr>
            <w:proofErr w:type="gramStart"/>
            <w:r>
              <w:rPr>
                <w:rFonts w:ascii="Arial" w:eastAsia="Times New Roman" w:hAnsi="Arial" w:cs="Arial"/>
                <w:i/>
                <w:sz w:val="18"/>
                <w:szCs w:val="18"/>
                <w:vertAlign w:val="superscript"/>
              </w:rPr>
              <w:t xml:space="preserve">A </w:t>
            </w:r>
            <w:r w:rsidRPr="00962C6A">
              <w:rPr>
                <w:rFonts w:ascii="Arial" w:eastAsia="Times New Roman" w:hAnsi="Arial" w:cs="Arial"/>
                <w:i/>
                <w:sz w:val="18"/>
                <w:szCs w:val="18"/>
              </w:rPr>
              <w:t>The</w:t>
            </w:r>
            <w:proofErr w:type="gramEnd"/>
            <w:r w:rsidRPr="00962C6A">
              <w:rPr>
                <w:rFonts w:ascii="Arial" w:eastAsia="Times New Roman" w:hAnsi="Arial" w:cs="Arial"/>
                <w:i/>
                <w:sz w:val="18"/>
                <w:szCs w:val="18"/>
              </w:rPr>
              <w:t xml:space="preserve"> </w:t>
            </w:r>
            <w:r>
              <w:rPr>
                <w:rFonts w:ascii="Arial" w:eastAsia="Times New Roman" w:hAnsi="Arial" w:cs="Arial"/>
                <w:i/>
                <w:sz w:val="18"/>
                <w:szCs w:val="18"/>
              </w:rPr>
              <w:t>arsenic criterion is expressed as</w:t>
            </w:r>
            <w:r w:rsidRPr="00181624">
              <w:rPr>
                <w:rFonts w:ascii="Arial" w:eastAsia="Times New Roman" w:hAnsi="Arial" w:cs="Arial"/>
                <w:i/>
                <w:sz w:val="18"/>
                <w:szCs w:val="18"/>
              </w:rPr>
              <w:t xml:space="preserve"> total inorganic arsenic.  </w:t>
            </w:r>
            <w:r w:rsidRPr="00181624">
              <w:rPr>
                <w:rFonts w:ascii="Arial" w:hAnsi="Arial" w:cs="Arial"/>
                <w:bCs/>
                <w:i/>
                <w:sz w:val="18"/>
                <w:szCs w:val="18"/>
              </w:rPr>
              <w:t>The “organism only” criterion is based on a risk level of 10</w:t>
            </w:r>
            <w:r w:rsidRPr="00181624">
              <w:rPr>
                <w:rFonts w:ascii="Arial" w:hAnsi="Arial" w:cs="Arial"/>
                <w:bCs/>
                <w:i/>
                <w:sz w:val="18"/>
                <w:szCs w:val="18"/>
                <w:vertAlign w:val="superscript"/>
              </w:rPr>
              <w:t>-6</w:t>
            </w:r>
            <w:r w:rsidRPr="00181624">
              <w:rPr>
                <w:rFonts w:ascii="Arial" w:hAnsi="Arial" w:cs="Arial"/>
                <w:bCs/>
                <w:i/>
                <w:sz w:val="18"/>
                <w:szCs w:val="18"/>
              </w:rPr>
              <w:t>, while the “water + organism” criterion is based on a</w:t>
            </w:r>
            <w:r w:rsidRPr="00181624">
              <w:rPr>
                <w:rFonts w:ascii="Arial" w:eastAsia="Times New Roman" w:hAnsi="Arial" w:cs="Arial"/>
                <w:i/>
                <w:sz w:val="18"/>
                <w:szCs w:val="18"/>
              </w:rPr>
              <w:t xml:space="preserve"> risk level of 10</w:t>
            </w:r>
            <w:r w:rsidRPr="00181624">
              <w:rPr>
                <w:rFonts w:ascii="Arial" w:eastAsia="Times New Roman" w:hAnsi="Arial" w:cs="Arial"/>
                <w:i/>
                <w:sz w:val="18"/>
                <w:szCs w:val="18"/>
                <w:vertAlign w:val="superscript"/>
              </w:rPr>
              <w:t>-4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Pr>
                <w:rFonts w:ascii="Arial" w:eastAsia="Times New Roman" w:hAnsi="Arial" w:cs="Arial"/>
                <w:sz w:val="20"/>
                <w:szCs w:val="20"/>
              </w:rPr>
              <w:t>Asbestos</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333993" w:rsidRPr="00300148" w:rsidTr="002C174D">
        <w:trPr>
          <w:trHeight w:val="332"/>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F64466" w:rsidRDefault="00333993" w:rsidP="002C174D">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 xml:space="preserve">B </w:t>
            </w:r>
            <w:r w:rsidRPr="00531659">
              <w:rPr>
                <w:rFonts w:ascii="Arial" w:hAnsi="Arial" w:cs="Arial"/>
                <w:i/>
                <w:sz w:val="18"/>
                <w:szCs w:val="18"/>
              </w:rPr>
              <w:t>The</w:t>
            </w:r>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465654" w:rsidRDefault="00333993" w:rsidP="002C174D">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p>
        </w:tc>
        <w:tc>
          <w:tcPr>
            <w:tcW w:w="1106" w:type="dxa"/>
            <w:tcBorders>
              <w:top w:val="nil"/>
              <w:left w:val="nil"/>
              <w:bottom w:val="single" w:sz="4" w:space="0" w:color="auto"/>
              <w:right w:val="nil"/>
            </w:tcBorders>
            <w:shd w:val="clear" w:color="auto" w:fill="auto"/>
            <w:noWrap/>
            <w:vAlign w:val="bottom"/>
            <w:hideMark/>
          </w:tcPr>
          <w:p w:rsidR="00333993" w:rsidRPr="003C2505" w:rsidRDefault="00333993" w:rsidP="002C174D">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333993" w:rsidRPr="00300148" w:rsidTr="002C174D">
        <w:trPr>
          <w:trHeight w:val="1097"/>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center"/>
            <w:hideMark/>
          </w:tcPr>
          <w:p w:rsidR="00333993" w:rsidRPr="00DE3AC2" w:rsidRDefault="00333993" w:rsidP="002C174D">
            <w:pPr>
              <w:pStyle w:val="CommentText"/>
              <w:jc w:val="center"/>
              <w:rPr>
                <w:rFonts w:ascii="Arial" w:hAnsi="Arial" w:cs="Arial"/>
                <w:i/>
                <w:sz w:val="18"/>
                <w:szCs w:val="18"/>
              </w:rPr>
            </w:pPr>
            <w:r>
              <w:rPr>
                <w:rFonts w:ascii="Arial" w:hAnsi="Arial" w:cs="Arial"/>
                <w:i/>
                <w:color w:val="000000"/>
                <w:sz w:val="18"/>
                <w:szCs w:val="18"/>
                <w:vertAlign w:val="superscript"/>
              </w:rPr>
              <w:t xml:space="preserve">C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 [represents range]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p>
        </w:tc>
        <w:tc>
          <w:tcPr>
            <w:tcW w:w="1106" w:type="dxa"/>
            <w:tcBorders>
              <w:top w:val="nil"/>
              <w:left w:val="nil"/>
              <w:bottom w:val="single" w:sz="4" w:space="0" w:color="auto"/>
              <w:right w:val="nil"/>
            </w:tcBorders>
            <w:shd w:val="clear" w:color="auto" w:fill="EAF1DD" w:themeFill="accent3" w:themeFillTint="33"/>
            <w:noWrap/>
            <w:vAlign w:val="center"/>
            <w:hideMark/>
          </w:tcPr>
          <w:p w:rsidR="00333993" w:rsidRPr="00300148" w:rsidRDefault="00333993" w:rsidP="002C174D">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center"/>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center"/>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center"/>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tcBorders>
              <w:top w:val="nil"/>
              <w:left w:val="nil"/>
              <w:bottom w:val="single" w:sz="4" w:space="0" w:color="auto"/>
              <w:right w:val="single" w:sz="12" w:space="0" w:color="auto"/>
            </w:tcBorders>
            <w:shd w:val="clear" w:color="auto" w:fill="EAF1DD" w:themeFill="accent3" w:themeFillTint="33"/>
            <w:noWrap/>
            <w:vAlign w:val="center"/>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333993" w:rsidRPr="00300148" w:rsidTr="002C174D">
        <w:trPr>
          <w:trHeight w:val="521"/>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49642C" w:rsidRDefault="00333993" w:rsidP="002C174D">
            <w:pPr>
              <w:spacing w:after="0" w:line="240" w:lineRule="auto"/>
              <w:jc w:val="center"/>
              <w:rPr>
                <w:rFonts w:ascii="Arial" w:eastAsia="Times New Roman" w:hAnsi="Arial" w:cs="Arial"/>
                <w:i/>
                <w:color w:val="000000"/>
                <w:sz w:val="20"/>
                <w:szCs w:val="20"/>
              </w:rPr>
            </w:pPr>
            <w:r>
              <w:rPr>
                <w:rFonts w:ascii="Arial" w:eastAsia="Times New Roman" w:hAnsi="Arial" w:cs="Arial"/>
                <w:i/>
                <w:color w:val="000000"/>
                <w:sz w:val="18"/>
                <w:szCs w:val="18"/>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33</w:t>
            </w:r>
          </w:p>
        </w:tc>
        <w:tc>
          <w:tcPr>
            <w:tcW w:w="3162" w:type="dxa"/>
            <w:tcBorders>
              <w:top w:val="nil"/>
              <w:left w:val="single" w:sz="12" w:space="0" w:color="auto"/>
              <w:bottom w:val="single" w:sz="4" w:space="0" w:color="auto"/>
              <w:right w:val="single" w:sz="12" w:space="0" w:color="auto"/>
            </w:tcBorders>
            <w:shd w:val="clear" w:color="auto" w:fill="auto"/>
            <w:noWrap/>
            <w:vAlign w:val="center"/>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p>
        </w:tc>
        <w:tc>
          <w:tcPr>
            <w:tcW w:w="1106" w:type="dxa"/>
            <w:tcBorders>
              <w:top w:val="nil"/>
              <w:left w:val="nil"/>
              <w:bottom w:val="single" w:sz="4" w:space="0" w:color="auto"/>
              <w:right w:val="nil"/>
            </w:tcBorders>
            <w:shd w:val="clear" w:color="auto" w:fill="auto"/>
            <w:noWrap/>
            <w:vAlign w:val="center"/>
            <w:hideMark/>
          </w:tcPr>
          <w:p w:rsidR="00333993" w:rsidRPr="00300148" w:rsidRDefault="00333993" w:rsidP="002C174D">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tcBorders>
              <w:top w:val="nil"/>
              <w:left w:val="single" w:sz="12" w:space="0" w:color="auto"/>
              <w:bottom w:val="single" w:sz="4" w:space="0" w:color="auto"/>
              <w:right w:val="single" w:sz="12" w:space="0" w:color="auto"/>
            </w:tcBorders>
            <w:shd w:val="clear" w:color="auto" w:fill="auto"/>
            <w:noWrap/>
            <w:vAlign w:val="center"/>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center"/>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center"/>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auto"/>
            <w:noWrap/>
            <w:vAlign w:val="center"/>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333993" w:rsidRPr="00300148" w:rsidTr="002C174D">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sidRPr="00E51071">
              <w:rPr>
                <w:rFonts w:ascii="Arial" w:hAnsi="Arial" w:cs="Arial"/>
                <w:i/>
                <w:color w:val="151515"/>
                <w:sz w:val="18"/>
                <w:szCs w:val="18"/>
              </w:rPr>
              <w:t>A more strin</w:t>
            </w:r>
            <w:r>
              <w:rPr>
                <w:rFonts w:ascii="Arial" w:hAnsi="Arial" w:cs="Arial"/>
                <w:i/>
                <w:color w:val="151515"/>
                <w:sz w:val="18"/>
                <w:szCs w:val="18"/>
              </w:rPr>
              <w:t>gent MCL</w:t>
            </w:r>
            <w:r w:rsidRPr="00E51071">
              <w:rPr>
                <w:rFonts w:ascii="Arial" w:hAnsi="Arial" w:cs="Arial"/>
                <w:i/>
                <w:color w:val="151515"/>
                <w:sz w:val="18"/>
                <w:szCs w:val="18"/>
              </w:rPr>
              <w:t xml:space="preserve"> has been issued by EPA under the Safe Drinking Water Act.</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r>
              <w:rPr>
                <w:rFonts w:ascii="Arial" w:eastAsia="Times New Roman" w:hAnsi="Arial" w:cs="Arial"/>
                <w:sz w:val="20"/>
                <w:szCs w:val="20"/>
              </w:rPr>
              <w:t>Copper</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333993" w:rsidRPr="00300148" w:rsidTr="002C174D">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D5609B" w:rsidRDefault="00333993" w:rsidP="002C174D">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F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Pr>
                <w:rFonts w:ascii="Arial" w:eastAsia="Times New Roman" w:hAnsi="Arial" w:cs="Arial"/>
                <w:sz w:val="20"/>
                <w:szCs w:val="20"/>
              </w:rPr>
              <w:t>Cyanide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796F1B" w:rsidRDefault="00333993" w:rsidP="002C174D">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G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Dibenzo</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333993" w:rsidRPr="00CC164F" w:rsidRDefault="00333993" w:rsidP="002C174D">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0.0060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0.0060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auto"/>
          </w:tcPr>
          <w:p w:rsidR="00333993" w:rsidRPr="001C3DC5" w:rsidRDefault="00333993" w:rsidP="002C174D">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79</w:t>
            </w:r>
          </w:p>
        </w:tc>
        <w:tc>
          <w:tcPr>
            <w:tcW w:w="3162"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tcBorders>
              <w:top w:val="nil"/>
              <w:left w:val="nil"/>
              <w:bottom w:val="single" w:sz="4" w:space="0" w:color="auto"/>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tcBorders>
              <w:top w:val="nil"/>
              <w:left w:val="nil"/>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80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465654" w:rsidRDefault="00333993" w:rsidP="002C174D">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333993" w:rsidRPr="00300148" w:rsidTr="002C174D">
        <w:trPr>
          <w:trHeight w:val="440"/>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181624" w:rsidRDefault="00333993" w:rsidP="002C174D">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H  </w:t>
            </w:r>
            <w:r>
              <w:rPr>
                <w:rFonts w:ascii="Arial" w:eastAsia="Times New Roman" w:hAnsi="Arial" w:cs="Arial"/>
                <w:i/>
                <w:color w:val="000000"/>
                <w:sz w:val="18"/>
                <w:szCs w:val="18"/>
              </w:rPr>
              <w:t>The m</w:t>
            </w:r>
            <w:r w:rsidRPr="002854CA">
              <w:rPr>
                <w:rFonts w:ascii="Arial" w:eastAsia="Times New Roman" w:hAnsi="Arial" w:cs="Arial"/>
                <w:i/>
                <w:color w:val="000000"/>
                <w:sz w:val="18"/>
                <w:szCs w:val="18"/>
              </w:rPr>
              <w:t>anganese cri</w:t>
            </w:r>
            <w:r>
              <w:rPr>
                <w:rFonts w:ascii="Arial" w:eastAsia="Times New Roman" w:hAnsi="Arial" w:cs="Arial"/>
                <w:i/>
                <w:color w:val="000000"/>
                <w:sz w:val="18"/>
                <w:szCs w:val="18"/>
              </w:rPr>
              <w:t>terion for “organism only” 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The criterion is EPA’s recommended criterion and is based on potential human health concerns related to the consumption of marine mollusks, not on a fish ingestion calculation method or a fish consumption rate.  </w:t>
            </w:r>
            <w:r w:rsidRPr="002854CA">
              <w:rPr>
                <w:rFonts w:ascii="Arial" w:eastAsia="Times New Roman" w:hAnsi="Arial" w:cs="Arial"/>
                <w:i/>
                <w:color w:val="000000"/>
                <w:sz w:val="18"/>
                <w:szCs w:val="18"/>
              </w:rPr>
              <w:t xml:space="preserve"> </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333993" w:rsidRPr="00300148" w:rsidTr="002C174D">
        <w:trPr>
          <w:trHeight w:val="449"/>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I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w:t>
            </w:r>
          </w:p>
        </w:tc>
      </w:tr>
      <w:tr w:rsidR="00333993" w:rsidRPr="00300148" w:rsidTr="002C174D">
        <w:trPr>
          <w:trHeight w:val="458"/>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autoSpaceDE w:val="0"/>
              <w:autoSpaceDN w:val="0"/>
              <w:adjustRightInd w:val="0"/>
              <w:spacing w:after="0" w:line="240" w:lineRule="auto"/>
              <w:jc w:val="center"/>
              <w:rPr>
                <w:rFonts w:ascii="Arial"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F64466" w:rsidRDefault="00333993" w:rsidP="002C174D">
            <w:pPr>
              <w:autoSpaceDE w:val="0"/>
              <w:autoSpaceDN w:val="0"/>
              <w:adjustRightInd w:val="0"/>
              <w:spacing w:after="0" w:line="240" w:lineRule="auto"/>
              <w:jc w:val="center"/>
              <w:rPr>
                <w:rFonts w:ascii="Arial" w:hAnsi="Arial" w:cs="Arial"/>
                <w:i/>
                <w:sz w:val="18"/>
                <w:szCs w:val="18"/>
              </w:rPr>
            </w:pPr>
            <w:r>
              <w:rPr>
                <w:rFonts w:ascii="Arial" w:hAnsi="Arial" w:cs="Arial"/>
                <w:i/>
                <w:sz w:val="18"/>
                <w:szCs w:val="18"/>
                <w:vertAlign w:val="superscript"/>
              </w:rPr>
              <w:t xml:space="preserve">J </w:t>
            </w:r>
            <w:r w:rsidRPr="00F64466">
              <w:rPr>
                <w:rFonts w:ascii="Arial" w:hAnsi="Arial" w:cs="Arial"/>
                <w:i/>
                <w:sz w:val="18"/>
                <w:szCs w:val="18"/>
              </w:rPr>
              <w:t>This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465654" w:rsidRDefault="00333993" w:rsidP="002C174D">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333993" w:rsidRPr="00300148" w:rsidTr="002C174D">
        <w:trPr>
          <w:trHeight w:val="530"/>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i/>
                <w:color w:val="000000"/>
                <w:sz w:val="18"/>
                <w:szCs w:val="18"/>
                <w:vertAlign w:val="superscript"/>
              </w:rPr>
              <w:t xml:space="preserve">K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CF0476" w:rsidRDefault="00333993" w:rsidP="002C174D">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333993" w:rsidRPr="00300148" w:rsidTr="002C174D">
        <w:trPr>
          <w:trHeight w:val="287"/>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i/>
                <w:color w:val="000000" w:themeColor="text1"/>
                <w:sz w:val="18"/>
                <w:szCs w:val="18"/>
              </w:rPr>
            </w:pPr>
          </w:p>
        </w:tc>
        <w:tc>
          <w:tcPr>
            <w:tcW w:w="10358" w:type="dxa"/>
            <w:gridSpan w:val="6"/>
            <w:tcBorders>
              <w:top w:val="nil"/>
              <w:left w:val="single" w:sz="12" w:space="0" w:color="auto"/>
              <w:bottom w:val="single" w:sz="4" w:space="0" w:color="auto"/>
              <w:right w:val="single" w:sz="12" w:space="0" w:color="auto"/>
            </w:tcBorders>
            <w:shd w:val="clear" w:color="auto" w:fill="auto"/>
            <w:noWrap/>
            <w:vAlign w:val="bottom"/>
            <w:hideMark/>
          </w:tcPr>
          <w:p w:rsidR="00333993" w:rsidRPr="00181624" w:rsidRDefault="00333993" w:rsidP="002C174D">
            <w:pPr>
              <w:spacing w:after="0" w:line="240" w:lineRule="auto"/>
              <w:jc w:val="center"/>
              <w:rPr>
                <w:rFonts w:ascii="Arial" w:eastAsia="Times New Roman" w:hAnsi="Arial" w:cs="Arial"/>
                <w:i/>
                <w:color w:val="000000"/>
                <w:sz w:val="18"/>
                <w:szCs w:val="18"/>
              </w:rPr>
            </w:pPr>
            <w:r>
              <w:rPr>
                <w:rFonts w:ascii="Arial" w:eastAsia="Times New Roman" w:hAnsi="Arial" w:cs="Arial"/>
                <w:i/>
                <w:color w:val="000000"/>
                <w:sz w:val="18"/>
                <w:szCs w:val="18"/>
                <w:vertAlign w:val="superscript"/>
              </w:rPr>
              <w:t xml:space="preserve">L </w:t>
            </w:r>
            <w:r w:rsidRPr="00181624">
              <w:rPr>
                <w:rFonts w:ascii="Arial" w:eastAsia="Times New Roman" w:hAnsi="Arial" w:cs="Arial"/>
                <w:i/>
                <w:color w:val="000000"/>
                <w:sz w:val="18"/>
                <w:szCs w:val="18"/>
              </w:rPr>
              <w:t>This criterion applies to total PCBs (e.g. the sum of all congener</w:t>
            </w:r>
            <w:r>
              <w:rPr>
                <w:rFonts w:ascii="Arial" w:eastAsia="Times New Roman" w:hAnsi="Arial" w:cs="Arial"/>
                <w:i/>
                <w:color w:val="000000"/>
                <w:sz w:val="18"/>
                <w:szCs w:val="18"/>
              </w:rPr>
              <w:t>s</w:t>
            </w:r>
            <w:r w:rsidRPr="00181624">
              <w:rPr>
                <w:rFonts w:ascii="Arial" w:eastAsia="Times New Roman" w:hAnsi="Arial" w:cs="Arial"/>
                <w:i/>
                <w:color w:val="000000"/>
                <w:sz w:val="18"/>
                <w:szCs w:val="18"/>
              </w:rPr>
              <w:t xml:space="preserve"> or all isomer</w:t>
            </w:r>
            <w:r>
              <w:rPr>
                <w:rFonts w:ascii="Arial" w:eastAsia="Times New Roman" w:hAnsi="Arial" w:cs="Arial"/>
                <w:i/>
                <w:color w:val="000000"/>
                <w:sz w:val="18"/>
                <w:szCs w:val="18"/>
              </w:rPr>
              <w:t>s</w:t>
            </w:r>
            <w:r w:rsidRPr="00181624">
              <w:rPr>
                <w:rFonts w:ascii="Arial" w:eastAsia="Times New Roman" w:hAnsi="Arial" w:cs="Arial"/>
                <w:i/>
                <w:color w:val="000000"/>
                <w:sz w:val="18"/>
                <w:szCs w:val="18"/>
              </w:rPr>
              <w:t xml:space="preserve"> or homolog or </w:t>
            </w:r>
            <w:proofErr w:type="spellStart"/>
            <w:r w:rsidRPr="00181624">
              <w:rPr>
                <w:rFonts w:ascii="Arial" w:eastAsia="Times New Roman" w:hAnsi="Arial" w:cs="Arial"/>
                <w:i/>
                <w:color w:val="000000"/>
                <w:sz w:val="18"/>
                <w:szCs w:val="18"/>
              </w:rPr>
              <w:t>Arochlor</w:t>
            </w:r>
            <w:proofErr w:type="spellEnd"/>
            <w:r w:rsidRPr="00181624">
              <w:rPr>
                <w:rFonts w:ascii="Arial" w:eastAsia="Times New Roman" w:hAnsi="Arial" w:cs="Arial"/>
                <w:i/>
                <w:color w:val="000000"/>
                <w:sz w:val="18"/>
                <w:szCs w:val="18"/>
              </w:rPr>
              <w:t xml:space="preserve"> analyses).</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162"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465654" w:rsidRDefault="00333993" w:rsidP="002C174D">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tcBorders>
              <w:top w:val="nil"/>
              <w:left w:val="nil"/>
              <w:bottom w:val="single" w:sz="4"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tcBorders>
              <w:top w:val="nil"/>
              <w:left w:val="single" w:sz="12" w:space="0" w:color="auto"/>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tcBorders>
              <w:top w:val="nil"/>
              <w:left w:val="nil"/>
              <w:bottom w:val="single" w:sz="4"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333993" w:rsidRPr="00300148" w:rsidTr="002C174D">
        <w:trPr>
          <w:trHeight w:val="255"/>
        </w:trPr>
        <w:tc>
          <w:tcPr>
            <w:tcW w:w="550" w:type="dxa"/>
            <w:tcBorders>
              <w:top w:val="nil"/>
              <w:left w:val="single" w:sz="12" w:space="0" w:color="auto"/>
              <w:bottom w:val="single" w:sz="4" w:space="0" w:color="auto"/>
              <w:right w:val="single" w:sz="12" w:space="0" w:color="auto"/>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162"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tcBorders>
              <w:top w:val="nil"/>
              <w:left w:val="nil"/>
              <w:bottom w:val="single" w:sz="4" w:space="0" w:color="auto"/>
              <w:right w:val="nil"/>
            </w:tcBorders>
            <w:shd w:val="clear" w:color="auto" w:fill="FFFFFF" w:themeFill="background1"/>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tcBorders>
              <w:top w:val="nil"/>
              <w:left w:val="single" w:sz="12" w:space="0" w:color="auto"/>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tcBorders>
              <w:top w:val="nil"/>
              <w:left w:val="nil"/>
              <w:bottom w:val="single" w:sz="4" w:space="0" w:color="auto"/>
              <w:right w:val="single" w:sz="12" w:space="0" w:color="auto"/>
            </w:tcBorders>
            <w:shd w:val="clear" w:color="auto" w:fill="FFFFFF" w:themeFill="background1"/>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333993" w:rsidRPr="00300148" w:rsidTr="002C174D">
        <w:trPr>
          <w:trHeight w:val="270"/>
        </w:trPr>
        <w:tc>
          <w:tcPr>
            <w:tcW w:w="550" w:type="dxa"/>
            <w:tcBorders>
              <w:top w:val="nil"/>
              <w:left w:val="single" w:sz="12" w:space="0" w:color="auto"/>
              <w:bottom w:val="single" w:sz="12" w:space="0" w:color="auto"/>
              <w:right w:val="single" w:sz="12" w:space="0" w:color="auto"/>
            </w:tcBorders>
            <w:shd w:val="clear" w:color="auto" w:fill="EAF1DD" w:themeFill="accent3" w:themeFillTint="33"/>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114</w:t>
            </w:r>
          </w:p>
        </w:tc>
        <w:tc>
          <w:tcPr>
            <w:tcW w:w="3162" w:type="dxa"/>
            <w:tcBorders>
              <w:top w:val="nil"/>
              <w:left w:val="single" w:sz="12" w:space="0" w:color="auto"/>
              <w:bottom w:val="single" w:sz="12"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tcBorders>
              <w:top w:val="nil"/>
              <w:left w:val="nil"/>
              <w:bottom w:val="single" w:sz="12" w:space="0" w:color="auto"/>
              <w:right w:val="nil"/>
            </w:tcBorders>
            <w:shd w:val="clear" w:color="auto" w:fill="EAF1DD" w:themeFill="accent3" w:themeFillTint="33"/>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tcBorders>
              <w:top w:val="nil"/>
              <w:left w:val="single" w:sz="12" w:space="0" w:color="auto"/>
              <w:bottom w:val="single" w:sz="12"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nil"/>
              <w:left w:val="nil"/>
              <w:bottom w:val="single" w:sz="12"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nil"/>
              <w:left w:val="nil"/>
              <w:bottom w:val="single" w:sz="12"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tcBorders>
              <w:top w:val="nil"/>
              <w:left w:val="nil"/>
              <w:bottom w:val="single" w:sz="12" w:space="0" w:color="auto"/>
              <w:right w:val="single" w:sz="12" w:space="0" w:color="auto"/>
            </w:tcBorders>
            <w:shd w:val="clear" w:color="auto" w:fill="EAF1DD" w:themeFill="accent3" w:themeFillTint="33"/>
            <w:noWrap/>
            <w:vAlign w:val="bottom"/>
            <w:hideMark/>
          </w:tcPr>
          <w:p w:rsidR="00333993" w:rsidRPr="00300148" w:rsidRDefault="00333993" w:rsidP="002C174D">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r w:rsidR="00333993" w:rsidRPr="00300148" w:rsidTr="002C174D">
        <w:trPr>
          <w:trHeight w:val="270"/>
        </w:trPr>
        <w:tc>
          <w:tcPr>
            <w:tcW w:w="550" w:type="dxa"/>
            <w:tcBorders>
              <w:top w:val="nil"/>
              <w:left w:val="nil"/>
              <w:bottom w:val="nil"/>
              <w:right w:val="nil"/>
            </w:tcBorders>
            <w:shd w:val="clear" w:color="auto" w:fill="FFFFFF" w:themeFill="background1"/>
          </w:tcPr>
          <w:p w:rsidR="00333993" w:rsidRPr="001C3DC5" w:rsidRDefault="00333993" w:rsidP="002C174D">
            <w:pPr>
              <w:spacing w:after="0" w:line="240" w:lineRule="auto"/>
              <w:jc w:val="center"/>
              <w:rPr>
                <w:rFonts w:ascii="Arial" w:eastAsia="Times New Roman" w:hAnsi="Arial" w:cs="Arial"/>
                <w:color w:val="000000" w:themeColor="text1"/>
                <w:sz w:val="20"/>
                <w:szCs w:val="20"/>
              </w:rPr>
            </w:pPr>
          </w:p>
        </w:tc>
        <w:tc>
          <w:tcPr>
            <w:tcW w:w="3162" w:type="dxa"/>
            <w:tcBorders>
              <w:top w:val="nil"/>
              <w:left w:val="nil"/>
              <w:bottom w:val="nil"/>
              <w:right w:val="nil"/>
            </w:tcBorders>
            <w:shd w:val="clear" w:color="auto" w:fill="auto"/>
            <w:noWrap/>
            <w:vAlign w:val="bottom"/>
            <w:hideMark/>
          </w:tcPr>
          <w:p w:rsidR="00333993" w:rsidRPr="00300148" w:rsidRDefault="00333993" w:rsidP="002C174D">
            <w:pPr>
              <w:spacing w:after="0" w:line="240" w:lineRule="auto"/>
              <w:rPr>
                <w:rFonts w:ascii="Arial" w:eastAsia="Times New Roman" w:hAnsi="Arial" w:cs="Arial"/>
                <w:sz w:val="20"/>
                <w:szCs w:val="20"/>
              </w:rPr>
            </w:pPr>
          </w:p>
        </w:tc>
        <w:tc>
          <w:tcPr>
            <w:tcW w:w="1106" w:type="dxa"/>
            <w:tcBorders>
              <w:top w:val="nil"/>
              <w:left w:val="nil"/>
              <w:bottom w:val="nil"/>
              <w:right w:val="nil"/>
            </w:tcBorders>
            <w:shd w:val="clear" w:color="auto" w:fill="auto"/>
            <w:noWrap/>
            <w:vAlign w:val="bottom"/>
            <w:hideMark/>
          </w:tcPr>
          <w:p w:rsidR="00333993" w:rsidRPr="00300148" w:rsidRDefault="00333993" w:rsidP="002C174D">
            <w:pPr>
              <w:spacing w:after="0" w:line="240" w:lineRule="auto"/>
              <w:jc w:val="right"/>
              <w:rPr>
                <w:rFonts w:ascii="Arial" w:eastAsia="Times New Roman" w:hAnsi="Arial" w:cs="Arial"/>
                <w:sz w:val="20"/>
                <w:szCs w:val="20"/>
              </w:rPr>
            </w:pPr>
          </w:p>
        </w:tc>
        <w:tc>
          <w:tcPr>
            <w:tcW w:w="1360" w:type="dxa"/>
            <w:tcBorders>
              <w:top w:val="nil"/>
              <w:left w:val="nil"/>
              <w:bottom w:val="nil"/>
              <w:right w:val="nil"/>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p>
        </w:tc>
        <w:tc>
          <w:tcPr>
            <w:tcW w:w="1050" w:type="dxa"/>
            <w:tcBorders>
              <w:top w:val="nil"/>
              <w:left w:val="nil"/>
              <w:bottom w:val="nil"/>
              <w:right w:val="nil"/>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p>
        </w:tc>
        <w:tc>
          <w:tcPr>
            <w:tcW w:w="2024" w:type="dxa"/>
            <w:tcBorders>
              <w:top w:val="nil"/>
              <w:left w:val="nil"/>
              <w:bottom w:val="nil"/>
              <w:right w:val="nil"/>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p>
        </w:tc>
        <w:tc>
          <w:tcPr>
            <w:tcW w:w="1656" w:type="dxa"/>
            <w:tcBorders>
              <w:top w:val="nil"/>
              <w:left w:val="nil"/>
              <w:bottom w:val="nil"/>
              <w:right w:val="nil"/>
            </w:tcBorders>
            <w:shd w:val="clear" w:color="auto" w:fill="auto"/>
            <w:noWrap/>
            <w:vAlign w:val="bottom"/>
            <w:hideMark/>
          </w:tcPr>
          <w:p w:rsidR="00333993" w:rsidRPr="00300148" w:rsidRDefault="00333993" w:rsidP="002C174D">
            <w:pPr>
              <w:spacing w:after="0" w:line="240" w:lineRule="auto"/>
              <w:jc w:val="center"/>
              <w:rPr>
                <w:rFonts w:ascii="Arial" w:eastAsia="Times New Roman" w:hAnsi="Arial" w:cs="Arial"/>
                <w:sz w:val="20"/>
                <w:szCs w:val="20"/>
              </w:rPr>
            </w:pPr>
          </w:p>
        </w:tc>
      </w:tr>
    </w:tbl>
    <w:p w:rsidR="00333993" w:rsidRDefault="00333993" w:rsidP="00333993">
      <w:pPr>
        <w:rPr>
          <w:rFonts w:ascii="Arial" w:hAnsi="Arial" w:cs="Arial"/>
        </w:rPr>
      </w:pPr>
    </w:p>
    <w:p w:rsidR="005561B1" w:rsidRDefault="005561B1" w:rsidP="005561B1">
      <w:pPr>
        <w:rPr>
          <w:b/>
          <w:sz w:val="28"/>
          <w:szCs w:val="28"/>
        </w:rPr>
      </w:pPr>
    </w:p>
    <w:p w:rsidR="005561B1" w:rsidRPr="005561B1" w:rsidRDefault="005561B1" w:rsidP="00333993">
      <w:pPr>
        <w:jc w:val="center"/>
        <w:rPr>
          <w:b/>
          <w:sz w:val="28"/>
          <w:szCs w:val="28"/>
        </w:rPr>
      </w:pPr>
    </w:p>
    <w:sectPr w:rsidR="005561B1" w:rsidRPr="005561B1" w:rsidSect="00920C0D">
      <w:footerReference w:type="default" r:id="rId12"/>
      <w:headerReference w:type="first" r:id="rId13"/>
      <w:pgSz w:w="12240" w:h="15840"/>
      <w:pgMar w:top="1440" w:right="1080" w:bottom="1440" w:left="108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Q Build" w:date="2010-12-01T10:18:00Z" w:initials="DB">
    <w:p w:rsidR="00802210" w:rsidRDefault="00802210" w:rsidP="00333993">
      <w:pPr>
        <w:pStyle w:val="CommentText"/>
      </w:pPr>
      <w:r>
        <w:rPr>
          <w:rStyle w:val="CommentReference"/>
        </w:rPr>
        <w:annotationRef/>
      </w:r>
      <w:r>
        <w:t xml:space="preserve">Currently effective arsenic criteria reflected here, however, DEQ is proposing alternate As criteria as part of a separate rulemaking.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210" w:rsidRDefault="00802210" w:rsidP="00E63A05">
      <w:pPr>
        <w:spacing w:after="0" w:line="240" w:lineRule="auto"/>
      </w:pPr>
      <w:r>
        <w:separator/>
      </w:r>
    </w:p>
  </w:endnote>
  <w:endnote w:type="continuationSeparator" w:id="0">
    <w:p w:rsidR="00802210" w:rsidRDefault="00802210"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3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3359"/>
      <w:docPartObj>
        <w:docPartGallery w:val="Page Numbers (Bottom of Page)"/>
        <w:docPartUnique/>
      </w:docPartObj>
    </w:sdtPr>
    <w:sdtContent>
      <w:sdt>
        <w:sdtPr>
          <w:id w:val="2323360"/>
          <w:docPartObj>
            <w:docPartGallery w:val="Page Numbers (Top of Page)"/>
            <w:docPartUnique/>
          </w:docPartObj>
        </w:sdtPr>
        <w:sdtContent>
          <w:p w:rsidR="00802210" w:rsidRDefault="00802210">
            <w:pPr>
              <w:pStyle w:val="Footer"/>
              <w:jc w:val="center"/>
            </w:pPr>
            <w:r>
              <w:t xml:space="preserve">Page </w:t>
            </w:r>
            <w:r w:rsidR="004F23E4">
              <w:rPr>
                <w:b/>
                <w:sz w:val="24"/>
                <w:szCs w:val="24"/>
              </w:rPr>
              <w:fldChar w:fldCharType="begin"/>
            </w:r>
            <w:r>
              <w:rPr>
                <w:b/>
              </w:rPr>
              <w:instrText xml:space="preserve"> PAGE </w:instrText>
            </w:r>
            <w:r w:rsidR="004F23E4">
              <w:rPr>
                <w:b/>
                <w:sz w:val="24"/>
                <w:szCs w:val="24"/>
              </w:rPr>
              <w:fldChar w:fldCharType="separate"/>
            </w:r>
            <w:r w:rsidR="00937F03">
              <w:rPr>
                <w:b/>
                <w:noProof/>
              </w:rPr>
              <w:t>15</w:t>
            </w:r>
            <w:r w:rsidR="004F23E4">
              <w:rPr>
                <w:b/>
                <w:sz w:val="24"/>
                <w:szCs w:val="24"/>
              </w:rPr>
              <w:fldChar w:fldCharType="end"/>
            </w:r>
            <w:r>
              <w:t xml:space="preserve"> of </w:t>
            </w:r>
            <w:r w:rsidR="004F23E4">
              <w:rPr>
                <w:b/>
                <w:sz w:val="24"/>
                <w:szCs w:val="24"/>
              </w:rPr>
              <w:fldChar w:fldCharType="begin"/>
            </w:r>
            <w:r>
              <w:rPr>
                <w:b/>
              </w:rPr>
              <w:instrText xml:space="preserve"> NUMPAGES  </w:instrText>
            </w:r>
            <w:r w:rsidR="004F23E4">
              <w:rPr>
                <w:b/>
                <w:sz w:val="24"/>
                <w:szCs w:val="24"/>
              </w:rPr>
              <w:fldChar w:fldCharType="separate"/>
            </w:r>
            <w:r w:rsidR="00937F03">
              <w:rPr>
                <w:b/>
                <w:noProof/>
              </w:rPr>
              <w:t>32</w:t>
            </w:r>
            <w:r w:rsidR="004F23E4">
              <w:rPr>
                <w:b/>
                <w:sz w:val="24"/>
                <w:szCs w:val="24"/>
              </w:rPr>
              <w:fldChar w:fldCharType="end"/>
            </w:r>
          </w:p>
        </w:sdtContent>
      </w:sdt>
    </w:sdtContent>
  </w:sdt>
  <w:p w:rsidR="00802210" w:rsidRDefault="008022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210" w:rsidRDefault="00802210" w:rsidP="00E63A05">
      <w:pPr>
        <w:spacing w:after="0" w:line="240" w:lineRule="auto"/>
      </w:pPr>
      <w:r>
        <w:separator/>
      </w:r>
    </w:p>
  </w:footnote>
  <w:footnote w:type="continuationSeparator" w:id="0">
    <w:p w:rsidR="00802210" w:rsidRDefault="00802210" w:rsidP="00E63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210" w:rsidRPr="007E1FEE" w:rsidRDefault="00802210">
    <w:pPr>
      <w:pStyle w:val="Header"/>
      <w:rPr>
        <w:sz w:val="24"/>
        <w:szCs w:val="24"/>
      </w:rPr>
    </w:pPr>
    <w:r>
      <w:rPr>
        <w:sz w:val="24"/>
        <w:szCs w:val="24"/>
      </w:rPr>
      <w:t xml:space="preserve">Draft Rulemaking Package for EMT Review  </w:t>
    </w:r>
    <w:r>
      <w:rPr>
        <w:sz w:val="24"/>
        <w:szCs w:val="24"/>
      </w:rPr>
      <w:tab/>
    </w:r>
    <w:r>
      <w:rPr>
        <w:sz w:val="24"/>
        <w:szCs w:val="24"/>
      </w:rPr>
      <w:tab/>
      <w:t>December 1, 2010</w:t>
    </w:r>
  </w:p>
  <w:p w:rsidR="00802210" w:rsidRDefault="008022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6"/>
  </w:num>
  <w:num w:numId="3">
    <w:abstractNumId w:val="23"/>
  </w:num>
  <w:num w:numId="4">
    <w:abstractNumId w:val="24"/>
  </w:num>
  <w:num w:numId="5">
    <w:abstractNumId w:val="13"/>
  </w:num>
  <w:num w:numId="6">
    <w:abstractNumId w:val="2"/>
  </w:num>
  <w:num w:numId="7">
    <w:abstractNumId w:val="26"/>
  </w:num>
  <w:num w:numId="8">
    <w:abstractNumId w:val="0"/>
  </w:num>
  <w:num w:numId="9">
    <w:abstractNumId w:val="28"/>
  </w:num>
  <w:num w:numId="10">
    <w:abstractNumId w:val="18"/>
  </w:num>
  <w:num w:numId="11">
    <w:abstractNumId w:val="27"/>
  </w:num>
  <w:num w:numId="12">
    <w:abstractNumId w:val="3"/>
  </w:num>
  <w:num w:numId="13">
    <w:abstractNumId w:val="4"/>
  </w:num>
  <w:num w:numId="14">
    <w:abstractNumId w:val="10"/>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9"/>
  </w:num>
  <w:num w:numId="23">
    <w:abstractNumId w:val="6"/>
  </w:num>
  <w:num w:numId="24">
    <w:abstractNumId w:val="17"/>
  </w:num>
  <w:num w:numId="25">
    <w:abstractNumId w:val="1"/>
  </w:num>
  <w:num w:numId="26">
    <w:abstractNumId w:val="15"/>
  </w:num>
  <w:num w:numId="27">
    <w:abstractNumId w:val="14"/>
  </w:num>
  <w:num w:numId="28">
    <w:abstractNumId w:val="11"/>
  </w:num>
  <w:num w:numId="29">
    <w:abstractNumId w:val="25"/>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11D27"/>
    <w:rsid w:val="00020BF1"/>
    <w:rsid w:val="000331B5"/>
    <w:rsid w:val="00066408"/>
    <w:rsid w:val="000815D0"/>
    <w:rsid w:val="00095204"/>
    <w:rsid w:val="000A04A8"/>
    <w:rsid w:val="000A3E63"/>
    <w:rsid w:val="00101A32"/>
    <w:rsid w:val="00143CAF"/>
    <w:rsid w:val="0016296C"/>
    <w:rsid w:val="0018613F"/>
    <w:rsid w:val="001A120A"/>
    <w:rsid w:val="001B2039"/>
    <w:rsid w:val="001B5BC9"/>
    <w:rsid w:val="001C2178"/>
    <w:rsid w:val="001F4608"/>
    <w:rsid w:val="00202942"/>
    <w:rsid w:val="00224747"/>
    <w:rsid w:val="002C174D"/>
    <w:rsid w:val="002C4D2C"/>
    <w:rsid w:val="002E2011"/>
    <w:rsid w:val="00327C58"/>
    <w:rsid w:val="00332437"/>
    <w:rsid w:val="00333993"/>
    <w:rsid w:val="003366DF"/>
    <w:rsid w:val="00342E44"/>
    <w:rsid w:val="00362E3F"/>
    <w:rsid w:val="0037280B"/>
    <w:rsid w:val="00386D6A"/>
    <w:rsid w:val="003C153F"/>
    <w:rsid w:val="00440C33"/>
    <w:rsid w:val="0044614B"/>
    <w:rsid w:val="004837C5"/>
    <w:rsid w:val="00493235"/>
    <w:rsid w:val="004A0AFF"/>
    <w:rsid w:val="004B768E"/>
    <w:rsid w:val="004C717E"/>
    <w:rsid w:val="004E726A"/>
    <w:rsid w:val="004F23E4"/>
    <w:rsid w:val="004F62B0"/>
    <w:rsid w:val="004F71D7"/>
    <w:rsid w:val="00515767"/>
    <w:rsid w:val="00533ED7"/>
    <w:rsid w:val="00534803"/>
    <w:rsid w:val="00543D43"/>
    <w:rsid w:val="005561B1"/>
    <w:rsid w:val="00590BB6"/>
    <w:rsid w:val="005B210E"/>
    <w:rsid w:val="005B432E"/>
    <w:rsid w:val="005B68F7"/>
    <w:rsid w:val="005E4CC8"/>
    <w:rsid w:val="006010DD"/>
    <w:rsid w:val="006409EA"/>
    <w:rsid w:val="006523F8"/>
    <w:rsid w:val="0066071A"/>
    <w:rsid w:val="006637E3"/>
    <w:rsid w:val="006B6954"/>
    <w:rsid w:val="006D5ACE"/>
    <w:rsid w:val="00702D28"/>
    <w:rsid w:val="00706B0F"/>
    <w:rsid w:val="0071155D"/>
    <w:rsid w:val="00713853"/>
    <w:rsid w:val="0078189E"/>
    <w:rsid w:val="007862D2"/>
    <w:rsid w:val="007A6772"/>
    <w:rsid w:val="007B5D1F"/>
    <w:rsid w:val="007C6C8C"/>
    <w:rsid w:val="007E1FEE"/>
    <w:rsid w:val="007E2EBC"/>
    <w:rsid w:val="007E608A"/>
    <w:rsid w:val="007F630F"/>
    <w:rsid w:val="00802210"/>
    <w:rsid w:val="0081418D"/>
    <w:rsid w:val="0083100D"/>
    <w:rsid w:val="0086232D"/>
    <w:rsid w:val="008863B7"/>
    <w:rsid w:val="008B69C2"/>
    <w:rsid w:val="008E2BC6"/>
    <w:rsid w:val="00920964"/>
    <w:rsid w:val="00920C0D"/>
    <w:rsid w:val="00933A71"/>
    <w:rsid w:val="00937F03"/>
    <w:rsid w:val="0094360F"/>
    <w:rsid w:val="00967B35"/>
    <w:rsid w:val="009927B7"/>
    <w:rsid w:val="009F0A04"/>
    <w:rsid w:val="00A25D93"/>
    <w:rsid w:val="00A56CA3"/>
    <w:rsid w:val="00AC7021"/>
    <w:rsid w:val="00AD7D45"/>
    <w:rsid w:val="00AE51A3"/>
    <w:rsid w:val="00B10A9E"/>
    <w:rsid w:val="00B245B4"/>
    <w:rsid w:val="00B346DE"/>
    <w:rsid w:val="00B45B82"/>
    <w:rsid w:val="00B5309E"/>
    <w:rsid w:val="00B703E2"/>
    <w:rsid w:val="00BE7B0B"/>
    <w:rsid w:val="00BF52A2"/>
    <w:rsid w:val="00C03BAF"/>
    <w:rsid w:val="00C4740B"/>
    <w:rsid w:val="00C61148"/>
    <w:rsid w:val="00C775C7"/>
    <w:rsid w:val="00CA307C"/>
    <w:rsid w:val="00D81E5E"/>
    <w:rsid w:val="00DB68E3"/>
    <w:rsid w:val="00DC0F0D"/>
    <w:rsid w:val="00DD6F64"/>
    <w:rsid w:val="00E50D39"/>
    <w:rsid w:val="00E63A05"/>
    <w:rsid w:val="00E8424F"/>
    <w:rsid w:val="00E94C69"/>
    <w:rsid w:val="00E95188"/>
    <w:rsid w:val="00E95C2E"/>
    <w:rsid w:val="00EB2EF8"/>
    <w:rsid w:val="00EE07B9"/>
    <w:rsid w:val="00EE15B4"/>
    <w:rsid w:val="00F533B5"/>
    <w:rsid w:val="00F76F69"/>
    <w:rsid w:val="00F9769F"/>
    <w:rsid w:val="00FC3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5">
    <w:name w:val="heading 5"/>
    <w:basedOn w:val="Normal"/>
    <w:next w:val="Normal"/>
    <w:link w:val="Heading5Char"/>
    <w:uiPriority w:val="9"/>
    <w:semiHidden/>
    <w:unhideWhenUsed/>
    <w:qFormat/>
    <w:rsid w:val="00A56CA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5Char">
    <w:name w:val="Heading 5 Char"/>
    <w:basedOn w:val="DefaultParagraphFont"/>
    <w:link w:val="Heading5"/>
    <w:uiPriority w:val="9"/>
    <w:semiHidden/>
    <w:rsid w:val="00A56CA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CommentReference">
    <w:name w:val="annotation reference"/>
    <w:basedOn w:val="DefaultParagraphFont"/>
    <w:uiPriority w:val="99"/>
    <w:semiHidden/>
    <w:rsid w:val="0086232D"/>
    <w:rPr>
      <w:sz w:val="16"/>
      <w:szCs w:val="16"/>
    </w:rPr>
  </w:style>
  <w:style w:type="paragraph" w:styleId="CommentText">
    <w:name w:val="annotation text"/>
    <w:basedOn w:val="Normal"/>
    <w:link w:val="CommentTextChar"/>
    <w:uiPriority w:val="99"/>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86232D"/>
    <w:rPr>
      <w:rFonts w:ascii="Times New Roman" w:eastAsia="Times New Roman" w:hAnsi="Times New Roman" w:cs="Times New Roman"/>
      <w:sz w:val="20"/>
      <w:szCs w:val="20"/>
    </w:rPr>
  </w:style>
  <w:style w:type="paragraph" w:styleId="NormalWeb">
    <w:name w:val="Normal (Web)"/>
    <w:basedOn w:val="Normal"/>
    <w:uiPriority w:val="99"/>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uiPriority w:val="99"/>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styleId="Strong">
    <w:name w:val="Strong"/>
    <w:basedOn w:val="DefaultParagraphFont"/>
    <w:uiPriority w:val="22"/>
    <w:qFormat/>
    <w:rsid w:val="00011D27"/>
    <w:rPr>
      <w:b/>
      <w:bCs/>
    </w:rPr>
  </w:style>
  <w:style w:type="character" w:styleId="Hyperlink">
    <w:name w:val="Hyperlink"/>
    <w:basedOn w:val="DefaultParagraphFont"/>
    <w:uiPriority w:val="99"/>
    <w:unhideWhenUsed/>
    <w:rsid w:val="00440C33"/>
    <w:rPr>
      <w:color w:val="0000FF" w:themeColor="hyperlink"/>
      <w:u w:val="single"/>
    </w:rPr>
  </w:style>
  <w:style w:type="paragraph" w:styleId="FootnoteText">
    <w:name w:val="footnote text"/>
    <w:basedOn w:val="Normal"/>
    <w:link w:val="FootnoteTextChar"/>
    <w:uiPriority w:val="99"/>
    <w:semiHidden/>
    <w:unhideWhenUsed/>
    <w:rsid w:val="00440C3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440C33"/>
    <w:rPr>
      <w:sz w:val="20"/>
      <w:szCs w:val="20"/>
    </w:rPr>
  </w:style>
  <w:style w:type="character" w:styleId="Emphasis">
    <w:name w:val="Emphasis"/>
    <w:basedOn w:val="DefaultParagraphFont"/>
    <w:uiPriority w:val="20"/>
    <w:qFormat/>
    <w:rsid w:val="00440C33"/>
    <w:rPr>
      <w:b w:val="0"/>
      <w:bCs w:val="0"/>
      <w:i w:val="0"/>
      <w:iCs w:val="0"/>
    </w:rPr>
  </w:style>
  <w:style w:type="paragraph" w:customStyle="1" w:styleId="fileinfo">
    <w:name w:val="fileinfo"/>
    <w:basedOn w:val="Normal"/>
    <w:rsid w:val="00440C33"/>
    <w:pPr>
      <w:spacing w:before="100" w:beforeAutospacing="1" w:after="100" w:afterAutospacing="1" w:line="240" w:lineRule="auto"/>
    </w:pPr>
    <w:rPr>
      <w:rFonts w:ascii="Times New Roman" w:eastAsia="Times New Roman" w:hAnsi="Times New Roman"/>
      <w:sz w:val="24"/>
      <w:szCs w:val="24"/>
    </w:rPr>
  </w:style>
  <w:style w:type="paragraph" w:customStyle="1" w:styleId="CM6">
    <w:name w:val="CM6"/>
    <w:basedOn w:val="Default"/>
    <w:next w:val="Default"/>
    <w:uiPriority w:val="99"/>
    <w:rsid w:val="00440C33"/>
    <w:pPr>
      <w:spacing w:line="278" w:lineRule="atLeast"/>
    </w:pPr>
    <w:rPr>
      <w:rFonts w:eastAsiaTheme="minorHAnsi"/>
      <w:color w:val="auto"/>
    </w:rPr>
  </w:style>
  <w:style w:type="table" w:styleId="TableGrid">
    <w:name w:val="Table Grid"/>
    <w:basedOn w:val="TableNormal"/>
    <w:rsid w:val="00440C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Grid-Accent3">
    <w:name w:val="Light Grid Accent 3"/>
    <w:basedOn w:val="TableNormal"/>
    <w:uiPriority w:val="62"/>
    <w:rsid w:val="00440C3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CommentSubject">
    <w:name w:val="annotation subject"/>
    <w:basedOn w:val="CommentText"/>
    <w:next w:val="CommentText"/>
    <w:link w:val="CommentSubjectChar"/>
    <w:uiPriority w:val="99"/>
    <w:semiHidden/>
    <w:unhideWhenUsed/>
    <w:rsid w:val="00440C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0C33"/>
    <w:rPr>
      <w:b/>
      <w:bCs/>
    </w:rPr>
  </w:style>
  <w:style w:type="paragraph" w:styleId="PlainText">
    <w:name w:val="Plain Text"/>
    <w:basedOn w:val="Normal"/>
    <w:link w:val="PlainTextChar"/>
    <w:uiPriority w:val="99"/>
    <w:semiHidden/>
    <w:unhideWhenUsed/>
    <w:rsid w:val="00440C33"/>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440C33"/>
    <w:rPr>
      <w:rFonts w:ascii="Consolas" w:hAnsi="Consolas"/>
      <w:sz w:val="21"/>
      <w:szCs w:val="21"/>
    </w:rPr>
  </w:style>
  <w:style w:type="paragraph" w:styleId="Caption">
    <w:name w:val="caption"/>
    <w:basedOn w:val="Normal"/>
    <w:next w:val="Normal"/>
    <w:qFormat/>
    <w:rsid w:val="00440C33"/>
    <w:pPr>
      <w:spacing w:after="0" w:line="240" w:lineRule="auto"/>
    </w:pPr>
    <w:rPr>
      <w:rFonts w:ascii="Times New Roman" w:eastAsia="Times New Roman" w:hAnsi="Times New Roman"/>
      <w:b/>
      <w:sz w:val="20"/>
      <w:szCs w:val="20"/>
      <w:lang w:eastAsia="ko-KR"/>
    </w:rPr>
  </w:style>
  <w:style w:type="paragraph" w:styleId="HTMLPreformatted">
    <w:name w:val="HTML Preformatted"/>
    <w:basedOn w:val="Normal"/>
    <w:link w:val="HTMLPreformattedChar"/>
    <w:uiPriority w:val="99"/>
    <w:rsid w:val="0044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440C33"/>
    <w:rPr>
      <w:rFonts w:ascii="Courier New" w:eastAsia="Times New Roman" w:hAnsi="Courier New" w:cs="Courier New"/>
      <w:color w:val="000000"/>
      <w:sz w:val="20"/>
      <w:szCs w:val="24"/>
    </w:rPr>
  </w:style>
  <w:style w:type="character" w:styleId="PageNumber">
    <w:name w:val="page number"/>
    <w:basedOn w:val="DefaultParagraphFont"/>
    <w:uiPriority w:val="99"/>
    <w:rsid w:val="00440C33"/>
  </w:style>
  <w:style w:type="paragraph" w:styleId="BodyText">
    <w:name w:val="Body Text"/>
    <w:basedOn w:val="Normal"/>
    <w:link w:val="BodyTextChar"/>
    <w:uiPriority w:val="99"/>
    <w:rsid w:val="00440C33"/>
    <w:pPr>
      <w:spacing w:after="120" w:line="240" w:lineRule="auto"/>
    </w:pPr>
    <w:rPr>
      <w:rFonts w:ascii="Times New Roman" w:eastAsia="Times New Roman" w:hAnsi="Times New Roman"/>
      <w:sz w:val="20"/>
      <w:szCs w:val="20"/>
      <w:lang w:eastAsia="ko-KR"/>
    </w:rPr>
  </w:style>
  <w:style w:type="character" w:customStyle="1" w:styleId="BodyTextChar">
    <w:name w:val="Body Text Char"/>
    <w:basedOn w:val="DefaultParagraphFont"/>
    <w:link w:val="BodyText"/>
    <w:uiPriority w:val="99"/>
    <w:rsid w:val="00440C33"/>
    <w:rPr>
      <w:rFonts w:ascii="Times New Roman" w:eastAsia="Times New Roman" w:hAnsi="Times New Roman" w:cs="Times New Roman"/>
      <w:sz w:val="20"/>
      <w:szCs w:val="20"/>
      <w:lang w:eastAsia="ko-KR"/>
    </w:rPr>
  </w:style>
  <w:style w:type="paragraph" w:styleId="Revision">
    <w:name w:val="Revision"/>
    <w:hidden/>
    <w:uiPriority w:val="99"/>
    <w:semiHidden/>
    <w:rsid w:val="00333993"/>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201442">
      <w:bodyDiv w:val="1"/>
      <w:marLeft w:val="0"/>
      <w:marRight w:val="0"/>
      <w:marTop w:val="0"/>
      <w:marBottom w:val="0"/>
      <w:divBdr>
        <w:top w:val="none" w:sz="0" w:space="0" w:color="auto"/>
        <w:left w:val="none" w:sz="0" w:space="0" w:color="auto"/>
        <w:bottom w:val="none" w:sz="0" w:space="0" w:color="auto"/>
        <w:right w:val="none" w:sz="0" w:space="0" w:color="auto"/>
      </w:divBdr>
    </w:div>
    <w:div w:id="963341025">
      <w:bodyDiv w:val="1"/>
      <w:marLeft w:val="0"/>
      <w:marRight w:val="0"/>
      <w:marTop w:val="0"/>
      <w:marBottom w:val="0"/>
      <w:divBdr>
        <w:top w:val="none" w:sz="0" w:space="0" w:color="auto"/>
        <w:left w:val="none" w:sz="0" w:space="0" w:color="auto"/>
        <w:bottom w:val="none" w:sz="0" w:space="0" w:color="auto"/>
        <w:right w:val="none" w:sz="0" w:space="0" w:color="auto"/>
      </w:divBdr>
    </w:div>
    <w:div w:id="1404722072">
      <w:bodyDiv w:val="1"/>
      <w:marLeft w:val="0"/>
      <w:marRight w:val="0"/>
      <w:marTop w:val="0"/>
      <w:marBottom w:val="0"/>
      <w:divBdr>
        <w:top w:val="none" w:sz="0" w:space="0" w:color="auto"/>
        <w:left w:val="none" w:sz="0" w:space="0" w:color="auto"/>
        <w:bottom w:val="none" w:sz="0" w:space="0" w:color="auto"/>
        <w:right w:val="none" w:sz="0" w:space="0" w:color="auto"/>
      </w:divBdr>
    </w:div>
    <w:div w:id="1883470913">
      <w:bodyDiv w:val="1"/>
      <w:marLeft w:val="0"/>
      <w:marRight w:val="0"/>
      <w:marTop w:val="0"/>
      <w:marBottom w:val="0"/>
      <w:divBdr>
        <w:top w:val="none" w:sz="0" w:space="0" w:color="auto"/>
        <w:left w:val="none" w:sz="0" w:space="0" w:color="auto"/>
        <w:bottom w:val="none" w:sz="0" w:space="0" w:color="auto"/>
        <w:right w:val="none" w:sz="0" w:space="0" w:color="auto"/>
      </w:divBdr>
    </w:div>
    <w:div w:id="20486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2010-08-17T00:00:00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21A617-6A77-4956-83A1-14BE659DC97B}">
  <ds:schemaRefs>
    <ds:schemaRef ds:uri="http://schemas.microsoft.com/sharepoint/v3/contenttype/forms"/>
  </ds:schemaRefs>
</ds:datastoreItem>
</file>

<file path=customXml/itemProps3.xml><?xml version="1.0" encoding="utf-8"?>
<ds:datastoreItem xmlns:ds="http://schemas.openxmlformats.org/officeDocument/2006/customXml" ds:itemID="{AD70AC02-109F-4961-82D3-2738722C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5A4D1B9-7E65-426A-8DCD-5436E394F31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11724</Words>
  <Characters>66831</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Proposed New and Amended Rule Language </vt:lpstr>
    </vt:vector>
  </TitlesOfParts>
  <Company>State of Oregon Department of Environmental Quality</Company>
  <LinksUpToDate>false</LinksUpToDate>
  <CharactersWithSpaces>78399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New and Amended Rule Language </dc:title>
  <dc:subject>Human Health Toxics Rulemaking</dc:subject>
  <dc:creator>Andrea Matzke</dc:creator>
  <cp:keywords/>
  <dc:description/>
  <cp:lastModifiedBy>Andrea Matzke</cp:lastModifiedBy>
  <cp:revision>2</cp:revision>
  <cp:lastPrinted>2010-12-01T18:14:00Z</cp:lastPrinted>
  <dcterms:created xsi:type="dcterms:W3CDTF">2010-12-01T22:06:00Z</dcterms:created>
  <dcterms:modified xsi:type="dcterms:W3CDTF">2010-12-01T22:06:00Z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