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72" w:rsidRPr="00636D72" w:rsidRDefault="00636D72" w:rsidP="007F6656">
      <w:pPr>
        <w:spacing w:after="120"/>
        <w:jc w:val="center"/>
        <w:rPr>
          <w:b/>
          <w:sz w:val="28"/>
          <w:szCs w:val="28"/>
        </w:rPr>
      </w:pPr>
      <w:r w:rsidRPr="00636D72">
        <w:rPr>
          <w:b/>
          <w:sz w:val="28"/>
          <w:szCs w:val="28"/>
        </w:rPr>
        <w:t>Toxics Workgroup Meeting</w:t>
      </w:r>
    </w:p>
    <w:p w:rsidR="00636D72" w:rsidRPr="007F6656" w:rsidRDefault="00636D72" w:rsidP="00636D72">
      <w:pPr>
        <w:jc w:val="center"/>
        <w:rPr>
          <w:rStyle w:val="BookTitle"/>
        </w:rPr>
      </w:pPr>
      <w:r w:rsidRPr="007F6656">
        <w:rPr>
          <w:rStyle w:val="BookTitle"/>
        </w:rPr>
        <w:t>December 2, 2010</w:t>
      </w:r>
    </w:p>
    <w:p w:rsidR="00DD7B72" w:rsidRPr="007F6656" w:rsidRDefault="009D47B7" w:rsidP="007F6656">
      <w:pPr>
        <w:pStyle w:val="Heading2"/>
        <w:rPr>
          <w:color w:val="auto"/>
          <w:u w:val="single"/>
        </w:rPr>
      </w:pPr>
      <w:r w:rsidRPr="007F6656">
        <w:rPr>
          <w:color w:val="auto"/>
          <w:u w:val="single"/>
        </w:rPr>
        <w:t>Summary of Rule Changes</w:t>
      </w:r>
    </w:p>
    <w:p w:rsidR="00636D72" w:rsidRPr="00A07B55" w:rsidRDefault="00636D72" w:rsidP="007F6656">
      <w:pPr>
        <w:spacing w:after="120" w:line="240" w:lineRule="auto"/>
        <w:rPr>
          <w:b/>
        </w:rPr>
      </w:pPr>
      <w:r w:rsidRPr="00A07B55">
        <w:rPr>
          <w:b/>
        </w:rPr>
        <w:t>1. Human Health Toxics Criteria</w:t>
      </w:r>
    </w:p>
    <w:p w:rsidR="00285C8C" w:rsidRDefault="00285C8C" w:rsidP="00422BE6">
      <w:pPr>
        <w:pStyle w:val="ListParagraph"/>
        <w:numPr>
          <w:ilvl w:val="0"/>
          <w:numId w:val="3"/>
        </w:numPr>
        <w:spacing w:line="240" w:lineRule="auto"/>
      </w:pPr>
      <w:r>
        <w:t xml:space="preserve">Proposing </w:t>
      </w:r>
      <w:r w:rsidR="007F6656">
        <w:t xml:space="preserve">to place all </w:t>
      </w:r>
      <w:r>
        <w:t xml:space="preserve">human health criteria </w:t>
      </w:r>
      <w:r w:rsidR="007F6656">
        <w:t xml:space="preserve">in a </w:t>
      </w:r>
      <w:r>
        <w:t>new Table 40.</w:t>
      </w:r>
      <w:r w:rsidR="00B77516">
        <w:t xml:space="preserve">  </w:t>
      </w:r>
      <w:r w:rsidR="007F6656">
        <w:t xml:space="preserve">Human health criteria currently contained Tables 20, 33A and 33B would be deleted. </w:t>
      </w:r>
      <w:r w:rsidR="00B77516">
        <w:t>Effective only after EPA approval.</w:t>
      </w:r>
    </w:p>
    <w:p w:rsidR="00636D72" w:rsidRDefault="00636D72" w:rsidP="00422BE6">
      <w:pPr>
        <w:pStyle w:val="ListParagraph"/>
        <w:numPr>
          <w:ilvl w:val="0"/>
          <w:numId w:val="3"/>
        </w:numPr>
        <w:spacing w:line="240" w:lineRule="auto"/>
      </w:pPr>
      <w:r>
        <w:t>43 additional pollutants are proposed</w:t>
      </w:r>
      <w:r w:rsidR="007F6656">
        <w:t xml:space="preserve"> (majority of these had values as part of 2004 adoption, but were “removed” as a result of EPA’s disapproval)</w:t>
      </w:r>
      <w:r w:rsidR="00285C8C">
        <w:t>--total of 114 pollutants</w:t>
      </w:r>
    </w:p>
    <w:p w:rsidR="00285C8C" w:rsidRDefault="00285C8C" w:rsidP="00422BE6">
      <w:pPr>
        <w:pStyle w:val="ListParagraph"/>
        <w:numPr>
          <w:ilvl w:val="0"/>
          <w:numId w:val="3"/>
        </w:numPr>
        <w:spacing w:line="240" w:lineRule="auto"/>
      </w:pPr>
      <w:r>
        <w:t xml:space="preserve">11 pollutants proposed to be withdrawn based on </w:t>
      </w:r>
      <w:r w:rsidR="007F6656">
        <w:t xml:space="preserve">updated </w:t>
      </w:r>
      <w:r>
        <w:t>EPA recommendations</w:t>
      </w:r>
    </w:p>
    <w:p w:rsidR="00285C8C" w:rsidRDefault="00285C8C" w:rsidP="00422BE6">
      <w:pPr>
        <w:pStyle w:val="ListParagraph"/>
        <w:numPr>
          <w:ilvl w:val="0"/>
          <w:numId w:val="3"/>
        </w:numPr>
        <w:spacing w:line="240" w:lineRule="auto"/>
      </w:pPr>
      <w:r>
        <w:t>Revised footnotes for clarification</w:t>
      </w:r>
    </w:p>
    <w:p w:rsidR="00DD7B72" w:rsidRPr="00A07B55" w:rsidRDefault="00636D72" w:rsidP="007F6656">
      <w:pPr>
        <w:spacing w:after="120" w:line="240" w:lineRule="auto"/>
        <w:rPr>
          <w:b/>
        </w:rPr>
      </w:pPr>
      <w:r w:rsidRPr="00A07B55">
        <w:rPr>
          <w:b/>
        </w:rPr>
        <w:t xml:space="preserve">2. </w:t>
      </w:r>
      <w:r w:rsidR="00DD7B72" w:rsidRPr="00A07B55">
        <w:rPr>
          <w:b/>
        </w:rPr>
        <w:t>Intake Credits</w:t>
      </w:r>
    </w:p>
    <w:p w:rsidR="007F6656" w:rsidRDefault="007F6656" w:rsidP="00422BE6">
      <w:pPr>
        <w:pStyle w:val="ListParagraph"/>
        <w:numPr>
          <w:ilvl w:val="0"/>
          <w:numId w:val="1"/>
        </w:numPr>
        <w:spacing w:line="240" w:lineRule="auto"/>
      </w:pPr>
      <w:r>
        <w:t>Minor changes to address</w:t>
      </w:r>
    </w:p>
    <w:p w:rsidR="00DD7B72" w:rsidRDefault="00636D72" w:rsidP="007F6656">
      <w:pPr>
        <w:pStyle w:val="ListParagraph"/>
        <w:numPr>
          <w:ilvl w:val="1"/>
          <w:numId w:val="1"/>
        </w:numPr>
        <w:spacing w:line="240" w:lineRule="auto"/>
      </w:pPr>
      <w:r>
        <w:t xml:space="preserve">Comments from EPA Region </w:t>
      </w:r>
      <w:r w:rsidR="007F6656">
        <w:t>10</w:t>
      </w:r>
      <w:r>
        <w:t>, OR</w:t>
      </w:r>
      <w:r w:rsidR="00DD7B72">
        <w:t xml:space="preserve"> DOJ and Internal DEQ Staff (permit writers)</w:t>
      </w:r>
    </w:p>
    <w:p w:rsidR="00DD7B72" w:rsidRDefault="00DD7B72" w:rsidP="007F6656">
      <w:pPr>
        <w:pStyle w:val="ListParagraph"/>
        <w:numPr>
          <w:ilvl w:val="1"/>
          <w:numId w:val="1"/>
        </w:numPr>
        <w:spacing w:line="240" w:lineRule="auto"/>
      </w:pPr>
      <w:r>
        <w:t>Comments to bring department’s language more in-line with federal rule language (GLI).</w:t>
      </w:r>
    </w:p>
    <w:p w:rsidR="00DD7B72" w:rsidRDefault="00DD7B72" w:rsidP="007F6656">
      <w:pPr>
        <w:pStyle w:val="ListParagraph"/>
        <w:numPr>
          <w:ilvl w:val="1"/>
          <w:numId w:val="1"/>
        </w:numPr>
        <w:spacing w:line="240" w:lineRule="auto"/>
      </w:pPr>
      <w:r>
        <w:t>Comments to ensure that prop</w:t>
      </w:r>
      <w:r w:rsidR="00285C8C">
        <w:t>osed rule language meets the OR</w:t>
      </w:r>
      <w:r>
        <w:t xml:space="preserve"> Secretary of State’s publishing requirements.</w:t>
      </w:r>
    </w:p>
    <w:p w:rsidR="00DD7B72" w:rsidRDefault="00DD7B72" w:rsidP="007F6656">
      <w:pPr>
        <w:pStyle w:val="ListParagraph"/>
        <w:numPr>
          <w:ilvl w:val="1"/>
          <w:numId w:val="1"/>
        </w:numPr>
        <w:spacing w:line="240" w:lineRule="auto"/>
      </w:pPr>
      <w:r>
        <w:t>Miscellaneous comments to further clarify rule language.</w:t>
      </w:r>
    </w:p>
    <w:p w:rsidR="00DD7B72" w:rsidRDefault="00636D72" w:rsidP="007F6656">
      <w:pPr>
        <w:spacing w:after="120" w:line="240" w:lineRule="auto"/>
        <w:rPr>
          <w:b/>
        </w:rPr>
      </w:pPr>
      <w:r w:rsidRPr="00A07B55">
        <w:rPr>
          <w:b/>
        </w:rPr>
        <w:t>3.  Background Pollutant Allowance</w:t>
      </w:r>
    </w:p>
    <w:p w:rsidR="00422BE6" w:rsidRDefault="00422BE6" w:rsidP="00422BE6">
      <w:pPr>
        <w:pStyle w:val="ListParagraph"/>
        <w:numPr>
          <w:ilvl w:val="0"/>
          <w:numId w:val="5"/>
        </w:numPr>
        <w:spacing w:after="0" w:line="240" w:lineRule="auto"/>
        <w:contextualSpacing w:val="0"/>
      </w:pPr>
      <w:r>
        <w:t>The provision applies only to criteria based on carcinogenic effects</w:t>
      </w:r>
    </w:p>
    <w:p w:rsidR="00422BE6" w:rsidRDefault="00422BE6" w:rsidP="00422BE6">
      <w:pPr>
        <w:pStyle w:val="ListParagraph"/>
        <w:numPr>
          <w:ilvl w:val="0"/>
          <w:numId w:val="5"/>
        </w:numPr>
        <w:spacing w:after="0" w:line="240" w:lineRule="auto"/>
        <w:contextualSpacing w:val="0"/>
      </w:pPr>
      <w:r>
        <w:t>The 3% increase is not allowed if the increase would cause the calculated ambient concentration after the increase to exceed a 10</w:t>
      </w:r>
      <w:r>
        <w:rPr>
          <w:vertAlign w:val="superscript"/>
        </w:rPr>
        <w:t>-4</w:t>
      </w:r>
      <w:r>
        <w:t xml:space="preserve"> risk level value (calculated using the same method used to calculate criteria).  </w:t>
      </w:r>
    </w:p>
    <w:p w:rsidR="00422BE6" w:rsidRDefault="00422BE6" w:rsidP="00422BE6">
      <w:pPr>
        <w:pStyle w:val="ListParagraph"/>
        <w:numPr>
          <w:ilvl w:val="0"/>
          <w:numId w:val="5"/>
        </w:numPr>
        <w:spacing w:after="0" w:line="240" w:lineRule="auto"/>
        <w:contextualSpacing w:val="0"/>
      </w:pPr>
      <w:r>
        <w:t>The rule clarifies that the mass load in the discharge may not exceed the mass load in the intake water from the “same water body” and defines what is considered to be the “same water body” consistently with the intake credit rule.</w:t>
      </w:r>
    </w:p>
    <w:p w:rsidR="00422BE6" w:rsidRDefault="00422BE6" w:rsidP="00422BE6">
      <w:pPr>
        <w:spacing w:after="0" w:line="240" w:lineRule="auto"/>
        <w:rPr>
          <w:b/>
        </w:rPr>
      </w:pPr>
    </w:p>
    <w:p w:rsidR="00636D72" w:rsidRPr="00A07B55" w:rsidRDefault="00636D72" w:rsidP="007F6656">
      <w:pPr>
        <w:spacing w:after="120" w:line="240" w:lineRule="auto"/>
        <w:rPr>
          <w:b/>
        </w:rPr>
      </w:pPr>
      <w:r w:rsidRPr="00A07B55">
        <w:rPr>
          <w:b/>
        </w:rPr>
        <w:t>4.  Variances</w:t>
      </w:r>
    </w:p>
    <w:p w:rsidR="00B77516" w:rsidRDefault="00DC564C" w:rsidP="00422BE6">
      <w:pPr>
        <w:pStyle w:val="ListParagraph"/>
        <w:numPr>
          <w:ilvl w:val="0"/>
          <w:numId w:val="4"/>
        </w:numPr>
        <w:spacing w:line="240" w:lineRule="auto"/>
      </w:pPr>
      <w:r>
        <w:t>Removed introductory language to provision—AG recommends EQC staff reports to accomplish this</w:t>
      </w:r>
      <w:r w:rsidR="006A1FBA">
        <w:t xml:space="preserve"> context.</w:t>
      </w:r>
    </w:p>
    <w:p w:rsidR="00DC564C" w:rsidRDefault="00DC564C" w:rsidP="00422BE6">
      <w:pPr>
        <w:pStyle w:val="ListParagraph"/>
        <w:numPr>
          <w:ilvl w:val="0"/>
          <w:numId w:val="4"/>
        </w:numPr>
        <w:spacing w:line="240" w:lineRule="auto"/>
      </w:pPr>
      <w:r>
        <w:t>Miscellaneous edits for clarification and organization—</w:t>
      </w:r>
      <w:r w:rsidR="007F6656">
        <w:t xml:space="preserve">clarifying justification linked to variance; </w:t>
      </w:r>
      <w:r>
        <w:t>pollutant reduction plans</w:t>
      </w:r>
      <w:r w:rsidR="007F6656">
        <w:t xml:space="preserve"> are part of the variance</w:t>
      </w:r>
      <w:r>
        <w:t>.  Pollutant reduction plans still required.</w:t>
      </w:r>
    </w:p>
    <w:p w:rsidR="00DC564C" w:rsidRDefault="00DC564C" w:rsidP="00422BE6">
      <w:pPr>
        <w:pStyle w:val="ListParagraph"/>
        <w:numPr>
          <w:ilvl w:val="0"/>
          <w:numId w:val="4"/>
        </w:numPr>
        <w:spacing w:line="240" w:lineRule="auto"/>
      </w:pPr>
      <w:r>
        <w:t>Removed reference to multiple discharger variances</w:t>
      </w:r>
      <w:r w:rsidR="007F6656">
        <w:t>.</w:t>
      </w:r>
    </w:p>
    <w:p w:rsidR="00DC564C" w:rsidRDefault="00DC564C" w:rsidP="00422BE6">
      <w:pPr>
        <w:pStyle w:val="ListParagraph"/>
        <w:numPr>
          <w:ilvl w:val="0"/>
          <w:numId w:val="4"/>
        </w:numPr>
        <w:spacing w:line="240" w:lineRule="auto"/>
      </w:pPr>
      <w:r>
        <w:t>Addition of language re: naturally occurring and human caused conditions</w:t>
      </w:r>
      <w:r w:rsidR="007F6656">
        <w:t xml:space="preserve"> to note that s</w:t>
      </w:r>
      <w:r w:rsidR="006A1FBA">
        <w:t xml:space="preserve">ituations </w:t>
      </w:r>
      <w:r w:rsidR="007F6656">
        <w:t>where</w:t>
      </w:r>
      <w:r w:rsidR="006A1FBA">
        <w:t xml:space="preserve"> background pollutants </w:t>
      </w:r>
      <w:r w:rsidR="007F6656">
        <w:t xml:space="preserve">are an issue </w:t>
      </w:r>
      <w:r w:rsidR="006A1FBA">
        <w:t xml:space="preserve">could be addressed by </w:t>
      </w:r>
      <w:r w:rsidR="007F6656">
        <w:t>one</w:t>
      </w:r>
      <w:r w:rsidR="006A1FBA">
        <w:t xml:space="preserve"> of these conditions.</w:t>
      </w:r>
    </w:p>
    <w:p w:rsidR="00636D72" w:rsidRPr="00A07B55" w:rsidRDefault="00636D72" w:rsidP="007F6656">
      <w:pPr>
        <w:spacing w:after="120" w:line="240" w:lineRule="auto"/>
        <w:rPr>
          <w:b/>
        </w:rPr>
      </w:pPr>
      <w:r w:rsidRPr="00A07B55">
        <w:rPr>
          <w:b/>
        </w:rPr>
        <w:t>5. Division 41 and 42 Non-NPDES Changes</w:t>
      </w:r>
    </w:p>
    <w:p w:rsidR="00636D72" w:rsidRDefault="00A96316" w:rsidP="00422BE6">
      <w:pPr>
        <w:pStyle w:val="ListParagraph"/>
        <w:numPr>
          <w:ilvl w:val="0"/>
          <w:numId w:val="2"/>
        </w:numPr>
        <w:spacing w:line="240" w:lineRule="auto"/>
      </w:pPr>
      <w:r>
        <w:t>340-041-0007 (5)</w:t>
      </w:r>
      <w:r w:rsidR="00636D72">
        <w:t xml:space="preserve">:  Some changes were made to 10/4 version in order to improve the wording, and also to avoid the use of the word “discharge.”  </w:t>
      </w:r>
    </w:p>
    <w:p w:rsidR="00636D72" w:rsidRDefault="00636D72" w:rsidP="00422BE6">
      <w:pPr>
        <w:pStyle w:val="ListParagraph"/>
        <w:numPr>
          <w:ilvl w:val="0"/>
          <w:numId w:val="2"/>
        </w:numPr>
        <w:spacing w:line="240" w:lineRule="auto"/>
      </w:pPr>
      <w:r>
        <w:t>340-041-0061 (11):  Similar changes to 0007 (5) were made to 10/4 version in order to improve the wording, and also to avoid the use of the word “discharge.</w:t>
      </w:r>
      <w:r w:rsidR="007F6656">
        <w:t>”</w:t>
      </w:r>
      <w:r>
        <w:t xml:space="preserve">  </w:t>
      </w:r>
    </w:p>
    <w:p w:rsidR="00636D72" w:rsidRDefault="00636D72" w:rsidP="00422BE6">
      <w:pPr>
        <w:pStyle w:val="ListParagraph"/>
        <w:numPr>
          <w:ilvl w:val="0"/>
          <w:numId w:val="2"/>
        </w:numPr>
        <w:spacing w:line="240" w:lineRule="auto"/>
      </w:pPr>
      <w:r>
        <w:t xml:space="preserve">340-041-0061 (12):  Some changes were made to 10/4 version in order to clarify that this provision is applicable to any persons (not just landowners) subject to </w:t>
      </w:r>
      <w:r w:rsidRPr="00363013">
        <w:t>an ODA area plan and implementing rules</w:t>
      </w:r>
      <w:r>
        <w:t xml:space="preserve">.  </w:t>
      </w:r>
    </w:p>
    <w:p w:rsidR="00636D72" w:rsidRPr="00636D72" w:rsidRDefault="00636D72" w:rsidP="00422BE6">
      <w:pPr>
        <w:pStyle w:val="ListParagraph"/>
        <w:numPr>
          <w:ilvl w:val="0"/>
          <w:numId w:val="2"/>
        </w:numPr>
        <w:spacing w:line="240" w:lineRule="auto"/>
        <w:rPr>
          <w:color w:val="000000"/>
        </w:rPr>
      </w:pPr>
      <w:r w:rsidRPr="00636D72">
        <w:rPr>
          <w:color w:val="000000"/>
        </w:rPr>
        <w:t xml:space="preserve">340-042-0080 (2):  </w:t>
      </w:r>
      <w:r>
        <w:t xml:space="preserve">Some clarifying words were added per AG’s recommendations to describe when FPA may need to be revised due to TMDLs.  </w:t>
      </w:r>
    </w:p>
    <w:p w:rsidR="007F6656" w:rsidRPr="007F6656" w:rsidRDefault="007F6656" w:rsidP="007F6656">
      <w:pPr>
        <w:pStyle w:val="Heading1"/>
        <w:jc w:val="center"/>
        <w:rPr>
          <w:color w:val="auto"/>
        </w:rPr>
      </w:pPr>
      <w:r w:rsidRPr="007F6656">
        <w:rPr>
          <w:color w:val="auto"/>
        </w:rPr>
        <w:lastRenderedPageBreak/>
        <w:t>Schedules</w:t>
      </w:r>
    </w:p>
    <w:p w:rsidR="009D47B7" w:rsidRPr="007F6656" w:rsidRDefault="00A96316" w:rsidP="007F6656">
      <w:pPr>
        <w:pStyle w:val="Heading2"/>
        <w:rPr>
          <w:color w:val="auto"/>
          <w:u w:val="single"/>
        </w:rPr>
      </w:pPr>
      <w:r w:rsidRPr="007F6656">
        <w:rPr>
          <w:color w:val="auto"/>
          <w:u w:val="single"/>
        </w:rPr>
        <w:t>Internal Management Directive Schedule</w:t>
      </w:r>
    </w:p>
    <w:p w:rsidR="00422BE6" w:rsidRPr="009D47B7" w:rsidRDefault="006973FD" w:rsidP="009D47B7">
      <w:pPr>
        <w:pStyle w:val="ListParagraph"/>
        <w:numPr>
          <w:ilvl w:val="0"/>
          <w:numId w:val="8"/>
        </w:numPr>
        <w:spacing w:after="0" w:line="240" w:lineRule="auto"/>
        <w:rPr>
          <w:b/>
        </w:rPr>
      </w:pPr>
      <w:r>
        <w:rPr>
          <w:b/>
        </w:rPr>
        <w:t>IMDs to be developed for variances, TMDLs, and the background pollutant a</w:t>
      </w:r>
      <w:r w:rsidR="009D47B7">
        <w:rPr>
          <w:b/>
        </w:rPr>
        <w:t>llowance</w:t>
      </w:r>
    </w:p>
    <w:p w:rsidR="00A96316" w:rsidRPr="009D47B7" w:rsidRDefault="00A96316" w:rsidP="009D47B7">
      <w:pPr>
        <w:spacing w:after="0" w:line="240" w:lineRule="auto"/>
      </w:pPr>
    </w:p>
    <w:tbl>
      <w:tblPr>
        <w:tblStyle w:val="LightGrid-Accent1"/>
        <w:tblW w:w="0" w:type="auto"/>
        <w:jc w:val="center"/>
        <w:tblLook w:val="04A0"/>
      </w:tblPr>
      <w:tblGrid>
        <w:gridCol w:w="2628"/>
        <w:gridCol w:w="4410"/>
      </w:tblGrid>
      <w:tr w:rsidR="00A96316" w:rsidTr="009D47B7">
        <w:trPr>
          <w:cnfStyle w:val="100000000000"/>
          <w:jc w:val="center"/>
        </w:trPr>
        <w:tc>
          <w:tcPr>
            <w:cnfStyle w:val="001000000000"/>
            <w:tcW w:w="2628" w:type="dxa"/>
            <w:tcBorders>
              <w:bottom w:val="single" w:sz="8" w:space="0" w:color="4F81BD" w:themeColor="accent1"/>
            </w:tcBorders>
          </w:tcPr>
          <w:p w:rsidR="00A96316" w:rsidRPr="00A96316" w:rsidRDefault="00A96316" w:rsidP="009D47B7">
            <w:pPr>
              <w:rPr>
                <w:rFonts w:asciiTheme="minorHAnsi" w:hAnsiTheme="minorHAnsi"/>
                <w:b w:val="0"/>
              </w:rPr>
            </w:pPr>
            <w:r w:rsidRPr="00A96316">
              <w:rPr>
                <w:rFonts w:asciiTheme="minorHAnsi" w:hAnsiTheme="minorHAnsi"/>
                <w:b w:val="0"/>
              </w:rPr>
              <w:t>December 30, 2010</w:t>
            </w:r>
          </w:p>
        </w:tc>
        <w:tc>
          <w:tcPr>
            <w:tcW w:w="4410" w:type="dxa"/>
            <w:tcBorders>
              <w:bottom w:val="single" w:sz="8" w:space="0" w:color="4F81BD" w:themeColor="accent1"/>
            </w:tcBorders>
          </w:tcPr>
          <w:p w:rsidR="00A96316" w:rsidRPr="00A96316" w:rsidRDefault="00A96316">
            <w:pPr>
              <w:cnfStyle w:val="100000000000"/>
              <w:rPr>
                <w:rFonts w:asciiTheme="minorHAnsi" w:hAnsiTheme="minorHAnsi"/>
                <w:b w:val="0"/>
              </w:rPr>
            </w:pPr>
            <w:r w:rsidRPr="00A96316">
              <w:rPr>
                <w:rFonts w:asciiTheme="minorHAnsi" w:hAnsiTheme="minorHAnsi"/>
                <w:b w:val="0"/>
              </w:rPr>
              <w:t>detailed IMD outline</w:t>
            </w:r>
          </w:p>
        </w:tc>
      </w:tr>
      <w:tr w:rsidR="00A96316" w:rsidTr="009D47B7">
        <w:trPr>
          <w:cnfStyle w:val="000000100000"/>
          <w:jc w:val="center"/>
        </w:trPr>
        <w:tc>
          <w:tcPr>
            <w:cnfStyle w:val="001000000000"/>
            <w:tcW w:w="2628" w:type="dxa"/>
          </w:tcPr>
          <w:p w:rsidR="00A96316" w:rsidRPr="00A96316" w:rsidRDefault="00A96316">
            <w:pPr>
              <w:rPr>
                <w:rFonts w:asciiTheme="minorHAnsi" w:hAnsiTheme="minorHAnsi"/>
                <w:b w:val="0"/>
              </w:rPr>
            </w:pPr>
            <w:r w:rsidRPr="00A96316">
              <w:rPr>
                <w:rFonts w:asciiTheme="minorHAnsi" w:hAnsiTheme="minorHAnsi"/>
                <w:b w:val="0"/>
              </w:rPr>
              <w:t>March 31, 2010</w:t>
            </w:r>
          </w:p>
        </w:tc>
        <w:tc>
          <w:tcPr>
            <w:tcW w:w="4410" w:type="dxa"/>
          </w:tcPr>
          <w:p w:rsidR="00A96316" w:rsidRPr="00A96316" w:rsidRDefault="00A96316">
            <w:pPr>
              <w:cnfStyle w:val="000000100000"/>
            </w:pPr>
            <w:r w:rsidRPr="00A96316">
              <w:t>draft IMD</w:t>
            </w:r>
          </w:p>
        </w:tc>
      </w:tr>
      <w:tr w:rsidR="00A96316" w:rsidTr="009D47B7">
        <w:trPr>
          <w:cnfStyle w:val="000000010000"/>
          <w:jc w:val="center"/>
        </w:trPr>
        <w:tc>
          <w:tcPr>
            <w:cnfStyle w:val="001000000000"/>
            <w:tcW w:w="2628" w:type="dxa"/>
          </w:tcPr>
          <w:p w:rsidR="00A96316" w:rsidRPr="00A96316" w:rsidRDefault="00A96316">
            <w:pPr>
              <w:rPr>
                <w:rFonts w:asciiTheme="minorHAnsi" w:hAnsiTheme="minorHAnsi"/>
                <w:b w:val="0"/>
              </w:rPr>
            </w:pPr>
            <w:r w:rsidRPr="00A96316">
              <w:rPr>
                <w:rFonts w:asciiTheme="minorHAnsi" w:hAnsiTheme="minorHAnsi"/>
                <w:b w:val="0"/>
              </w:rPr>
              <w:t>May 10, 2010</w:t>
            </w:r>
          </w:p>
        </w:tc>
        <w:tc>
          <w:tcPr>
            <w:tcW w:w="4410" w:type="dxa"/>
          </w:tcPr>
          <w:p w:rsidR="00A96316" w:rsidRPr="00A96316" w:rsidRDefault="00A96316">
            <w:pPr>
              <w:cnfStyle w:val="000000010000"/>
            </w:pPr>
            <w:r w:rsidRPr="00A96316">
              <w:t>draft final IMD (attached to EQC rule package)</w:t>
            </w:r>
          </w:p>
        </w:tc>
      </w:tr>
      <w:tr w:rsidR="00A96316" w:rsidTr="009D47B7">
        <w:trPr>
          <w:cnfStyle w:val="000000100000"/>
          <w:jc w:val="center"/>
        </w:trPr>
        <w:tc>
          <w:tcPr>
            <w:cnfStyle w:val="001000000000"/>
            <w:tcW w:w="2628" w:type="dxa"/>
          </w:tcPr>
          <w:p w:rsidR="00A96316" w:rsidRPr="00A96316" w:rsidRDefault="00D47B89">
            <w:pPr>
              <w:rPr>
                <w:rFonts w:asciiTheme="minorHAnsi" w:hAnsiTheme="minorHAnsi"/>
                <w:b w:val="0"/>
              </w:rPr>
            </w:pPr>
            <w:r>
              <w:rPr>
                <w:rFonts w:asciiTheme="minorHAnsi" w:hAnsiTheme="minorHAnsi"/>
                <w:b w:val="0"/>
              </w:rPr>
              <w:t xml:space="preserve">After </w:t>
            </w:r>
            <w:r w:rsidR="00A96316" w:rsidRPr="00A96316">
              <w:rPr>
                <w:rFonts w:asciiTheme="minorHAnsi" w:hAnsiTheme="minorHAnsi"/>
                <w:b w:val="0"/>
              </w:rPr>
              <w:t>EPA Approval</w:t>
            </w:r>
          </w:p>
        </w:tc>
        <w:tc>
          <w:tcPr>
            <w:tcW w:w="4410" w:type="dxa"/>
          </w:tcPr>
          <w:p w:rsidR="00A96316" w:rsidRPr="00A96316" w:rsidRDefault="00A96316">
            <w:pPr>
              <w:cnfStyle w:val="000000100000"/>
            </w:pPr>
            <w:r w:rsidRPr="00A96316">
              <w:t>final IMD</w:t>
            </w:r>
          </w:p>
        </w:tc>
      </w:tr>
    </w:tbl>
    <w:p w:rsidR="007F6656" w:rsidRPr="007F6656" w:rsidRDefault="007F6656" w:rsidP="007F6656">
      <w:pPr>
        <w:ind w:left="360"/>
        <w:rPr>
          <w:b/>
        </w:rPr>
      </w:pPr>
    </w:p>
    <w:p w:rsidR="009D47B7" w:rsidRPr="009D47B7" w:rsidRDefault="009D47B7" w:rsidP="009D47B7">
      <w:pPr>
        <w:pStyle w:val="ListParagraph"/>
        <w:numPr>
          <w:ilvl w:val="0"/>
          <w:numId w:val="8"/>
        </w:numPr>
        <w:rPr>
          <w:b/>
        </w:rPr>
      </w:pPr>
      <w:r w:rsidRPr="009D47B7">
        <w:rPr>
          <w:b/>
        </w:rPr>
        <w:t>Antidegradation</w:t>
      </w:r>
    </w:p>
    <w:p w:rsidR="009D47B7" w:rsidRDefault="009D47B7" w:rsidP="009D47B7">
      <w:pPr>
        <w:ind w:left="720"/>
      </w:pPr>
      <w:r>
        <w:t>DEQ will draft a chapter of the antidegradation policy IMD describing how the antidegradation policy applies to and will be implemented for nonpoint sources.  We propose to develop a draft document by the date the EQC adopts the toxics criteria revisions (expected June 2011) and a final document six months after EQC adoption of the toxics rules package.</w:t>
      </w:r>
    </w:p>
    <w:p w:rsidR="00A96316" w:rsidRPr="00167970" w:rsidRDefault="00A96316">
      <w:pPr>
        <w:rPr>
          <w:b/>
          <w:sz w:val="28"/>
          <w:szCs w:val="28"/>
        </w:rPr>
      </w:pPr>
      <w:r w:rsidRPr="007F6656">
        <w:rPr>
          <w:b/>
          <w:sz w:val="28"/>
          <w:szCs w:val="28"/>
          <w:u w:val="single"/>
        </w:rPr>
        <w:t>Toxics Rulemaking Schedule</w:t>
      </w:r>
    </w:p>
    <w:tbl>
      <w:tblPr>
        <w:tblStyle w:val="LightGrid-Accent3"/>
        <w:tblW w:w="0" w:type="auto"/>
        <w:jc w:val="center"/>
        <w:tblLook w:val="04A0"/>
      </w:tblPr>
      <w:tblGrid>
        <w:gridCol w:w="2448"/>
        <w:gridCol w:w="4410"/>
      </w:tblGrid>
      <w:tr w:rsidR="00A96316" w:rsidTr="009D47B7">
        <w:trPr>
          <w:cnfStyle w:val="100000000000"/>
          <w:jc w:val="center"/>
        </w:trPr>
        <w:tc>
          <w:tcPr>
            <w:cnfStyle w:val="001000000000"/>
            <w:tcW w:w="2448" w:type="dxa"/>
            <w:tcBorders>
              <w:bottom w:val="single" w:sz="8" w:space="0" w:color="9BBB59" w:themeColor="accent3"/>
            </w:tcBorders>
          </w:tcPr>
          <w:p w:rsidR="00A96316" w:rsidRPr="00A96316" w:rsidRDefault="00A96316">
            <w:pPr>
              <w:rPr>
                <w:rFonts w:asciiTheme="minorHAnsi" w:hAnsiTheme="minorHAnsi"/>
                <w:b w:val="0"/>
              </w:rPr>
            </w:pPr>
            <w:r w:rsidRPr="00A96316">
              <w:rPr>
                <w:rFonts w:asciiTheme="minorHAnsi" w:hAnsiTheme="minorHAnsi"/>
                <w:b w:val="0"/>
              </w:rPr>
              <w:t>Dec. 1 – 8</w:t>
            </w:r>
            <w:r w:rsidR="00167970">
              <w:rPr>
                <w:rFonts w:asciiTheme="minorHAnsi" w:hAnsiTheme="minorHAnsi"/>
                <w:b w:val="0"/>
              </w:rPr>
              <w:t>, 2010</w:t>
            </w:r>
          </w:p>
        </w:tc>
        <w:tc>
          <w:tcPr>
            <w:tcW w:w="4410" w:type="dxa"/>
            <w:tcBorders>
              <w:bottom w:val="single" w:sz="8" w:space="0" w:color="9BBB59" w:themeColor="accent3"/>
            </w:tcBorders>
          </w:tcPr>
          <w:p w:rsidR="00A96316" w:rsidRPr="00A96316" w:rsidRDefault="00A96316">
            <w:pPr>
              <w:cnfStyle w:val="100000000000"/>
              <w:rPr>
                <w:rFonts w:asciiTheme="minorHAnsi" w:hAnsiTheme="minorHAnsi"/>
                <w:b w:val="0"/>
              </w:rPr>
            </w:pPr>
            <w:r w:rsidRPr="00A96316">
              <w:rPr>
                <w:rFonts w:asciiTheme="minorHAnsi" w:hAnsiTheme="minorHAnsi"/>
                <w:b w:val="0"/>
              </w:rPr>
              <w:t>DEQ Executive Management Team Review</w:t>
            </w:r>
          </w:p>
        </w:tc>
      </w:tr>
      <w:tr w:rsidR="00A96316" w:rsidTr="009D47B7">
        <w:trPr>
          <w:cnfStyle w:val="000000100000"/>
          <w:jc w:val="center"/>
        </w:trPr>
        <w:tc>
          <w:tcPr>
            <w:cnfStyle w:val="001000000000"/>
            <w:tcW w:w="2448" w:type="dxa"/>
          </w:tcPr>
          <w:p w:rsidR="00A96316" w:rsidRPr="00A96316" w:rsidRDefault="00D47B89">
            <w:pPr>
              <w:rPr>
                <w:rFonts w:asciiTheme="minorHAnsi" w:hAnsiTheme="minorHAnsi"/>
                <w:b w:val="0"/>
              </w:rPr>
            </w:pPr>
            <w:r>
              <w:rPr>
                <w:rFonts w:asciiTheme="minorHAnsi" w:hAnsiTheme="minorHAnsi"/>
                <w:b w:val="0"/>
              </w:rPr>
              <w:t xml:space="preserve">Dec. 9 &amp; </w:t>
            </w:r>
            <w:r w:rsidR="00A96316" w:rsidRPr="00A96316">
              <w:rPr>
                <w:rFonts w:asciiTheme="minorHAnsi" w:hAnsiTheme="minorHAnsi"/>
                <w:b w:val="0"/>
              </w:rPr>
              <w:t>10</w:t>
            </w:r>
            <w:r w:rsidR="00167970">
              <w:rPr>
                <w:rFonts w:asciiTheme="minorHAnsi" w:hAnsiTheme="minorHAnsi"/>
                <w:b w:val="0"/>
              </w:rPr>
              <w:t>, 2010</w:t>
            </w:r>
          </w:p>
        </w:tc>
        <w:tc>
          <w:tcPr>
            <w:tcW w:w="4410" w:type="dxa"/>
          </w:tcPr>
          <w:p w:rsidR="00A96316" w:rsidRPr="00A96316" w:rsidRDefault="00A96316">
            <w:pPr>
              <w:cnfStyle w:val="000000100000"/>
            </w:pPr>
            <w:r w:rsidRPr="00A96316">
              <w:t>Informational Update to EQC</w:t>
            </w:r>
          </w:p>
        </w:tc>
      </w:tr>
      <w:tr w:rsidR="00A96316" w:rsidTr="009D47B7">
        <w:trPr>
          <w:cnfStyle w:val="000000010000"/>
          <w:jc w:val="center"/>
        </w:trPr>
        <w:tc>
          <w:tcPr>
            <w:cnfStyle w:val="001000000000"/>
            <w:tcW w:w="2448" w:type="dxa"/>
          </w:tcPr>
          <w:p w:rsidR="00A96316" w:rsidRPr="00A96316" w:rsidRDefault="00A96316">
            <w:pPr>
              <w:rPr>
                <w:rFonts w:asciiTheme="minorHAnsi" w:hAnsiTheme="minorHAnsi"/>
                <w:b w:val="0"/>
              </w:rPr>
            </w:pPr>
            <w:r w:rsidRPr="00A96316">
              <w:rPr>
                <w:rFonts w:asciiTheme="minorHAnsi" w:hAnsiTheme="minorHAnsi"/>
                <w:b w:val="0"/>
              </w:rPr>
              <w:t>Jan. 3. – Feb. 18</w:t>
            </w:r>
            <w:r w:rsidR="00167970">
              <w:rPr>
                <w:rFonts w:asciiTheme="minorHAnsi" w:hAnsiTheme="minorHAnsi"/>
                <w:b w:val="0"/>
              </w:rPr>
              <w:t>, 2011</w:t>
            </w:r>
            <w:r w:rsidRPr="00A96316">
              <w:rPr>
                <w:rFonts w:asciiTheme="minorHAnsi" w:hAnsiTheme="minorHAnsi"/>
                <w:b w:val="0"/>
              </w:rPr>
              <w:tab/>
            </w:r>
          </w:p>
        </w:tc>
        <w:tc>
          <w:tcPr>
            <w:tcW w:w="4410" w:type="dxa"/>
          </w:tcPr>
          <w:p w:rsidR="00A96316" w:rsidRPr="00A96316" w:rsidRDefault="00167970">
            <w:pPr>
              <w:cnfStyle w:val="000000010000"/>
            </w:pPr>
            <w:r>
              <w:t>Public Comment Period</w:t>
            </w:r>
          </w:p>
        </w:tc>
      </w:tr>
      <w:tr w:rsidR="00A96316" w:rsidTr="009D47B7">
        <w:trPr>
          <w:cnfStyle w:val="000000100000"/>
          <w:jc w:val="center"/>
        </w:trPr>
        <w:tc>
          <w:tcPr>
            <w:cnfStyle w:val="001000000000"/>
            <w:tcW w:w="2448" w:type="dxa"/>
          </w:tcPr>
          <w:p w:rsidR="00A96316" w:rsidRPr="00A96316" w:rsidRDefault="00167970">
            <w:pPr>
              <w:rPr>
                <w:rFonts w:asciiTheme="minorHAnsi" w:hAnsiTheme="minorHAnsi"/>
                <w:b w:val="0"/>
              </w:rPr>
            </w:pPr>
            <w:r>
              <w:rPr>
                <w:rFonts w:asciiTheme="minorHAnsi" w:hAnsiTheme="minorHAnsi"/>
                <w:b w:val="0"/>
              </w:rPr>
              <w:t>Feb. 1 – 11, 2011</w:t>
            </w:r>
          </w:p>
        </w:tc>
        <w:tc>
          <w:tcPr>
            <w:tcW w:w="4410" w:type="dxa"/>
          </w:tcPr>
          <w:p w:rsidR="00A96316" w:rsidRDefault="00167970">
            <w:pPr>
              <w:cnfStyle w:val="000000100000"/>
            </w:pPr>
            <w:r>
              <w:t>Public Hearings (7)</w:t>
            </w:r>
          </w:p>
          <w:p w:rsidR="00EB01A1" w:rsidRPr="00422BE6" w:rsidRDefault="00422BE6">
            <w:pPr>
              <w:cnfStyle w:val="000000100000"/>
              <w:rPr>
                <w:sz w:val="16"/>
                <w:szCs w:val="16"/>
              </w:rPr>
            </w:pPr>
            <w:r w:rsidRPr="00422BE6">
              <w:rPr>
                <w:sz w:val="16"/>
                <w:szCs w:val="16"/>
              </w:rPr>
              <w:t xml:space="preserve">Bend:  Feb. 1  1:00 pm   </w:t>
            </w:r>
            <w:r w:rsidR="009D47B7">
              <w:rPr>
                <w:sz w:val="16"/>
                <w:szCs w:val="16"/>
              </w:rPr>
              <w:t xml:space="preserve">                      Ontario:  Feb. 7  3:30 pm</w:t>
            </w:r>
            <w:r w:rsidRPr="00422BE6">
              <w:rPr>
                <w:sz w:val="16"/>
                <w:szCs w:val="16"/>
              </w:rPr>
              <w:t xml:space="preserve">     </w:t>
            </w:r>
          </w:p>
          <w:p w:rsidR="00422BE6" w:rsidRPr="00422BE6" w:rsidRDefault="00422BE6">
            <w:pPr>
              <w:cnfStyle w:val="000000100000"/>
              <w:rPr>
                <w:sz w:val="16"/>
                <w:szCs w:val="16"/>
              </w:rPr>
            </w:pPr>
            <w:r w:rsidRPr="00422BE6">
              <w:rPr>
                <w:sz w:val="16"/>
                <w:szCs w:val="16"/>
              </w:rPr>
              <w:t>Eugene:  Feb. 2  9:00 am</w:t>
            </w:r>
            <w:r w:rsidR="009D47B7">
              <w:rPr>
                <w:sz w:val="16"/>
                <w:szCs w:val="16"/>
              </w:rPr>
              <w:t xml:space="preserve">                     </w:t>
            </w:r>
            <w:r w:rsidR="009D47B7" w:rsidRPr="00422BE6">
              <w:rPr>
                <w:sz w:val="16"/>
                <w:szCs w:val="16"/>
              </w:rPr>
              <w:t>Pendleton:</w:t>
            </w:r>
            <w:r w:rsidR="009D47B7">
              <w:rPr>
                <w:sz w:val="16"/>
                <w:szCs w:val="16"/>
              </w:rPr>
              <w:t xml:space="preserve">  Feb. 8  2:00 pm</w:t>
            </w:r>
          </w:p>
          <w:p w:rsidR="00422BE6" w:rsidRPr="00422BE6" w:rsidRDefault="00422BE6">
            <w:pPr>
              <w:cnfStyle w:val="000000100000"/>
              <w:rPr>
                <w:sz w:val="16"/>
                <w:szCs w:val="16"/>
              </w:rPr>
            </w:pPr>
            <w:r w:rsidRPr="00422BE6">
              <w:rPr>
                <w:sz w:val="16"/>
                <w:szCs w:val="16"/>
              </w:rPr>
              <w:t>Medford:  Feb. 2  6:00 pm</w:t>
            </w:r>
            <w:r w:rsidR="009D47B7">
              <w:rPr>
                <w:sz w:val="16"/>
                <w:szCs w:val="16"/>
              </w:rPr>
              <w:t xml:space="preserve">                   </w:t>
            </w:r>
            <w:r w:rsidR="009D47B7" w:rsidRPr="00422BE6">
              <w:rPr>
                <w:sz w:val="16"/>
                <w:szCs w:val="16"/>
              </w:rPr>
              <w:t>Portland:  Feb. 10  6:00 pm</w:t>
            </w:r>
          </w:p>
          <w:p w:rsidR="00422BE6" w:rsidRPr="009D47B7" w:rsidRDefault="00422BE6">
            <w:pPr>
              <w:cnfStyle w:val="000000100000"/>
              <w:rPr>
                <w:sz w:val="16"/>
                <w:szCs w:val="16"/>
              </w:rPr>
            </w:pPr>
            <w:r w:rsidRPr="00422BE6">
              <w:rPr>
                <w:sz w:val="16"/>
                <w:szCs w:val="16"/>
              </w:rPr>
              <w:t>Coos Bay:  Feb. 3  1:30 pm</w:t>
            </w:r>
          </w:p>
        </w:tc>
      </w:tr>
      <w:tr w:rsidR="00A96316" w:rsidTr="009D47B7">
        <w:trPr>
          <w:cnfStyle w:val="000000010000"/>
          <w:jc w:val="center"/>
        </w:trPr>
        <w:tc>
          <w:tcPr>
            <w:cnfStyle w:val="001000000000"/>
            <w:tcW w:w="2448" w:type="dxa"/>
          </w:tcPr>
          <w:p w:rsidR="00A96316" w:rsidRPr="00A96316" w:rsidRDefault="00167970">
            <w:pPr>
              <w:rPr>
                <w:rFonts w:asciiTheme="minorHAnsi" w:hAnsiTheme="minorHAnsi"/>
                <w:b w:val="0"/>
              </w:rPr>
            </w:pPr>
            <w:r>
              <w:rPr>
                <w:rFonts w:asciiTheme="minorHAnsi" w:hAnsiTheme="minorHAnsi"/>
                <w:b w:val="0"/>
              </w:rPr>
              <w:t>April 29, 2011</w:t>
            </w:r>
          </w:p>
        </w:tc>
        <w:tc>
          <w:tcPr>
            <w:tcW w:w="4410" w:type="dxa"/>
          </w:tcPr>
          <w:p w:rsidR="00A96316" w:rsidRPr="00A96316" w:rsidRDefault="00167970">
            <w:pPr>
              <w:cnfStyle w:val="000000010000"/>
            </w:pPr>
            <w:r>
              <w:t>Response to public comment completed</w:t>
            </w:r>
          </w:p>
        </w:tc>
      </w:tr>
      <w:tr w:rsidR="00167970" w:rsidTr="009D47B7">
        <w:trPr>
          <w:cnfStyle w:val="000000100000"/>
          <w:jc w:val="center"/>
        </w:trPr>
        <w:tc>
          <w:tcPr>
            <w:cnfStyle w:val="001000000000"/>
            <w:tcW w:w="2448" w:type="dxa"/>
          </w:tcPr>
          <w:p w:rsidR="00167970" w:rsidRPr="00A96316" w:rsidRDefault="00167970" w:rsidP="00EB01A1">
            <w:pPr>
              <w:rPr>
                <w:rFonts w:asciiTheme="minorHAnsi" w:hAnsiTheme="minorHAnsi"/>
                <w:b w:val="0"/>
              </w:rPr>
            </w:pPr>
            <w:r>
              <w:rPr>
                <w:rFonts w:asciiTheme="minorHAnsi" w:hAnsiTheme="minorHAnsi"/>
                <w:b w:val="0"/>
              </w:rPr>
              <w:t>May 10, 2011</w:t>
            </w:r>
          </w:p>
        </w:tc>
        <w:tc>
          <w:tcPr>
            <w:tcW w:w="4410" w:type="dxa"/>
          </w:tcPr>
          <w:p w:rsidR="00167970" w:rsidRPr="00A96316" w:rsidRDefault="00167970" w:rsidP="00EB01A1">
            <w:pPr>
              <w:cnfStyle w:val="000000100000"/>
            </w:pPr>
            <w:r>
              <w:t>DEQ staff report due to EQC</w:t>
            </w:r>
          </w:p>
        </w:tc>
      </w:tr>
      <w:tr w:rsidR="00167970" w:rsidTr="009D47B7">
        <w:trPr>
          <w:cnfStyle w:val="000000010000"/>
          <w:jc w:val="center"/>
        </w:trPr>
        <w:tc>
          <w:tcPr>
            <w:cnfStyle w:val="001000000000"/>
            <w:tcW w:w="2448" w:type="dxa"/>
          </w:tcPr>
          <w:p w:rsidR="00167970" w:rsidRPr="00A96316" w:rsidRDefault="00D47B89">
            <w:pPr>
              <w:rPr>
                <w:rFonts w:asciiTheme="minorHAnsi" w:hAnsiTheme="minorHAnsi"/>
                <w:b w:val="0"/>
              </w:rPr>
            </w:pPr>
            <w:r>
              <w:rPr>
                <w:rFonts w:asciiTheme="minorHAnsi" w:hAnsiTheme="minorHAnsi"/>
                <w:b w:val="0"/>
              </w:rPr>
              <w:t xml:space="preserve">June 16 &amp; </w:t>
            </w:r>
            <w:r w:rsidR="00167970">
              <w:rPr>
                <w:rFonts w:asciiTheme="minorHAnsi" w:hAnsiTheme="minorHAnsi"/>
                <w:b w:val="0"/>
              </w:rPr>
              <w:t>17, 2011</w:t>
            </w:r>
          </w:p>
        </w:tc>
        <w:tc>
          <w:tcPr>
            <w:tcW w:w="4410" w:type="dxa"/>
          </w:tcPr>
          <w:p w:rsidR="00167970" w:rsidRPr="00A96316" w:rsidRDefault="00167970">
            <w:pPr>
              <w:cnfStyle w:val="000000010000"/>
            </w:pPr>
            <w:r>
              <w:t>EQC action item for rule adoption</w:t>
            </w:r>
          </w:p>
        </w:tc>
      </w:tr>
      <w:tr w:rsidR="00167970" w:rsidTr="009D47B7">
        <w:trPr>
          <w:cnfStyle w:val="000000100000"/>
          <w:jc w:val="center"/>
        </w:trPr>
        <w:tc>
          <w:tcPr>
            <w:cnfStyle w:val="001000000000"/>
            <w:tcW w:w="2448" w:type="dxa"/>
          </w:tcPr>
          <w:p w:rsidR="00167970" w:rsidRPr="00A96316" w:rsidRDefault="00167970" w:rsidP="007F6656">
            <w:pPr>
              <w:rPr>
                <w:rFonts w:asciiTheme="minorHAnsi" w:hAnsiTheme="minorHAnsi"/>
                <w:b w:val="0"/>
              </w:rPr>
            </w:pPr>
            <w:r>
              <w:rPr>
                <w:rFonts w:asciiTheme="minorHAnsi" w:hAnsiTheme="minorHAnsi"/>
                <w:b w:val="0"/>
              </w:rPr>
              <w:t>Oct. 2011</w:t>
            </w:r>
          </w:p>
        </w:tc>
        <w:tc>
          <w:tcPr>
            <w:tcW w:w="4410" w:type="dxa"/>
          </w:tcPr>
          <w:p w:rsidR="00167970" w:rsidRPr="00A96316" w:rsidRDefault="00167970">
            <w:pPr>
              <w:cnfStyle w:val="000000100000"/>
            </w:pPr>
            <w:r>
              <w:t>EPA action on final rule</w:t>
            </w:r>
          </w:p>
        </w:tc>
      </w:tr>
    </w:tbl>
    <w:p w:rsidR="00A96316" w:rsidRDefault="00A96316"/>
    <w:p w:rsidR="009D47B7" w:rsidRPr="007F6656" w:rsidRDefault="009D47B7" w:rsidP="009D47B7">
      <w:pPr>
        <w:rPr>
          <w:b/>
          <w:sz w:val="28"/>
          <w:szCs w:val="28"/>
          <w:u w:val="single"/>
        </w:rPr>
      </w:pPr>
      <w:r w:rsidRPr="007F6656">
        <w:rPr>
          <w:b/>
          <w:sz w:val="28"/>
          <w:szCs w:val="28"/>
          <w:u w:val="single"/>
        </w:rPr>
        <w:t>Metals Rulemaking</w:t>
      </w:r>
    </w:p>
    <w:p w:rsidR="00EB01A1" w:rsidRDefault="009D47B7">
      <w:r>
        <w:t>DEQ is proposing to adopt the revised iron and manganese criteria at the December 2010 EQC meeting.  DEQ needs additional time to respond to comments on the prop</w:t>
      </w:r>
      <w:r w:rsidR="007F6656">
        <w:t>osed arsenic criteria revisions</w:t>
      </w:r>
      <w:r>
        <w:t xml:space="preserve">.  We expect to propose revised arsenic criteria for public comment in February and to recommend adoption by the EQC in </w:t>
      </w:r>
      <w:r w:rsidR="007F6656">
        <w:t>April or June</w:t>
      </w:r>
      <w:r>
        <w:t xml:space="preserve"> 2011.</w:t>
      </w:r>
    </w:p>
    <w:sectPr w:rsidR="00EB01A1" w:rsidSect="007F6656">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3FD" w:rsidRDefault="006973FD" w:rsidP="00EB01A1">
      <w:pPr>
        <w:spacing w:after="0" w:line="240" w:lineRule="auto"/>
      </w:pPr>
      <w:r>
        <w:separator/>
      </w:r>
    </w:p>
  </w:endnote>
  <w:endnote w:type="continuationSeparator" w:id="0">
    <w:p w:rsidR="006973FD" w:rsidRDefault="006973FD" w:rsidP="00EB0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3FD" w:rsidRDefault="006973FD" w:rsidP="00EB01A1">
      <w:pPr>
        <w:spacing w:after="0" w:line="240" w:lineRule="auto"/>
      </w:pPr>
      <w:r>
        <w:separator/>
      </w:r>
    </w:p>
  </w:footnote>
  <w:footnote w:type="continuationSeparator" w:id="0">
    <w:p w:rsidR="006973FD" w:rsidRDefault="006973FD" w:rsidP="00EB0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FD" w:rsidRDefault="006973FD">
    <w:pPr>
      <w:pStyle w:val="Header"/>
    </w:pPr>
    <w:r>
      <w:t>For workgroup meeting December 2,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3558E"/>
    <w:multiLevelType w:val="hybridMultilevel"/>
    <w:tmpl w:val="BC98B0C6"/>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1E486DDD"/>
    <w:multiLevelType w:val="hybridMultilevel"/>
    <w:tmpl w:val="134CC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F2A3A33"/>
    <w:multiLevelType w:val="hybridMultilevel"/>
    <w:tmpl w:val="6532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D33D9"/>
    <w:multiLevelType w:val="hybridMultilevel"/>
    <w:tmpl w:val="B336B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B53D4"/>
    <w:multiLevelType w:val="hybridMultilevel"/>
    <w:tmpl w:val="847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81CF8"/>
    <w:multiLevelType w:val="hybridMultilevel"/>
    <w:tmpl w:val="239468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B5421"/>
    <w:multiLevelType w:val="hybridMultilevel"/>
    <w:tmpl w:val="7B54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7B72"/>
    <w:rsid w:val="000033D1"/>
    <w:rsid w:val="000815D0"/>
    <w:rsid w:val="000A3E63"/>
    <w:rsid w:val="00143CAF"/>
    <w:rsid w:val="0014530E"/>
    <w:rsid w:val="00167970"/>
    <w:rsid w:val="00285C8C"/>
    <w:rsid w:val="00342E44"/>
    <w:rsid w:val="00422BE6"/>
    <w:rsid w:val="004837C5"/>
    <w:rsid w:val="004A0AFF"/>
    <w:rsid w:val="004A46D2"/>
    <w:rsid w:val="004B48C8"/>
    <w:rsid w:val="00534803"/>
    <w:rsid w:val="005B210E"/>
    <w:rsid w:val="005E4CC8"/>
    <w:rsid w:val="006331C1"/>
    <w:rsid w:val="00636D72"/>
    <w:rsid w:val="006523F8"/>
    <w:rsid w:val="006637E3"/>
    <w:rsid w:val="006973FD"/>
    <w:rsid w:val="006A1FBA"/>
    <w:rsid w:val="006C3C1C"/>
    <w:rsid w:val="00706B0F"/>
    <w:rsid w:val="00713853"/>
    <w:rsid w:val="007862D2"/>
    <w:rsid w:val="007B5D1F"/>
    <w:rsid w:val="007F6656"/>
    <w:rsid w:val="00832209"/>
    <w:rsid w:val="008863B7"/>
    <w:rsid w:val="008E2BC6"/>
    <w:rsid w:val="00920964"/>
    <w:rsid w:val="0094360F"/>
    <w:rsid w:val="00957794"/>
    <w:rsid w:val="009927B7"/>
    <w:rsid w:val="009D47B7"/>
    <w:rsid w:val="009E58A0"/>
    <w:rsid w:val="00A07B55"/>
    <w:rsid w:val="00A96316"/>
    <w:rsid w:val="00B10A9E"/>
    <w:rsid w:val="00B346DE"/>
    <w:rsid w:val="00B703E2"/>
    <w:rsid w:val="00B77516"/>
    <w:rsid w:val="00BE7B0B"/>
    <w:rsid w:val="00C03BAF"/>
    <w:rsid w:val="00C61148"/>
    <w:rsid w:val="00C775C7"/>
    <w:rsid w:val="00D47B89"/>
    <w:rsid w:val="00D60825"/>
    <w:rsid w:val="00DB68E3"/>
    <w:rsid w:val="00DC0F0D"/>
    <w:rsid w:val="00DC564C"/>
    <w:rsid w:val="00DD7B72"/>
    <w:rsid w:val="00E50D39"/>
    <w:rsid w:val="00E57AA9"/>
    <w:rsid w:val="00E8424F"/>
    <w:rsid w:val="00E95188"/>
    <w:rsid w:val="00E95C2E"/>
    <w:rsid w:val="00EB01A1"/>
    <w:rsid w:val="00EE15B4"/>
    <w:rsid w:val="00F445AE"/>
    <w:rsid w:val="00F51642"/>
    <w:rsid w:val="00F81951"/>
    <w:rsid w:val="00F9769F"/>
    <w:rsid w:val="00FC33D0"/>
    <w:rsid w:val="00FF5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1">
    <w:name w:val="heading 1"/>
    <w:basedOn w:val="Normal"/>
    <w:next w:val="Normal"/>
    <w:link w:val="Heading1Char"/>
    <w:uiPriority w:val="9"/>
    <w:qFormat/>
    <w:rsid w:val="007F6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6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72"/>
    <w:pPr>
      <w:ind w:left="720"/>
      <w:contextualSpacing/>
    </w:pPr>
  </w:style>
  <w:style w:type="table" w:styleId="TableGrid">
    <w:name w:val="Table Grid"/>
    <w:basedOn w:val="TableNormal"/>
    <w:uiPriority w:val="59"/>
    <w:rsid w:val="00A963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1">
    <w:name w:val="Light Grid Accent 1"/>
    <w:basedOn w:val="TableNormal"/>
    <w:uiPriority w:val="62"/>
    <w:rsid w:val="00A9631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9631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semiHidden/>
    <w:unhideWhenUsed/>
    <w:rsid w:val="00EB01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1A1"/>
  </w:style>
  <w:style w:type="paragraph" w:styleId="Footer">
    <w:name w:val="footer"/>
    <w:basedOn w:val="Normal"/>
    <w:link w:val="FooterChar"/>
    <w:uiPriority w:val="99"/>
    <w:semiHidden/>
    <w:unhideWhenUsed/>
    <w:rsid w:val="00EB01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1A1"/>
  </w:style>
  <w:style w:type="character" w:customStyle="1" w:styleId="Heading1Char">
    <w:name w:val="Heading 1 Char"/>
    <w:basedOn w:val="DefaultParagraphFont"/>
    <w:link w:val="Heading1"/>
    <w:uiPriority w:val="9"/>
    <w:rsid w:val="007F66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656"/>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7F6656"/>
    <w:rPr>
      <w:b/>
      <w:bCs/>
      <w:smallCaps/>
      <w:spacing w:val="5"/>
    </w:rPr>
  </w:style>
</w:styles>
</file>

<file path=word/webSettings.xml><?xml version="1.0" encoding="utf-8"?>
<w:webSettings xmlns:r="http://schemas.openxmlformats.org/officeDocument/2006/relationships" xmlns:w="http://schemas.openxmlformats.org/wordprocessingml/2006/main">
  <w:divs>
    <w:div w:id="321785721">
      <w:bodyDiv w:val="1"/>
      <w:marLeft w:val="0"/>
      <w:marRight w:val="0"/>
      <w:marTop w:val="0"/>
      <w:marBottom w:val="0"/>
      <w:divBdr>
        <w:top w:val="none" w:sz="0" w:space="0" w:color="auto"/>
        <w:left w:val="none" w:sz="0" w:space="0" w:color="auto"/>
        <w:bottom w:val="none" w:sz="0" w:space="0" w:color="auto"/>
        <w:right w:val="none" w:sz="0" w:space="0" w:color="auto"/>
      </w:divBdr>
    </w:div>
    <w:div w:id="332420043">
      <w:bodyDiv w:val="1"/>
      <w:marLeft w:val="0"/>
      <w:marRight w:val="0"/>
      <w:marTop w:val="0"/>
      <w:marBottom w:val="0"/>
      <w:divBdr>
        <w:top w:val="none" w:sz="0" w:space="0" w:color="auto"/>
        <w:left w:val="none" w:sz="0" w:space="0" w:color="auto"/>
        <w:bottom w:val="none" w:sz="0" w:space="0" w:color="auto"/>
        <w:right w:val="none" w:sz="0" w:space="0" w:color="auto"/>
      </w:divBdr>
    </w:div>
    <w:div w:id="12698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2010-12-03T16:26:00Z</dcterms:created>
  <dcterms:modified xsi:type="dcterms:W3CDTF">2010-12-03T16:26:00Z</dcterms:modified>
</cp:coreProperties>
</file>