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05" w:rsidRDefault="00D11205" w:rsidP="00D11205">
      <w:pPr>
        <w:pStyle w:val="Caption"/>
        <w:keepNext/>
        <w:spacing w:before="0" w:line="240" w:lineRule="auto"/>
        <w:jc w:val="center"/>
        <w:rPr>
          <w:rFonts w:ascii="Times New Roman" w:hAnsi="Times New Roman" w:cs="Times New Roman"/>
          <w:color w:val="auto"/>
          <w:sz w:val="22"/>
          <w:szCs w:val="22"/>
        </w:rPr>
      </w:pPr>
    </w:p>
    <w:p w:rsidR="00D11205" w:rsidRPr="0056303A" w:rsidRDefault="00D11205" w:rsidP="00D11205">
      <w:pPr>
        <w:pStyle w:val="Caption"/>
        <w:keepNext/>
        <w:spacing w:before="0" w:line="240" w:lineRule="auto"/>
        <w:jc w:val="center"/>
        <w:rPr>
          <w:rFonts w:ascii="Times New Roman" w:hAnsi="Times New Roman" w:cs="Times New Roman"/>
          <w:color w:val="auto"/>
          <w:sz w:val="22"/>
          <w:szCs w:val="22"/>
        </w:rPr>
      </w:pPr>
      <w:r w:rsidRPr="0056303A">
        <w:rPr>
          <w:rFonts w:ascii="Times New Roman" w:hAnsi="Times New Roman" w:cs="Times New Roman"/>
          <w:color w:val="auto"/>
          <w:sz w:val="22"/>
          <w:szCs w:val="22"/>
        </w:rPr>
        <w:t>Revised Water Quality Standards for Human Health and Revised Water Quality Standards Implementation Policies</w:t>
      </w:r>
    </w:p>
    <w:p w:rsidR="00D11205" w:rsidRDefault="00D11205" w:rsidP="001A19F5">
      <w:pPr>
        <w:pStyle w:val="Heading6"/>
        <w:rPr>
          <w:rFonts w:ascii="Times New Roman" w:hAnsi="Times New Roman"/>
          <w:b/>
          <w:i w:val="0"/>
          <w:color w:val="000000"/>
          <w:sz w:val="22"/>
          <w:szCs w:val="22"/>
        </w:rPr>
      </w:pPr>
    </w:p>
    <w:p w:rsidR="001A19F5" w:rsidRPr="00A87D91" w:rsidRDefault="00D11205" w:rsidP="00D11205">
      <w:pPr>
        <w:pStyle w:val="Heading6"/>
        <w:jc w:val="center"/>
        <w:rPr>
          <w:rFonts w:ascii="Times New Roman" w:hAnsi="Times New Roman"/>
          <w:b/>
          <w:i w:val="0"/>
          <w:color w:val="000000"/>
          <w:sz w:val="22"/>
          <w:szCs w:val="22"/>
        </w:rPr>
      </w:pPr>
      <w:r>
        <w:rPr>
          <w:rFonts w:ascii="Times New Roman" w:hAnsi="Times New Roman"/>
          <w:b/>
          <w:i w:val="0"/>
          <w:color w:val="000000"/>
          <w:sz w:val="22"/>
          <w:szCs w:val="22"/>
        </w:rPr>
        <w:t xml:space="preserve">Summary of </w:t>
      </w:r>
      <w:r w:rsidR="001A19F5" w:rsidRPr="00A87D91">
        <w:rPr>
          <w:rFonts w:ascii="Times New Roman" w:hAnsi="Times New Roman"/>
          <w:b/>
          <w:i w:val="0"/>
          <w:color w:val="000000"/>
          <w:sz w:val="22"/>
          <w:szCs w:val="22"/>
        </w:rPr>
        <w:t>Rule Revisions</w:t>
      </w:r>
    </w:p>
    <w:p w:rsidR="001A19F5" w:rsidRDefault="001A19F5" w:rsidP="001A19F5">
      <w:pPr>
        <w:pStyle w:val="Heading6"/>
        <w:rPr>
          <w:rFonts w:ascii="Times New Roman" w:hAnsi="Times New Roman"/>
          <w:b/>
          <w:i w:val="0"/>
          <w:color w:val="000000"/>
          <w:sz w:val="22"/>
          <w:szCs w:val="22"/>
        </w:rPr>
      </w:pPr>
    </w:p>
    <w:p w:rsidR="00D11205" w:rsidRPr="00D11205" w:rsidRDefault="00D11205" w:rsidP="00D11205">
      <w:pPr>
        <w:rPr>
          <w:rFonts w:ascii="Times New Roman" w:hAnsi="Times New Roman" w:cs="Times New Roman"/>
        </w:rPr>
      </w:pPr>
      <w:r w:rsidRPr="00D11205">
        <w:rPr>
          <w:rFonts w:ascii="Times New Roman" w:hAnsi="Times New Roman" w:cs="Times New Roman"/>
        </w:rPr>
        <w:t xml:space="preserve">This document summarizes revisions DEQ is proposing under each rule.  For detailed information regarding specific changes, please refer to the </w:t>
      </w:r>
      <w:r w:rsidRPr="005F34D6">
        <w:rPr>
          <w:rFonts w:ascii="Times New Roman" w:hAnsi="Times New Roman" w:cs="Times New Roman"/>
          <w:i/>
        </w:rPr>
        <w:t>Response to Comment</w:t>
      </w:r>
      <w:r w:rsidRPr="00D11205">
        <w:rPr>
          <w:rFonts w:ascii="Times New Roman" w:hAnsi="Times New Roman" w:cs="Times New Roman"/>
        </w:rPr>
        <w:t xml:space="preserve"> document, or respective Issue Papers on these topics.</w:t>
      </w:r>
    </w:p>
    <w:p w:rsidR="00D11205" w:rsidRPr="00D11205" w:rsidRDefault="00D11205" w:rsidP="00D11205"/>
    <w:p w:rsidR="001A19F5" w:rsidRPr="00D11205" w:rsidRDefault="001A19F5" w:rsidP="005F34D6">
      <w:pPr>
        <w:pStyle w:val="Heading6"/>
        <w:spacing w:before="0"/>
        <w:rPr>
          <w:rFonts w:ascii="Times New Roman" w:hAnsi="Times New Roman"/>
          <w:b/>
          <w:i w:val="0"/>
          <w:color w:val="000000"/>
          <w:sz w:val="22"/>
          <w:szCs w:val="22"/>
        </w:rPr>
      </w:pPr>
      <w:r w:rsidRPr="00D11205">
        <w:rPr>
          <w:rFonts w:ascii="Times New Roman" w:hAnsi="Times New Roman"/>
          <w:b/>
          <w:i w:val="0"/>
          <w:color w:val="000000"/>
          <w:sz w:val="22"/>
          <w:szCs w:val="22"/>
        </w:rPr>
        <w:t>340-041-0009</w:t>
      </w:r>
    </w:p>
    <w:p w:rsidR="001A19F5" w:rsidRPr="00D11205" w:rsidRDefault="001A19F5" w:rsidP="005F34D6">
      <w:pPr>
        <w:pStyle w:val="NormalWeb"/>
        <w:spacing w:before="0" w:beforeAutospacing="0"/>
        <w:rPr>
          <w:b/>
          <w:bCs/>
          <w:sz w:val="22"/>
          <w:szCs w:val="22"/>
        </w:rPr>
      </w:pPr>
      <w:r w:rsidRPr="00D11205">
        <w:rPr>
          <w:b/>
          <w:bCs/>
          <w:sz w:val="22"/>
          <w:szCs w:val="22"/>
        </w:rPr>
        <w:t xml:space="preserve">Bacteria </w:t>
      </w:r>
    </w:p>
    <w:p w:rsidR="001A19F5" w:rsidRPr="00D11205" w:rsidRDefault="005F34D6" w:rsidP="001A19F5">
      <w:pPr>
        <w:rPr>
          <w:rFonts w:ascii="Times New Roman" w:hAnsi="Times New Roman" w:cs="Times New Roman"/>
        </w:rPr>
      </w:pPr>
      <w:r>
        <w:rPr>
          <w:rFonts w:ascii="Times New Roman" w:hAnsi="Times New Roman" w:cs="Times New Roman"/>
        </w:rPr>
        <w:t xml:space="preserve">DEQ revised a citation </w:t>
      </w:r>
      <w:r w:rsidR="001A19F5" w:rsidRPr="00D11205">
        <w:rPr>
          <w:rFonts w:ascii="Times New Roman" w:hAnsi="Times New Roman" w:cs="Times New Roman"/>
        </w:rPr>
        <w:t>in</w:t>
      </w:r>
      <w:r>
        <w:rPr>
          <w:rFonts w:ascii="Times New Roman" w:hAnsi="Times New Roman" w:cs="Times New Roman"/>
        </w:rPr>
        <w:t xml:space="preserve"> section (1</w:t>
      </w:r>
      <w:r w:rsidR="001A19F5" w:rsidRPr="00D11205">
        <w:rPr>
          <w:rFonts w:ascii="Times New Roman" w:hAnsi="Times New Roman" w:cs="Times New Roman"/>
        </w:rPr>
        <w:t>0</w:t>
      </w:r>
      <w:r>
        <w:rPr>
          <w:rFonts w:ascii="Times New Roman" w:hAnsi="Times New Roman" w:cs="Times New Roman"/>
        </w:rPr>
        <w:t xml:space="preserve">) </w:t>
      </w:r>
      <w:r w:rsidR="001A19F5" w:rsidRPr="00D11205">
        <w:rPr>
          <w:rFonts w:ascii="Times New Roman" w:hAnsi="Times New Roman" w:cs="Times New Roman"/>
        </w:rPr>
        <w:t>due to</w:t>
      </w:r>
      <w:r w:rsidR="00A87D91" w:rsidRPr="00D11205">
        <w:rPr>
          <w:rFonts w:ascii="Times New Roman" w:hAnsi="Times New Roman" w:cs="Times New Roman"/>
        </w:rPr>
        <w:t xml:space="preserve"> a</w:t>
      </w:r>
      <w:r w:rsidR="001A19F5" w:rsidRPr="00D11205">
        <w:rPr>
          <w:rFonts w:ascii="Times New Roman" w:hAnsi="Times New Roman" w:cs="Times New Roman"/>
        </w:rPr>
        <w:t xml:space="preserve"> </w:t>
      </w:r>
      <w:r w:rsidR="00A87D91" w:rsidRPr="00D11205">
        <w:rPr>
          <w:rFonts w:ascii="Times New Roman" w:hAnsi="Times New Roman" w:cs="Times New Roman"/>
        </w:rPr>
        <w:t xml:space="preserve">numbering </w:t>
      </w:r>
      <w:r w:rsidR="001A19F5" w:rsidRPr="00D11205">
        <w:rPr>
          <w:rFonts w:ascii="Times New Roman" w:hAnsi="Times New Roman" w:cs="Times New Roman"/>
        </w:rPr>
        <w:t>revision in 340-041-0061(12)</w:t>
      </w:r>
      <w:r>
        <w:rPr>
          <w:rFonts w:ascii="Times New Roman" w:hAnsi="Times New Roman" w:cs="Times New Roman"/>
        </w:rPr>
        <w:t>.</w:t>
      </w:r>
    </w:p>
    <w:p w:rsidR="00A87D91" w:rsidRPr="00D11205" w:rsidRDefault="00A87D91" w:rsidP="00A87D91">
      <w:pPr>
        <w:pStyle w:val="Heading6"/>
        <w:rPr>
          <w:rFonts w:ascii="Times New Roman" w:hAnsi="Times New Roman"/>
          <w:b/>
          <w:i w:val="0"/>
          <w:color w:val="000000"/>
          <w:sz w:val="22"/>
          <w:szCs w:val="22"/>
        </w:rPr>
      </w:pPr>
      <w:r w:rsidRPr="00D11205">
        <w:rPr>
          <w:rFonts w:ascii="Times New Roman" w:hAnsi="Times New Roman"/>
          <w:b/>
          <w:i w:val="0"/>
          <w:color w:val="000000"/>
          <w:sz w:val="22"/>
          <w:szCs w:val="22"/>
        </w:rPr>
        <w:t>340-041-0007</w:t>
      </w:r>
    </w:p>
    <w:p w:rsidR="00A87D91" w:rsidRPr="00D11205" w:rsidRDefault="00A87D91" w:rsidP="00A87D91">
      <w:pPr>
        <w:rPr>
          <w:rFonts w:ascii="Times New Roman" w:hAnsi="Times New Roman" w:cs="Times New Roman"/>
          <w:b/>
        </w:rPr>
      </w:pPr>
      <w:r w:rsidRPr="00D11205">
        <w:rPr>
          <w:rFonts w:ascii="Times New Roman" w:hAnsi="Times New Roman" w:cs="Times New Roman"/>
          <w:b/>
          <w:color w:val="000000"/>
        </w:rPr>
        <w:t>Statewide Narrative Criteria</w:t>
      </w:r>
      <w:r w:rsidRPr="00D11205">
        <w:rPr>
          <w:rFonts w:ascii="Times New Roman" w:hAnsi="Times New Roman" w:cs="Times New Roman"/>
          <w:b/>
        </w:rPr>
        <w:t xml:space="preserve">  </w:t>
      </w:r>
    </w:p>
    <w:p w:rsidR="00A87D91" w:rsidRPr="00D11205" w:rsidRDefault="00A87D91" w:rsidP="00A87D91">
      <w:pPr>
        <w:rPr>
          <w:rFonts w:ascii="Times New Roman" w:hAnsi="Times New Roman" w:cs="Times New Roman"/>
        </w:rPr>
      </w:pPr>
      <w:r w:rsidRPr="00D11205">
        <w:rPr>
          <w:rFonts w:ascii="Times New Roman" w:hAnsi="Times New Roman" w:cs="Times New Roman"/>
        </w:rPr>
        <w:t>The revised rules explain how the mechanisms for forestry nonpoint sources work to meet water quality standards and the total maximum daily load (TMDL) load allocations under the Forest Practices Act.</w:t>
      </w:r>
    </w:p>
    <w:p w:rsidR="001A19F5" w:rsidRPr="00D11205" w:rsidRDefault="001A19F5" w:rsidP="005F34D6">
      <w:pPr>
        <w:spacing w:after="0"/>
        <w:rPr>
          <w:rFonts w:ascii="Times New Roman" w:hAnsi="Times New Roman" w:cs="Times New Roman"/>
          <w:b/>
          <w:iCs/>
          <w:color w:val="17365D" w:themeColor="text2" w:themeShade="BF"/>
        </w:rPr>
      </w:pPr>
      <w:r w:rsidRPr="00D11205">
        <w:rPr>
          <w:rFonts w:ascii="Times New Roman" w:hAnsi="Times New Roman" w:cs="Times New Roman"/>
          <w:b/>
          <w:bCs/>
        </w:rPr>
        <w:t xml:space="preserve">340-041-0033 </w:t>
      </w:r>
    </w:p>
    <w:p w:rsidR="001A19F5" w:rsidRPr="00D11205" w:rsidRDefault="001A19F5" w:rsidP="005F34D6">
      <w:pPr>
        <w:spacing w:after="0"/>
        <w:rPr>
          <w:rFonts w:ascii="Times New Roman" w:hAnsi="Times New Roman" w:cs="Times New Roman"/>
          <w:b/>
          <w:bCs/>
        </w:rPr>
      </w:pPr>
      <w:r w:rsidRPr="00D11205">
        <w:rPr>
          <w:rFonts w:ascii="Times New Roman" w:hAnsi="Times New Roman" w:cs="Times New Roman"/>
          <w:b/>
          <w:bCs/>
        </w:rPr>
        <w:t>Toxic Substances</w:t>
      </w:r>
    </w:p>
    <w:p w:rsidR="00C42272" w:rsidRPr="00D11205" w:rsidRDefault="00C42272" w:rsidP="00C42272">
      <w:pPr>
        <w:pStyle w:val="NormalWeb"/>
        <w:rPr>
          <w:iCs/>
          <w:sz w:val="22"/>
          <w:szCs w:val="22"/>
        </w:rPr>
      </w:pPr>
      <w:r w:rsidRPr="00D11205">
        <w:rPr>
          <w:iCs/>
          <w:sz w:val="22"/>
          <w:szCs w:val="22"/>
        </w:rPr>
        <w:t xml:space="preserve">DEQ reorganized provisions relating to the aquatic life criteria and the human health criteria as separate sections.  </w:t>
      </w:r>
      <w:r w:rsidRPr="00D11205">
        <w:rPr>
          <w:bCs/>
          <w:sz w:val="22"/>
          <w:szCs w:val="22"/>
        </w:rPr>
        <w:t>In addition, DEQ a</w:t>
      </w:r>
      <w:r w:rsidRPr="00D11205">
        <w:rPr>
          <w:iCs/>
          <w:sz w:val="22"/>
          <w:szCs w:val="22"/>
        </w:rPr>
        <w:t xml:space="preserve">dded a new section (1) specifying that the </w:t>
      </w:r>
      <w:r w:rsidR="007A0FE5">
        <w:rPr>
          <w:iCs/>
          <w:sz w:val="22"/>
          <w:szCs w:val="22"/>
        </w:rPr>
        <w:t xml:space="preserve">revised </w:t>
      </w:r>
      <w:r w:rsidRPr="00D11205">
        <w:rPr>
          <w:iCs/>
          <w:sz w:val="22"/>
          <w:szCs w:val="22"/>
        </w:rPr>
        <w:t xml:space="preserve">human health criteria </w:t>
      </w:r>
      <w:r w:rsidR="007A0FE5">
        <w:rPr>
          <w:iCs/>
          <w:sz w:val="22"/>
          <w:szCs w:val="22"/>
        </w:rPr>
        <w:t>for toxic pollutants</w:t>
      </w:r>
      <w:r w:rsidRPr="00D11205">
        <w:rPr>
          <w:iCs/>
          <w:sz w:val="22"/>
          <w:szCs w:val="22"/>
        </w:rPr>
        <w:t xml:space="preserve"> are not applicable for purposes of the Clean Water Act until they are approved by EPA. This section also applies to the revised iron, manganese, and arsenic criteria the commission adopted in December 2010 and April 2011, respectively.  Consequently, DEQ removed the specific </w:t>
      </w:r>
      <w:r w:rsidR="00550F0B">
        <w:rPr>
          <w:iCs/>
          <w:sz w:val="22"/>
          <w:szCs w:val="22"/>
        </w:rPr>
        <w:t>statement regarding the applicability of</w:t>
      </w:r>
      <w:r w:rsidRPr="00D11205">
        <w:rPr>
          <w:iCs/>
          <w:sz w:val="22"/>
          <w:szCs w:val="22"/>
        </w:rPr>
        <w:t xml:space="preserve"> the </w:t>
      </w:r>
      <w:r w:rsidR="00550F0B">
        <w:rPr>
          <w:iCs/>
          <w:sz w:val="22"/>
          <w:szCs w:val="22"/>
        </w:rPr>
        <w:t xml:space="preserve">revised </w:t>
      </w:r>
      <w:r w:rsidRPr="00D11205">
        <w:rPr>
          <w:iCs/>
          <w:sz w:val="22"/>
          <w:szCs w:val="22"/>
        </w:rPr>
        <w:t>arsenic criteria</w:t>
      </w:r>
      <w:r w:rsidR="00A87D91" w:rsidRPr="00D11205">
        <w:rPr>
          <w:iCs/>
          <w:sz w:val="22"/>
          <w:szCs w:val="22"/>
        </w:rPr>
        <w:t xml:space="preserve">, since it </w:t>
      </w:r>
      <w:r w:rsidR="00550F0B">
        <w:rPr>
          <w:iCs/>
          <w:sz w:val="22"/>
          <w:szCs w:val="22"/>
        </w:rPr>
        <w:t>is</w:t>
      </w:r>
      <w:r w:rsidR="00A87D91" w:rsidRPr="00D11205">
        <w:rPr>
          <w:iCs/>
          <w:sz w:val="22"/>
          <w:szCs w:val="22"/>
        </w:rPr>
        <w:t xml:space="preserve"> no longer needed.</w:t>
      </w:r>
    </w:p>
    <w:p w:rsidR="00C42272" w:rsidRPr="00D11205" w:rsidRDefault="00C42272" w:rsidP="00C42272">
      <w:pPr>
        <w:pStyle w:val="NormalWeb"/>
        <w:rPr>
          <w:iCs/>
          <w:sz w:val="22"/>
          <w:szCs w:val="22"/>
        </w:rPr>
      </w:pPr>
      <w:r w:rsidRPr="00D11205">
        <w:rPr>
          <w:iCs/>
          <w:sz w:val="22"/>
          <w:szCs w:val="22"/>
        </w:rPr>
        <w:t xml:space="preserve">The provisions addressing background pollutants (now termed “Site-Specific Background Pollutant Criteria”) remain in OAR 340-041-0033(6). These revisions are discussed in the </w:t>
      </w:r>
      <w:r w:rsidRPr="00D11205">
        <w:rPr>
          <w:i/>
          <w:iCs/>
          <w:sz w:val="22"/>
          <w:szCs w:val="22"/>
        </w:rPr>
        <w:t>Implementing Water Quality Standards in NPDES Permits</w:t>
      </w:r>
      <w:r w:rsidR="00A87D91" w:rsidRPr="00D11205">
        <w:rPr>
          <w:iCs/>
          <w:sz w:val="22"/>
          <w:szCs w:val="22"/>
        </w:rPr>
        <w:t xml:space="preserve"> issue paper.</w:t>
      </w:r>
      <w:r w:rsidRPr="00D11205">
        <w:rPr>
          <w:iCs/>
          <w:sz w:val="22"/>
          <w:szCs w:val="22"/>
        </w:rPr>
        <w:t xml:space="preserve"> </w:t>
      </w:r>
    </w:p>
    <w:p w:rsidR="00C42272" w:rsidRPr="00D11205" w:rsidRDefault="00C42272" w:rsidP="00C42272">
      <w:pPr>
        <w:pStyle w:val="NormalWeb"/>
        <w:rPr>
          <w:bCs/>
          <w:sz w:val="22"/>
          <w:szCs w:val="22"/>
        </w:rPr>
      </w:pPr>
      <w:r w:rsidRPr="00D11205">
        <w:rPr>
          <w:bCs/>
          <w:sz w:val="22"/>
          <w:szCs w:val="22"/>
        </w:rPr>
        <w:t xml:space="preserve">In April 2011, </w:t>
      </w:r>
      <w:r w:rsidR="007A0FE5">
        <w:rPr>
          <w:bCs/>
          <w:sz w:val="22"/>
          <w:szCs w:val="22"/>
        </w:rPr>
        <w:t>the commission</w:t>
      </w:r>
      <w:r w:rsidRPr="00D11205">
        <w:rPr>
          <w:bCs/>
          <w:sz w:val="22"/>
          <w:szCs w:val="22"/>
        </w:rPr>
        <w:t xml:space="preserve"> also adopted the arsenic reduction policy as OAR</w:t>
      </w:r>
      <w:r w:rsidRPr="00D11205">
        <w:rPr>
          <w:iCs/>
          <w:sz w:val="22"/>
          <w:szCs w:val="22"/>
        </w:rPr>
        <w:t xml:space="preserve"> 340-041-0033(3). To accommodate revisions associated with this rulemaking, DEQ reorganized the rule to move the arsenic reduction policy section further back in this rule to OAR 340-041-0033(7), but did not revise any of the rule as adopted by the commission</w:t>
      </w:r>
      <w:r w:rsidRPr="00D11205">
        <w:rPr>
          <w:bCs/>
          <w:sz w:val="22"/>
          <w:szCs w:val="22"/>
        </w:rPr>
        <w:t xml:space="preserve">. </w:t>
      </w:r>
    </w:p>
    <w:p w:rsidR="005F34D6" w:rsidRDefault="005F34D6" w:rsidP="005F34D6">
      <w:pPr>
        <w:spacing w:after="0"/>
        <w:rPr>
          <w:rFonts w:ascii="Times New Roman" w:hAnsi="Times New Roman" w:cs="Times New Roman"/>
          <w:b/>
          <w:bCs/>
        </w:rPr>
      </w:pPr>
    </w:p>
    <w:p w:rsidR="005F34D6" w:rsidRDefault="00A87D91" w:rsidP="005F34D6">
      <w:pPr>
        <w:spacing w:after="0"/>
        <w:rPr>
          <w:rFonts w:ascii="Times New Roman" w:hAnsi="Times New Roman" w:cs="Times New Roman"/>
          <w:b/>
          <w:bCs/>
        </w:rPr>
      </w:pPr>
      <w:r w:rsidRPr="00D11205">
        <w:rPr>
          <w:rFonts w:ascii="Times New Roman" w:hAnsi="Times New Roman" w:cs="Times New Roman"/>
          <w:b/>
          <w:bCs/>
        </w:rPr>
        <w:lastRenderedPageBreak/>
        <w:t xml:space="preserve">OAR 340-041-0059 </w:t>
      </w:r>
    </w:p>
    <w:p w:rsidR="00A87D91" w:rsidRPr="005F34D6" w:rsidRDefault="00A87D91" w:rsidP="005F34D6">
      <w:pPr>
        <w:spacing w:after="0"/>
        <w:rPr>
          <w:rFonts w:ascii="Times New Roman" w:eastAsia="Times New Roman" w:hAnsi="Times New Roman" w:cs="Times New Roman"/>
          <w:b/>
          <w:bCs/>
        </w:rPr>
      </w:pPr>
      <w:r w:rsidRPr="005F34D6">
        <w:rPr>
          <w:rFonts w:ascii="Times New Roman" w:hAnsi="Times New Roman" w:cs="Times New Roman"/>
          <w:b/>
          <w:bCs/>
        </w:rPr>
        <w:t xml:space="preserve">Variances </w:t>
      </w:r>
    </w:p>
    <w:p w:rsidR="00A87D91" w:rsidRPr="00D11205" w:rsidRDefault="00A87D91" w:rsidP="005F34D6">
      <w:pPr>
        <w:pStyle w:val="NormalWeb"/>
        <w:spacing w:after="0" w:afterAutospacing="0"/>
        <w:rPr>
          <w:bCs/>
          <w:sz w:val="22"/>
          <w:szCs w:val="22"/>
        </w:rPr>
      </w:pPr>
      <w:r w:rsidRPr="00D11205">
        <w:rPr>
          <w:bCs/>
          <w:sz w:val="22"/>
          <w:szCs w:val="22"/>
        </w:rPr>
        <w:t xml:space="preserve">DEQ deleted the currently effective variance rule in </w:t>
      </w:r>
      <w:r w:rsidR="00886B30" w:rsidRPr="00D11205">
        <w:rPr>
          <w:bCs/>
          <w:sz w:val="22"/>
          <w:szCs w:val="22"/>
        </w:rPr>
        <w:t>340-041-0061and proposed a revised variance rule in 340-041-0059.</w:t>
      </w:r>
    </w:p>
    <w:p w:rsidR="005F34D6" w:rsidRDefault="005F34D6" w:rsidP="005F34D6">
      <w:pPr>
        <w:spacing w:after="0"/>
        <w:rPr>
          <w:rFonts w:ascii="Times New Roman" w:eastAsia="Times New Roman" w:hAnsi="Times New Roman" w:cs="Times New Roman"/>
          <w:bCs/>
        </w:rPr>
      </w:pPr>
    </w:p>
    <w:p w:rsidR="005F34D6" w:rsidRPr="005F34D6" w:rsidRDefault="00886B30" w:rsidP="005F34D6">
      <w:pPr>
        <w:spacing w:after="0"/>
        <w:rPr>
          <w:rFonts w:ascii="Times New Roman" w:hAnsi="Times New Roman" w:cs="Times New Roman"/>
          <w:b/>
          <w:bCs/>
        </w:rPr>
      </w:pPr>
      <w:r w:rsidRPr="005F34D6">
        <w:rPr>
          <w:rFonts w:ascii="Times New Roman" w:hAnsi="Times New Roman" w:cs="Times New Roman"/>
          <w:b/>
          <w:bCs/>
        </w:rPr>
        <w:t xml:space="preserve">340-041-0061 </w:t>
      </w:r>
    </w:p>
    <w:p w:rsidR="00886B30" w:rsidRPr="005F34D6" w:rsidRDefault="00886B30" w:rsidP="005F34D6">
      <w:pPr>
        <w:spacing w:after="0"/>
        <w:rPr>
          <w:rFonts w:ascii="Times New Roman" w:eastAsia="Times New Roman" w:hAnsi="Times New Roman" w:cs="Times New Roman"/>
          <w:b/>
          <w:bCs/>
        </w:rPr>
      </w:pPr>
      <w:r w:rsidRPr="005F34D6">
        <w:rPr>
          <w:rFonts w:ascii="Times New Roman" w:hAnsi="Times New Roman" w:cs="Times New Roman"/>
          <w:b/>
          <w:bCs/>
        </w:rPr>
        <w:t xml:space="preserve">Other Implementation of Water Quality Criteria </w:t>
      </w:r>
    </w:p>
    <w:p w:rsidR="00886B30" w:rsidRPr="00D11205" w:rsidRDefault="00886B30" w:rsidP="005F34D6">
      <w:pPr>
        <w:pStyle w:val="NormalWeb"/>
        <w:spacing w:after="0" w:afterAutospacing="0"/>
        <w:rPr>
          <w:bCs/>
          <w:sz w:val="22"/>
          <w:szCs w:val="22"/>
        </w:rPr>
      </w:pPr>
      <w:r w:rsidRPr="00D11205">
        <w:rPr>
          <w:bCs/>
          <w:sz w:val="22"/>
          <w:szCs w:val="22"/>
        </w:rPr>
        <w:t>DEQ deleted the currently effective variance rule at section (2) in 340-041-0061and renumbered the rest of this rule.</w:t>
      </w:r>
    </w:p>
    <w:p w:rsidR="005F34D6" w:rsidRDefault="005F34D6" w:rsidP="00886B30">
      <w:pPr>
        <w:pStyle w:val="CommentText"/>
        <w:rPr>
          <w:bCs/>
          <w:sz w:val="22"/>
          <w:szCs w:val="22"/>
        </w:rPr>
      </w:pPr>
    </w:p>
    <w:p w:rsidR="00886B30" w:rsidRPr="00D11205" w:rsidRDefault="00886B30" w:rsidP="00886B30">
      <w:pPr>
        <w:pStyle w:val="CommentText"/>
        <w:rPr>
          <w:sz w:val="22"/>
          <w:szCs w:val="22"/>
        </w:rPr>
      </w:pPr>
      <w:r w:rsidRPr="00D11205">
        <w:rPr>
          <w:bCs/>
          <w:sz w:val="22"/>
          <w:szCs w:val="22"/>
        </w:rPr>
        <w:t xml:space="preserve">DEQ fixed a typo a reviewer discovered in </w:t>
      </w:r>
      <w:r w:rsidR="00681533">
        <w:rPr>
          <w:bCs/>
          <w:sz w:val="22"/>
          <w:szCs w:val="22"/>
        </w:rPr>
        <w:t xml:space="preserve">section </w:t>
      </w:r>
      <w:r w:rsidR="00681533" w:rsidRPr="00D11205">
        <w:rPr>
          <w:bCs/>
          <w:sz w:val="22"/>
          <w:szCs w:val="22"/>
        </w:rPr>
        <w:t>(9</w:t>
      </w:r>
      <w:proofErr w:type="gramStart"/>
      <w:r w:rsidR="00681533" w:rsidRPr="00D11205">
        <w:rPr>
          <w:bCs/>
          <w:sz w:val="22"/>
          <w:szCs w:val="22"/>
        </w:rPr>
        <w:t>)(</w:t>
      </w:r>
      <w:proofErr w:type="gramEnd"/>
      <w:r w:rsidR="00681533" w:rsidRPr="00D11205">
        <w:rPr>
          <w:bCs/>
          <w:sz w:val="22"/>
          <w:szCs w:val="22"/>
        </w:rPr>
        <w:t>a)(E)</w:t>
      </w:r>
      <w:r w:rsidR="00681533">
        <w:rPr>
          <w:bCs/>
          <w:sz w:val="22"/>
          <w:szCs w:val="22"/>
        </w:rPr>
        <w:t xml:space="preserve"> cross-referencing the </w:t>
      </w:r>
      <w:proofErr w:type="spellStart"/>
      <w:r w:rsidR="00681533">
        <w:rPr>
          <w:bCs/>
          <w:sz w:val="22"/>
          <w:szCs w:val="22"/>
        </w:rPr>
        <w:t>antidegradation</w:t>
      </w:r>
      <w:proofErr w:type="spellEnd"/>
      <w:r w:rsidR="00681533">
        <w:rPr>
          <w:bCs/>
          <w:sz w:val="22"/>
          <w:szCs w:val="22"/>
        </w:rPr>
        <w:t xml:space="preserve"> policy</w:t>
      </w:r>
      <w:r w:rsidRPr="00D11205">
        <w:rPr>
          <w:bCs/>
          <w:sz w:val="22"/>
          <w:szCs w:val="22"/>
        </w:rPr>
        <w:t xml:space="preserve">.   </w:t>
      </w:r>
      <w:r w:rsidRPr="00D11205">
        <w:rPr>
          <w:sz w:val="22"/>
          <w:szCs w:val="22"/>
        </w:rPr>
        <w:t xml:space="preserve">The cross reference should be </w:t>
      </w:r>
      <w:r w:rsidR="00681533">
        <w:rPr>
          <w:sz w:val="22"/>
          <w:szCs w:val="22"/>
        </w:rPr>
        <w:t>to 340-041-0004</w:t>
      </w:r>
      <w:r w:rsidRPr="00D11205">
        <w:rPr>
          <w:sz w:val="22"/>
          <w:szCs w:val="22"/>
        </w:rPr>
        <w:t>(9)</w:t>
      </w:r>
      <w:r w:rsidR="00681533">
        <w:rPr>
          <w:sz w:val="22"/>
          <w:szCs w:val="22"/>
        </w:rPr>
        <w:t>, addressing exceptions</w:t>
      </w:r>
      <w:r w:rsidR="00550F0B">
        <w:rPr>
          <w:sz w:val="22"/>
          <w:szCs w:val="22"/>
        </w:rPr>
        <w:t xml:space="preserve"> to the rule</w:t>
      </w:r>
      <w:r w:rsidR="00681533">
        <w:rPr>
          <w:sz w:val="22"/>
          <w:szCs w:val="22"/>
        </w:rPr>
        <w:t>,</w:t>
      </w:r>
      <w:r w:rsidR="00681533" w:rsidRPr="00D11205">
        <w:rPr>
          <w:sz w:val="22"/>
          <w:szCs w:val="22"/>
        </w:rPr>
        <w:t xml:space="preserve"> </w:t>
      </w:r>
      <w:r w:rsidRPr="00D11205">
        <w:rPr>
          <w:sz w:val="22"/>
          <w:szCs w:val="22"/>
        </w:rPr>
        <w:t xml:space="preserve">not </w:t>
      </w:r>
      <w:r w:rsidR="00681533">
        <w:rPr>
          <w:sz w:val="22"/>
          <w:szCs w:val="22"/>
        </w:rPr>
        <w:t>340-041-0004</w:t>
      </w:r>
      <w:r w:rsidRPr="00D11205">
        <w:rPr>
          <w:sz w:val="22"/>
          <w:szCs w:val="22"/>
        </w:rPr>
        <w:t>(7)</w:t>
      </w:r>
      <w:r w:rsidR="00681533">
        <w:rPr>
          <w:sz w:val="22"/>
          <w:szCs w:val="22"/>
        </w:rPr>
        <w:t xml:space="preserve">, </w:t>
      </w:r>
      <w:r w:rsidR="00681533" w:rsidRPr="00D11205">
        <w:rPr>
          <w:sz w:val="22"/>
          <w:szCs w:val="22"/>
        </w:rPr>
        <w:t>the water quality limited waters policy</w:t>
      </w:r>
      <w:r w:rsidR="00681533">
        <w:rPr>
          <w:sz w:val="22"/>
          <w:szCs w:val="22"/>
        </w:rPr>
        <w:t>, as currently written.</w:t>
      </w:r>
    </w:p>
    <w:p w:rsidR="00886B30" w:rsidRPr="00D11205" w:rsidRDefault="00886B30" w:rsidP="00886B30">
      <w:pPr>
        <w:pStyle w:val="CommentText"/>
        <w:rPr>
          <w:sz w:val="22"/>
          <w:szCs w:val="22"/>
        </w:rPr>
      </w:pPr>
    </w:p>
    <w:p w:rsidR="00886B30" w:rsidRPr="00D11205" w:rsidRDefault="00705A99" w:rsidP="00886B30">
      <w:pPr>
        <w:pStyle w:val="CommentText"/>
        <w:rPr>
          <w:sz w:val="22"/>
          <w:szCs w:val="22"/>
        </w:rPr>
      </w:pPr>
      <w:r w:rsidRPr="00D11205">
        <w:rPr>
          <w:sz w:val="22"/>
          <w:szCs w:val="22"/>
        </w:rPr>
        <w:t xml:space="preserve">DEQ also revised rules </w:t>
      </w:r>
      <w:r w:rsidR="00681533">
        <w:rPr>
          <w:sz w:val="22"/>
          <w:szCs w:val="22"/>
        </w:rPr>
        <w:t xml:space="preserve">in </w:t>
      </w:r>
      <w:r w:rsidR="00550F0B">
        <w:rPr>
          <w:sz w:val="22"/>
          <w:szCs w:val="22"/>
        </w:rPr>
        <w:t xml:space="preserve">renumbered </w:t>
      </w:r>
      <w:r w:rsidR="00681533">
        <w:rPr>
          <w:sz w:val="22"/>
          <w:szCs w:val="22"/>
        </w:rPr>
        <w:t>sections (</w:t>
      </w:r>
      <w:r w:rsidR="00550F0B">
        <w:rPr>
          <w:sz w:val="22"/>
          <w:szCs w:val="22"/>
        </w:rPr>
        <w:t>10) and (11</w:t>
      </w:r>
      <w:r w:rsidR="00681533">
        <w:rPr>
          <w:sz w:val="22"/>
          <w:szCs w:val="22"/>
        </w:rPr>
        <w:t xml:space="preserve">) </w:t>
      </w:r>
      <w:r w:rsidRPr="00D11205">
        <w:rPr>
          <w:sz w:val="22"/>
          <w:szCs w:val="22"/>
        </w:rPr>
        <w:t>explaining how the mechanisms for forestry and agricultural nonpoint sources work to meet water quality standards and the total maximum daily load (TMDL) load allocations under the Forest Practices Act and Agriculture Water Quality Management Act.</w:t>
      </w:r>
    </w:p>
    <w:p w:rsidR="00705A99" w:rsidRPr="00D11205" w:rsidRDefault="00705A99" w:rsidP="00886B30">
      <w:pPr>
        <w:pStyle w:val="CommentText"/>
        <w:rPr>
          <w:sz w:val="22"/>
          <w:szCs w:val="22"/>
        </w:rPr>
      </w:pPr>
    </w:p>
    <w:p w:rsidR="00705A99" w:rsidRPr="00D11205" w:rsidRDefault="00705A99" w:rsidP="00886B30">
      <w:pPr>
        <w:pStyle w:val="CommentText"/>
        <w:rPr>
          <w:sz w:val="22"/>
          <w:szCs w:val="22"/>
        </w:rPr>
      </w:pPr>
    </w:p>
    <w:p w:rsidR="005F34D6" w:rsidRDefault="00705A99" w:rsidP="005F34D6">
      <w:pPr>
        <w:pStyle w:val="NormalWeb"/>
        <w:spacing w:before="0" w:beforeAutospacing="0" w:after="0" w:afterAutospacing="0"/>
        <w:rPr>
          <w:b/>
          <w:sz w:val="22"/>
          <w:szCs w:val="22"/>
        </w:rPr>
      </w:pPr>
      <w:r w:rsidRPr="00D11205">
        <w:rPr>
          <w:b/>
          <w:bCs/>
          <w:sz w:val="22"/>
          <w:szCs w:val="22"/>
        </w:rPr>
        <w:t>340-042-0040</w:t>
      </w:r>
      <w:r w:rsidRPr="00D11205">
        <w:rPr>
          <w:b/>
          <w:sz w:val="22"/>
          <w:szCs w:val="22"/>
        </w:rPr>
        <w:t xml:space="preserve">  </w:t>
      </w:r>
    </w:p>
    <w:p w:rsidR="00705A99" w:rsidRPr="00D11205" w:rsidRDefault="00705A99" w:rsidP="005F34D6">
      <w:pPr>
        <w:pStyle w:val="NormalWeb"/>
        <w:spacing w:before="0" w:beforeAutospacing="0" w:after="0" w:afterAutospacing="0"/>
        <w:rPr>
          <w:b/>
          <w:sz w:val="22"/>
          <w:szCs w:val="22"/>
        </w:rPr>
      </w:pPr>
      <w:r w:rsidRPr="00D11205">
        <w:rPr>
          <w:b/>
          <w:bCs/>
          <w:sz w:val="22"/>
          <w:szCs w:val="22"/>
        </w:rPr>
        <w:t>Establishing Total Maximum Daily Loads (TMDLs)</w:t>
      </w:r>
      <w:r w:rsidRPr="00D11205">
        <w:rPr>
          <w:b/>
          <w:sz w:val="22"/>
          <w:szCs w:val="22"/>
        </w:rPr>
        <w:t xml:space="preserve"> </w:t>
      </w:r>
    </w:p>
    <w:p w:rsidR="005F34D6" w:rsidRDefault="005F34D6" w:rsidP="005F34D6">
      <w:pPr>
        <w:spacing w:after="0" w:line="240" w:lineRule="auto"/>
        <w:rPr>
          <w:rFonts w:ascii="Times New Roman" w:hAnsi="Times New Roman" w:cs="Times New Roman"/>
        </w:rPr>
      </w:pPr>
    </w:p>
    <w:p w:rsidR="00705A99" w:rsidRPr="00D11205" w:rsidRDefault="00705A99" w:rsidP="005F34D6">
      <w:pPr>
        <w:spacing w:after="0" w:line="240" w:lineRule="auto"/>
        <w:rPr>
          <w:rFonts w:ascii="Times New Roman" w:hAnsi="Times New Roman" w:cs="Times New Roman"/>
        </w:rPr>
      </w:pPr>
      <w:r w:rsidRPr="00D11205">
        <w:rPr>
          <w:rFonts w:ascii="Times New Roman" w:hAnsi="Times New Roman" w:cs="Times New Roman"/>
        </w:rPr>
        <w:t xml:space="preserve">DEQ revised </w:t>
      </w:r>
      <w:r w:rsidR="00550F0B">
        <w:rPr>
          <w:rFonts w:ascii="Times New Roman" w:hAnsi="Times New Roman" w:cs="Times New Roman"/>
        </w:rPr>
        <w:t>subsection (2</w:t>
      </w:r>
      <w:proofErr w:type="gramStart"/>
      <w:r w:rsidR="00550F0B">
        <w:rPr>
          <w:rFonts w:ascii="Times New Roman" w:hAnsi="Times New Roman" w:cs="Times New Roman"/>
        </w:rPr>
        <w:t>)(</w:t>
      </w:r>
      <w:proofErr w:type="gramEnd"/>
      <w:r w:rsidR="00550F0B">
        <w:rPr>
          <w:rFonts w:ascii="Times New Roman" w:hAnsi="Times New Roman" w:cs="Times New Roman"/>
        </w:rPr>
        <w:t>h)</w:t>
      </w:r>
      <w:r w:rsidRPr="00D11205">
        <w:rPr>
          <w:rFonts w:ascii="Times New Roman" w:hAnsi="Times New Roman" w:cs="Times New Roman"/>
        </w:rPr>
        <w:t xml:space="preserve"> clarifying how air or land sources are treated in the development of TMDLs.</w:t>
      </w:r>
    </w:p>
    <w:p w:rsidR="00705A99" w:rsidRPr="00D11205" w:rsidRDefault="00705A99" w:rsidP="00705A99">
      <w:pPr>
        <w:spacing w:after="0" w:line="240" w:lineRule="auto"/>
        <w:rPr>
          <w:rFonts w:ascii="Times New Roman" w:hAnsi="Times New Roman" w:cs="Times New Roman"/>
        </w:rPr>
      </w:pPr>
    </w:p>
    <w:p w:rsidR="00705A99" w:rsidRPr="00D11205" w:rsidRDefault="00705A99" w:rsidP="00705A99">
      <w:pPr>
        <w:spacing w:after="0" w:line="240" w:lineRule="auto"/>
        <w:rPr>
          <w:rFonts w:ascii="Times New Roman" w:hAnsi="Times New Roman" w:cs="Times New Roman"/>
        </w:rPr>
      </w:pPr>
    </w:p>
    <w:p w:rsidR="005F34D6" w:rsidRPr="005F34D6" w:rsidRDefault="00705A99" w:rsidP="005F34D6">
      <w:pPr>
        <w:spacing w:after="0"/>
        <w:rPr>
          <w:rFonts w:ascii="Times New Roman" w:hAnsi="Times New Roman" w:cs="Times New Roman"/>
        </w:rPr>
      </w:pPr>
      <w:r w:rsidRPr="005F34D6">
        <w:rPr>
          <w:rFonts w:ascii="Times New Roman" w:hAnsi="Times New Roman" w:cs="Times New Roman"/>
          <w:b/>
          <w:bCs/>
        </w:rPr>
        <w:t>340-042-0080</w:t>
      </w:r>
      <w:r w:rsidRPr="005F34D6">
        <w:rPr>
          <w:rFonts w:ascii="Times New Roman" w:hAnsi="Times New Roman" w:cs="Times New Roman"/>
        </w:rPr>
        <w:t xml:space="preserve"> </w:t>
      </w:r>
    </w:p>
    <w:p w:rsidR="00705A99" w:rsidRDefault="00705A99" w:rsidP="005F34D6">
      <w:pPr>
        <w:spacing w:after="0"/>
        <w:rPr>
          <w:rFonts w:ascii="Times New Roman" w:hAnsi="Times New Roman" w:cs="Times New Roman"/>
          <w:b/>
          <w:bCs/>
        </w:rPr>
      </w:pPr>
      <w:r w:rsidRPr="005F34D6">
        <w:rPr>
          <w:rFonts w:ascii="Times New Roman" w:hAnsi="Times New Roman" w:cs="Times New Roman"/>
          <w:b/>
          <w:bCs/>
        </w:rPr>
        <w:t xml:space="preserve">Implementing a Total Maximum Daily Load </w:t>
      </w:r>
    </w:p>
    <w:p w:rsidR="005F34D6" w:rsidRPr="005F34D6" w:rsidRDefault="005F34D6" w:rsidP="005F34D6">
      <w:pPr>
        <w:spacing w:after="0"/>
        <w:rPr>
          <w:rFonts w:ascii="Times New Roman" w:eastAsia="Times New Roman" w:hAnsi="Times New Roman" w:cs="Times New Roman"/>
          <w:b/>
          <w:bCs/>
        </w:rPr>
      </w:pPr>
    </w:p>
    <w:p w:rsidR="00D11205" w:rsidRPr="00D11205" w:rsidRDefault="00D11205" w:rsidP="005F34D6">
      <w:pPr>
        <w:spacing w:after="0" w:line="240" w:lineRule="auto"/>
        <w:rPr>
          <w:rFonts w:ascii="Times New Roman" w:hAnsi="Times New Roman" w:cs="Times New Roman"/>
        </w:rPr>
      </w:pPr>
      <w:r w:rsidRPr="00D11205">
        <w:rPr>
          <w:rFonts w:ascii="Times New Roman" w:hAnsi="Times New Roman" w:cs="Times New Roman"/>
        </w:rPr>
        <w:t xml:space="preserve">DEQ revised </w:t>
      </w:r>
      <w:r w:rsidR="00550F0B">
        <w:rPr>
          <w:rFonts w:ascii="Times New Roman" w:hAnsi="Times New Roman" w:cs="Times New Roman"/>
        </w:rPr>
        <w:t xml:space="preserve">sections (2) and (3) </w:t>
      </w:r>
      <w:r w:rsidRPr="00D11205">
        <w:rPr>
          <w:rFonts w:ascii="Times New Roman" w:hAnsi="Times New Roman" w:cs="Times New Roman"/>
        </w:rPr>
        <w:t xml:space="preserve">clarifying how air or land sources are treated in the development of TMDLs and TMDL load allocations for forest and agriculture. </w:t>
      </w:r>
    </w:p>
    <w:p w:rsidR="00D11205" w:rsidRPr="00D11205" w:rsidRDefault="00D11205" w:rsidP="00D11205">
      <w:pPr>
        <w:spacing w:after="0" w:line="240" w:lineRule="auto"/>
        <w:rPr>
          <w:rFonts w:ascii="Times New Roman" w:hAnsi="Times New Roman" w:cs="Times New Roman"/>
        </w:rPr>
      </w:pPr>
    </w:p>
    <w:p w:rsidR="005F34D6" w:rsidRDefault="00D11205" w:rsidP="005F34D6">
      <w:pPr>
        <w:spacing w:after="0"/>
        <w:rPr>
          <w:rFonts w:ascii="Times New Roman" w:hAnsi="Times New Roman" w:cs="Times New Roman"/>
          <w:b/>
          <w:bCs/>
        </w:rPr>
      </w:pPr>
      <w:r w:rsidRPr="00D11205">
        <w:rPr>
          <w:rFonts w:ascii="Times New Roman" w:hAnsi="Times New Roman" w:cs="Times New Roman"/>
          <w:b/>
          <w:bCs/>
        </w:rPr>
        <w:t>OAR 340-045-0105</w:t>
      </w:r>
    </w:p>
    <w:p w:rsidR="00D11205" w:rsidRPr="00D11205" w:rsidRDefault="00D11205" w:rsidP="005F34D6">
      <w:pPr>
        <w:spacing w:after="0"/>
        <w:rPr>
          <w:rFonts w:ascii="Times New Roman" w:hAnsi="Times New Roman" w:cs="Times New Roman"/>
          <w:b/>
          <w:bCs/>
        </w:rPr>
      </w:pPr>
      <w:r w:rsidRPr="00D11205">
        <w:rPr>
          <w:rFonts w:ascii="Times New Roman" w:hAnsi="Times New Roman" w:cs="Times New Roman"/>
          <w:b/>
          <w:bCs/>
        </w:rPr>
        <w:t>Intake Credits</w:t>
      </w:r>
    </w:p>
    <w:p w:rsidR="005F34D6" w:rsidRDefault="005F34D6" w:rsidP="005F34D6">
      <w:pPr>
        <w:spacing w:after="0"/>
        <w:rPr>
          <w:rFonts w:ascii="Times New Roman" w:hAnsi="Times New Roman" w:cs="Times New Roman"/>
          <w:bCs/>
        </w:rPr>
      </w:pPr>
    </w:p>
    <w:p w:rsidR="00D056B7" w:rsidRPr="005F34D6" w:rsidRDefault="00D11205" w:rsidP="005F34D6">
      <w:pPr>
        <w:spacing w:after="0"/>
        <w:rPr>
          <w:rFonts w:ascii="Times New Roman" w:hAnsi="Times New Roman" w:cs="Times New Roman"/>
          <w:bCs/>
        </w:rPr>
      </w:pPr>
      <w:r w:rsidRPr="00D11205">
        <w:rPr>
          <w:rFonts w:ascii="Times New Roman" w:hAnsi="Times New Roman" w:cs="Times New Roman"/>
          <w:bCs/>
        </w:rPr>
        <w:t xml:space="preserve">DEQ is proposing a new Intake Credit permitting </w:t>
      </w:r>
      <w:r w:rsidR="00550F0B">
        <w:rPr>
          <w:rFonts w:ascii="Times New Roman" w:hAnsi="Times New Roman" w:cs="Times New Roman"/>
          <w:bCs/>
        </w:rPr>
        <w:t>rule</w:t>
      </w:r>
      <w:r w:rsidRPr="00D11205">
        <w:rPr>
          <w:rFonts w:ascii="Times New Roman" w:hAnsi="Times New Roman" w:cs="Times New Roman"/>
          <w:bCs/>
        </w:rPr>
        <w:t xml:space="preserve">. </w:t>
      </w:r>
    </w:p>
    <w:sectPr w:rsidR="00D056B7" w:rsidRPr="005F34D6" w:rsidSect="008E2BC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05" w:rsidRDefault="00D11205" w:rsidP="00D11205">
      <w:pPr>
        <w:spacing w:after="0" w:line="240" w:lineRule="auto"/>
      </w:pPr>
      <w:r>
        <w:separator/>
      </w:r>
    </w:p>
  </w:endnote>
  <w:endnote w:type="continuationSeparator" w:id="0">
    <w:p w:rsidR="00D11205" w:rsidRDefault="00D11205" w:rsidP="00D11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05" w:rsidRDefault="00D11205" w:rsidP="00D11205">
      <w:pPr>
        <w:spacing w:after="0" w:line="240" w:lineRule="auto"/>
      </w:pPr>
      <w:r>
        <w:separator/>
      </w:r>
    </w:p>
  </w:footnote>
  <w:footnote w:type="continuationSeparator" w:id="0">
    <w:p w:rsidR="00D11205" w:rsidRDefault="00D11205" w:rsidP="00D11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05" w:rsidRPr="0092224C" w:rsidRDefault="00D11205" w:rsidP="00D11205">
    <w:pPr>
      <w:pStyle w:val="Header"/>
      <w:rPr>
        <w:rFonts w:ascii="Times New Roman" w:hAnsi="Times New Roman"/>
      </w:rPr>
    </w:pPr>
    <w:r w:rsidRPr="0092224C">
      <w:rPr>
        <w:rFonts w:ascii="Times New Roman" w:hAnsi="Times New Roman"/>
      </w:rPr>
      <w:t>Attachment XXX</w:t>
    </w:r>
  </w:p>
  <w:p w:rsidR="00D11205" w:rsidRPr="0092224C" w:rsidRDefault="00D11205" w:rsidP="00D11205">
    <w:pPr>
      <w:pStyle w:val="Header"/>
      <w:rPr>
        <w:rFonts w:ascii="Times New Roman" w:hAnsi="Times New Roman"/>
      </w:rPr>
    </w:pPr>
    <w:r w:rsidRPr="0092224C">
      <w:rPr>
        <w:rFonts w:ascii="Times New Roman" w:hAnsi="Times New Roman"/>
      </w:rPr>
      <w:t>June 16-17, 2011, EQC Meeting</w:t>
    </w:r>
  </w:p>
  <w:p w:rsidR="00D11205" w:rsidRDefault="00D11205" w:rsidP="00D11205">
    <w:pPr>
      <w:pStyle w:val="Header"/>
      <w:rPr>
        <w:sz w:val="24"/>
        <w:szCs w:val="24"/>
      </w:rPr>
    </w:pPr>
    <w:r w:rsidRPr="0092224C">
      <w:rPr>
        <w:rFonts w:ascii="Times New Roman" w:hAnsi="Times New Roman"/>
      </w:rPr>
      <w:t>Pg. 1 of XX</w:t>
    </w:r>
    <w:r>
      <w:rPr>
        <w:sz w:val="24"/>
        <w:szCs w:val="24"/>
      </w:rPr>
      <w:t xml:space="preserve"> </w:t>
    </w:r>
  </w:p>
  <w:p w:rsidR="00D11205" w:rsidRDefault="00D11205">
    <w:pPr>
      <w:pStyle w:val="Header"/>
    </w:pPr>
    <w:r>
      <w:rPr>
        <w:rFonts w:ascii="Times New Roman" w:hAnsi="Times New Roman"/>
      </w:rPr>
      <w:t>May 2</w:t>
    </w:r>
    <w:r w:rsidRPr="00686E58">
      <w:rPr>
        <w:rFonts w:ascii="Times New Roman" w:hAnsi="Times New Roman"/>
      </w:rPr>
      <w:t>3, 2011</w:t>
    </w:r>
  </w:p>
  <w:p w:rsidR="00D11205" w:rsidRDefault="00D112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92AD3"/>
    <w:multiLevelType w:val="hybridMultilevel"/>
    <w:tmpl w:val="A83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1A19F5"/>
    <w:rsid w:val="000033D1"/>
    <w:rsid w:val="000815D0"/>
    <w:rsid w:val="000A3E63"/>
    <w:rsid w:val="00143CAF"/>
    <w:rsid w:val="00152B3C"/>
    <w:rsid w:val="001A19F5"/>
    <w:rsid w:val="00293A06"/>
    <w:rsid w:val="002D579F"/>
    <w:rsid w:val="00342E44"/>
    <w:rsid w:val="003C4B97"/>
    <w:rsid w:val="004837C5"/>
    <w:rsid w:val="004A0AFF"/>
    <w:rsid w:val="004A46D2"/>
    <w:rsid w:val="00534803"/>
    <w:rsid w:val="00550F0B"/>
    <w:rsid w:val="005B210E"/>
    <w:rsid w:val="005E4CC8"/>
    <w:rsid w:val="005F34D6"/>
    <w:rsid w:val="006331C1"/>
    <w:rsid w:val="006523F8"/>
    <w:rsid w:val="006637E3"/>
    <w:rsid w:val="00681533"/>
    <w:rsid w:val="006962D2"/>
    <w:rsid w:val="00705A99"/>
    <w:rsid w:val="00706B0F"/>
    <w:rsid w:val="00713853"/>
    <w:rsid w:val="007862D2"/>
    <w:rsid w:val="0079176D"/>
    <w:rsid w:val="007A0FE5"/>
    <w:rsid w:val="007A4ED8"/>
    <w:rsid w:val="007B5D1F"/>
    <w:rsid w:val="007C27C1"/>
    <w:rsid w:val="007F2CCB"/>
    <w:rsid w:val="007F2F55"/>
    <w:rsid w:val="00876F2B"/>
    <w:rsid w:val="008863B7"/>
    <w:rsid w:val="00886B30"/>
    <w:rsid w:val="008E2BC6"/>
    <w:rsid w:val="00920964"/>
    <w:rsid w:val="0094360F"/>
    <w:rsid w:val="00957794"/>
    <w:rsid w:val="009837F0"/>
    <w:rsid w:val="009927B7"/>
    <w:rsid w:val="00992F04"/>
    <w:rsid w:val="00994229"/>
    <w:rsid w:val="009E58A0"/>
    <w:rsid w:val="00A00929"/>
    <w:rsid w:val="00A87D91"/>
    <w:rsid w:val="00B10A9E"/>
    <w:rsid w:val="00B154A2"/>
    <w:rsid w:val="00B346DE"/>
    <w:rsid w:val="00B50F3A"/>
    <w:rsid w:val="00B703E2"/>
    <w:rsid w:val="00B770AD"/>
    <w:rsid w:val="00B95830"/>
    <w:rsid w:val="00BA3AEA"/>
    <w:rsid w:val="00BE7B0B"/>
    <w:rsid w:val="00BF3285"/>
    <w:rsid w:val="00C0224B"/>
    <w:rsid w:val="00C03BAF"/>
    <w:rsid w:val="00C42272"/>
    <w:rsid w:val="00C43FDC"/>
    <w:rsid w:val="00C61148"/>
    <w:rsid w:val="00C775C7"/>
    <w:rsid w:val="00CC45A9"/>
    <w:rsid w:val="00CE1693"/>
    <w:rsid w:val="00D056B7"/>
    <w:rsid w:val="00D11205"/>
    <w:rsid w:val="00D55723"/>
    <w:rsid w:val="00D60825"/>
    <w:rsid w:val="00DB0E7B"/>
    <w:rsid w:val="00DB180F"/>
    <w:rsid w:val="00DB68E3"/>
    <w:rsid w:val="00DC0F0D"/>
    <w:rsid w:val="00E33E4B"/>
    <w:rsid w:val="00E50D39"/>
    <w:rsid w:val="00E57AA9"/>
    <w:rsid w:val="00E642AC"/>
    <w:rsid w:val="00E8424F"/>
    <w:rsid w:val="00E95188"/>
    <w:rsid w:val="00E95C2E"/>
    <w:rsid w:val="00EE15B4"/>
    <w:rsid w:val="00F51642"/>
    <w:rsid w:val="00F81951"/>
    <w:rsid w:val="00F9769F"/>
    <w:rsid w:val="00FB49E8"/>
    <w:rsid w:val="00FC33D0"/>
    <w:rsid w:val="00FC680A"/>
    <w:rsid w:val="00FF47CB"/>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6">
    <w:name w:val="heading 6"/>
    <w:basedOn w:val="Normal"/>
    <w:next w:val="Normal"/>
    <w:link w:val="Heading6Char"/>
    <w:uiPriority w:val="9"/>
    <w:qFormat/>
    <w:rsid w:val="001A19F5"/>
    <w:pPr>
      <w:keepNext/>
      <w:keepLines/>
      <w:spacing w:before="200" w:after="0"/>
      <w:outlineLvl w:val="5"/>
    </w:pPr>
    <w:rPr>
      <w:rFonts w:ascii="Cambria" w:eastAsia="Times New Roman" w:hAnsi="Cambria" w:cs="Times New Roman"/>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A19F5"/>
    <w:rPr>
      <w:rFonts w:ascii="Cambria" w:eastAsia="Times New Roman" w:hAnsi="Cambria" w:cs="Times New Roman"/>
      <w:i/>
      <w:iCs/>
      <w:color w:val="243F60"/>
      <w:sz w:val="20"/>
      <w:szCs w:val="20"/>
    </w:rPr>
  </w:style>
  <w:style w:type="paragraph" w:styleId="NormalWeb">
    <w:name w:val="Normal (Web)"/>
    <w:basedOn w:val="Normal"/>
    <w:uiPriority w:val="99"/>
    <w:unhideWhenUsed/>
    <w:rsid w:val="001A19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D056B7"/>
    <w:rPr>
      <w:sz w:val="16"/>
      <w:szCs w:val="16"/>
    </w:rPr>
  </w:style>
  <w:style w:type="paragraph" w:styleId="CommentText">
    <w:name w:val="annotation text"/>
    <w:basedOn w:val="Normal"/>
    <w:link w:val="CommentTextChar"/>
    <w:uiPriority w:val="99"/>
    <w:rsid w:val="00D056B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056B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5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B7"/>
    <w:rPr>
      <w:rFonts w:ascii="Tahoma" w:hAnsi="Tahoma" w:cs="Tahoma"/>
      <w:sz w:val="16"/>
      <w:szCs w:val="16"/>
    </w:rPr>
  </w:style>
  <w:style w:type="paragraph" w:styleId="Caption">
    <w:name w:val="caption"/>
    <w:basedOn w:val="Normal"/>
    <w:next w:val="Normal"/>
    <w:uiPriority w:val="35"/>
    <w:unhideWhenUsed/>
    <w:qFormat/>
    <w:rsid w:val="00D11205"/>
    <w:pPr>
      <w:spacing w:before="200"/>
    </w:pPr>
    <w:rPr>
      <w:rFonts w:eastAsiaTheme="minorEastAsia"/>
      <w:b/>
      <w:bCs/>
      <w:color w:val="365F91" w:themeColor="accent1" w:themeShade="BF"/>
      <w:sz w:val="16"/>
      <w:szCs w:val="16"/>
      <w:lang w:bidi="en-US"/>
    </w:rPr>
  </w:style>
  <w:style w:type="paragraph" w:styleId="Header">
    <w:name w:val="header"/>
    <w:basedOn w:val="Normal"/>
    <w:link w:val="HeaderChar"/>
    <w:uiPriority w:val="99"/>
    <w:unhideWhenUsed/>
    <w:rsid w:val="00D11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05"/>
  </w:style>
  <w:style w:type="paragraph" w:styleId="Footer">
    <w:name w:val="footer"/>
    <w:basedOn w:val="Normal"/>
    <w:link w:val="FooterChar"/>
    <w:uiPriority w:val="99"/>
    <w:semiHidden/>
    <w:unhideWhenUsed/>
    <w:rsid w:val="00D112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12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2011-05-24T21:03:00Z</dcterms:created>
  <dcterms:modified xsi:type="dcterms:W3CDTF">2011-05-24T21:03:00Z</dcterms:modified>
</cp:coreProperties>
</file>