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250987" w:rsidRDefault="00DC478E" w:rsidP="00250987">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9024CC" w:rsidRDefault="009024CC" w:rsidP="00250987">
      <w:pPr>
        <w:jc w:val="center"/>
        <w:rPr>
          <w:rFonts w:ascii="Arial" w:hAnsi="Arial" w:cs="Arial"/>
          <w:b/>
          <w:sz w:val="32"/>
          <w:szCs w:val="32"/>
        </w:rPr>
      </w:pPr>
    </w:p>
    <w:p w:rsidR="008719D3" w:rsidRPr="00250987" w:rsidRDefault="00250987" w:rsidP="00250987">
      <w:pPr>
        <w:jc w:val="center"/>
        <w:rPr>
          <w:rFonts w:ascii="Times New Roman" w:hAnsi="Times New Roman"/>
          <w:b/>
          <w:sz w:val="24"/>
          <w:szCs w:val="24"/>
        </w:rPr>
      </w:pPr>
      <w:r>
        <w:rPr>
          <w:rFonts w:ascii="Arial" w:hAnsi="Arial" w:cs="Arial"/>
          <w:b/>
          <w:sz w:val="32"/>
          <w:szCs w:val="32"/>
        </w:rPr>
        <w:t>TAB</w:t>
      </w:r>
      <w:r w:rsidR="008719D3">
        <w:rPr>
          <w:rFonts w:ascii="Arial" w:hAnsi="Arial" w:cs="Arial"/>
          <w:b/>
          <w:sz w:val="32"/>
          <w:szCs w:val="32"/>
        </w:rPr>
        <w:t xml:space="preserve">LE </w:t>
      </w:r>
      <w:r w:rsidR="008719D3" w:rsidRPr="00300148">
        <w:rPr>
          <w:rFonts w:ascii="Arial" w:hAnsi="Arial" w:cs="Arial"/>
          <w:b/>
          <w:sz w:val="32"/>
          <w:szCs w:val="32"/>
        </w:rPr>
        <w:t>4</w:t>
      </w:r>
      <w:r w:rsidR="008719D3">
        <w:rPr>
          <w:rFonts w:ascii="Arial" w:hAnsi="Arial" w:cs="Arial"/>
          <w:b/>
          <w:sz w:val="32"/>
          <w:szCs w:val="32"/>
        </w:rPr>
        <w:t>0</w:t>
      </w:r>
      <w:r w:rsidR="008719D3" w:rsidRPr="00300148">
        <w:rPr>
          <w:rFonts w:ascii="Arial" w:hAnsi="Arial" w:cs="Arial"/>
          <w:b/>
          <w:sz w:val="32"/>
          <w:szCs w:val="32"/>
        </w:rPr>
        <w:t xml:space="preserve">:  Human Health </w:t>
      </w:r>
      <w:r w:rsidR="00744F93">
        <w:rPr>
          <w:rFonts w:ascii="Arial" w:hAnsi="Arial" w:cs="Arial"/>
          <w:b/>
          <w:sz w:val="32"/>
          <w:szCs w:val="32"/>
        </w:rPr>
        <w:t xml:space="preserve">Water Quality </w:t>
      </w:r>
      <w:r w:rsidR="008719D3" w:rsidRPr="00300148">
        <w:rPr>
          <w:rFonts w:ascii="Arial" w:hAnsi="Arial" w:cs="Arial"/>
          <w:b/>
          <w:sz w:val="32"/>
          <w:szCs w:val="32"/>
        </w:rPr>
        <w:t>Criteria for Toxic Pollutants</w:t>
      </w: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7D7B54" w:rsidRDefault="008719D3" w:rsidP="008719D3">
      <w:pPr>
        <w:rPr>
          <w:rFonts w:ascii="Arial" w:hAnsi="Arial" w:cs="Arial"/>
        </w:rPr>
      </w:pPr>
      <w:r>
        <w:rPr>
          <w:rFonts w:ascii="Arial" w:hAnsi="Arial" w:cs="Arial"/>
        </w:rPr>
        <w:t xml:space="preserve">The concentration for each pollutant listed in Table 40 </w:t>
      </w:r>
      <w:r w:rsidR="00DD6383">
        <w:rPr>
          <w:rFonts w:ascii="Arial" w:hAnsi="Arial" w:cs="Arial"/>
        </w:rPr>
        <w:t xml:space="preserve">was derived to protect Oregonians from </w:t>
      </w:r>
      <w:r w:rsidR="00744F93">
        <w:rPr>
          <w:rFonts w:ascii="Arial" w:hAnsi="Arial" w:cs="Arial"/>
        </w:rPr>
        <w:t xml:space="preserve">potential </w:t>
      </w:r>
      <w:r w:rsidR="00DD6383">
        <w:rPr>
          <w:rFonts w:ascii="Arial" w:hAnsi="Arial" w:cs="Arial"/>
        </w:rPr>
        <w:t xml:space="preserve">adverse health impacts </w:t>
      </w:r>
      <w:r w:rsidR="00744F93">
        <w:rPr>
          <w:rFonts w:ascii="Arial" w:hAnsi="Arial" w:cs="Arial"/>
        </w:rPr>
        <w:t xml:space="preserve">associated with </w:t>
      </w:r>
      <w:r w:rsidR="00DD6383">
        <w:rPr>
          <w:rFonts w:ascii="Arial" w:hAnsi="Arial" w:cs="Arial"/>
        </w:rPr>
        <w:t xml:space="preserve">long-term </w:t>
      </w:r>
      <w:r w:rsidR="003050DB">
        <w:rPr>
          <w:rFonts w:ascii="Arial" w:hAnsi="Arial" w:cs="Arial"/>
        </w:rPr>
        <w:t xml:space="preserve">exposure to toxic substances </w:t>
      </w:r>
      <w:r w:rsidR="009B7628">
        <w:rPr>
          <w:rFonts w:ascii="Arial" w:hAnsi="Arial" w:cs="Arial"/>
        </w:rPr>
        <w:t>associated with</w:t>
      </w:r>
      <w:r w:rsidR="003050DB">
        <w:rPr>
          <w:rFonts w:ascii="Arial" w:hAnsi="Arial" w:cs="Arial"/>
        </w:rPr>
        <w:t xml:space="preserve"> consumption of</w:t>
      </w:r>
      <w:r w:rsidR="008F4380">
        <w:rPr>
          <w:rFonts w:ascii="Arial" w:hAnsi="Arial" w:cs="Arial"/>
        </w:rPr>
        <w:t xml:space="preserve"> </w:t>
      </w:r>
      <w:r w:rsidR="009B7628">
        <w:rPr>
          <w:rFonts w:ascii="Arial" w:hAnsi="Arial" w:cs="Arial"/>
        </w:rPr>
        <w:t xml:space="preserve">fish, shellfish, and water. </w:t>
      </w:r>
      <w:r>
        <w:rPr>
          <w:rFonts w:ascii="Arial" w:hAnsi="Arial" w:cs="Arial"/>
        </w:rPr>
        <w:t xml:space="preserve">  </w:t>
      </w:r>
      <w:r w:rsidR="003E2524">
        <w:rPr>
          <w:rFonts w:ascii="Arial" w:hAnsi="Arial" w:cs="Arial"/>
        </w:rPr>
        <w:t xml:space="preserve">The “organism only” criteria are established to protect fish and shellfish consumption and apply </w:t>
      </w:r>
      <w:r>
        <w:rPr>
          <w:rFonts w:ascii="Arial" w:hAnsi="Arial" w:cs="Arial"/>
        </w:rPr>
        <w:t>to waters of the state designated for fishing</w:t>
      </w:r>
      <w:r w:rsidR="003E2524">
        <w:rPr>
          <w:rFonts w:ascii="Arial" w:hAnsi="Arial" w:cs="Arial"/>
        </w:rPr>
        <w:t xml:space="preserve">.  The “water + organism” criteria are established to protect </w:t>
      </w:r>
      <w:r w:rsidR="00D66005">
        <w:rPr>
          <w:rFonts w:ascii="Arial" w:hAnsi="Arial" w:cs="Arial"/>
        </w:rPr>
        <w:t xml:space="preserve">the consumption of drinking water, fish, and shellfish, and apply where both fishing and </w:t>
      </w:r>
      <w:r>
        <w:rPr>
          <w:rFonts w:ascii="Arial" w:hAnsi="Arial" w:cs="Arial"/>
        </w:rPr>
        <w:t xml:space="preserve">domestic water supply </w:t>
      </w:r>
      <w:r w:rsidR="00D66005">
        <w:rPr>
          <w:rFonts w:ascii="Arial" w:hAnsi="Arial" w:cs="Arial"/>
        </w:rPr>
        <w:t xml:space="preserve">(public and private) are designated </w:t>
      </w:r>
      <w:r>
        <w:rPr>
          <w:rFonts w:ascii="Arial" w:hAnsi="Arial" w:cs="Arial"/>
        </w:rPr>
        <w:t>uses</w:t>
      </w:r>
      <w:r w:rsidR="00D66005">
        <w:rPr>
          <w:rFonts w:ascii="Arial" w:hAnsi="Arial" w:cs="Arial"/>
        </w:rPr>
        <w:t>.  All criteria</w:t>
      </w:r>
      <w:r>
        <w:rPr>
          <w:rFonts w:ascii="Arial" w:hAnsi="Arial" w:cs="Arial"/>
        </w:rPr>
        <w:t xml:space="preserve"> are expressed as micrograms per liter (µg/L)</w:t>
      </w:r>
      <w:r w:rsidR="008F4380">
        <w:rPr>
          <w:rFonts w:ascii="Arial" w:hAnsi="Arial" w:cs="Arial"/>
        </w:rPr>
        <w:t>, unless otherwise noted</w:t>
      </w:r>
      <w:r>
        <w:rPr>
          <w:rFonts w:ascii="Arial" w:hAnsi="Arial" w:cs="Arial"/>
        </w:rPr>
        <w:t>.  Pollutants are listed in alphabetical order</w:t>
      </w:r>
      <w:r w:rsidR="008F4380">
        <w:rPr>
          <w:rFonts w:ascii="Arial" w:hAnsi="Arial" w:cs="Arial"/>
        </w:rPr>
        <w:t>.  Additional information includes</w:t>
      </w:r>
      <w:r>
        <w:rPr>
          <w:rFonts w:ascii="Arial" w:hAnsi="Arial" w:cs="Arial"/>
        </w:rPr>
        <w:t xml:space="preserve"> the Chemical Abstract Service (CAS) number, whether the criterion is based on carcinogenic effects (can cause cancer in humans), and whether there is an aquatic life criterion for </w:t>
      </w:r>
      <w:r w:rsidR="008F4380">
        <w:rPr>
          <w:rFonts w:ascii="Arial" w:hAnsi="Arial" w:cs="Arial"/>
        </w:rPr>
        <w:t xml:space="preserve">the </w:t>
      </w:r>
      <w:r>
        <w:rPr>
          <w:rFonts w:ascii="Arial" w:hAnsi="Arial" w:cs="Arial"/>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r w:rsidR="008F4380">
        <w:rPr>
          <w:rFonts w:ascii="Arial" w:hAnsi="Arial" w:cs="Arial"/>
        </w:rPr>
        <w:t>, unless otherwise noted</w:t>
      </w:r>
      <w:r>
        <w:rPr>
          <w:rFonts w:ascii="Arial" w:hAnsi="Arial" w:cs="Arial"/>
        </w:rPr>
        <w:t>.  Italicized pollutants represent non-priority pollutants</w:t>
      </w:r>
      <w:r w:rsidRPr="005423B2">
        <w:rPr>
          <w:rFonts w:ascii="Arial" w:hAnsi="Arial" w:cs="Arial"/>
        </w:rPr>
        <w:t xml:space="preserve">.  </w:t>
      </w:r>
      <w:r w:rsidR="005423B2" w:rsidRPr="007D7B54">
        <w:rPr>
          <w:rFonts w:ascii="Arial" w:hAnsi="Arial" w:cs="Arial"/>
          <w:color w:val="000000"/>
        </w:rPr>
        <w:t xml:space="preserve">The human health criteria revisions established by </w:t>
      </w:r>
      <w:r w:rsidR="008F4380" w:rsidRPr="007D7B54">
        <w:rPr>
          <w:rFonts w:ascii="Arial" w:hAnsi="Arial" w:cs="Arial"/>
          <w:color w:val="000000"/>
        </w:rPr>
        <w:t>OAR 340-041-0033 and shown in Table 40</w:t>
      </w:r>
      <w:r w:rsidR="005423B2" w:rsidRPr="007D7B54">
        <w:rPr>
          <w:rFonts w:ascii="Arial" w:hAnsi="Arial" w:cs="Arial"/>
          <w:color w:val="000000"/>
        </w:rPr>
        <w:t xml:space="preserve"> do not become applicable for purposes of ORS chapter 468B or the federal Clean Water Act until approved by EPA pursuant to 40 CFR 131.21 (4/27/2000).</w:t>
      </w:r>
    </w:p>
    <w:tbl>
      <w:tblPr>
        <w:tblW w:w="10908" w:type="dxa"/>
        <w:tblInd w:w="108" w:type="dxa"/>
        <w:tblLook w:val="04A0"/>
      </w:tblPr>
      <w:tblGrid>
        <w:gridCol w:w="550"/>
        <w:gridCol w:w="3162"/>
        <w:gridCol w:w="68"/>
        <w:gridCol w:w="1038"/>
        <w:gridCol w:w="1360"/>
        <w:gridCol w:w="1050"/>
        <w:gridCol w:w="2024"/>
        <w:gridCol w:w="1656"/>
      </w:tblGrid>
      <w:tr w:rsidR="0064754A" w:rsidRPr="00300148" w:rsidTr="00250987">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1C3DC5" w:rsidRDefault="0064754A" w:rsidP="00250987">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300148" w:rsidRDefault="0064754A" w:rsidP="00250987">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64754A" w:rsidRPr="00300148" w:rsidTr="00250987">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b/>
                <w:bCs/>
                <w:color w:val="000000" w:themeColor="text1"/>
                <w:sz w:val="20"/>
                <w:szCs w:val="20"/>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sz w:val="20"/>
                <w:szCs w:val="20"/>
              </w:rPr>
            </w:pPr>
          </w:p>
        </w:tc>
        <w:tc>
          <w:tcPr>
            <w:tcW w:w="1038" w:type="dxa"/>
            <w:vMerge/>
            <w:tcBorders>
              <w:top w:val="single" w:sz="12" w:space="0" w:color="auto"/>
              <w:left w:val="nil"/>
              <w:bottom w:val="thinThickSmallGap" w:sz="24" w:space="0" w:color="auto"/>
              <w:right w:val="nil"/>
            </w:tcBorders>
            <w:vAlign w:val="center"/>
            <w:hideMark/>
          </w:tcPr>
          <w:p w:rsidR="0064754A" w:rsidRPr="00300148" w:rsidRDefault="0064754A" w:rsidP="00250987">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64754A" w:rsidRPr="00300148" w:rsidTr="00250987">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417D51" w:rsidRDefault="0064754A" w:rsidP="00250987">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422313">
              <w:rPr>
                <w:rFonts w:ascii="Arial" w:eastAsia="Times New Roman" w:hAnsi="Arial" w:cs="Arial"/>
                <w:bCs/>
                <w:sz w:val="20"/>
                <w:szCs w:val="20"/>
              </w:rPr>
              <w:t xml:space="preserve"> </w:t>
            </w:r>
            <w:r w:rsidRPr="004133E3">
              <w:rPr>
                <w:rFonts w:ascii="Arial" w:eastAsia="Times New Roman" w:hAnsi="Arial" w:cs="Arial"/>
                <w:bCs/>
                <w:sz w:val="20"/>
                <w:szCs w:val="20"/>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0A6934" w:rsidRDefault="0064754A" w:rsidP="00250987">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422313">
              <w:rPr>
                <w:rFonts w:ascii="Arial" w:eastAsia="Times New Roman" w:hAnsi="Arial" w:cs="Arial"/>
                <w:sz w:val="20"/>
                <w:szCs w:val="20"/>
              </w:rPr>
              <w:t xml:space="preserve"> </w:t>
            </w:r>
            <w:r>
              <w:rPr>
                <w:rFonts w:ascii="Arial" w:hAnsi="Arial" w:cs="Arial"/>
                <w:i/>
                <w:sz w:val="18"/>
                <w:szCs w:val="18"/>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250987">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B</w:t>
            </w:r>
            <w:r w:rsidR="00422313">
              <w:rPr>
                <w:rFonts w:ascii="Arial" w:hAnsi="Arial" w:cs="Arial"/>
                <w:i/>
                <w:sz w:val="18"/>
                <w:szCs w:val="18"/>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465654" w:rsidRDefault="0064754A" w:rsidP="0025098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3C2505" w:rsidRDefault="0064754A" w:rsidP="00250987">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DE3AC2" w:rsidRDefault="0064754A" w:rsidP="00250987">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300148" w:rsidRDefault="0064754A" w:rsidP="00250987">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49642C" w:rsidRDefault="0064754A" w:rsidP="00250987">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sidR="00422313">
              <w:rPr>
                <w:rFonts w:ascii="Arial" w:eastAsia="Times New Roman" w:hAnsi="Arial" w:cs="Arial"/>
                <w:i/>
                <w:sz w:val="20"/>
                <w:szCs w:val="20"/>
              </w:rPr>
              <w:t xml:space="preserve">     </w:t>
            </w:r>
            <w:r w:rsidRPr="00465654">
              <w:rPr>
                <w:rFonts w:ascii="Arial" w:eastAsia="Times New Roman" w:hAnsi="Arial" w:cs="Arial"/>
                <w:i/>
                <w:sz w:val="20"/>
                <w:szCs w:val="20"/>
              </w:rPr>
              <w:t>(2,4-D)</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D5609B"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Cyanide</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796F1B"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CC164F" w:rsidRDefault="0064754A" w:rsidP="00250987">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w:t>
            </w:r>
            <w:r w:rsidRPr="00465654">
              <w:rPr>
                <w:rFonts w:ascii="Arial" w:eastAsia="Times New Roman" w:hAnsi="Arial" w:cs="Arial"/>
                <w:i/>
                <w:sz w:val="20"/>
                <w:szCs w:val="20"/>
              </w:rPr>
              <w:lastRenderedPageBreak/>
              <w:t>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C751F1">
              <w:rPr>
                <w:rFonts w:ascii="Arial" w:hAnsi="Arial" w:cs="Arial"/>
                <w:color w:val="000000"/>
                <w:sz w:val="20"/>
                <w:szCs w:val="20"/>
              </w:rPr>
              <w:lastRenderedPageBreak/>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64754A" w:rsidRPr="00300148" w:rsidTr="00250987">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181624"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I</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00422313">
              <w:rPr>
                <w:rFonts w:ascii="Arial" w:hAnsi="Arial" w:cs="Arial"/>
                <w:i/>
                <w:sz w:val="18"/>
                <w:szCs w:val="18"/>
                <w:vertAlign w:val="superscript"/>
              </w:rPr>
              <w:t xml:space="preserve"> </w:t>
            </w:r>
            <w:r>
              <w:rPr>
                <w:rFonts w:ascii="Arial" w:hAnsi="Arial" w:cs="Arial"/>
                <w:i/>
                <w:sz w:val="18"/>
                <w:szCs w:val="18"/>
                <w:vertAlign w:val="superscript"/>
              </w:rPr>
              <w:t>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64754A" w:rsidRPr="00300148" w:rsidTr="00250987">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250987">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J</w:t>
            </w:r>
            <w:r w:rsidR="00422313">
              <w:rPr>
                <w:rFonts w:ascii="Arial" w:hAnsi="Arial" w:cs="Arial"/>
                <w:i/>
                <w:sz w:val="18"/>
                <w:szCs w:val="18"/>
                <w:vertAlign w:val="superscript"/>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K</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CF0476" w:rsidRDefault="0064754A" w:rsidP="00250987">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sidR="00422313">
              <w:rPr>
                <w:rFonts w:ascii="Arial" w:eastAsia="Times New Roman" w:hAnsi="Arial" w:cs="Arial"/>
                <w:sz w:val="20"/>
                <w:szCs w:val="20"/>
              </w:rPr>
              <w:t xml:space="preserve"> </w:t>
            </w:r>
            <w:r>
              <w:rPr>
                <w:rFonts w:ascii="Arial" w:eastAsia="Times New Roman" w:hAnsi="Arial" w:cs="Arial"/>
                <w:i/>
                <w:color w:val="000000"/>
                <w:sz w:val="18"/>
                <w:szCs w:val="18"/>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64754A" w:rsidRPr="00300148" w:rsidTr="00250987">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181624"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L</w:t>
            </w:r>
            <w:r w:rsidR="00422313">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250987">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64754A" w:rsidRPr="00300148" w:rsidTr="00250987">
        <w:trPr>
          <w:trHeight w:val="270"/>
        </w:trPr>
        <w:tc>
          <w:tcPr>
            <w:tcW w:w="550" w:type="dxa"/>
            <w:tcBorders>
              <w:top w:val="nil"/>
              <w:left w:val="nil"/>
              <w:bottom w:val="nil"/>
              <w:right w:val="nil"/>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footerReference w:type="default" r:id="rId9"/>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8D43F1" w:rsidRDefault="008A747A" w:rsidP="00127BB3">
            <w:pPr>
              <w:jc w:val="center"/>
              <w:rPr>
                <w:b/>
                <w:strike/>
                <w:color w:val="FF0000"/>
                <w:sz w:val="16"/>
              </w:rPr>
            </w:pPr>
            <w:r w:rsidRPr="008D43F1">
              <w:rPr>
                <w:b/>
                <w:strike/>
                <w:color w:val="FF0000"/>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8D43F1" w:rsidRDefault="008A747A" w:rsidP="00127BB3">
            <w:pPr>
              <w:jc w:val="center"/>
              <w:rPr>
                <w:strike/>
                <w:color w:val="FF0000"/>
                <w:sz w:val="16"/>
              </w:rPr>
            </w:pPr>
            <w:r w:rsidRPr="008D43F1">
              <w:rPr>
                <w:strike/>
                <w:color w:val="FF0000"/>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lastRenderedPageBreak/>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lastRenderedPageBreak/>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lastRenderedPageBreak/>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30pt" o:ole="" fillcolor="window">
            <v:imagedata r:id="rId10" o:title=""/>
          </v:shape>
          <o:OLEObject Type="Embed" ProgID="Equation.3" ShapeID="_x0000_i1025" DrawAspect="Content" ObjectID="_1371371558" r:id="rId11"/>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pt;height:30pt" o:ole="" fillcolor="window">
            <v:imagedata r:id="rId12" o:title=""/>
          </v:shape>
          <o:OLEObject Type="Embed" ProgID="Equation.3" ShapeID="_x0000_i1026" DrawAspect="Content" ObjectID="_1371371559" r:id="rId13"/>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4pt" o:ole="" fillcolor="window">
            <v:imagedata r:id="rId14" o:title=""/>
          </v:shape>
          <o:OLEObject Type="Embed" ProgID="Equation.3" ShapeID="_x0000_i1027" DrawAspect="Content" ObjectID="_1371371560" r:id="rId15"/>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5pt;height:34pt" o:ole="" fillcolor="window">
            <v:imagedata r:id="rId16" o:title=""/>
          </v:shape>
          <o:OLEObject Type="Embed" ProgID="Equation.3" ShapeID="_x0000_i1028" DrawAspect="Content" ObjectID="_1371371561" r:id="rId17"/>
        </w:object>
      </w:r>
      <w:r w:rsidRPr="00DA0E4A">
        <w:tab/>
      </w:r>
    </w:p>
    <w:p w:rsidR="00733366" w:rsidRPr="00DA0E4A" w:rsidRDefault="00733366" w:rsidP="00733366">
      <w:pPr>
        <w:ind w:left="360"/>
      </w:pPr>
      <w:r w:rsidRPr="00DA0E4A">
        <w:lastRenderedPageBreak/>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18"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lastRenderedPageBreak/>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lastRenderedPageBreak/>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lastRenderedPageBreak/>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68498A" w:rsidRPr="003D057C" w:rsidRDefault="0068498A" w:rsidP="0068498A">
      <w:pPr>
        <w:pStyle w:val="Header"/>
        <w:jc w:val="center"/>
        <w:rPr>
          <w:b/>
        </w:rPr>
      </w:pPr>
      <w:r w:rsidRPr="003D057C">
        <w:rPr>
          <w:b/>
        </w:rPr>
        <w:lastRenderedPageBreak/>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lastRenderedPageBreak/>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lastRenderedPageBreak/>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lastRenderedPageBreak/>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pt;height:30pt" o:ole="" fillcolor="window">
            <v:imagedata r:id="rId10" o:title=""/>
          </v:shape>
          <o:OLEObject Type="Embed" ProgID="Equation.3" ShapeID="_x0000_i1029" DrawAspect="Content" ObjectID="_1371371562" r:id="rId19"/>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pt;height:30pt" o:ole="" fillcolor="window">
            <v:imagedata r:id="rId12" o:title=""/>
          </v:shape>
          <o:OLEObject Type="Embed" ProgID="Equation.3" ShapeID="_x0000_i1030" DrawAspect="Content" ObjectID="_1371371563" r:id="rId20"/>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4pt" o:ole="" fillcolor="window">
            <v:imagedata r:id="rId21" o:title=""/>
          </v:shape>
          <o:OLEObject Type="Embed" ProgID="Equation.3" ShapeID="_x0000_i1031" DrawAspect="Content" ObjectID="_1371371564" r:id="rId22"/>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5pt;height:34pt" o:ole="" fillcolor="window">
            <v:imagedata r:id="rId23" o:title=""/>
          </v:shape>
          <o:OLEObject Type="Embed" ProgID="Equation.3" ShapeID="_x0000_i1032" DrawAspect="Content" ObjectID="_1371371565" r:id="rId24"/>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5"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lastRenderedPageBreak/>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lastRenderedPageBreak/>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lastRenderedPageBreak/>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CE4502" w:rsidP="00642BAD">
            <w:pPr>
              <w:spacing w:line="240" w:lineRule="auto"/>
              <w:jc w:val="center"/>
              <w:rPr>
                <w:color w:val="000000"/>
                <w:sz w:val="20"/>
                <w:szCs w:val="20"/>
              </w:rPr>
            </w:pPr>
            <w:r>
              <w:rPr>
                <w:color w:val="000000"/>
                <w:sz w:val="20"/>
                <w:szCs w:val="20"/>
              </w:rPr>
              <w:t>2.1</w:t>
            </w:r>
          </w:p>
        </w:tc>
        <w:tc>
          <w:tcPr>
            <w:tcW w:w="1733" w:type="dxa"/>
            <w:vAlign w:val="center"/>
          </w:tcPr>
          <w:p w:rsidR="00CE4502" w:rsidRDefault="00CE4502" w:rsidP="00CE4502">
            <w:pPr>
              <w:spacing w:line="240" w:lineRule="auto"/>
              <w:jc w:val="center"/>
              <w:rPr>
                <w:color w:val="000000"/>
                <w:sz w:val="20"/>
                <w:szCs w:val="20"/>
              </w:rPr>
            </w:pPr>
            <w:r>
              <w:rPr>
                <w:color w:val="000000"/>
                <w:sz w:val="20"/>
                <w:szCs w:val="20"/>
              </w:rPr>
              <w:t>2.1 (freshwater)</w:t>
            </w:r>
          </w:p>
          <w:p w:rsidR="00642BAD" w:rsidRPr="004207A3" w:rsidRDefault="00CE4502" w:rsidP="00CE4502">
            <w:pPr>
              <w:spacing w:line="240" w:lineRule="auto"/>
              <w:jc w:val="center"/>
              <w:rPr>
                <w:color w:val="000000"/>
                <w:sz w:val="20"/>
                <w:szCs w:val="20"/>
              </w:rPr>
            </w:pPr>
            <w:r>
              <w:rPr>
                <w:color w:val="000000"/>
                <w:sz w:val="20"/>
                <w:szCs w:val="20"/>
              </w:rPr>
              <w:t>1.0 (saltwater)</w:t>
            </w:r>
          </w:p>
        </w:tc>
        <w:tc>
          <w:tcPr>
            <w:tcW w:w="1732" w:type="dxa"/>
            <w:vAlign w:val="center"/>
          </w:tcPr>
          <w:p w:rsidR="00642BAD" w:rsidRPr="00CE4502" w:rsidRDefault="00CE4502" w:rsidP="00642BAD">
            <w:pPr>
              <w:spacing w:after="0" w:line="240" w:lineRule="auto"/>
              <w:jc w:val="center"/>
              <w:rPr>
                <w:rFonts w:eastAsia="Times New Roman" w:cs="Arial"/>
                <w:sz w:val="20"/>
                <w:szCs w:val="20"/>
              </w:rPr>
            </w:pPr>
            <w:r w:rsidRPr="00CE4502">
              <w:rPr>
                <w:sz w:val="20"/>
                <w:szCs w:val="20"/>
              </w:rPr>
              <w:t>2.1</w:t>
            </w:r>
          </w:p>
        </w:tc>
        <w:tc>
          <w:tcPr>
            <w:tcW w:w="1733" w:type="dxa"/>
            <w:vAlign w:val="center"/>
          </w:tcPr>
          <w:p w:rsidR="00CE4502" w:rsidRPr="00CE4502" w:rsidRDefault="00CE4502" w:rsidP="00CE4502">
            <w:pPr>
              <w:spacing w:line="240" w:lineRule="auto"/>
              <w:jc w:val="center"/>
              <w:rPr>
                <w:sz w:val="20"/>
                <w:szCs w:val="20"/>
              </w:rPr>
            </w:pPr>
            <w:r w:rsidRPr="00CE4502">
              <w:rPr>
                <w:sz w:val="20"/>
                <w:szCs w:val="20"/>
              </w:rPr>
              <w:t>2.1 (freshwater)</w:t>
            </w:r>
          </w:p>
          <w:p w:rsidR="00642BAD" w:rsidRPr="00CE4502" w:rsidRDefault="00CE4502" w:rsidP="00CE4502">
            <w:pPr>
              <w:spacing w:after="0" w:line="240" w:lineRule="auto"/>
              <w:jc w:val="center"/>
              <w:rPr>
                <w:rFonts w:eastAsia="Times New Roman" w:cs="Arial"/>
                <w:sz w:val="20"/>
                <w:szCs w:val="20"/>
              </w:rPr>
            </w:pPr>
            <w:r w:rsidRPr="00CE4502">
              <w:rPr>
                <w:sz w:val="20"/>
                <w:szCs w:val="20"/>
              </w:rPr>
              <w:t>1.0 (saltwater)</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7D7B54" w:rsidP="00434CA9">
            <w:pPr>
              <w:rPr>
                <w:color w:val="FF0000"/>
                <w:sz w:val="20"/>
                <w:szCs w:val="20"/>
              </w:rPr>
            </w:pPr>
            <w:r>
              <w:rPr>
                <w:color w:val="FF0000"/>
                <w:sz w:val="20"/>
                <w:szCs w:val="20"/>
              </w:rPr>
              <w:t>BENZ</w:t>
            </w:r>
            <w:r w:rsidR="00E037E2" w:rsidRPr="00E037E2">
              <w:rPr>
                <w:color w:val="FF0000"/>
                <w:sz w:val="20"/>
                <w:szCs w:val="20"/>
              </w:rPr>
              <w:t>(A)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lastRenderedPageBreak/>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7D7B54" w:rsidP="00434CA9">
            <w:pPr>
              <w:rPr>
                <w:color w:val="FF0000"/>
                <w:sz w:val="20"/>
                <w:szCs w:val="20"/>
              </w:rPr>
            </w:pPr>
            <w:r>
              <w:rPr>
                <w:rFonts w:eastAsia="Times New Roman" w:cs="Arial"/>
                <w:color w:val="FF0000"/>
                <w:sz w:val="20"/>
                <w:szCs w:val="20"/>
              </w:rPr>
              <w:t>DIBENZ</w:t>
            </w:r>
            <w:r w:rsidR="001C7618" w:rsidRPr="001C7618">
              <w:rPr>
                <w:rFonts w:eastAsia="Times New Roman" w:cs="Arial"/>
                <w:color w:val="FF0000"/>
                <w:sz w:val="20"/>
                <w:szCs w:val="20"/>
              </w:rPr>
              <w:t>(A,H)ANTHRACENE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CE4502" w:rsidP="00434CA9">
            <w:pPr>
              <w:jc w:val="center"/>
              <w:rPr>
                <w:rFonts w:eastAsia="Batang"/>
                <w:sz w:val="20"/>
                <w:szCs w:val="20"/>
                <w:u w:val="single"/>
                <w:lang w:eastAsia="ko-KR"/>
              </w:rPr>
            </w:pPr>
            <w:r>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w:t>
            </w:r>
          </w:p>
        </w:tc>
        <w:tc>
          <w:tcPr>
            <w:tcW w:w="1733"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lastRenderedPageBreak/>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lastRenderedPageBreak/>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87" w:rsidRDefault="00250987" w:rsidP="00572133">
      <w:pPr>
        <w:spacing w:after="0" w:line="240" w:lineRule="auto"/>
      </w:pPr>
      <w:r>
        <w:separator/>
      </w:r>
    </w:p>
  </w:endnote>
  <w:endnote w:type="continuationSeparator" w:id="0">
    <w:p w:rsidR="00250987" w:rsidRDefault="00250987"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250987" w:rsidRDefault="0025098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024CC">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024CC">
              <w:rPr>
                <w:b/>
                <w:noProof/>
              </w:rPr>
              <w:t>56</w:t>
            </w:r>
            <w:r>
              <w:rPr>
                <w:b/>
                <w:sz w:val="24"/>
                <w:szCs w:val="24"/>
              </w:rPr>
              <w:fldChar w:fldCharType="end"/>
            </w:r>
          </w:p>
        </w:sdtContent>
      </w:sdt>
    </w:sdtContent>
  </w:sdt>
  <w:p w:rsidR="00250987" w:rsidRDefault="00250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87" w:rsidRDefault="00250987" w:rsidP="00572133">
      <w:pPr>
        <w:spacing w:after="0" w:line="240" w:lineRule="auto"/>
      </w:pPr>
      <w:r>
        <w:separator/>
      </w:r>
    </w:p>
  </w:footnote>
  <w:footnote w:type="continuationSeparator" w:id="0">
    <w:p w:rsidR="00250987" w:rsidRDefault="00250987" w:rsidP="00572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0987"/>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313"/>
    <w:rsid w:val="0042297B"/>
    <w:rsid w:val="004301AD"/>
    <w:rsid w:val="00430301"/>
    <w:rsid w:val="004318E2"/>
    <w:rsid w:val="00434CA9"/>
    <w:rsid w:val="0044372E"/>
    <w:rsid w:val="00444F0C"/>
    <w:rsid w:val="00455E21"/>
    <w:rsid w:val="004566D5"/>
    <w:rsid w:val="00461C4A"/>
    <w:rsid w:val="004658E9"/>
    <w:rsid w:val="004667BB"/>
    <w:rsid w:val="004837C5"/>
    <w:rsid w:val="00490BFD"/>
    <w:rsid w:val="00490CB5"/>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39ED"/>
    <w:rsid w:val="005D610B"/>
    <w:rsid w:val="005E2584"/>
    <w:rsid w:val="005E4CC8"/>
    <w:rsid w:val="005F07B3"/>
    <w:rsid w:val="005F5386"/>
    <w:rsid w:val="005F57F0"/>
    <w:rsid w:val="00601704"/>
    <w:rsid w:val="00605EAB"/>
    <w:rsid w:val="00610A79"/>
    <w:rsid w:val="00611D1C"/>
    <w:rsid w:val="00611DE1"/>
    <w:rsid w:val="00613507"/>
    <w:rsid w:val="00617204"/>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67159"/>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24CC"/>
    <w:rsid w:val="00907191"/>
    <w:rsid w:val="00907367"/>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383C"/>
    <w:rsid w:val="00AC6293"/>
    <w:rsid w:val="00AD1774"/>
    <w:rsid w:val="00AD7CF3"/>
    <w:rsid w:val="00AE21A1"/>
    <w:rsid w:val="00AE3A7A"/>
    <w:rsid w:val="00AF1F2B"/>
    <w:rsid w:val="00B00A47"/>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193F"/>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276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A5C6F"/>
    <w:rsid w:val="00FB0737"/>
    <w:rsid w:val="00FC098D"/>
    <w:rsid w:val="00FC10B6"/>
    <w:rsid w:val="00FC33D0"/>
    <w:rsid w:val="00FC35FB"/>
    <w:rsid w:val="00FC7143"/>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epa.gov/ost/pc/ambientwqc/ammoniasalt1989.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www.epa.gov/ost/pc/ambientwqc/ammoniasalt1989.pdf"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E9A668-E9A2-4D11-AC81-F2D63D4F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7598</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50806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mvandeh</cp:lastModifiedBy>
  <cp:revision>2</cp:revision>
  <cp:lastPrinted>2010-12-17T18:54:00Z</cp:lastPrinted>
  <dcterms:created xsi:type="dcterms:W3CDTF">2011-07-05T18:46:00Z</dcterms:created>
  <dcterms:modified xsi:type="dcterms:W3CDTF">2011-07-05T18:46:00Z</dcterms:modified>
</cp:coreProperties>
</file>