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1A" w:rsidRDefault="0071101A">
      <w:pPr>
        <w:jc w:val="center"/>
        <w:rPr>
          <w:rFonts w:ascii="Arial" w:hAnsi="Arial" w:cs="Arial"/>
          <w:b/>
        </w:rPr>
      </w:pPr>
    </w:p>
    <w:p w:rsidR="0071101A" w:rsidRDefault="0071101A">
      <w:pPr>
        <w:jc w:val="center"/>
        <w:rPr>
          <w:rFonts w:ascii="Arial" w:hAnsi="Arial" w:cs="Arial"/>
          <w:b/>
        </w:rPr>
      </w:pPr>
    </w:p>
    <w:p w:rsidR="00FC5A5E" w:rsidRPr="00891DCE" w:rsidRDefault="00FC5A5E">
      <w:pPr>
        <w:jc w:val="center"/>
        <w:rPr>
          <w:rFonts w:ascii="Arial" w:hAnsi="Arial" w:cs="Arial"/>
          <w:b/>
        </w:rPr>
      </w:pPr>
      <w:r w:rsidRPr="00891DCE">
        <w:rPr>
          <w:rFonts w:ascii="Arial" w:hAnsi="Arial" w:cs="Arial"/>
          <w:b/>
        </w:rPr>
        <w:t>DEPARTMENT OF ENVIRONMENTAL QUALITY</w:t>
      </w:r>
    </w:p>
    <w:p w:rsidR="00FC5A5E" w:rsidRPr="00891DCE" w:rsidRDefault="00FC5A5E">
      <w:pPr>
        <w:jc w:val="center"/>
        <w:rPr>
          <w:rFonts w:ascii="Arial" w:hAnsi="Arial" w:cs="Arial"/>
          <w:b/>
        </w:rPr>
      </w:pPr>
      <w:r w:rsidRPr="00891DCE">
        <w:rPr>
          <w:rFonts w:ascii="Arial" w:hAnsi="Arial" w:cs="Arial"/>
          <w:b/>
        </w:rPr>
        <w:t>Chapter 340</w:t>
      </w:r>
    </w:p>
    <w:p w:rsidR="00F31423" w:rsidRPr="00891DCE" w:rsidRDefault="00F31423">
      <w:pPr>
        <w:jc w:val="center"/>
        <w:rPr>
          <w:rFonts w:ascii="Arial" w:hAnsi="Arial" w:cs="Arial"/>
          <w:b/>
        </w:rPr>
      </w:pPr>
      <w:r w:rsidRPr="00891DCE">
        <w:rPr>
          <w:rFonts w:ascii="Arial" w:hAnsi="Arial" w:cs="Arial"/>
          <w:b/>
        </w:rPr>
        <w:t>Proposed Rulemaking</w:t>
      </w:r>
    </w:p>
    <w:p w:rsidR="006A64A3" w:rsidRDefault="006A64A3">
      <w:pPr>
        <w:jc w:val="center"/>
        <w:rPr>
          <w:rFonts w:ascii="Arial" w:hAnsi="Arial" w:cs="Arial"/>
          <w:b/>
        </w:rPr>
      </w:pPr>
      <w:r w:rsidRPr="00891DCE">
        <w:rPr>
          <w:rFonts w:ascii="Arial" w:hAnsi="Arial" w:cs="Arial"/>
          <w:b/>
        </w:rPr>
        <w:t xml:space="preserve">STATEMENT OF NEED AND FISCAL </w:t>
      </w:r>
      <w:r w:rsidR="009611F3" w:rsidRPr="00891DCE">
        <w:rPr>
          <w:rFonts w:ascii="Arial" w:hAnsi="Arial" w:cs="Arial"/>
          <w:b/>
        </w:rPr>
        <w:t xml:space="preserve">AND ECONOMIC </w:t>
      </w:r>
      <w:r w:rsidRPr="00891DCE">
        <w:rPr>
          <w:rFonts w:ascii="Arial" w:hAnsi="Arial" w:cs="Arial"/>
          <w:b/>
        </w:rPr>
        <w:t>IMPACT</w:t>
      </w:r>
    </w:p>
    <w:p w:rsidR="004F75AE" w:rsidRDefault="004F75AE">
      <w:pPr>
        <w:jc w:val="center"/>
        <w:rPr>
          <w:rFonts w:ascii="Arial" w:hAnsi="Arial" w:cs="Arial"/>
          <w:b/>
        </w:rPr>
      </w:pPr>
    </w:p>
    <w:p w:rsidR="004F75AE" w:rsidRDefault="004F75AE">
      <w:pPr>
        <w:jc w:val="center"/>
        <w:rPr>
          <w:rFonts w:ascii="Arial" w:hAnsi="Arial" w:cs="Arial"/>
          <w:b/>
        </w:rPr>
      </w:pPr>
    </w:p>
    <w:p w:rsidR="0071101A" w:rsidRPr="00891DCE" w:rsidRDefault="0071101A">
      <w:pPr>
        <w:jc w:val="center"/>
        <w:rPr>
          <w:rFonts w:ascii="Arial" w:hAnsi="Arial" w:cs="Arial"/>
          <w:b/>
        </w:rPr>
      </w:pPr>
    </w:p>
    <w:p w:rsidR="00261B94" w:rsidRPr="002A14FC" w:rsidRDefault="002A14FC">
      <w:pPr>
        <w:jc w:val="center"/>
        <w:rPr>
          <w:rFonts w:ascii="Arial" w:hAnsi="Arial" w:cs="Arial"/>
          <w:sz w:val="24"/>
          <w:szCs w:val="24"/>
        </w:rPr>
      </w:pPr>
      <w:r w:rsidRPr="002A14FC">
        <w:rPr>
          <w:rFonts w:ascii="Arial" w:hAnsi="Arial" w:cs="Arial"/>
          <w:sz w:val="24"/>
          <w:szCs w:val="24"/>
        </w:rPr>
        <w:t>Amend</w:t>
      </w:r>
      <w:r w:rsidR="004B2075">
        <w:rPr>
          <w:rFonts w:ascii="Arial" w:hAnsi="Arial" w:cs="Arial"/>
          <w:sz w:val="24"/>
          <w:szCs w:val="24"/>
        </w:rPr>
        <w:t>ments to Oregon</w:t>
      </w:r>
      <w:r w:rsidRPr="002A14FC">
        <w:rPr>
          <w:rFonts w:ascii="Arial" w:hAnsi="Arial" w:cs="Arial"/>
          <w:sz w:val="24"/>
          <w:szCs w:val="24"/>
        </w:rPr>
        <w:t xml:space="preserve"> </w:t>
      </w:r>
      <w:r w:rsidR="00261B94" w:rsidRPr="002A14FC">
        <w:rPr>
          <w:rFonts w:ascii="Arial" w:hAnsi="Arial" w:cs="Arial"/>
          <w:sz w:val="24"/>
          <w:szCs w:val="24"/>
        </w:rPr>
        <w:t>Water Quality Standards for Arsenic, Iron and Manganese</w:t>
      </w:r>
    </w:p>
    <w:p w:rsidR="00261B94" w:rsidRDefault="00261B94">
      <w:pPr>
        <w:jc w:val="center"/>
        <w:rPr>
          <w:rFonts w:ascii="Arial" w:hAnsi="Arial" w:cs="Arial"/>
        </w:rPr>
      </w:pPr>
    </w:p>
    <w:p w:rsidR="006A64A3" w:rsidRPr="00891DCE" w:rsidRDefault="006A64A3">
      <w:pPr>
        <w:jc w:val="center"/>
        <w:rPr>
          <w:rFonts w:ascii="Arial" w:hAnsi="Arial" w:cs="Arial"/>
        </w:rPr>
      </w:pPr>
    </w:p>
    <w:p w:rsidR="006A64A3" w:rsidRPr="00891DCE" w:rsidRDefault="006A64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2610"/>
        <w:gridCol w:w="6048"/>
      </w:tblGrid>
      <w:tr w:rsidR="00094D4F" w:rsidRPr="00943AD3" w:rsidTr="00943AD3">
        <w:tc>
          <w:tcPr>
            <w:tcW w:w="2358" w:type="dxa"/>
          </w:tcPr>
          <w:p w:rsidR="00094D4F" w:rsidRPr="00943AD3" w:rsidRDefault="00094D4F" w:rsidP="00943AD3">
            <w:pPr>
              <w:tabs>
                <w:tab w:val="left" w:pos="360"/>
                <w:tab w:val="right" w:pos="2700"/>
              </w:tabs>
              <w:rPr>
                <w:rFonts w:ascii="Arial" w:hAnsi="Arial" w:cs="Arial"/>
                <w:b/>
              </w:rPr>
            </w:pPr>
            <w:bookmarkStart w:id="0" w:name="ABCT"/>
            <w:bookmarkEnd w:id="0"/>
            <w:r w:rsidRPr="00943AD3">
              <w:rPr>
                <w:rFonts w:ascii="Arial" w:hAnsi="Arial" w:cs="Arial"/>
                <w:b/>
              </w:rPr>
              <w:t>Title of Proposed Rulemaking</w:t>
            </w:r>
          </w:p>
          <w:p w:rsidR="004F75AE" w:rsidRPr="00943AD3" w:rsidRDefault="004F75AE" w:rsidP="00943AD3">
            <w:pPr>
              <w:tabs>
                <w:tab w:val="left" w:pos="360"/>
                <w:tab w:val="right" w:pos="2700"/>
              </w:tabs>
              <w:rPr>
                <w:rFonts w:ascii="Arial" w:hAnsi="Arial" w:cs="Arial"/>
                <w:b/>
              </w:rPr>
            </w:pPr>
          </w:p>
        </w:tc>
        <w:tc>
          <w:tcPr>
            <w:tcW w:w="8658" w:type="dxa"/>
            <w:gridSpan w:val="2"/>
          </w:tcPr>
          <w:p w:rsidR="00094D4F" w:rsidRPr="002A14FC" w:rsidRDefault="002A14FC" w:rsidP="002F78E8">
            <w:pPr>
              <w:rPr>
                <w:iCs/>
              </w:rPr>
            </w:pPr>
            <w:r w:rsidRPr="002A14FC">
              <w:rPr>
                <w:iCs/>
              </w:rPr>
              <w:t>Amend</w:t>
            </w:r>
            <w:r>
              <w:rPr>
                <w:iCs/>
              </w:rPr>
              <w:t>ing</w:t>
            </w:r>
            <w:r w:rsidRPr="002A14FC">
              <w:rPr>
                <w:iCs/>
              </w:rPr>
              <w:t xml:space="preserve"> Oregon’s </w:t>
            </w:r>
            <w:r w:rsidR="00261B94" w:rsidRPr="002A14FC">
              <w:rPr>
                <w:iCs/>
              </w:rPr>
              <w:t>W</w:t>
            </w:r>
            <w:r w:rsidRPr="002A14FC">
              <w:rPr>
                <w:iCs/>
              </w:rPr>
              <w:t>at</w:t>
            </w:r>
            <w:r w:rsidR="00261B94" w:rsidRPr="002A14FC">
              <w:rPr>
                <w:iCs/>
              </w:rPr>
              <w:t>er Quality Standards</w:t>
            </w:r>
            <w:r>
              <w:rPr>
                <w:iCs/>
              </w:rPr>
              <w:t>: Revising Human Health Criteria</w:t>
            </w:r>
            <w:r w:rsidRPr="002A14FC">
              <w:rPr>
                <w:iCs/>
              </w:rPr>
              <w:t xml:space="preserve"> </w:t>
            </w:r>
            <w:r w:rsidR="00261B94" w:rsidRPr="002A14FC">
              <w:rPr>
                <w:iCs/>
              </w:rPr>
              <w:t>for Arsenic, Iron and Manganese</w:t>
            </w:r>
            <w:r w:rsidRPr="002A14FC">
              <w:rPr>
                <w:iCs/>
              </w:rPr>
              <w:t xml:space="preserve"> (OAR 340-041-0033, Table 20).</w:t>
            </w:r>
          </w:p>
          <w:p w:rsidR="00261B94" w:rsidRPr="00943AD3" w:rsidRDefault="00261B94" w:rsidP="002F78E8">
            <w:pPr>
              <w:rPr>
                <w:iCs/>
                <w:highlight w:val="yellow"/>
              </w:rPr>
            </w:pPr>
          </w:p>
        </w:tc>
      </w:tr>
      <w:tr w:rsidR="005D212B" w:rsidRPr="00943AD3" w:rsidTr="00943AD3">
        <w:trPr>
          <w:trHeight w:val="647"/>
        </w:trPr>
        <w:tc>
          <w:tcPr>
            <w:tcW w:w="2358" w:type="dxa"/>
            <w:vMerge w:val="restart"/>
          </w:tcPr>
          <w:p w:rsidR="005D212B" w:rsidRPr="00943AD3" w:rsidRDefault="0068056B" w:rsidP="00943AD3">
            <w:pPr>
              <w:tabs>
                <w:tab w:val="left" w:pos="360"/>
                <w:tab w:val="right" w:pos="2700"/>
              </w:tabs>
              <w:rPr>
                <w:rFonts w:ascii="Arial" w:hAnsi="Arial" w:cs="Arial"/>
                <w:b/>
              </w:rPr>
            </w:pPr>
            <w:r w:rsidRPr="00943AD3">
              <w:rPr>
                <w:rFonts w:ascii="Arial" w:hAnsi="Arial" w:cs="Arial"/>
                <w:b/>
              </w:rPr>
              <w:t>Stat</w:t>
            </w:r>
            <w:r w:rsidR="00D96031" w:rsidRPr="00943AD3">
              <w:rPr>
                <w:rFonts w:ascii="Arial" w:hAnsi="Arial" w:cs="Arial"/>
                <w:b/>
              </w:rPr>
              <w:t xml:space="preserve">utory </w:t>
            </w:r>
            <w:r w:rsidR="005D212B" w:rsidRPr="00943AD3">
              <w:rPr>
                <w:rFonts w:ascii="Arial" w:hAnsi="Arial" w:cs="Arial"/>
                <w:b/>
              </w:rPr>
              <w:t>Authority</w:t>
            </w:r>
            <w:r w:rsidRPr="00943AD3">
              <w:rPr>
                <w:rFonts w:ascii="Arial" w:hAnsi="Arial" w:cs="Arial"/>
                <w:b/>
              </w:rPr>
              <w:t xml:space="preserve"> or other Legal Authority</w:t>
            </w:r>
          </w:p>
          <w:p w:rsidR="005D212B" w:rsidRPr="00943AD3" w:rsidRDefault="005D212B" w:rsidP="00943AD3">
            <w:pPr>
              <w:tabs>
                <w:tab w:val="left" w:pos="360"/>
                <w:tab w:val="right" w:pos="2700"/>
              </w:tabs>
              <w:rPr>
                <w:rFonts w:ascii="Arial" w:hAnsi="Arial" w:cs="Arial"/>
                <w:b/>
              </w:rPr>
            </w:pPr>
          </w:p>
          <w:p w:rsidR="005D212B" w:rsidRPr="00943AD3" w:rsidRDefault="005D212B" w:rsidP="00943AD3">
            <w:pPr>
              <w:tabs>
                <w:tab w:val="left" w:pos="360"/>
                <w:tab w:val="right" w:pos="2700"/>
              </w:tabs>
              <w:rPr>
                <w:rFonts w:ascii="Arial" w:hAnsi="Arial" w:cs="Arial"/>
                <w:b/>
              </w:rPr>
            </w:pPr>
            <w:r w:rsidRPr="00943AD3">
              <w:rPr>
                <w:rFonts w:ascii="Arial" w:hAnsi="Arial" w:cs="Arial"/>
                <w:b/>
              </w:rPr>
              <w:t>Stat</w:t>
            </w:r>
            <w:r w:rsidR="00727B74" w:rsidRPr="00943AD3">
              <w:rPr>
                <w:rFonts w:ascii="Arial" w:hAnsi="Arial" w:cs="Arial"/>
                <w:b/>
              </w:rPr>
              <w:t xml:space="preserve">utes </w:t>
            </w:r>
            <w:r w:rsidRPr="00943AD3">
              <w:rPr>
                <w:rFonts w:ascii="Arial" w:hAnsi="Arial" w:cs="Arial"/>
                <w:b/>
              </w:rPr>
              <w:t>Implemented</w:t>
            </w:r>
          </w:p>
          <w:p w:rsidR="005D212B" w:rsidRPr="00943AD3" w:rsidRDefault="005D212B" w:rsidP="00943AD3">
            <w:pPr>
              <w:tabs>
                <w:tab w:val="left" w:pos="360"/>
                <w:tab w:val="right" w:pos="2700"/>
              </w:tabs>
              <w:rPr>
                <w:rFonts w:ascii="Arial" w:hAnsi="Arial" w:cs="Arial"/>
                <w:b/>
              </w:rPr>
            </w:pPr>
          </w:p>
        </w:tc>
        <w:tc>
          <w:tcPr>
            <w:tcW w:w="8658" w:type="dxa"/>
            <w:gridSpan w:val="2"/>
          </w:tcPr>
          <w:p w:rsidR="00F74F44" w:rsidRPr="00F74F44" w:rsidRDefault="00F74F44" w:rsidP="009D3156">
            <w:pPr>
              <w:rPr>
                <w:rFonts w:ascii="Arial" w:hAnsi="Arial"/>
                <w:sz w:val="14"/>
              </w:rPr>
            </w:pPr>
            <w:r>
              <w:t>ORS 468</w:t>
            </w:r>
            <w:r w:rsidR="009D3156">
              <w:t>B</w:t>
            </w:r>
            <w:r w:rsidR="009C612B">
              <w:t>.</w:t>
            </w:r>
            <w:r w:rsidR="009D3156">
              <w:t>010</w:t>
            </w:r>
            <w:r>
              <w:t xml:space="preserve"> and 468B.03</w:t>
            </w:r>
            <w:r w:rsidR="009D3156">
              <w:t>5</w:t>
            </w:r>
            <w:r w:rsidR="006B298A">
              <w:t>, 468.020</w:t>
            </w:r>
          </w:p>
        </w:tc>
      </w:tr>
      <w:tr w:rsidR="005D212B" w:rsidRPr="00943AD3" w:rsidTr="00943AD3">
        <w:trPr>
          <w:trHeight w:val="287"/>
        </w:trPr>
        <w:tc>
          <w:tcPr>
            <w:tcW w:w="2358" w:type="dxa"/>
            <w:vMerge/>
          </w:tcPr>
          <w:p w:rsidR="005D212B" w:rsidRPr="00943AD3" w:rsidRDefault="005D212B" w:rsidP="00943AD3">
            <w:pPr>
              <w:tabs>
                <w:tab w:val="left" w:pos="360"/>
                <w:tab w:val="right" w:pos="2700"/>
              </w:tabs>
              <w:rPr>
                <w:rFonts w:ascii="Arial" w:hAnsi="Arial" w:cs="Arial"/>
                <w:b/>
              </w:rPr>
            </w:pPr>
          </w:p>
        </w:tc>
        <w:tc>
          <w:tcPr>
            <w:tcW w:w="8658" w:type="dxa"/>
            <w:gridSpan w:val="2"/>
          </w:tcPr>
          <w:p w:rsidR="00F74F44" w:rsidRDefault="00F74F44" w:rsidP="00F74F44">
            <w:pPr>
              <w:rPr>
                <w:rFonts w:ascii="Arial" w:hAnsi="Arial"/>
                <w:sz w:val="14"/>
              </w:rPr>
            </w:pPr>
            <w:r>
              <w:t>ORS 468</w:t>
            </w:r>
            <w:r w:rsidR="009D3156">
              <w:t>B.048</w:t>
            </w:r>
          </w:p>
          <w:p w:rsidR="005D212B" w:rsidRPr="00943AD3" w:rsidRDefault="005D212B" w:rsidP="00211D5F">
            <w:pPr>
              <w:rPr>
                <w:highlight w:val="yellow"/>
              </w:rPr>
            </w:pPr>
          </w:p>
        </w:tc>
      </w:tr>
      <w:tr w:rsidR="00211D5F" w:rsidRPr="00943AD3" w:rsidTr="00943AD3">
        <w:tc>
          <w:tcPr>
            <w:tcW w:w="2358" w:type="dxa"/>
          </w:tcPr>
          <w:p w:rsidR="00211D5F" w:rsidRPr="00943AD3" w:rsidRDefault="00211D5F" w:rsidP="00211D5F">
            <w:pPr>
              <w:rPr>
                <w:rFonts w:ascii="Arial" w:hAnsi="Arial" w:cs="Arial"/>
                <w:b/>
              </w:rPr>
            </w:pPr>
            <w:r w:rsidRPr="00943AD3">
              <w:rPr>
                <w:rFonts w:ascii="Arial" w:hAnsi="Arial" w:cs="Arial"/>
                <w:b/>
              </w:rPr>
              <w:t>Need for the Rule(s)</w:t>
            </w:r>
          </w:p>
          <w:p w:rsidR="00EE032E" w:rsidRPr="00943AD3" w:rsidRDefault="00EE032E" w:rsidP="00211D5F">
            <w:pPr>
              <w:rPr>
                <w:rFonts w:ascii="Arial" w:hAnsi="Arial" w:cs="Arial"/>
                <w:b/>
              </w:rPr>
            </w:pPr>
          </w:p>
          <w:p w:rsidR="00EE032E" w:rsidRPr="00943AD3" w:rsidRDefault="00EE032E" w:rsidP="00211D5F">
            <w:pPr>
              <w:rPr>
                <w:rFonts w:ascii="Arial" w:hAnsi="Arial" w:cs="Arial"/>
                <w:b/>
              </w:rPr>
            </w:pPr>
          </w:p>
          <w:p w:rsidR="00EE032E" w:rsidRPr="00943AD3" w:rsidRDefault="00EE032E" w:rsidP="00211D5F">
            <w:pPr>
              <w:rPr>
                <w:rFonts w:ascii="Arial" w:hAnsi="Arial" w:cs="Arial"/>
                <w:b/>
              </w:rPr>
            </w:pPr>
          </w:p>
          <w:p w:rsidR="00211D5F" w:rsidRPr="00943AD3" w:rsidRDefault="00211D5F" w:rsidP="00211D5F">
            <w:pPr>
              <w:rPr>
                <w:rFonts w:ascii="Arial" w:hAnsi="Arial" w:cs="Arial"/>
                <w:b/>
              </w:rPr>
            </w:pPr>
          </w:p>
        </w:tc>
        <w:tc>
          <w:tcPr>
            <w:tcW w:w="8658" w:type="dxa"/>
            <w:gridSpan w:val="2"/>
          </w:tcPr>
          <w:p w:rsidR="006B67EA" w:rsidRDefault="00F74F44" w:rsidP="00F74F44">
            <w:pPr>
              <w:rPr>
                <w:iCs/>
              </w:rPr>
            </w:pPr>
            <w:r w:rsidRPr="00F74F44">
              <w:rPr>
                <w:iCs/>
              </w:rPr>
              <w:t xml:space="preserve">Oregon’s current human health criteria </w:t>
            </w:r>
            <w:r>
              <w:rPr>
                <w:iCs/>
              </w:rPr>
              <w:t xml:space="preserve">for arsenic, iron and manganese are not attainable in many Oregon waters due to natural </w:t>
            </w:r>
            <w:r w:rsidR="00F369F3">
              <w:rPr>
                <w:iCs/>
              </w:rPr>
              <w:t xml:space="preserve">geologic </w:t>
            </w:r>
            <w:r>
              <w:rPr>
                <w:iCs/>
              </w:rPr>
              <w:t xml:space="preserve">sources.  </w:t>
            </w:r>
            <w:r w:rsidR="006B67EA">
              <w:rPr>
                <w:iCs/>
              </w:rPr>
              <w:t xml:space="preserve">Clean Water Act requirements for implementing </w:t>
            </w:r>
            <w:r w:rsidR="003913E7">
              <w:rPr>
                <w:iCs/>
              </w:rPr>
              <w:t xml:space="preserve">these </w:t>
            </w:r>
            <w:r w:rsidR="006B67EA">
              <w:rPr>
                <w:iCs/>
              </w:rPr>
              <w:t xml:space="preserve">water quality standards have resulted </w:t>
            </w:r>
            <w:r w:rsidR="00D8631D">
              <w:rPr>
                <w:iCs/>
              </w:rPr>
              <w:t xml:space="preserve">and will continue to result </w:t>
            </w:r>
            <w:r w:rsidR="006B67EA">
              <w:rPr>
                <w:iCs/>
              </w:rPr>
              <w:t>in DEQ and other entities expending resources to address pollutants that are predominantly natural</w:t>
            </w:r>
            <w:r w:rsidR="00D8631D">
              <w:rPr>
                <w:iCs/>
              </w:rPr>
              <w:t>.</w:t>
            </w:r>
            <w:r w:rsidR="00F504BB">
              <w:rPr>
                <w:iCs/>
              </w:rPr>
              <w:t xml:space="preserve">  In addition, Oregon’s </w:t>
            </w:r>
            <w:r w:rsidR="00610E39">
              <w:rPr>
                <w:iCs/>
              </w:rPr>
              <w:t xml:space="preserve">current </w:t>
            </w:r>
            <w:r w:rsidR="00F504BB">
              <w:rPr>
                <w:iCs/>
              </w:rPr>
              <w:t>arsenic criteria are not consistent with EPA</w:t>
            </w:r>
            <w:r w:rsidR="00610E39">
              <w:rPr>
                <w:iCs/>
              </w:rPr>
              <w:t>’s recommendation</w:t>
            </w:r>
            <w:r w:rsidR="00F504BB">
              <w:rPr>
                <w:iCs/>
              </w:rPr>
              <w:t xml:space="preserve"> </w:t>
            </w:r>
            <w:r w:rsidR="00610E39">
              <w:rPr>
                <w:iCs/>
              </w:rPr>
              <w:t xml:space="preserve">to express </w:t>
            </w:r>
            <w:r w:rsidR="00F504BB">
              <w:rPr>
                <w:iCs/>
              </w:rPr>
              <w:t xml:space="preserve">the criteria </w:t>
            </w:r>
            <w:r w:rsidR="00610E39">
              <w:rPr>
                <w:iCs/>
              </w:rPr>
              <w:t xml:space="preserve">as </w:t>
            </w:r>
            <w:r w:rsidR="00F504BB">
              <w:rPr>
                <w:iCs/>
              </w:rPr>
              <w:t xml:space="preserve">inorganic arsenic, </w:t>
            </w:r>
            <w:r w:rsidR="00610E39">
              <w:rPr>
                <w:iCs/>
              </w:rPr>
              <w:t xml:space="preserve">which is </w:t>
            </w:r>
            <w:r w:rsidR="00F504BB">
              <w:rPr>
                <w:iCs/>
              </w:rPr>
              <w:t>the toxic form of the metal</w:t>
            </w:r>
            <w:r w:rsidR="00610E39">
              <w:rPr>
                <w:iCs/>
              </w:rPr>
              <w:t>.</w:t>
            </w:r>
            <w:r w:rsidR="00F504BB">
              <w:rPr>
                <w:iCs/>
              </w:rPr>
              <w:t xml:space="preserve"> </w:t>
            </w:r>
            <w:r w:rsidR="00610E39">
              <w:rPr>
                <w:iCs/>
              </w:rPr>
              <w:t xml:space="preserve"> The proposed arsenic </w:t>
            </w:r>
            <w:r w:rsidR="00F504BB">
              <w:rPr>
                <w:iCs/>
              </w:rPr>
              <w:t xml:space="preserve">criteria </w:t>
            </w:r>
            <w:r w:rsidR="00610E39">
              <w:rPr>
                <w:iCs/>
              </w:rPr>
              <w:t xml:space="preserve">will also address, in part, EPA’s June 1, 2010 disapproval of Oregon’s human health criteria due to concerns about the fish consumption rate value used to derive the criteria. </w:t>
            </w:r>
          </w:p>
          <w:p w:rsidR="00610E39" w:rsidRDefault="00610E39" w:rsidP="00F74F44">
            <w:pPr>
              <w:rPr>
                <w:iCs/>
              </w:rPr>
            </w:pPr>
          </w:p>
          <w:p w:rsidR="00824B5F" w:rsidRDefault="009A34A0" w:rsidP="00824B5F">
            <w:pPr>
              <w:rPr>
                <w:iCs/>
              </w:rPr>
            </w:pPr>
            <w:r>
              <w:rPr>
                <w:iCs/>
              </w:rPr>
              <w:t xml:space="preserve">The proposed criteria </w:t>
            </w:r>
            <w:r w:rsidR="00F91249">
              <w:rPr>
                <w:iCs/>
              </w:rPr>
              <w:t>revisions address</w:t>
            </w:r>
            <w:r>
              <w:rPr>
                <w:iCs/>
              </w:rPr>
              <w:t xml:space="preserve"> </w:t>
            </w:r>
            <w:r w:rsidR="00F504BB">
              <w:rPr>
                <w:iCs/>
              </w:rPr>
              <w:t xml:space="preserve">these issues </w:t>
            </w:r>
            <w:r w:rsidR="00276E56">
              <w:rPr>
                <w:iCs/>
              </w:rPr>
              <w:t xml:space="preserve">for arsenic, iron and manganese </w:t>
            </w:r>
            <w:r>
              <w:rPr>
                <w:iCs/>
              </w:rPr>
              <w:t>by putting in place only those criteria needed to protect human health and b</w:t>
            </w:r>
            <w:r w:rsidR="00A655C2">
              <w:rPr>
                <w:iCs/>
              </w:rPr>
              <w:t>y</w:t>
            </w:r>
            <w:r>
              <w:rPr>
                <w:iCs/>
              </w:rPr>
              <w:t xml:space="preserve"> setting those criteria at levels that </w:t>
            </w:r>
            <w:r w:rsidR="00F91249">
              <w:rPr>
                <w:iCs/>
              </w:rPr>
              <w:t>continue to protect</w:t>
            </w:r>
            <w:r>
              <w:rPr>
                <w:iCs/>
              </w:rPr>
              <w:t xml:space="preserve"> human health </w:t>
            </w:r>
            <w:r w:rsidR="00F91249">
              <w:rPr>
                <w:iCs/>
              </w:rPr>
              <w:t>while recognizing</w:t>
            </w:r>
            <w:r>
              <w:rPr>
                <w:iCs/>
              </w:rPr>
              <w:t xml:space="preserve"> the </w:t>
            </w:r>
            <w:r w:rsidR="00276E56">
              <w:rPr>
                <w:iCs/>
              </w:rPr>
              <w:t xml:space="preserve">natural occurrence </w:t>
            </w:r>
            <w:r>
              <w:rPr>
                <w:iCs/>
              </w:rPr>
              <w:t xml:space="preserve">of these metals in Oregon waters.  </w:t>
            </w:r>
            <w:r w:rsidR="00190A26">
              <w:rPr>
                <w:iCs/>
              </w:rPr>
              <w:t xml:space="preserve">The proposed rule amendment withdraws </w:t>
            </w:r>
            <w:r w:rsidR="00C36C0D">
              <w:rPr>
                <w:iCs/>
              </w:rPr>
              <w:t xml:space="preserve">several of the </w:t>
            </w:r>
            <w:r w:rsidR="00190A26">
              <w:rPr>
                <w:iCs/>
              </w:rPr>
              <w:t xml:space="preserve">human health criteria for iron and manganese.  </w:t>
            </w:r>
            <w:r w:rsidR="00A655C2">
              <w:rPr>
                <w:iCs/>
              </w:rPr>
              <w:t xml:space="preserve">The proposed </w:t>
            </w:r>
            <w:r w:rsidR="00190A26">
              <w:rPr>
                <w:iCs/>
              </w:rPr>
              <w:t xml:space="preserve">amendment also </w:t>
            </w:r>
            <w:r w:rsidR="003913E7">
              <w:rPr>
                <w:iCs/>
              </w:rPr>
              <w:t>establish</w:t>
            </w:r>
            <w:r w:rsidR="00190A26">
              <w:rPr>
                <w:iCs/>
              </w:rPr>
              <w:t>es</w:t>
            </w:r>
            <w:r w:rsidR="003913E7">
              <w:rPr>
                <w:iCs/>
              </w:rPr>
              <w:t xml:space="preserve"> </w:t>
            </w:r>
            <w:r w:rsidR="00A655C2">
              <w:rPr>
                <w:iCs/>
              </w:rPr>
              <w:t xml:space="preserve">numeric </w:t>
            </w:r>
            <w:r w:rsidR="00190A26">
              <w:rPr>
                <w:iCs/>
              </w:rPr>
              <w:t xml:space="preserve">inorganic </w:t>
            </w:r>
            <w:r w:rsidR="00A655C2">
              <w:rPr>
                <w:iCs/>
              </w:rPr>
              <w:t xml:space="preserve">arsenic criteria </w:t>
            </w:r>
            <w:r w:rsidR="00190A26">
              <w:rPr>
                <w:iCs/>
              </w:rPr>
              <w:t xml:space="preserve">based on a fish consumption rate </w:t>
            </w:r>
            <w:r w:rsidR="00F504BB">
              <w:rPr>
                <w:iCs/>
              </w:rPr>
              <w:t xml:space="preserve">of </w:t>
            </w:r>
            <w:r w:rsidR="00190A26">
              <w:rPr>
                <w:iCs/>
              </w:rPr>
              <w:t xml:space="preserve">175 grams per day. </w:t>
            </w:r>
            <w:r w:rsidR="00D8631D">
              <w:rPr>
                <w:iCs/>
              </w:rPr>
              <w:t xml:space="preserve"> </w:t>
            </w:r>
            <w:r w:rsidR="00190A26">
              <w:rPr>
                <w:iCs/>
              </w:rPr>
              <w:t xml:space="preserve">The revised arsenic criteria are </w:t>
            </w:r>
            <w:r w:rsidR="00A655C2">
              <w:rPr>
                <w:iCs/>
              </w:rPr>
              <w:t xml:space="preserve">less stringent than the </w:t>
            </w:r>
            <w:r w:rsidR="00190A26">
              <w:rPr>
                <w:iCs/>
              </w:rPr>
              <w:t xml:space="preserve">existing </w:t>
            </w:r>
            <w:r w:rsidR="00A655C2">
              <w:rPr>
                <w:iCs/>
              </w:rPr>
              <w:t>criteria</w:t>
            </w:r>
            <w:r w:rsidR="00206D3F">
              <w:rPr>
                <w:iCs/>
              </w:rPr>
              <w:t>.</w:t>
            </w:r>
            <w:r w:rsidR="00A655C2">
              <w:rPr>
                <w:iCs/>
              </w:rPr>
              <w:t xml:space="preserve"> </w:t>
            </w:r>
            <w:r w:rsidR="00206D3F">
              <w:rPr>
                <w:iCs/>
              </w:rPr>
              <w:t xml:space="preserve"> </w:t>
            </w:r>
            <w:r w:rsidR="00D8631D">
              <w:rPr>
                <w:iCs/>
              </w:rPr>
              <w:t>Upon scientific review, DEQ finds that proposed criteria are sufficient to protect human health.</w:t>
            </w:r>
          </w:p>
          <w:p w:rsidR="00D04B62" w:rsidRDefault="00D04B62" w:rsidP="00F74F44">
            <w:pPr>
              <w:rPr>
                <w:iCs/>
              </w:rPr>
            </w:pPr>
          </w:p>
          <w:p w:rsidR="00D04B62" w:rsidRDefault="00190A26" w:rsidP="00D04B62">
            <w:pPr>
              <w:rPr>
                <w:iCs/>
              </w:rPr>
            </w:pPr>
            <w:r>
              <w:rPr>
                <w:iCs/>
              </w:rPr>
              <w:t xml:space="preserve">Because natural concentrations of arsenic present a risk to human health that is higher than the risk level that </w:t>
            </w:r>
            <w:r w:rsidR="00D04B62">
              <w:rPr>
                <w:iCs/>
              </w:rPr>
              <w:t xml:space="preserve">the Environmental Quality Commission (EQC) </w:t>
            </w:r>
            <w:r>
              <w:rPr>
                <w:iCs/>
              </w:rPr>
              <w:t xml:space="preserve">ordinarily uses to establish human health criteria, DEQ also proposes that the EQC </w:t>
            </w:r>
            <w:r w:rsidR="00D04B62">
              <w:rPr>
                <w:iCs/>
              </w:rPr>
              <w:t>adopt a</w:t>
            </w:r>
            <w:r w:rsidR="00824B5F">
              <w:rPr>
                <w:iCs/>
              </w:rPr>
              <w:t xml:space="preserve">n arsenic reduction policy </w:t>
            </w:r>
            <w:r>
              <w:rPr>
                <w:iCs/>
              </w:rPr>
              <w:t xml:space="preserve">and </w:t>
            </w:r>
            <w:r w:rsidR="00824B5F">
              <w:rPr>
                <w:iCs/>
              </w:rPr>
              <w:t>rule</w:t>
            </w:r>
            <w:r w:rsidR="00D04B62">
              <w:rPr>
                <w:iCs/>
              </w:rPr>
              <w:t>.    The purpose of this policy is to ensure that any a</w:t>
            </w:r>
            <w:r w:rsidR="00824B5F">
              <w:rPr>
                <w:iCs/>
              </w:rPr>
              <w:t xml:space="preserve">rsenic added to Oregon waters </w:t>
            </w:r>
            <w:r w:rsidR="00D04B62">
              <w:rPr>
                <w:iCs/>
              </w:rPr>
              <w:t>from known and significant anthropogenic sources is reduced to the maximum extent possible in order to keep human health risks associated with arsenic in drinking water s</w:t>
            </w:r>
            <w:r w:rsidR="00A325B0">
              <w:rPr>
                <w:iCs/>
              </w:rPr>
              <w:t>ource waters as low as possible</w:t>
            </w:r>
            <w:r w:rsidR="00824B5F">
              <w:rPr>
                <w:iCs/>
              </w:rPr>
              <w:t>.</w:t>
            </w:r>
            <w:r w:rsidR="003913E7">
              <w:rPr>
                <w:iCs/>
              </w:rPr>
              <w:t xml:space="preserve"> The proposed revisions will result in: 1) more appropriate identification of water quality impairments by DEQ, and 2) more environmentally meaningful use of resources by DEQ and other entities.</w:t>
            </w:r>
          </w:p>
          <w:p w:rsidR="005677DF" w:rsidRPr="00943AD3" w:rsidRDefault="005677DF" w:rsidP="00D04B62">
            <w:pPr>
              <w:rPr>
                <w:highlight w:val="yellow"/>
              </w:rPr>
            </w:pPr>
          </w:p>
        </w:tc>
      </w:tr>
      <w:tr w:rsidR="00211D5F" w:rsidRPr="00943AD3" w:rsidTr="00943AD3">
        <w:tc>
          <w:tcPr>
            <w:tcW w:w="2358" w:type="dxa"/>
          </w:tcPr>
          <w:p w:rsidR="00211D5F" w:rsidRPr="00943AD3" w:rsidRDefault="00211D5F" w:rsidP="00211D5F">
            <w:pPr>
              <w:rPr>
                <w:rFonts w:ascii="Arial" w:hAnsi="Arial" w:cs="Arial"/>
              </w:rPr>
            </w:pPr>
            <w:r w:rsidRPr="00943AD3">
              <w:rPr>
                <w:rFonts w:ascii="Arial" w:hAnsi="Arial" w:cs="Arial"/>
                <w:b/>
              </w:rPr>
              <w:t>Documents Relied Upon for Rulemaking</w:t>
            </w:r>
            <w:r w:rsidRPr="00943AD3">
              <w:rPr>
                <w:rFonts w:ascii="Arial" w:hAnsi="Arial" w:cs="Arial"/>
              </w:rPr>
              <w:t xml:space="preserve"> </w:t>
            </w:r>
          </w:p>
          <w:p w:rsidR="00211D5F" w:rsidRPr="00943AD3" w:rsidRDefault="00211D5F" w:rsidP="00211D5F">
            <w:pPr>
              <w:rPr>
                <w:rFonts w:ascii="Arial" w:hAnsi="Arial" w:cs="Arial"/>
                <w:b/>
              </w:rPr>
            </w:pPr>
            <w:r w:rsidRPr="00943AD3">
              <w:rPr>
                <w:rFonts w:ascii="Arial" w:hAnsi="Arial" w:cs="Arial"/>
              </w:rPr>
              <w:t xml:space="preserve"> </w:t>
            </w:r>
          </w:p>
        </w:tc>
        <w:tc>
          <w:tcPr>
            <w:tcW w:w="8658" w:type="dxa"/>
            <w:gridSpan w:val="2"/>
          </w:tcPr>
          <w:p w:rsidR="003F29B5" w:rsidRPr="00612BAD" w:rsidRDefault="00612BAD" w:rsidP="00943AD3">
            <w:pPr>
              <w:autoSpaceDE w:val="0"/>
              <w:autoSpaceDN w:val="0"/>
              <w:adjustRightInd w:val="0"/>
              <w:rPr>
                <w:iCs/>
              </w:rPr>
            </w:pPr>
            <w:r w:rsidRPr="00612BAD">
              <w:rPr>
                <w:iCs/>
              </w:rPr>
              <w:t xml:space="preserve">The following documents are available at the websites listed or by contacting Debra Sturdevant at </w:t>
            </w:r>
            <w:hyperlink r:id="rId7" w:history="1">
              <w:r w:rsidRPr="00612BAD">
                <w:rPr>
                  <w:rStyle w:val="Hyperlink"/>
                  <w:iCs/>
                </w:rPr>
                <w:t>sturdevant.debra@de.state.or.us</w:t>
              </w:r>
            </w:hyperlink>
            <w:r w:rsidRPr="00612BAD">
              <w:rPr>
                <w:iCs/>
              </w:rPr>
              <w:t xml:space="preserve"> or at 503-229-6691.</w:t>
            </w:r>
          </w:p>
          <w:p w:rsidR="00612BAD" w:rsidRPr="003F29B5" w:rsidRDefault="00612BAD" w:rsidP="00943AD3">
            <w:pPr>
              <w:autoSpaceDE w:val="0"/>
              <w:autoSpaceDN w:val="0"/>
              <w:adjustRightInd w:val="0"/>
              <w:rPr>
                <w:iCs/>
                <w:highlight w:val="yellow"/>
              </w:rPr>
            </w:pPr>
          </w:p>
          <w:p w:rsidR="003F29B5" w:rsidRDefault="003F29B5" w:rsidP="003F29B5">
            <w:pPr>
              <w:pStyle w:val="DEQREPORTTITLE"/>
              <w:rPr>
                <w:rFonts w:ascii="Times New Roman" w:hAnsi="Times New Roman"/>
                <w:b w:val="0"/>
                <w:sz w:val="20"/>
              </w:rPr>
            </w:pPr>
            <w:bookmarkStart w:id="1" w:name="_Toc225309232"/>
            <w:r w:rsidRPr="00612BAD">
              <w:rPr>
                <w:rFonts w:ascii="Times New Roman" w:hAnsi="Times New Roman"/>
                <w:b w:val="0"/>
                <w:i/>
                <w:sz w:val="20"/>
              </w:rPr>
              <w:t>Water</w:t>
            </w:r>
            <w:bookmarkEnd w:id="1"/>
            <w:r w:rsidRPr="00612BAD">
              <w:rPr>
                <w:rFonts w:ascii="Times New Roman" w:hAnsi="Times New Roman"/>
                <w:b w:val="0"/>
                <w:i/>
                <w:sz w:val="20"/>
              </w:rPr>
              <w:t xml:space="preserve"> Quality Standards Review and Recommendations: Arsenic, Iron and Manganese.</w:t>
            </w:r>
            <w:r>
              <w:rPr>
                <w:rFonts w:ascii="Times New Roman" w:hAnsi="Times New Roman"/>
                <w:b w:val="0"/>
                <w:sz w:val="20"/>
              </w:rPr>
              <w:t xml:space="preserve">  </w:t>
            </w:r>
            <w:r w:rsidR="005A11F2">
              <w:rPr>
                <w:rFonts w:ascii="Times New Roman" w:hAnsi="Times New Roman"/>
                <w:b w:val="0"/>
                <w:sz w:val="20"/>
              </w:rPr>
              <w:t xml:space="preserve">Oregon </w:t>
            </w:r>
            <w:r w:rsidRPr="003F29B5">
              <w:rPr>
                <w:rFonts w:ascii="Times New Roman" w:hAnsi="Times New Roman"/>
                <w:b w:val="0"/>
                <w:sz w:val="20"/>
              </w:rPr>
              <w:t>DEQ</w:t>
            </w:r>
            <w:r w:rsidR="005A11F2">
              <w:rPr>
                <w:rFonts w:ascii="Times New Roman" w:hAnsi="Times New Roman"/>
                <w:b w:val="0"/>
                <w:sz w:val="20"/>
              </w:rPr>
              <w:t>,</w:t>
            </w:r>
            <w:r w:rsidRPr="003F29B5">
              <w:rPr>
                <w:rFonts w:ascii="Times New Roman" w:hAnsi="Times New Roman"/>
                <w:b w:val="0"/>
                <w:sz w:val="20"/>
              </w:rPr>
              <w:t xml:space="preserve"> Water Quality Standards </w:t>
            </w:r>
            <w:r w:rsidR="005A11F2">
              <w:rPr>
                <w:rFonts w:ascii="Times New Roman" w:hAnsi="Times New Roman"/>
                <w:b w:val="0"/>
                <w:sz w:val="20"/>
              </w:rPr>
              <w:t>and Assessment Section</w:t>
            </w:r>
            <w:r>
              <w:rPr>
                <w:rFonts w:ascii="Times New Roman" w:hAnsi="Times New Roman"/>
                <w:b w:val="0"/>
                <w:sz w:val="20"/>
              </w:rPr>
              <w:t>,</w:t>
            </w:r>
            <w:r w:rsidRPr="003F29B5">
              <w:rPr>
                <w:rFonts w:ascii="Times New Roman" w:hAnsi="Times New Roman"/>
                <w:b w:val="0"/>
                <w:sz w:val="20"/>
              </w:rPr>
              <w:t xml:space="preserve"> 2010</w:t>
            </w:r>
            <w:r>
              <w:rPr>
                <w:rFonts w:ascii="Times New Roman" w:hAnsi="Times New Roman"/>
                <w:b w:val="0"/>
                <w:sz w:val="20"/>
              </w:rPr>
              <w:t xml:space="preserve">.  </w:t>
            </w:r>
          </w:p>
          <w:p w:rsidR="00612BAD" w:rsidRDefault="00612BAD" w:rsidP="003F29B5">
            <w:pPr>
              <w:pStyle w:val="DEQREPORTTITLE"/>
              <w:rPr>
                <w:rFonts w:ascii="Times New Roman" w:hAnsi="Times New Roman"/>
                <w:b w:val="0"/>
                <w:sz w:val="20"/>
              </w:rPr>
            </w:pPr>
            <w:r>
              <w:rPr>
                <w:rFonts w:ascii="Times New Roman" w:hAnsi="Times New Roman"/>
                <w:b w:val="0"/>
                <w:sz w:val="20"/>
              </w:rPr>
              <w:t>(</w:t>
            </w:r>
            <w:hyperlink r:id="rId8" w:history="1">
              <w:r w:rsidRPr="007425D3">
                <w:rPr>
                  <w:rStyle w:val="Hyperlink"/>
                  <w:rFonts w:ascii="Times New Roman" w:hAnsi="Times New Roman"/>
                  <w:b w:val="0"/>
                  <w:sz w:val="20"/>
                </w:rPr>
                <w:t>http://www.deq.state.or.us/wq/standards/review.htm</w:t>
              </w:r>
            </w:hyperlink>
            <w:r>
              <w:rPr>
                <w:rFonts w:ascii="Times New Roman" w:hAnsi="Times New Roman"/>
                <w:b w:val="0"/>
                <w:sz w:val="20"/>
              </w:rPr>
              <w:t>)</w:t>
            </w:r>
          </w:p>
          <w:p w:rsidR="00612BAD" w:rsidRDefault="00612BAD" w:rsidP="003F29B5">
            <w:pPr>
              <w:pStyle w:val="DEQREPORTTITLE"/>
              <w:rPr>
                <w:rFonts w:ascii="Times New Roman" w:hAnsi="Times New Roman"/>
                <w:b w:val="0"/>
                <w:sz w:val="20"/>
              </w:rPr>
            </w:pPr>
          </w:p>
          <w:p w:rsidR="003F29B5" w:rsidRDefault="003F29B5" w:rsidP="003F29B5">
            <w:pPr>
              <w:pStyle w:val="DEQREPORTTITLE"/>
              <w:rPr>
                <w:rFonts w:ascii="Times New Roman" w:hAnsi="Times New Roman"/>
                <w:b w:val="0"/>
                <w:sz w:val="20"/>
              </w:rPr>
            </w:pPr>
            <w:r w:rsidRPr="00612BAD">
              <w:rPr>
                <w:rFonts w:ascii="Times New Roman" w:hAnsi="Times New Roman"/>
                <w:b w:val="0"/>
                <w:i/>
                <w:sz w:val="20"/>
              </w:rPr>
              <w:t>Quality Criteria for Water</w:t>
            </w:r>
            <w:r>
              <w:rPr>
                <w:rFonts w:ascii="Times New Roman" w:hAnsi="Times New Roman"/>
                <w:b w:val="0"/>
                <w:sz w:val="20"/>
              </w:rPr>
              <w:t>.  EPA, 1986</w:t>
            </w:r>
            <w:r w:rsidR="005A11F2">
              <w:rPr>
                <w:rFonts w:ascii="Times New Roman" w:hAnsi="Times New Roman"/>
                <w:b w:val="0"/>
                <w:sz w:val="20"/>
              </w:rPr>
              <w:t>.</w:t>
            </w:r>
          </w:p>
          <w:p w:rsidR="00612BAD" w:rsidRDefault="00612BAD" w:rsidP="003F29B5">
            <w:pPr>
              <w:pStyle w:val="DEQREPORTTITLE"/>
              <w:rPr>
                <w:rFonts w:ascii="Times New Roman" w:hAnsi="Times New Roman"/>
                <w:b w:val="0"/>
                <w:sz w:val="20"/>
              </w:rPr>
            </w:pPr>
            <w:r>
              <w:rPr>
                <w:rFonts w:ascii="Times New Roman" w:hAnsi="Times New Roman"/>
                <w:b w:val="0"/>
                <w:sz w:val="20"/>
              </w:rPr>
              <w:t>(</w:t>
            </w:r>
            <w:hyperlink r:id="rId9" w:history="1">
              <w:r w:rsidRPr="007425D3">
                <w:rPr>
                  <w:rStyle w:val="Hyperlink"/>
                  <w:rFonts w:ascii="Times New Roman" w:hAnsi="Times New Roman"/>
                  <w:b w:val="0"/>
                  <w:sz w:val="20"/>
                </w:rPr>
                <w:t>http://www.epa.gov/waterscience/criteria/library/goldbook.pdf</w:t>
              </w:r>
            </w:hyperlink>
            <w:r>
              <w:rPr>
                <w:rFonts w:ascii="Times New Roman" w:hAnsi="Times New Roman"/>
                <w:b w:val="0"/>
                <w:sz w:val="20"/>
              </w:rPr>
              <w:t>)</w:t>
            </w:r>
          </w:p>
          <w:p w:rsidR="00612BAD" w:rsidRDefault="00612BAD" w:rsidP="003F29B5">
            <w:pPr>
              <w:pStyle w:val="DEQREPORTTITLE"/>
              <w:rPr>
                <w:rFonts w:ascii="Times New Roman" w:hAnsi="Times New Roman"/>
                <w:b w:val="0"/>
                <w:sz w:val="20"/>
              </w:rPr>
            </w:pPr>
          </w:p>
          <w:p w:rsidR="003F29B5" w:rsidRPr="003F29B5" w:rsidRDefault="003F29B5" w:rsidP="003F29B5">
            <w:pPr>
              <w:pStyle w:val="DEQREPORTTITLE"/>
              <w:rPr>
                <w:rFonts w:ascii="Times New Roman" w:hAnsi="Times New Roman"/>
                <w:b w:val="0"/>
                <w:sz w:val="20"/>
              </w:rPr>
            </w:pPr>
            <w:r w:rsidRPr="00612BAD">
              <w:rPr>
                <w:rFonts w:ascii="Times New Roman" w:hAnsi="Times New Roman"/>
                <w:b w:val="0"/>
                <w:i/>
                <w:sz w:val="20"/>
              </w:rPr>
              <w:t>Water Quality Criteria</w:t>
            </w:r>
            <w:r w:rsidR="005A11F2">
              <w:rPr>
                <w:rFonts w:ascii="Times New Roman" w:hAnsi="Times New Roman"/>
                <w:b w:val="0"/>
                <w:i/>
                <w:sz w:val="20"/>
              </w:rPr>
              <w:t>.</w:t>
            </w:r>
            <w:r w:rsidR="005A11F2">
              <w:rPr>
                <w:rFonts w:ascii="Times New Roman" w:hAnsi="Times New Roman"/>
                <w:b w:val="0"/>
                <w:sz w:val="20"/>
              </w:rPr>
              <w:t xml:space="preserve">  EPA, 1976.</w:t>
            </w:r>
          </w:p>
          <w:p w:rsidR="003F29B5" w:rsidRPr="005A11F2" w:rsidRDefault="005A11F2" w:rsidP="003F29B5">
            <w:pPr>
              <w:rPr>
                <w:color w:val="548DD4" w:themeColor="text2" w:themeTint="99"/>
              </w:rPr>
            </w:pPr>
            <w:r w:rsidRPr="005A11F2">
              <w:rPr>
                <w:color w:val="548DD4" w:themeColor="text2" w:themeTint="99"/>
              </w:rPr>
              <w:t>(</w:t>
            </w:r>
            <w:hyperlink r:id="rId10" w:history="1">
              <w:r w:rsidRPr="005A11F2">
                <w:rPr>
                  <w:rStyle w:val="Hyperlink"/>
                  <w:color w:val="548DD4" w:themeColor="text2" w:themeTint="99"/>
                </w:rPr>
                <w:t>http://www.epa.gov/waterscience/criteria/library/redbook.pdf</w:t>
              </w:r>
            </w:hyperlink>
            <w:r w:rsidRPr="005A11F2">
              <w:rPr>
                <w:color w:val="548DD4" w:themeColor="text2" w:themeTint="99"/>
              </w:rPr>
              <w:t>)</w:t>
            </w:r>
          </w:p>
          <w:p w:rsidR="00D81BBD" w:rsidRDefault="00D81BBD" w:rsidP="003F29B5"/>
          <w:p w:rsidR="00076640" w:rsidRPr="003F29B5" w:rsidRDefault="00AF4F3E" w:rsidP="003F29B5">
            <w:pPr>
              <w:rPr>
                <w:highlight w:val="yellow"/>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46.7pt;width:526.8pt;height:486.6pt;z-index:-251658752" fillcolor="window">
                  <v:imagedata r:id="rId11" o:title=""/>
                  <w10:anchorlock/>
                </v:shape>
                <o:OLEObject Type="Embed" ProgID="Word.Picture.8" ShapeID="_x0000_s1026" DrawAspect="Content" ObjectID="_1343200948" r:id="rId12"/>
              </w:pict>
            </w:r>
          </w:p>
        </w:tc>
      </w:tr>
      <w:tr w:rsidR="00E86991" w:rsidRPr="00943AD3" w:rsidTr="00943AD3">
        <w:tc>
          <w:tcPr>
            <w:tcW w:w="2358" w:type="dxa"/>
          </w:tcPr>
          <w:p w:rsidR="00E86991" w:rsidRPr="00943AD3" w:rsidRDefault="00D0541D" w:rsidP="00211D5F">
            <w:pPr>
              <w:rPr>
                <w:rFonts w:ascii="Arial" w:hAnsi="Arial" w:cs="Arial"/>
                <w:b/>
              </w:rPr>
            </w:pPr>
            <w:r w:rsidRPr="00943AD3">
              <w:rPr>
                <w:rFonts w:ascii="Arial" w:hAnsi="Arial" w:cs="Arial"/>
                <w:b/>
              </w:rPr>
              <w:lastRenderedPageBreak/>
              <w:t xml:space="preserve">Requests for </w:t>
            </w:r>
            <w:r w:rsidR="00E86991" w:rsidRPr="00943AD3">
              <w:rPr>
                <w:rFonts w:ascii="Arial" w:hAnsi="Arial" w:cs="Arial"/>
                <w:b/>
              </w:rPr>
              <w:t>Other Options</w:t>
            </w:r>
          </w:p>
        </w:tc>
        <w:tc>
          <w:tcPr>
            <w:tcW w:w="8658" w:type="dxa"/>
            <w:gridSpan w:val="2"/>
          </w:tcPr>
          <w:p w:rsidR="00E5261A" w:rsidRPr="005A11F2" w:rsidRDefault="000531BC" w:rsidP="00943AD3">
            <w:pPr>
              <w:autoSpaceDE w:val="0"/>
              <w:autoSpaceDN w:val="0"/>
              <w:adjustRightInd w:val="0"/>
            </w:pPr>
            <w:r w:rsidRPr="005A11F2">
              <w:t xml:space="preserve">Pursuant to </w:t>
            </w:r>
            <w:r w:rsidR="00E5261A" w:rsidRPr="005A11F2">
              <w:rPr>
                <w:bCs/>
                <w:iCs/>
              </w:rPr>
              <w:t>ORS 183.335(2</w:t>
            </w:r>
            <w:r w:rsidR="00625722" w:rsidRPr="005A11F2">
              <w:rPr>
                <w:bCs/>
                <w:iCs/>
              </w:rPr>
              <w:t>) (</w:t>
            </w:r>
            <w:r w:rsidR="00E5261A" w:rsidRPr="005A11F2">
              <w:rPr>
                <w:bCs/>
                <w:iCs/>
              </w:rPr>
              <w:t>b</w:t>
            </w:r>
            <w:r w:rsidR="00625722" w:rsidRPr="005A11F2">
              <w:rPr>
                <w:bCs/>
                <w:iCs/>
              </w:rPr>
              <w:t>) (</w:t>
            </w:r>
            <w:r w:rsidR="00E5261A" w:rsidRPr="005A11F2">
              <w:rPr>
                <w:bCs/>
                <w:iCs/>
              </w:rPr>
              <w:t>G)</w:t>
            </w:r>
            <w:r w:rsidRPr="005A11F2">
              <w:rPr>
                <w:bCs/>
                <w:iCs/>
              </w:rPr>
              <w:t>, DEQ</w:t>
            </w:r>
            <w:r w:rsidR="00E5261A" w:rsidRPr="005A11F2">
              <w:rPr>
                <w:bCs/>
                <w:iCs/>
              </w:rPr>
              <w:t xml:space="preserve"> requests public comment on whether other options should be considered for achieving the rule’s substantive goals while reducing negative economic impact of the rule on business.</w:t>
            </w:r>
          </w:p>
          <w:p w:rsidR="00E86991" w:rsidRDefault="00E86991" w:rsidP="0006364F">
            <w:pPr>
              <w:rPr>
                <w:b/>
                <w:highlight w:val="yellow"/>
              </w:rPr>
            </w:pPr>
          </w:p>
          <w:p w:rsidR="0071101A" w:rsidRPr="00943AD3" w:rsidRDefault="0071101A" w:rsidP="0006364F">
            <w:pPr>
              <w:rPr>
                <w:b/>
                <w:highlight w:val="yellow"/>
              </w:rPr>
            </w:pPr>
          </w:p>
        </w:tc>
      </w:tr>
      <w:tr w:rsidR="00211D5F" w:rsidRPr="00943AD3" w:rsidTr="00943AD3">
        <w:tc>
          <w:tcPr>
            <w:tcW w:w="2358" w:type="dxa"/>
          </w:tcPr>
          <w:p w:rsidR="00211D5F" w:rsidRPr="00943AD3" w:rsidRDefault="00211D5F" w:rsidP="00211D5F">
            <w:pPr>
              <w:rPr>
                <w:rFonts w:ascii="Arial" w:hAnsi="Arial" w:cs="Arial"/>
                <w:b/>
              </w:rPr>
            </w:pPr>
            <w:r w:rsidRPr="00943AD3">
              <w:rPr>
                <w:rFonts w:ascii="Arial" w:hAnsi="Arial" w:cs="Arial"/>
                <w:b/>
              </w:rPr>
              <w:t>Fiscal and Economic Impact</w:t>
            </w:r>
            <w:r w:rsidR="002365E9" w:rsidRPr="00943AD3">
              <w:rPr>
                <w:rFonts w:ascii="Arial" w:hAnsi="Arial" w:cs="Arial"/>
                <w:b/>
              </w:rPr>
              <w:t>, Statement of Cost Compliance</w:t>
            </w:r>
          </w:p>
          <w:p w:rsidR="00931890" w:rsidRPr="00943AD3" w:rsidRDefault="00931890" w:rsidP="00211D5F">
            <w:pPr>
              <w:rPr>
                <w:rFonts w:ascii="Arial" w:hAnsi="Arial" w:cs="Arial"/>
                <w:b/>
              </w:rPr>
            </w:pPr>
          </w:p>
        </w:tc>
        <w:tc>
          <w:tcPr>
            <w:tcW w:w="8658" w:type="dxa"/>
            <w:gridSpan w:val="2"/>
          </w:tcPr>
          <w:p w:rsidR="00211D5F" w:rsidRPr="00943AD3" w:rsidRDefault="00211D5F" w:rsidP="00211D5F">
            <w:pPr>
              <w:rPr>
                <w:b/>
                <w:highlight w:val="yellow"/>
              </w:rPr>
            </w:pPr>
          </w:p>
        </w:tc>
      </w:tr>
      <w:tr w:rsidR="00211D5F" w:rsidRPr="00943AD3" w:rsidTr="00943AD3">
        <w:trPr>
          <w:trHeight w:val="548"/>
        </w:trPr>
        <w:tc>
          <w:tcPr>
            <w:tcW w:w="2358" w:type="dxa"/>
          </w:tcPr>
          <w:p w:rsidR="00211D5F" w:rsidRPr="00943AD3" w:rsidRDefault="00211D5F" w:rsidP="00943AD3">
            <w:pPr>
              <w:ind w:left="360"/>
              <w:rPr>
                <w:rFonts w:ascii="Arial" w:hAnsi="Arial" w:cs="Arial"/>
                <w:b/>
              </w:rPr>
            </w:pPr>
            <w:bookmarkStart w:id="2" w:name="ABOV"/>
            <w:bookmarkEnd w:id="2"/>
            <w:r w:rsidRPr="00943AD3">
              <w:rPr>
                <w:rFonts w:ascii="Arial" w:hAnsi="Arial" w:cs="Arial"/>
                <w:b/>
              </w:rPr>
              <w:t>Overview</w:t>
            </w:r>
            <w:r w:rsidR="004150AE" w:rsidRPr="00943AD3">
              <w:rPr>
                <w:rFonts w:ascii="Arial" w:hAnsi="Arial" w:cs="Arial"/>
                <w:b/>
              </w:rPr>
              <w:t xml:space="preserve"> </w:t>
            </w:r>
          </w:p>
          <w:p w:rsidR="00EE032E" w:rsidRPr="00943AD3" w:rsidRDefault="00EE032E" w:rsidP="00943AD3">
            <w:pPr>
              <w:ind w:left="360"/>
              <w:rPr>
                <w:rFonts w:ascii="Arial" w:hAnsi="Arial" w:cs="Arial"/>
                <w:b/>
              </w:rPr>
            </w:pPr>
          </w:p>
        </w:tc>
        <w:tc>
          <w:tcPr>
            <w:tcW w:w="8658" w:type="dxa"/>
            <w:gridSpan w:val="2"/>
          </w:tcPr>
          <w:p w:rsidR="00660176" w:rsidRDefault="00F0363A" w:rsidP="0040081A">
            <w:pPr>
              <w:pStyle w:val="BlockText"/>
              <w:rPr>
                <w:sz w:val="20"/>
              </w:rPr>
            </w:pPr>
            <w:r>
              <w:rPr>
                <w:sz w:val="20"/>
              </w:rPr>
              <w:t xml:space="preserve">The proposed arsenic, iron and manganese criteria revisions are shown in the table below.  </w:t>
            </w:r>
            <w:r w:rsidR="00A325B0">
              <w:rPr>
                <w:sz w:val="20"/>
              </w:rPr>
              <w:t>B</w:t>
            </w:r>
            <w:r w:rsidR="00660176">
              <w:rPr>
                <w:sz w:val="20"/>
              </w:rPr>
              <w:t xml:space="preserve">ecause </w:t>
            </w:r>
            <w:r w:rsidR="00660176" w:rsidRPr="00660176">
              <w:rPr>
                <w:sz w:val="20"/>
              </w:rPr>
              <w:t xml:space="preserve">the proposed criteria </w:t>
            </w:r>
            <w:r w:rsidR="00660176">
              <w:rPr>
                <w:sz w:val="20"/>
              </w:rPr>
              <w:t xml:space="preserve">are less stringent, the proposed rule amendments </w:t>
            </w:r>
            <w:r w:rsidR="00660176" w:rsidRPr="00660176">
              <w:rPr>
                <w:sz w:val="20"/>
              </w:rPr>
              <w:t>will provide a</w:t>
            </w:r>
            <w:r w:rsidR="00A325B0">
              <w:rPr>
                <w:sz w:val="20"/>
              </w:rPr>
              <w:t>n overall</w:t>
            </w:r>
            <w:r w:rsidR="00660176" w:rsidRPr="00660176">
              <w:rPr>
                <w:sz w:val="20"/>
              </w:rPr>
              <w:t xml:space="preserve"> fiscal and economic benefit to both regulated parties and DEQ </w:t>
            </w:r>
            <w:r w:rsidR="00A325B0">
              <w:rPr>
                <w:sz w:val="20"/>
              </w:rPr>
              <w:t xml:space="preserve">relative </w:t>
            </w:r>
            <w:r w:rsidR="00660176">
              <w:rPr>
                <w:sz w:val="20"/>
              </w:rPr>
              <w:t>to meeting current criteria</w:t>
            </w:r>
            <w:r w:rsidR="00660176" w:rsidRPr="00660176">
              <w:rPr>
                <w:sz w:val="20"/>
              </w:rPr>
              <w:t>.</w:t>
            </w:r>
            <w:r w:rsidR="00660176">
              <w:rPr>
                <w:sz w:val="20"/>
              </w:rPr>
              <w:t xml:space="preserve">  Some permitted facilities will incur cost</w:t>
            </w:r>
            <w:r w:rsidR="004543C4">
              <w:rPr>
                <w:sz w:val="20"/>
              </w:rPr>
              <w:t>s</w:t>
            </w:r>
            <w:r w:rsidR="00660176">
              <w:rPr>
                <w:sz w:val="20"/>
              </w:rPr>
              <w:t xml:space="preserve"> associated with developing and implementing an arsenic reduction plan.  </w:t>
            </w:r>
            <w:r w:rsidR="00AA14F1">
              <w:rPr>
                <w:sz w:val="20"/>
              </w:rPr>
              <w:t>A</w:t>
            </w:r>
            <w:r w:rsidR="00A325B0">
              <w:rPr>
                <w:sz w:val="20"/>
              </w:rPr>
              <w:t xml:space="preserve"> significant amount of DEQ and permittee resources </w:t>
            </w:r>
            <w:r w:rsidR="00AA14F1">
              <w:rPr>
                <w:sz w:val="20"/>
              </w:rPr>
              <w:t xml:space="preserve">have been </w:t>
            </w:r>
            <w:r w:rsidR="00A325B0">
              <w:rPr>
                <w:sz w:val="20"/>
              </w:rPr>
              <w:t>spent attempting to address high natural levels of arsenic throughout the state</w:t>
            </w:r>
            <w:r w:rsidR="00AA14F1">
              <w:rPr>
                <w:sz w:val="20"/>
              </w:rPr>
              <w:t xml:space="preserve"> and without the proposed revisions, DEQ expects this will continue</w:t>
            </w:r>
            <w:r w:rsidR="00A325B0">
              <w:rPr>
                <w:sz w:val="20"/>
              </w:rPr>
              <w:t>.  As a result, DEQ expects that implementing the requirements contained in the arsenic reduction policy</w:t>
            </w:r>
            <w:r w:rsidR="00660176">
              <w:rPr>
                <w:sz w:val="20"/>
              </w:rPr>
              <w:t xml:space="preserve"> </w:t>
            </w:r>
            <w:r w:rsidR="00A325B0">
              <w:rPr>
                <w:sz w:val="20"/>
              </w:rPr>
              <w:t xml:space="preserve">will </w:t>
            </w:r>
            <w:r w:rsidR="00660176">
              <w:rPr>
                <w:sz w:val="20"/>
              </w:rPr>
              <w:t xml:space="preserve">be </w:t>
            </w:r>
            <w:r w:rsidR="0098754F">
              <w:rPr>
                <w:sz w:val="20"/>
              </w:rPr>
              <w:t xml:space="preserve">less </w:t>
            </w:r>
            <w:r w:rsidR="00660176">
              <w:rPr>
                <w:sz w:val="20"/>
              </w:rPr>
              <w:t>costly</w:t>
            </w:r>
            <w:r w:rsidR="009D796B">
              <w:rPr>
                <w:sz w:val="20"/>
              </w:rPr>
              <w:t xml:space="preserve"> than</w:t>
            </w:r>
            <w:r w:rsidR="0098754F">
              <w:rPr>
                <w:sz w:val="20"/>
              </w:rPr>
              <w:t xml:space="preserve"> or perhaps</w:t>
            </w:r>
            <w:r w:rsidR="009D796B">
              <w:rPr>
                <w:sz w:val="20"/>
              </w:rPr>
              <w:t>,</w:t>
            </w:r>
            <w:r w:rsidR="0098754F">
              <w:rPr>
                <w:sz w:val="20"/>
              </w:rPr>
              <w:t xml:space="preserve"> in a few cases, the same as </w:t>
            </w:r>
            <w:r w:rsidR="00A325B0">
              <w:rPr>
                <w:sz w:val="20"/>
              </w:rPr>
              <w:t xml:space="preserve">implementing requirements associated with </w:t>
            </w:r>
            <w:r w:rsidR="0098754F">
              <w:rPr>
                <w:sz w:val="20"/>
              </w:rPr>
              <w:t xml:space="preserve">attaining the current criteria.  </w:t>
            </w:r>
            <w:r w:rsidR="00A325B0">
              <w:rPr>
                <w:sz w:val="20"/>
              </w:rPr>
              <w:t>In particular, t</w:t>
            </w:r>
            <w:r w:rsidR="0098754F">
              <w:rPr>
                <w:sz w:val="20"/>
              </w:rPr>
              <w:t xml:space="preserve">he </w:t>
            </w:r>
            <w:r w:rsidR="00A325B0">
              <w:rPr>
                <w:sz w:val="20"/>
              </w:rPr>
              <w:t xml:space="preserve">arsenic reduction policy </w:t>
            </w:r>
            <w:r w:rsidR="0098754F">
              <w:rPr>
                <w:sz w:val="20"/>
              </w:rPr>
              <w:t xml:space="preserve">requirements </w:t>
            </w:r>
            <w:r w:rsidR="00D35F3E">
              <w:rPr>
                <w:sz w:val="20"/>
              </w:rPr>
              <w:t>target</w:t>
            </w:r>
            <w:r w:rsidR="0098754F">
              <w:rPr>
                <w:sz w:val="20"/>
              </w:rPr>
              <w:t xml:space="preserve"> significant measurable sources </w:t>
            </w:r>
            <w:r w:rsidR="00D35F3E">
              <w:rPr>
                <w:sz w:val="20"/>
              </w:rPr>
              <w:t xml:space="preserve">of arsenic </w:t>
            </w:r>
            <w:r w:rsidR="0098754F">
              <w:rPr>
                <w:sz w:val="20"/>
              </w:rPr>
              <w:t>and f</w:t>
            </w:r>
            <w:r w:rsidR="00A325B0">
              <w:rPr>
                <w:sz w:val="20"/>
              </w:rPr>
              <w:t>easible reduction opportunities, resulting in a focused expenditure of resources in circumstances where anthropogenic contributions of arsenic are most likely to impact sources of drinking water.</w:t>
            </w:r>
          </w:p>
          <w:p w:rsidR="00D35F3E" w:rsidRDefault="00D35F3E" w:rsidP="0040081A">
            <w:pPr>
              <w:pStyle w:val="BlockText"/>
              <w:rPr>
                <w:sz w:val="20"/>
              </w:rPr>
            </w:pPr>
          </w:p>
          <w:p w:rsidR="00D35F3E" w:rsidRDefault="00A325B0" w:rsidP="0040081A">
            <w:pPr>
              <w:pStyle w:val="BlockText"/>
              <w:rPr>
                <w:sz w:val="20"/>
              </w:rPr>
            </w:pPr>
            <w:r>
              <w:rPr>
                <w:sz w:val="20"/>
              </w:rPr>
              <w:t>In addition to decreasing costs to DEQ and permittees, t</w:t>
            </w:r>
            <w:r w:rsidR="00D35F3E">
              <w:rPr>
                <w:sz w:val="20"/>
              </w:rPr>
              <w:t xml:space="preserve">he withdrawal of the </w:t>
            </w:r>
            <w:r>
              <w:rPr>
                <w:sz w:val="20"/>
              </w:rPr>
              <w:t>“</w:t>
            </w:r>
            <w:r w:rsidR="00D35F3E">
              <w:rPr>
                <w:sz w:val="20"/>
              </w:rPr>
              <w:t>water + organism</w:t>
            </w:r>
            <w:r>
              <w:rPr>
                <w:sz w:val="20"/>
              </w:rPr>
              <w:t>”</w:t>
            </w:r>
            <w:r w:rsidR="00D35F3E">
              <w:rPr>
                <w:sz w:val="20"/>
              </w:rPr>
              <w:t xml:space="preserve"> criteria for iron and manganese is not expected to cause increase costs for water suppliers.  </w:t>
            </w:r>
            <w:r w:rsidR="009D796B">
              <w:rPr>
                <w:sz w:val="20"/>
              </w:rPr>
              <w:t xml:space="preserve">Iron and manganese </w:t>
            </w:r>
            <w:r w:rsidR="00D35F3E">
              <w:rPr>
                <w:sz w:val="20"/>
              </w:rPr>
              <w:t xml:space="preserve">are naturally occurring earth metals generally present at levels below </w:t>
            </w:r>
            <w:r w:rsidR="00AE5B83">
              <w:rPr>
                <w:sz w:val="20"/>
              </w:rPr>
              <w:t>maximum contaminant levels (</w:t>
            </w:r>
            <w:r w:rsidR="00D35F3E">
              <w:rPr>
                <w:sz w:val="20"/>
              </w:rPr>
              <w:t>MCLs</w:t>
            </w:r>
            <w:r w:rsidR="00AE5B83">
              <w:rPr>
                <w:sz w:val="20"/>
              </w:rPr>
              <w:t>) for drinking water</w:t>
            </w:r>
            <w:r w:rsidR="00D35F3E">
              <w:rPr>
                <w:sz w:val="20"/>
              </w:rPr>
              <w:t xml:space="preserve"> and have not </w:t>
            </w:r>
            <w:r w:rsidR="009D796B">
              <w:rPr>
                <w:sz w:val="20"/>
              </w:rPr>
              <w:t xml:space="preserve">historically </w:t>
            </w:r>
            <w:r w:rsidR="00D35F3E">
              <w:rPr>
                <w:sz w:val="20"/>
              </w:rPr>
              <w:t xml:space="preserve">presented problems for water suppliers.  Should a situation arise in the future where a permitted discharge of iron or manganese causes a water supplier to incur treatment costs, DEQ </w:t>
            </w:r>
            <w:r w:rsidR="009D796B">
              <w:rPr>
                <w:sz w:val="20"/>
              </w:rPr>
              <w:t xml:space="preserve">has </w:t>
            </w:r>
            <w:r w:rsidR="00D35F3E">
              <w:rPr>
                <w:sz w:val="20"/>
              </w:rPr>
              <w:t xml:space="preserve">the authority through </w:t>
            </w:r>
            <w:r w:rsidR="00AE5B83">
              <w:rPr>
                <w:sz w:val="20"/>
              </w:rPr>
              <w:t xml:space="preserve">other </w:t>
            </w:r>
            <w:r w:rsidR="00D35F3E">
              <w:rPr>
                <w:sz w:val="20"/>
              </w:rPr>
              <w:t xml:space="preserve">existing </w:t>
            </w:r>
            <w:r w:rsidR="009D796B">
              <w:rPr>
                <w:sz w:val="20"/>
              </w:rPr>
              <w:t xml:space="preserve">water quality standards provisions </w:t>
            </w:r>
            <w:r w:rsidR="00D35F3E">
              <w:rPr>
                <w:sz w:val="20"/>
              </w:rPr>
              <w:t>to regulate that discharge.  This would be a more e</w:t>
            </w:r>
            <w:r w:rsidR="00102BB4">
              <w:rPr>
                <w:sz w:val="20"/>
              </w:rPr>
              <w:t>fficient manner to address this</w:t>
            </w:r>
            <w:r w:rsidR="00D35F3E">
              <w:rPr>
                <w:sz w:val="20"/>
              </w:rPr>
              <w:t xml:space="preserve"> rare </w:t>
            </w:r>
            <w:r w:rsidR="00102BB4">
              <w:rPr>
                <w:sz w:val="20"/>
              </w:rPr>
              <w:t xml:space="preserve">circumstance </w:t>
            </w:r>
            <w:r w:rsidR="00D35F3E">
              <w:rPr>
                <w:sz w:val="20"/>
              </w:rPr>
              <w:t>tha</w:t>
            </w:r>
            <w:r w:rsidR="00102BB4">
              <w:rPr>
                <w:sz w:val="20"/>
              </w:rPr>
              <w:t>n</w:t>
            </w:r>
            <w:r w:rsidR="00D35F3E">
              <w:rPr>
                <w:sz w:val="20"/>
              </w:rPr>
              <w:t xml:space="preserve"> the current statewide </w:t>
            </w:r>
            <w:r w:rsidR="009D796B">
              <w:rPr>
                <w:sz w:val="20"/>
              </w:rPr>
              <w:t xml:space="preserve">numeric </w:t>
            </w:r>
            <w:r w:rsidR="00D35F3E">
              <w:rPr>
                <w:sz w:val="20"/>
              </w:rPr>
              <w:t>criteria.</w:t>
            </w:r>
          </w:p>
          <w:p w:rsidR="00482732" w:rsidRDefault="00482732" w:rsidP="0040081A">
            <w:pPr>
              <w:pStyle w:val="BlockText"/>
              <w:rPr>
                <w:sz w:val="20"/>
              </w:rPr>
            </w:pPr>
          </w:p>
          <w:p w:rsidR="004C01F7" w:rsidRDefault="004C01F7" w:rsidP="00482732">
            <w:pPr>
              <w:rPr>
                <w:iCs/>
              </w:rPr>
            </w:pPr>
            <w:r>
              <w:rPr>
                <w:iCs/>
              </w:rPr>
              <w:t xml:space="preserve">Finally, DEQ does not expect the criteria changes to result in increased health risks or costs to the public from eating fish or drinking water for the reasons described in more detail </w:t>
            </w:r>
            <w:r w:rsidR="004543C4">
              <w:rPr>
                <w:iCs/>
              </w:rPr>
              <w:t>in the following section</w:t>
            </w:r>
            <w:r>
              <w:rPr>
                <w:iCs/>
              </w:rPr>
              <w:t>.</w:t>
            </w:r>
          </w:p>
          <w:p w:rsidR="004C01F7" w:rsidRDefault="004C01F7" w:rsidP="00482732">
            <w:pPr>
              <w:rPr>
                <w:iCs/>
              </w:rPr>
            </w:pPr>
          </w:p>
          <w:tbl>
            <w:tblPr>
              <w:tblW w:w="774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350"/>
              <w:gridCol w:w="1080"/>
              <w:gridCol w:w="2070"/>
              <w:gridCol w:w="1350"/>
              <w:gridCol w:w="1890"/>
            </w:tblGrid>
            <w:tr w:rsidR="00A726D2" w:rsidRPr="007D1549" w:rsidTr="00A726D2">
              <w:trPr>
                <w:trHeight w:val="145"/>
              </w:trPr>
              <w:tc>
                <w:tcPr>
                  <w:tcW w:w="7740" w:type="dxa"/>
                  <w:gridSpan w:val="5"/>
                  <w:shd w:val="clear" w:color="auto" w:fill="D9D9D9" w:themeFill="background1" w:themeFillShade="D9"/>
                </w:tcPr>
                <w:p w:rsidR="00A726D2" w:rsidRDefault="00A726D2" w:rsidP="00A726D2">
                  <w:pPr>
                    <w:tabs>
                      <w:tab w:val="center" w:pos="4680"/>
                      <w:tab w:val="right" w:pos="9360"/>
                    </w:tabs>
                    <w:jc w:val="center"/>
                    <w:rPr>
                      <w:b/>
                    </w:rPr>
                  </w:pPr>
                </w:p>
                <w:p w:rsidR="004C01F7" w:rsidRDefault="004C01F7" w:rsidP="00A726D2">
                  <w:pPr>
                    <w:tabs>
                      <w:tab w:val="center" w:pos="4680"/>
                      <w:tab w:val="right" w:pos="9360"/>
                    </w:tabs>
                    <w:jc w:val="center"/>
                    <w:rPr>
                      <w:b/>
                    </w:rPr>
                  </w:pPr>
                </w:p>
                <w:p w:rsidR="00A726D2" w:rsidRDefault="00A726D2" w:rsidP="00A726D2">
                  <w:pPr>
                    <w:tabs>
                      <w:tab w:val="center" w:pos="4680"/>
                      <w:tab w:val="right" w:pos="9360"/>
                    </w:tabs>
                    <w:jc w:val="center"/>
                    <w:rPr>
                      <w:b/>
                    </w:rPr>
                  </w:pPr>
                  <w:r>
                    <w:rPr>
                      <w:b/>
                    </w:rPr>
                    <w:t>Proposed Human Health Criteria for Arsenic, Iron and Manganese  (µg/l)</w:t>
                  </w:r>
                </w:p>
              </w:tc>
            </w:tr>
            <w:tr w:rsidR="00A726D2" w:rsidRPr="007D1549" w:rsidTr="00A726D2">
              <w:trPr>
                <w:trHeight w:val="145"/>
              </w:trPr>
              <w:tc>
                <w:tcPr>
                  <w:tcW w:w="1350" w:type="dxa"/>
                  <w:shd w:val="clear" w:color="auto" w:fill="D9D9D9" w:themeFill="background1" w:themeFillShade="D9"/>
                </w:tcPr>
                <w:p w:rsidR="00A726D2" w:rsidRDefault="00A726D2" w:rsidP="00A726D2">
                  <w:pPr>
                    <w:tabs>
                      <w:tab w:val="center" w:pos="4680"/>
                      <w:tab w:val="right" w:pos="9360"/>
                    </w:tabs>
                    <w:rPr>
                      <w:b/>
                    </w:rPr>
                  </w:pPr>
                </w:p>
                <w:p w:rsidR="00A726D2" w:rsidRPr="00170C6B" w:rsidRDefault="00A726D2" w:rsidP="00A726D2">
                  <w:pPr>
                    <w:tabs>
                      <w:tab w:val="center" w:pos="4680"/>
                      <w:tab w:val="right" w:pos="9360"/>
                    </w:tabs>
                    <w:rPr>
                      <w:vertAlign w:val="superscript"/>
                    </w:rPr>
                  </w:pPr>
                  <w:r>
                    <w:rPr>
                      <w:b/>
                    </w:rPr>
                    <w:t>Pollutant</w:t>
                  </w:r>
                </w:p>
              </w:tc>
              <w:tc>
                <w:tcPr>
                  <w:tcW w:w="3150" w:type="dxa"/>
                  <w:gridSpan w:val="2"/>
                  <w:shd w:val="clear" w:color="auto" w:fill="D9D9D9" w:themeFill="background1" w:themeFillShade="D9"/>
                </w:tcPr>
                <w:p w:rsidR="00A726D2" w:rsidRDefault="00A726D2" w:rsidP="00A726D2">
                  <w:pPr>
                    <w:tabs>
                      <w:tab w:val="center" w:pos="4680"/>
                      <w:tab w:val="right" w:pos="9360"/>
                    </w:tabs>
                    <w:jc w:val="center"/>
                    <w:rPr>
                      <w:b/>
                    </w:rPr>
                  </w:pPr>
                </w:p>
                <w:p w:rsidR="00A726D2" w:rsidRPr="00170C6B" w:rsidRDefault="00A726D2" w:rsidP="009829C3">
                  <w:pPr>
                    <w:tabs>
                      <w:tab w:val="center" w:pos="4680"/>
                      <w:tab w:val="right" w:pos="9360"/>
                    </w:tabs>
                    <w:jc w:val="center"/>
                    <w:rPr>
                      <w:b/>
                    </w:rPr>
                  </w:pPr>
                  <w:r w:rsidRPr="00170C6B">
                    <w:rPr>
                      <w:b/>
                    </w:rPr>
                    <w:t xml:space="preserve">Water + </w:t>
                  </w:r>
                  <w:r w:rsidR="009829C3">
                    <w:rPr>
                      <w:b/>
                    </w:rPr>
                    <w:t>Fish Ingestion</w:t>
                  </w:r>
                </w:p>
              </w:tc>
              <w:tc>
                <w:tcPr>
                  <w:tcW w:w="3240" w:type="dxa"/>
                  <w:gridSpan w:val="2"/>
                  <w:shd w:val="clear" w:color="auto" w:fill="D9D9D9" w:themeFill="background1" w:themeFillShade="D9"/>
                </w:tcPr>
                <w:p w:rsidR="00A726D2" w:rsidRDefault="00A726D2" w:rsidP="00A726D2">
                  <w:pPr>
                    <w:tabs>
                      <w:tab w:val="center" w:pos="4680"/>
                      <w:tab w:val="right" w:pos="9360"/>
                    </w:tabs>
                    <w:jc w:val="center"/>
                    <w:rPr>
                      <w:b/>
                    </w:rPr>
                  </w:pPr>
                </w:p>
                <w:p w:rsidR="00A726D2" w:rsidRPr="00170C6B" w:rsidRDefault="009829C3" w:rsidP="00A726D2">
                  <w:pPr>
                    <w:tabs>
                      <w:tab w:val="center" w:pos="4680"/>
                      <w:tab w:val="right" w:pos="9360"/>
                    </w:tabs>
                    <w:jc w:val="center"/>
                    <w:rPr>
                      <w:b/>
                    </w:rPr>
                  </w:pPr>
                  <w:r>
                    <w:rPr>
                      <w:b/>
                    </w:rPr>
                    <w:t>Fish Consumption</w:t>
                  </w:r>
                  <w:r w:rsidR="00A726D2" w:rsidRPr="00170C6B">
                    <w:rPr>
                      <w:b/>
                    </w:rPr>
                    <w:t xml:space="preserve"> Only</w:t>
                  </w:r>
                </w:p>
              </w:tc>
            </w:tr>
            <w:tr w:rsidR="00A726D2" w:rsidRPr="007D1549" w:rsidTr="00A726D2">
              <w:trPr>
                <w:trHeight w:val="145"/>
              </w:trPr>
              <w:tc>
                <w:tcPr>
                  <w:tcW w:w="1350" w:type="dxa"/>
                  <w:shd w:val="clear" w:color="auto" w:fill="D9D9D9" w:themeFill="background1" w:themeFillShade="D9"/>
                </w:tcPr>
                <w:p w:rsidR="00A726D2" w:rsidRPr="0059510F" w:rsidRDefault="00A726D2" w:rsidP="00A726D2">
                  <w:pPr>
                    <w:tabs>
                      <w:tab w:val="center" w:pos="4680"/>
                      <w:tab w:val="right" w:pos="9360"/>
                    </w:tabs>
                  </w:pPr>
                </w:p>
              </w:tc>
              <w:tc>
                <w:tcPr>
                  <w:tcW w:w="1080" w:type="dxa"/>
                  <w:shd w:val="clear" w:color="auto" w:fill="D9D9D9" w:themeFill="background1" w:themeFillShade="D9"/>
                </w:tcPr>
                <w:p w:rsidR="00A726D2" w:rsidRDefault="00A726D2" w:rsidP="00A726D2">
                  <w:pPr>
                    <w:tabs>
                      <w:tab w:val="center" w:pos="4680"/>
                      <w:tab w:val="right" w:pos="9360"/>
                    </w:tabs>
                    <w:jc w:val="center"/>
                  </w:pPr>
                  <w:r>
                    <w:t xml:space="preserve">Current Criteria </w:t>
                  </w:r>
                </w:p>
              </w:tc>
              <w:tc>
                <w:tcPr>
                  <w:tcW w:w="2070" w:type="dxa"/>
                  <w:shd w:val="clear" w:color="auto" w:fill="D9D9D9" w:themeFill="background1" w:themeFillShade="D9"/>
                </w:tcPr>
                <w:p w:rsidR="00A726D2" w:rsidRPr="000529F4" w:rsidRDefault="00A726D2" w:rsidP="00A726D2">
                  <w:pPr>
                    <w:tabs>
                      <w:tab w:val="center" w:pos="4680"/>
                      <w:tab w:val="right" w:pos="9360"/>
                    </w:tabs>
                    <w:jc w:val="center"/>
                  </w:pPr>
                  <w:r>
                    <w:t>Proposed Criteria</w:t>
                  </w:r>
                </w:p>
              </w:tc>
              <w:tc>
                <w:tcPr>
                  <w:tcW w:w="1350" w:type="dxa"/>
                  <w:shd w:val="clear" w:color="auto" w:fill="D9D9D9" w:themeFill="background1" w:themeFillShade="D9"/>
                </w:tcPr>
                <w:p w:rsidR="00A726D2" w:rsidRDefault="00A726D2" w:rsidP="00A726D2">
                  <w:pPr>
                    <w:tabs>
                      <w:tab w:val="center" w:pos="4680"/>
                      <w:tab w:val="right" w:pos="9360"/>
                    </w:tabs>
                    <w:jc w:val="center"/>
                  </w:pPr>
                  <w:r>
                    <w:t>Current Criteria</w:t>
                  </w:r>
                </w:p>
              </w:tc>
              <w:tc>
                <w:tcPr>
                  <w:tcW w:w="1890" w:type="dxa"/>
                  <w:shd w:val="clear" w:color="auto" w:fill="D9D9D9" w:themeFill="background1" w:themeFillShade="D9"/>
                </w:tcPr>
                <w:p w:rsidR="00A726D2" w:rsidRPr="000529F4" w:rsidRDefault="00A726D2" w:rsidP="00A726D2">
                  <w:pPr>
                    <w:tabs>
                      <w:tab w:val="center" w:pos="4680"/>
                      <w:tab w:val="right" w:pos="9360"/>
                    </w:tabs>
                    <w:jc w:val="center"/>
                  </w:pPr>
                  <w:r>
                    <w:t>Proposed Criteria</w:t>
                  </w:r>
                </w:p>
              </w:tc>
            </w:tr>
            <w:tr w:rsidR="00A726D2" w:rsidRPr="007D1549" w:rsidTr="00A726D2">
              <w:trPr>
                <w:trHeight w:val="440"/>
              </w:trPr>
              <w:tc>
                <w:tcPr>
                  <w:tcW w:w="1350" w:type="dxa"/>
                </w:tcPr>
                <w:p w:rsidR="00A726D2" w:rsidRDefault="00A726D2" w:rsidP="00A726D2">
                  <w:pPr>
                    <w:tabs>
                      <w:tab w:val="center" w:pos="4680"/>
                      <w:tab w:val="right" w:pos="9360"/>
                    </w:tabs>
                  </w:pPr>
                </w:p>
                <w:p w:rsidR="00A726D2" w:rsidRPr="007D1549" w:rsidRDefault="00A726D2" w:rsidP="00A726D2">
                  <w:pPr>
                    <w:tabs>
                      <w:tab w:val="center" w:pos="4680"/>
                      <w:tab w:val="right" w:pos="9360"/>
                    </w:tabs>
                  </w:pPr>
                  <w:r w:rsidRPr="0059510F">
                    <w:t>Arsenic</w:t>
                  </w:r>
                </w:p>
              </w:tc>
              <w:tc>
                <w:tcPr>
                  <w:tcW w:w="1080" w:type="dxa"/>
                </w:tcPr>
                <w:p w:rsidR="00A726D2" w:rsidRDefault="00A726D2" w:rsidP="00A726D2">
                  <w:pPr>
                    <w:tabs>
                      <w:tab w:val="center" w:pos="4680"/>
                      <w:tab w:val="right" w:pos="9360"/>
                    </w:tabs>
                    <w:jc w:val="center"/>
                  </w:pPr>
                </w:p>
                <w:p w:rsidR="00A726D2" w:rsidRPr="0056032F" w:rsidRDefault="00A726D2" w:rsidP="00A726D2">
                  <w:pPr>
                    <w:tabs>
                      <w:tab w:val="center" w:pos="4680"/>
                      <w:tab w:val="right" w:pos="9360"/>
                    </w:tabs>
                    <w:jc w:val="center"/>
                  </w:pPr>
                  <w:r>
                    <w:t>0.0022</w:t>
                  </w:r>
                </w:p>
              </w:tc>
              <w:tc>
                <w:tcPr>
                  <w:tcW w:w="2070" w:type="dxa"/>
                </w:tcPr>
                <w:p w:rsidR="00A726D2" w:rsidRDefault="00A726D2" w:rsidP="00A726D2">
                  <w:pPr>
                    <w:tabs>
                      <w:tab w:val="center" w:pos="4680"/>
                      <w:tab w:val="right" w:pos="9360"/>
                    </w:tabs>
                    <w:jc w:val="center"/>
                  </w:pPr>
                </w:p>
                <w:p w:rsidR="00A726D2" w:rsidRDefault="00A726D2" w:rsidP="00A726D2">
                  <w:pPr>
                    <w:tabs>
                      <w:tab w:val="center" w:pos="4680"/>
                      <w:tab w:val="right" w:pos="9360"/>
                    </w:tabs>
                    <w:jc w:val="center"/>
                  </w:pPr>
                  <w:r>
                    <w:t xml:space="preserve">2.3 </w:t>
                  </w:r>
                </w:p>
                <w:p w:rsidR="00A726D2" w:rsidRPr="0070514F" w:rsidRDefault="00A726D2" w:rsidP="00A726D2">
                  <w:pPr>
                    <w:tabs>
                      <w:tab w:val="center" w:pos="4680"/>
                      <w:tab w:val="right" w:pos="9360"/>
                    </w:tabs>
                    <w:jc w:val="center"/>
                    <w:rPr>
                      <w:szCs w:val="24"/>
                    </w:rPr>
                  </w:pPr>
                  <w:r w:rsidRPr="0070514F">
                    <w:rPr>
                      <w:szCs w:val="24"/>
                    </w:rPr>
                    <w:t>inorganic arsenic</w:t>
                  </w:r>
                </w:p>
              </w:tc>
              <w:tc>
                <w:tcPr>
                  <w:tcW w:w="1350" w:type="dxa"/>
                </w:tcPr>
                <w:p w:rsidR="00A726D2" w:rsidRDefault="00A726D2" w:rsidP="00A726D2">
                  <w:pPr>
                    <w:tabs>
                      <w:tab w:val="center" w:pos="4680"/>
                      <w:tab w:val="right" w:pos="9360"/>
                    </w:tabs>
                    <w:jc w:val="center"/>
                  </w:pPr>
                </w:p>
                <w:p w:rsidR="00A726D2" w:rsidRPr="000529F4" w:rsidRDefault="00A726D2" w:rsidP="00A726D2">
                  <w:pPr>
                    <w:tabs>
                      <w:tab w:val="center" w:pos="4680"/>
                      <w:tab w:val="right" w:pos="9360"/>
                    </w:tabs>
                    <w:jc w:val="center"/>
                  </w:pPr>
                  <w:r>
                    <w:t>0.0175</w:t>
                  </w:r>
                </w:p>
              </w:tc>
              <w:tc>
                <w:tcPr>
                  <w:tcW w:w="1890" w:type="dxa"/>
                </w:tcPr>
                <w:p w:rsidR="00A726D2" w:rsidRDefault="00A726D2" w:rsidP="00A726D2">
                  <w:pPr>
                    <w:tabs>
                      <w:tab w:val="center" w:pos="4680"/>
                      <w:tab w:val="right" w:pos="9360"/>
                    </w:tabs>
                    <w:jc w:val="center"/>
                  </w:pPr>
                </w:p>
                <w:p w:rsidR="00A726D2" w:rsidRDefault="00A726D2" w:rsidP="00A726D2">
                  <w:pPr>
                    <w:tabs>
                      <w:tab w:val="center" w:pos="4680"/>
                      <w:tab w:val="right" w:pos="9360"/>
                    </w:tabs>
                    <w:jc w:val="center"/>
                  </w:pPr>
                  <w:r w:rsidRPr="000529F4">
                    <w:t>2.7</w:t>
                  </w:r>
                </w:p>
                <w:p w:rsidR="00A726D2" w:rsidRPr="0070514F" w:rsidRDefault="00A726D2" w:rsidP="00A726D2">
                  <w:pPr>
                    <w:tabs>
                      <w:tab w:val="center" w:pos="4680"/>
                      <w:tab w:val="right" w:pos="9360"/>
                    </w:tabs>
                    <w:jc w:val="center"/>
                    <w:rPr>
                      <w:szCs w:val="24"/>
                    </w:rPr>
                  </w:pPr>
                  <w:r w:rsidRPr="0070514F">
                    <w:rPr>
                      <w:szCs w:val="24"/>
                    </w:rPr>
                    <w:t>inorganic arsenic</w:t>
                  </w:r>
                </w:p>
              </w:tc>
            </w:tr>
            <w:tr w:rsidR="00A726D2" w:rsidRPr="007D1549" w:rsidTr="00A726D2">
              <w:trPr>
                <w:trHeight w:val="145"/>
              </w:trPr>
              <w:tc>
                <w:tcPr>
                  <w:tcW w:w="1350" w:type="dxa"/>
                </w:tcPr>
                <w:p w:rsidR="00A726D2" w:rsidRDefault="00A726D2" w:rsidP="00A726D2">
                  <w:pPr>
                    <w:tabs>
                      <w:tab w:val="center" w:pos="4680"/>
                      <w:tab w:val="right" w:pos="9360"/>
                    </w:tabs>
                  </w:pPr>
                </w:p>
                <w:p w:rsidR="00A726D2" w:rsidRPr="007D1549" w:rsidRDefault="00A726D2" w:rsidP="00A726D2">
                  <w:pPr>
                    <w:tabs>
                      <w:tab w:val="center" w:pos="4680"/>
                      <w:tab w:val="right" w:pos="9360"/>
                    </w:tabs>
                  </w:pPr>
                  <w:r>
                    <w:t>Iron</w:t>
                  </w:r>
                </w:p>
              </w:tc>
              <w:tc>
                <w:tcPr>
                  <w:tcW w:w="1080" w:type="dxa"/>
                </w:tcPr>
                <w:p w:rsidR="00A726D2" w:rsidRDefault="00A726D2" w:rsidP="00A726D2">
                  <w:pPr>
                    <w:tabs>
                      <w:tab w:val="center" w:pos="4680"/>
                      <w:tab w:val="right" w:pos="9360"/>
                    </w:tabs>
                    <w:jc w:val="center"/>
                  </w:pPr>
                </w:p>
                <w:p w:rsidR="00A726D2" w:rsidRPr="007D1549" w:rsidRDefault="00A726D2" w:rsidP="00A726D2">
                  <w:pPr>
                    <w:tabs>
                      <w:tab w:val="center" w:pos="4680"/>
                      <w:tab w:val="right" w:pos="9360"/>
                    </w:tabs>
                    <w:jc w:val="center"/>
                  </w:pPr>
                  <w:r>
                    <w:t>300</w:t>
                  </w:r>
                </w:p>
              </w:tc>
              <w:tc>
                <w:tcPr>
                  <w:tcW w:w="2070" w:type="dxa"/>
                </w:tcPr>
                <w:p w:rsidR="00A726D2" w:rsidRDefault="00A726D2" w:rsidP="00A726D2">
                  <w:pPr>
                    <w:tabs>
                      <w:tab w:val="center" w:pos="4680"/>
                      <w:tab w:val="right" w:pos="9360"/>
                    </w:tabs>
                    <w:jc w:val="center"/>
                  </w:pPr>
                </w:p>
                <w:p w:rsidR="00A726D2" w:rsidRPr="007D1549" w:rsidRDefault="00A726D2" w:rsidP="00A726D2">
                  <w:pPr>
                    <w:tabs>
                      <w:tab w:val="center" w:pos="4680"/>
                      <w:tab w:val="right" w:pos="9360"/>
                    </w:tabs>
                    <w:jc w:val="center"/>
                  </w:pPr>
                  <w:r>
                    <w:t>None</w:t>
                  </w:r>
                </w:p>
              </w:tc>
              <w:tc>
                <w:tcPr>
                  <w:tcW w:w="1350" w:type="dxa"/>
                </w:tcPr>
                <w:p w:rsidR="00A726D2" w:rsidRDefault="00A726D2" w:rsidP="00A726D2">
                  <w:pPr>
                    <w:tabs>
                      <w:tab w:val="center" w:pos="4680"/>
                      <w:tab w:val="right" w:pos="9360"/>
                    </w:tabs>
                    <w:jc w:val="center"/>
                  </w:pPr>
                </w:p>
                <w:p w:rsidR="00A726D2" w:rsidRPr="007D1549" w:rsidRDefault="00A726D2" w:rsidP="00A726D2">
                  <w:pPr>
                    <w:tabs>
                      <w:tab w:val="center" w:pos="4680"/>
                      <w:tab w:val="right" w:pos="9360"/>
                    </w:tabs>
                    <w:jc w:val="center"/>
                  </w:pPr>
                  <w:r>
                    <w:t>None</w:t>
                  </w:r>
                </w:p>
              </w:tc>
              <w:tc>
                <w:tcPr>
                  <w:tcW w:w="1890" w:type="dxa"/>
                </w:tcPr>
                <w:p w:rsidR="00A726D2" w:rsidRDefault="00A726D2" w:rsidP="00A726D2">
                  <w:pPr>
                    <w:tabs>
                      <w:tab w:val="center" w:pos="4680"/>
                      <w:tab w:val="right" w:pos="9360"/>
                    </w:tabs>
                    <w:jc w:val="center"/>
                  </w:pPr>
                </w:p>
                <w:p w:rsidR="00A726D2" w:rsidRPr="007D1549" w:rsidRDefault="00A726D2" w:rsidP="00A726D2">
                  <w:pPr>
                    <w:tabs>
                      <w:tab w:val="center" w:pos="4680"/>
                      <w:tab w:val="right" w:pos="9360"/>
                    </w:tabs>
                    <w:jc w:val="center"/>
                  </w:pPr>
                  <w:r>
                    <w:t>None</w:t>
                  </w:r>
                </w:p>
              </w:tc>
            </w:tr>
            <w:tr w:rsidR="00A726D2" w:rsidRPr="007D1549" w:rsidTr="00A726D2">
              <w:trPr>
                <w:trHeight w:val="145"/>
              </w:trPr>
              <w:tc>
                <w:tcPr>
                  <w:tcW w:w="1350" w:type="dxa"/>
                </w:tcPr>
                <w:p w:rsidR="00A726D2" w:rsidRDefault="00A726D2" w:rsidP="00A726D2">
                  <w:pPr>
                    <w:tabs>
                      <w:tab w:val="center" w:pos="4680"/>
                      <w:tab w:val="right" w:pos="9360"/>
                    </w:tabs>
                  </w:pPr>
                </w:p>
                <w:p w:rsidR="00A726D2" w:rsidRPr="007D1549" w:rsidRDefault="00A726D2" w:rsidP="00A726D2">
                  <w:pPr>
                    <w:tabs>
                      <w:tab w:val="center" w:pos="4680"/>
                      <w:tab w:val="right" w:pos="9360"/>
                    </w:tabs>
                  </w:pPr>
                  <w:r>
                    <w:t>Manganese</w:t>
                  </w:r>
                </w:p>
              </w:tc>
              <w:tc>
                <w:tcPr>
                  <w:tcW w:w="1080" w:type="dxa"/>
                </w:tcPr>
                <w:p w:rsidR="00A726D2" w:rsidRDefault="00A726D2" w:rsidP="00A726D2">
                  <w:pPr>
                    <w:tabs>
                      <w:tab w:val="center" w:pos="4680"/>
                      <w:tab w:val="right" w:pos="9360"/>
                    </w:tabs>
                    <w:jc w:val="center"/>
                  </w:pPr>
                </w:p>
                <w:p w:rsidR="00A726D2" w:rsidRPr="007D1549" w:rsidRDefault="00A726D2" w:rsidP="00A726D2">
                  <w:pPr>
                    <w:tabs>
                      <w:tab w:val="center" w:pos="4680"/>
                      <w:tab w:val="right" w:pos="9360"/>
                    </w:tabs>
                    <w:jc w:val="center"/>
                  </w:pPr>
                  <w:r>
                    <w:t>50</w:t>
                  </w:r>
                </w:p>
              </w:tc>
              <w:tc>
                <w:tcPr>
                  <w:tcW w:w="2070" w:type="dxa"/>
                </w:tcPr>
                <w:p w:rsidR="00A726D2" w:rsidRDefault="00A726D2" w:rsidP="00A726D2">
                  <w:pPr>
                    <w:tabs>
                      <w:tab w:val="center" w:pos="4680"/>
                      <w:tab w:val="right" w:pos="9360"/>
                    </w:tabs>
                    <w:jc w:val="center"/>
                  </w:pPr>
                </w:p>
                <w:p w:rsidR="00A726D2" w:rsidRPr="007D1549" w:rsidRDefault="00A726D2" w:rsidP="00A726D2">
                  <w:pPr>
                    <w:tabs>
                      <w:tab w:val="center" w:pos="4680"/>
                      <w:tab w:val="right" w:pos="9360"/>
                    </w:tabs>
                    <w:jc w:val="center"/>
                  </w:pPr>
                  <w:r>
                    <w:t>None</w:t>
                  </w:r>
                </w:p>
              </w:tc>
              <w:tc>
                <w:tcPr>
                  <w:tcW w:w="1350" w:type="dxa"/>
                </w:tcPr>
                <w:p w:rsidR="00A726D2" w:rsidRDefault="00A726D2" w:rsidP="00A726D2">
                  <w:pPr>
                    <w:tabs>
                      <w:tab w:val="center" w:pos="4680"/>
                      <w:tab w:val="right" w:pos="9360"/>
                    </w:tabs>
                    <w:jc w:val="center"/>
                  </w:pPr>
                </w:p>
                <w:p w:rsidR="00A726D2" w:rsidRPr="007D1549" w:rsidRDefault="00A726D2" w:rsidP="00A726D2">
                  <w:pPr>
                    <w:tabs>
                      <w:tab w:val="center" w:pos="4680"/>
                      <w:tab w:val="right" w:pos="9360"/>
                    </w:tabs>
                    <w:jc w:val="center"/>
                  </w:pPr>
                  <w:r>
                    <w:t>100</w:t>
                  </w:r>
                </w:p>
              </w:tc>
              <w:tc>
                <w:tcPr>
                  <w:tcW w:w="1890" w:type="dxa"/>
                </w:tcPr>
                <w:p w:rsidR="00A726D2" w:rsidRDefault="00A726D2" w:rsidP="00A726D2">
                  <w:pPr>
                    <w:tabs>
                      <w:tab w:val="center" w:pos="4680"/>
                      <w:tab w:val="right" w:pos="9360"/>
                    </w:tabs>
                    <w:jc w:val="center"/>
                  </w:pPr>
                </w:p>
                <w:p w:rsidR="00A726D2" w:rsidRDefault="00A726D2" w:rsidP="00A726D2">
                  <w:pPr>
                    <w:tabs>
                      <w:tab w:val="center" w:pos="4680"/>
                      <w:tab w:val="right" w:pos="9360"/>
                    </w:tabs>
                    <w:jc w:val="center"/>
                  </w:pPr>
                  <w:r>
                    <w:t>100</w:t>
                  </w:r>
                </w:p>
                <w:p w:rsidR="00A726D2" w:rsidRPr="007D1549" w:rsidRDefault="00A726D2" w:rsidP="00A726D2">
                  <w:pPr>
                    <w:tabs>
                      <w:tab w:val="center" w:pos="4680"/>
                      <w:tab w:val="right" w:pos="9360"/>
                    </w:tabs>
                    <w:jc w:val="center"/>
                  </w:pPr>
                  <w:r>
                    <w:t>marine waters</w:t>
                  </w:r>
                </w:p>
              </w:tc>
            </w:tr>
          </w:tbl>
          <w:p w:rsidR="00A726D2" w:rsidRPr="005966C3" w:rsidRDefault="00A726D2" w:rsidP="00A726D2">
            <w:r>
              <w:t xml:space="preserve">      Note</w:t>
            </w:r>
            <w:r w:rsidRPr="005966C3">
              <w:t xml:space="preserve">: Current criteria are currently effective criteria from </w:t>
            </w:r>
            <w:r>
              <w:t>OAR 340-</w:t>
            </w:r>
            <w:r w:rsidR="00987470">
              <w:t>0</w:t>
            </w:r>
            <w:r>
              <w:t xml:space="preserve">41-0033, </w:t>
            </w:r>
            <w:r w:rsidRPr="005966C3">
              <w:t xml:space="preserve">Table 20. </w:t>
            </w:r>
          </w:p>
          <w:p w:rsidR="00A726D2" w:rsidRDefault="00A726D2" w:rsidP="00A726D2">
            <w:pPr>
              <w:rPr>
                <w:iCs/>
              </w:rPr>
            </w:pPr>
          </w:p>
          <w:p w:rsidR="00002E32" w:rsidRPr="00943AD3" w:rsidRDefault="00002E32" w:rsidP="00482732">
            <w:pPr>
              <w:rPr>
                <w:highlight w:val="yellow"/>
              </w:rPr>
            </w:pPr>
          </w:p>
        </w:tc>
      </w:tr>
      <w:tr w:rsidR="00211D5F" w:rsidRPr="00943AD3" w:rsidTr="00943AD3">
        <w:tc>
          <w:tcPr>
            <w:tcW w:w="2358" w:type="dxa"/>
          </w:tcPr>
          <w:p w:rsidR="00211D5F" w:rsidRPr="00943AD3" w:rsidRDefault="00C8496F" w:rsidP="00943AD3">
            <w:pPr>
              <w:tabs>
                <w:tab w:val="left" w:pos="45"/>
              </w:tabs>
              <w:ind w:left="360"/>
              <w:rPr>
                <w:rFonts w:ascii="Arial" w:hAnsi="Arial" w:cs="Arial"/>
                <w:b/>
              </w:rPr>
            </w:pPr>
            <w:bookmarkStart w:id="3" w:name="ABGP"/>
            <w:bookmarkEnd w:id="3"/>
            <w:r w:rsidRPr="00943AD3">
              <w:rPr>
                <w:rFonts w:ascii="Arial" w:hAnsi="Arial" w:cs="Arial"/>
                <w:b/>
              </w:rPr>
              <w:t xml:space="preserve">Impacts </w:t>
            </w:r>
            <w:r w:rsidR="003849F8" w:rsidRPr="00943AD3">
              <w:rPr>
                <w:rFonts w:ascii="Arial" w:hAnsi="Arial" w:cs="Arial"/>
                <w:b/>
              </w:rPr>
              <w:t>on the</w:t>
            </w:r>
            <w:r w:rsidRPr="00943AD3">
              <w:rPr>
                <w:rFonts w:ascii="Arial" w:hAnsi="Arial" w:cs="Arial"/>
                <w:b/>
              </w:rPr>
              <w:t xml:space="preserve"> </w:t>
            </w:r>
            <w:r w:rsidR="00211D5F" w:rsidRPr="00943AD3">
              <w:rPr>
                <w:rFonts w:ascii="Arial" w:hAnsi="Arial" w:cs="Arial"/>
                <w:b/>
              </w:rPr>
              <w:t xml:space="preserve">General </w:t>
            </w:r>
            <w:r w:rsidR="002F5509" w:rsidRPr="00943AD3">
              <w:rPr>
                <w:rFonts w:ascii="Arial" w:hAnsi="Arial" w:cs="Arial"/>
                <w:b/>
              </w:rPr>
              <w:t>P</w:t>
            </w:r>
            <w:r w:rsidR="00211D5F" w:rsidRPr="00943AD3">
              <w:rPr>
                <w:rFonts w:ascii="Arial" w:hAnsi="Arial" w:cs="Arial"/>
                <w:b/>
              </w:rPr>
              <w:t>ublic</w:t>
            </w:r>
          </w:p>
          <w:p w:rsidR="00EE032E" w:rsidRPr="00943AD3" w:rsidRDefault="00EE032E" w:rsidP="00943AD3">
            <w:pPr>
              <w:ind w:left="360"/>
              <w:rPr>
                <w:rFonts w:ascii="Arial" w:hAnsi="Arial" w:cs="Arial"/>
                <w:b/>
              </w:rPr>
            </w:pPr>
          </w:p>
        </w:tc>
        <w:tc>
          <w:tcPr>
            <w:tcW w:w="8658" w:type="dxa"/>
            <w:gridSpan w:val="2"/>
          </w:tcPr>
          <w:p w:rsidR="00EA2403" w:rsidRDefault="009A06D4" w:rsidP="00506C05">
            <w:pPr>
              <w:rPr>
                <w:iCs/>
              </w:rPr>
            </w:pPr>
            <w:r>
              <w:rPr>
                <w:iCs/>
              </w:rPr>
              <w:t>DEQ does not expect that t</w:t>
            </w:r>
            <w:r w:rsidR="00506C05">
              <w:rPr>
                <w:iCs/>
              </w:rPr>
              <w:t xml:space="preserve">he general public will incur </w:t>
            </w:r>
            <w:r>
              <w:rPr>
                <w:iCs/>
              </w:rPr>
              <w:t xml:space="preserve">direct </w:t>
            </w:r>
            <w:r w:rsidR="00506C05">
              <w:rPr>
                <w:iCs/>
              </w:rPr>
              <w:t xml:space="preserve">fiscal or economic impacts as a result of </w:t>
            </w:r>
            <w:r w:rsidR="004C01F7">
              <w:rPr>
                <w:iCs/>
              </w:rPr>
              <w:t xml:space="preserve">the </w:t>
            </w:r>
            <w:r w:rsidR="0067547B">
              <w:rPr>
                <w:iCs/>
              </w:rPr>
              <w:t xml:space="preserve">revised criteria </w:t>
            </w:r>
            <w:r w:rsidR="004C01F7">
              <w:rPr>
                <w:iCs/>
              </w:rPr>
              <w:t xml:space="preserve">because the general public is not directly regulated </w:t>
            </w:r>
            <w:r w:rsidR="0067547B">
              <w:rPr>
                <w:iCs/>
              </w:rPr>
              <w:t xml:space="preserve">under </w:t>
            </w:r>
            <w:r w:rsidR="004C01F7">
              <w:rPr>
                <w:iCs/>
              </w:rPr>
              <w:t xml:space="preserve">the </w:t>
            </w:r>
            <w:r w:rsidR="0067547B">
              <w:rPr>
                <w:iCs/>
              </w:rPr>
              <w:t>C</w:t>
            </w:r>
            <w:r w:rsidR="004C01F7">
              <w:rPr>
                <w:iCs/>
              </w:rPr>
              <w:t xml:space="preserve">lean </w:t>
            </w:r>
            <w:r w:rsidR="0067547B">
              <w:rPr>
                <w:iCs/>
              </w:rPr>
              <w:t>W</w:t>
            </w:r>
            <w:r w:rsidR="004C01F7">
              <w:rPr>
                <w:iCs/>
              </w:rPr>
              <w:t xml:space="preserve">ater </w:t>
            </w:r>
            <w:r w:rsidR="0067547B">
              <w:rPr>
                <w:iCs/>
              </w:rPr>
              <w:t>A</w:t>
            </w:r>
            <w:r w:rsidR="004C01F7">
              <w:rPr>
                <w:iCs/>
              </w:rPr>
              <w:t xml:space="preserve">ct.  In addition, the revisions are not expected to significantly affect the human health </w:t>
            </w:r>
            <w:r w:rsidR="0067547B">
              <w:rPr>
                <w:iCs/>
              </w:rPr>
              <w:t xml:space="preserve">risks or costs associated with </w:t>
            </w:r>
            <w:r w:rsidR="004C01F7">
              <w:rPr>
                <w:iCs/>
              </w:rPr>
              <w:t xml:space="preserve">eating fish or drinking water in Oregon. </w:t>
            </w:r>
            <w:r w:rsidR="0067547B">
              <w:rPr>
                <w:iCs/>
              </w:rPr>
              <w:t xml:space="preserve"> </w:t>
            </w:r>
            <w:r w:rsidR="00EA2403">
              <w:rPr>
                <w:iCs/>
              </w:rPr>
              <w:t>Impacts to municipal sewage treatment and drinking water treatment works are discussed in the section on local governments.</w:t>
            </w:r>
          </w:p>
          <w:p w:rsidR="00EA2403" w:rsidRDefault="00EA2403" w:rsidP="00506C05">
            <w:pPr>
              <w:rPr>
                <w:iCs/>
              </w:rPr>
            </w:pPr>
          </w:p>
          <w:p w:rsidR="00E60C52" w:rsidRDefault="00866293" w:rsidP="00E60C52">
            <w:pPr>
              <w:rPr>
                <w:iCs/>
              </w:rPr>
            </w:pPr>
            <w:r>
              <w:rPr>
                <w:iCs/>
              </w:rPr>
              <w:t xml:space="preserve">DEQ’s proposal to withdraw criteria </w:t>
            </w:r>
            <w:r w:rsidR="00EA2403">
              <w:rPr>
                <w:iCs/>
              </w:rPr>
              <w:t>for i</w:t>
            </w:r>
            <w:r w:rsidR="0067547B">
              <w:rPr>
                <w:iCs/>
              </w:rPr>
              <w:t>ron and manganese do</w:t>
            </w:r>
            <w:r>
              <w:rPr>
                <w:iCs/>
              </w:rPr>
              <w:t>es</w:t>
            </w:r>
            <w:r w:rsidR="0067547B">
              <w:rPr>
                <w:iCs/>
              </w:rPr>
              <w:t xml:space="preserve"> not present </w:t>
            </w:r>
            <w:r>
              <w:rPr>
                <w:iCs/>
              </w:rPr>
              <w:t>a human health concern given the</w:t>
            </w:r>
            <w:r w:rsidR="0067547B">
              <w:rPr>
                <w:iCs/>
              </w:rPr>
              <w:t xml:space="preserve"> levels </w:t>
            </w:r>
            <w:r>
              <w:rPr>
                <w:iCs/>
              </w:rPr>
              <w:t xml:space="preserve">of these metals </w:t>
            </w:r>
            <w:r w:rsidR="0067547B">
              <w:rPr>
                <w:iCs/>
              </w:rPr>
              <w:t>found in Oregon waters</w:t>
            </w:r>
            <w:r w:rsidR="00EA2403">
              <w:rPr>
                <w:iCs/>
              </w:rPr>
              <w:t>.</w:t>
            </w:r>
            <w:r w:rsidR="00E60C52">
              <w:rPr>
                <w:iCs/>
              </w:rPr>
              <w:t xml:space="preserve"> </w:t>
            </w:r>
            <w:r>
              <w:rPr>
                <w:iCs/>
              </w:rPr>
              <w:t xml:space="preserve"> EPA recommended t</w:t>
            </w:r>
            <w:r w:rsidR="00E60C52">
              <w:rPr>
                <w:iCs/>
              </w:rPr>
              <w:t xml:space="preserve">hese criteria to protect against potential taste and laundry staining impacts.  There are other alternatives for controlling these </w:t>
            </w:r>
            <w:r w:rsidR="00E60C52">
              <w:rPr>
                <w:iCs/>
              </w:rPr>
              <w:lastRenderedPageBreak/>
              <w:t>affects should they be a problem for water suppliers in Oregon that are more targeted an</w:t>
            </w:r>
            <w:r>
              <w:rPr>
                <w:iCs/>
              </w:rPr>
              <w:t>d efficient than retaining these</w:t>
            </w:r>
            <w:r w:rsidR="00AF1FDC">
              <w:rPr>
                <w:iCs/>
              </w:rPr>
              <w:t xml:space="preserve"> statewide numeric criteria.</w:t>
            </w:r>
          </w:p>
          <w:p w:rsidR="00351BCE" w:rsidRDefault="00351BCE" w:rsidP="00506C05">
            <w:pPr>
              <w:rPr>
                <w:iCs/>
              </w:rPr>
            </w:pPr>
          </w:p>
          <w:p w:rsidR="00D81BBD" w:rsidRDefault="00351BCE">
            <w:r>
              <w:rPr>
                <w:iCs/>
              </w:rPr>
              <w:t xml:space="preserve">DEQ does not expect </w:t>
            </w:r>
            <w:r w:rsidR="0067547B">
              <w:rPr>
                <w:iCs/>
              </w:rPr>
              <w:t xml:space="preserve">the public to incur </w:t>
            </w:r>
            <w:r>
              <w:rPr>
                <w:iCs/>
              </w:rPr>
              <w:t>costs associated with health impacts from the revised criteria</w:t>
            </w:r>
            <w:r w:rsidR="004A048E">
              <w:rPr>
                <w:iCs/>
              </w:rPr>
              <w:t xml:space="preserve"> for arsenic</w:t>
            </w:r>
            <w:r w:rsidR="00987470">
              <w:rPr>
                <w:iCs/>
              </w:rPr>
              <w:t xml:space="preserve"> because </w:t>
            </w:r>
            <w:r w:rsidR="00374AD7">
              <w:rPr>
                <w:iCs/>
              </w:rPr>
              <w:t xml:space="preserve">natural sources </w:t>
            </w:r>
            <w:r w:rsidR="004A048E">
              <w:rPr>
                <w:iCs/>
              </w:rPr>
              <w:t xml:space="preserve">of arsenic </w:t>
            </w:r>
            <w:r w:rsidR="00374AD7">
              <w:rPr>
                <w:iCs/>
              </w:rPr>
              <w:t>are the primary source of arsenic in most waterbodies used as drinking water.  Arsenic levels in Oregon w</w:t>
            </w:r>
            <w:r w:rsidR="001A1DB6">
              <w:rPr>
                <w:iCs/>
              </w:rPr>
              <w:t>aters commonly range from 1to 3</w:t>
            </w:r>
            <w:r w:rsidR="00374AD7">
              <w:rPr>
                <w:iCs/>
              </w:rPr>
              <w:t>µg/</w:t>
            </w:r>
            <w:r w:rsidR="001A1DB6">
              <w:rPr>
                <w:iCs/>
              </w:rPr>
              <w:t xml:space="preserve">l.  The risk associated with natural </w:t>
            </w:r>
            <w:r w:rsidR="00E60C52">
              <w:rPr>
                <w:iCs/>
              </w:rPr>
              <w:t xml:space="preserve">arsenic </w:t>
            </w:r>
            <w:r w:rsidR="001A1DB6">
              <w:rPr>
                <w:iCs/>
              </w:rPr>
              <w:t xml:space="preserve">levels is not new; </w:t>
            </w:r>
            <w:r w:rsidR="003913E7">
              <w:rPr>
                <w:iCs/>
              </w:rPr>
              <w:t xml:space="preserve">risk attributable to natural levels of arsenic </w:t>
            </w:r>
            <w:r w:rsidR="001A1DB6">
              <w:rPr>
                <w:iCs/>
              </w:rPr>
              <w:t xml:space="preserve">has been present as long as people have been drinking Oregon water.  </w:t>
            </w:r>
            <w:r w:rsidR="003913E7">
              <w:rPr>
                <w:iCs/>
              </w:rPr>
              <w:t>To minimize any risks that could be associated with anthropogenic sources of arsenic</w:t>
            </w:r>
            <w:r w:rsidR="001A1DB6">
              <w:rPr>
                <w:iCs/>
              </w:rPr>
              <w:t xml:space="preserve">, </w:t>
            </w:r>
            <w:r w:rsidR="00482732">
              <w:rPr>
                <w:iCs/>
              </w:rPr>
              <w:t xml:space="preserve">DEQ proposes an </w:t>
            </w:r>
            <w:r w:rsidR="00EA2403">
              <w:rPr>
                <w:iCs/>
              </w:rPr>
              <w:t xml:space="preserve">arsenic reduction policy rule. </w:t>
            </w:r>
            <w:r w:rsidR="00E60C52">
              <w:rPr>
                <w:iCs/>
              </w:rPr>
              <w:t xml:space="preserve"> </w:t>
            </w:r>
            <w:r w:rsidR="00482732">
              <w:rPr>
                <w:iCs/>
              </w:rPr>
              <w:t xml:space="preserve">The purpose of this </w:t>
            </w:r>
            <w:r w:rsidR="00E60C52">
              <w:rPr>
                <w:iCs/>
              </w:rPr>
              <w:t xml:space="preserve">rule </w:t>
            </w:r>
            <w:r w:rsidR="00482732">
              <w:rPr>
                <w:iCs/>
              </w:rPr>
              <w:t xml:space="preserve">is to ensure that arsenic added to Oregon waters from known and significant anthropogenic sources is reduced to the maximum extent possible in order to keep </w:t>
            </w:r>
            <w:r w:rsidR="00EA2403">
              <w:rPr>
                <w:iCs/>
              </w:rPr>
              <w:t xml:space="preserve">any </w:t>
            </w:r>
            <w:r w:rsidR="00482732">
              <w:rPr>
                <w:iCs/>
              </w:rPr>
              <w:t xml:space="preserve">human health risk associated with arsenic in drinking water </w:t>
            </w:r>
            <w:r w:rsidR="00EA2403">
              <w:rPr>
                <w:iCs/>
              </w:rPr>
              <w:t xml:space="preserve">source waters </w:t>
            </w:r>
            <w:r w:rsidR="00482732">
              <w:rPr>
                <w:iCs/>
              </w:rPr>
              <w:t>as low as possible.</w:t>
            </w:r>
            <w:r w:rsidR="00987470">
              <w:rPr>
                <w:iCs/>
              </w:rPr>
              <w:t xml:space="preserve">  </w:t>
            </w:r>
          </w:p>
        </w:tc>
      </w:tr>
      <w:tr w:rsidR="00E7168E" w:rsidRPr="00943AD3" w:rsidTr="00943AD3">
        <w:tc>
          <w:tcPr>
            <w:tcW w:w="2358" w:type="dxa"/>
          </w:tcPr>
          <w:p w:rsidR="00E7168E" w:rsidRPr="00943AD3" w:rsidRDefault="00E7168E" w:rsidP="00943AD3">
            <w:pPr>
              <w:tabs>
                <w:tab w:val="left" w:pos="45"/>
              </w:tabs>
              <w:ind w:left="360"/>
              <w:rPr>
                <w:rFonts w:ascii="Arial" w:hAnsi="Arial" w:cs="Arial"/>
              </w:rPr>
            </w:pPr>
            <w:r w:rsidRPr="00943AD3">
              <w:rPr>
                <w:rFonts w:ascii="Arial" w:hAnsi="Arial" w:cs="Arial"/>
                <w:b/>
              </w:rPr>
              <w:lastRenderedPageBreak/>
              <w:t>Impacts to Small Business</w:t>
            </w:r>
            <w:r w:rsidRPr="00943AD3">
              <w:rPr>
                <w:rFonts w:ascii="Arial" w:hAnsi="Arial" w:cs="Arial"/>
              </w:rPr>
              <w:t xml:space="preserve"> </w:t>
            </w:r>
          </w:p>
          <w:p w:rsidR="00E7168E" w:rsidRPr="00943AD3" w:rsidRDefault="00E7168E" w:rsidP="00943AD3">
            <w:pPr>
              <w:tabs>
                <w:tab w:val="left" w:pos="45"/>
              </w:tabs>
              <w:ind w:left="360"/>
              <w:rPr>
                <w:rFonts w:ascii="Arial" w:hAnsi="Arial" w:cs="Arial"/>
              </w:rPr>
            </w:pPr>
            <w:r w:rsidRPr="00943AD3">
              <w:rPr>
                <w:rFonts w:ascii="Arial" w:hAnsi="Arial" w:cs="Arial"/>
              </w:rPr>
              <w:t>(50 or fewer employees –ORS183.310(10))</w:t>
            </w:r>
          </w:p>
          <w:p w:rsidR="00931890" w:rsidRPr="00943AD3" w:rsidRDefault="00931890" w:rsidP="00943AD3">
            <w:pPr>
              <w:tabs>
                <w:tab w:val="left" w:pos="45"/>
              </w:tabs>
              <w:ind w:left="360"/>
              <w:rPr>
                <w:rFonts w:ascii="Arial" w:hAnsi="Arial" w:cs="Arial"/>
                <w:b/>
              </w:rPr>
            </w:pPr>
          </w:p>
        </w:tc>
        <w:tc>
          <w:tcPr>
            <w:tcW w:w="8658" w:type="dxa"/>
            <w:gridSpan w:val="2"/>
          </w:tcPr>
          <w:p w:rsidR="0051774C" w:rsidRDefault="0051774C" w:rsidP="001F5EC0">
            <w:pPr>
              <w:rPr>
                <w:iCs/>
              </w:rPr>
            </w:pPr>
            <w:r w:rsidRPr="0051774C">
              <w:rPr>
                <w:iCs/>
              </w:rPr>
              <w:t>DEQ does not expect small busin</w:t>
            </w:r>
            <w:r>
              <w:rPr>
                <w:iCs/>
              </w:rPr>
              <w:t>e</w:t>
            </w:r>
            <w:r w:rsidRPr="0051774C">
              <w:rPr>
                <w:iCs/>
              </w:rPr>
              <w:t>sses</w:t>
            </w:r>
            <w:r>
              <w:rPr>
                <w:iCs/>
              </w:rPr>
              <w:t xml:space="preserve"> to be negatively impacted by this rule.  Most small businesses in Oregon discharge to a </w:t>
            </w:r>
            <w:r w:rsidR="00E60C52">
              <w:rPr>
                <w:iCs/>
              </w:rPr>
              <w:t>publicly owned treatment works (</w:t>
            </w:r>
            <w:r>
              <w:rPr>
                <w:iCs/>
              </w:rPr>
              <w:t>POTW</w:t>
            </w:r>
            <w:r w:rsidR="00E60C52">
              <w:rPr>
                <w:iCs/>
              </w:rPr>
              <w:t>).  Because</w:t>
            </w:r>
            <w:r>
              <w:rPr>
                <w:iCs/>
              </w:rPr>
              <w:t xml:space="preserve"> they do not typicall</w:t>
            </w:r>
            <w:r w:rsidR="00E60C52">
              <w:rPr>
                <w:iCs/>
              </w:rPr>
              <w:t xml:space="preserve">y discharge directly to a water </w:t>
            </w:r>
            <w:r>
              <w:rPr>
                <w:iCs/>
              </w:rPr>
              <w:t>body</w:t>
            </w:r>
            <w:r w:rsidR="001F5EC0">
              <w:rPr>
                <w:iCs/>
              </w:rPr>
              <w:t>,</w:t>
            </w:r>
            <w:r w:rsidR="00E60C52">
              <w:rPr>
                <w:iCs/>
              </w:rPr>
              <w:t xml:space="preserve"> most small businesses</w:t>
            </w:r>
            <w:r>
              <w:rPr>
                <w:iCs/>
              </w:rPr>
              <w:t xml:space="preserve"> are not required to get an NPDES permit.  </w:t>
            </w:r>
            <w:r w:rsidR="001F5EC0">
              <w:rPr>
                <w:iCs/>
              </w:rPr>
              <w:t xml:space="preserve">A </w:t>
            </w:r>
            <w:r>
              <w:rPr>
                <w:iCs/>
              </w:rPr>
              <w:t xml:space="preserve">POTW </w:t>
            </w:r>
            <w:r w:rsidR="00E60C52">
              <w:rPr>
                <w:iCs/>
              </w:rPr>
              <w:t xml:space="preserve">with arsenic, iron or manganese limits in their NPDES permit </w:t>
            </w:r>
            <w:r>
              <w:rPr>
                <w:iCs/>
              </w:rPr>
              <w:t xml:space="preserve">may </w:t>
            </w:r>
            <w:r w:rsidR="001F5EC0">
              <w:rPr>
                <w:iCs/>
              </w:rPr>
              <w:t xml:space="preserve">in turn place requirements on small businesses in order to limit the amount of arsenic, iron or manganese </w:t>
            </w:r>
            <w:r w:rsidR="000D05A0">
              <w:rPr>
                <w:iCs/>
              </w:rPr>
              <w:t xml:space="preserve">a business </w:t>
            </w:r>
            <w:r w:rsidR="00E60C52">
              <w:rPr>
                <w:iCs/>
              </w:rPr>
              <w:t xml:space="preserve">discharges </w:t>
            </w:r>
            <w:r w:rsidR="001F5EC0">
              <w:rPr>
                <w:iCs/>
              </w:rPr>
              <w:t xml:space="preserve">to the public sewer system.  </w:t>
            </w:r>
            <w:r w:rsidR="000D05A0">
              <w:rPr>
                <w:iCs/>
              </w:rPr>
              <w:t>However, b</w:t>
            </w:r>
            <w:r w:rsidR="001F5EC0">
              <w:rPr>
                <w:iCs/>
              </w:rPr>
              <w:t>ecause the proposed rule changes will make the water quality criteria for these metals less stringent, the rule change will not lead to additional requirements or limits to businesses that discharge to POTWs beyond what would be required under the existing criteria.</w:t>
            </w:r>
          </w:p>
          <w:p w:rsidR="001F5EC0" w:rsidRPr="00943AD3" w:rsidRDefault="001F5EC0" w:rsidP="001F5EC0">
            <w:pPr>
              <w:rPr>
                <w:iCs/>
                <w:highlight w:val="yellow"/>
              </w:rPr>
            </w:pPr>
          </w:p>
        </w:tc>
      </w:tr>
      <w:tr w:rsidR="00A64A2D" w:rsidRPr="00943AD3" w:rsidTr="00943AD3">
        <w:trPr>
          <w:trHeight w:val="863"/>
        </w:trPr>
        <w:tc>
          <w:tcPr>
            <w:tcW w:w="2358" w:type="dxa"/>
            <w:vMerge w:val="restart"/>
          </w:tcPr>
          <w:p w:rsidR="00A64A2D" w:rsidRPr="00943AD3" w:rsidRDefault="006F1EB9" w:rsidP="00943AD3">
            <w:pPr>
              <w:ind w:left="360"/>
              <w:rPr>
                <w:rFonts w:ascii="Arial" w:hAnsi="Arial" w:cs="Arial"/>
                <w:color w:val="FF6600"/>
              </w:rPr>
            </w:pPr>
            <w:bookmarkStart w:id="4" w:name="ABSB"/>
            <w:bookmarkEnd w:id="4"/>
            <w:r w:rsidRPr="00943AD3">
              <w:rPr>
                <w:rFonts w:ascii="Arial" w:hAnsi="Arial" w:cs="Arial"/>
                <w:b/>
              </w:rPr>
              <w:t xml:space="preserve">Cost of Compliance on </w:t>
            </w:r>
            <w:r w:rsidR="00CE2775" w:rsidRPr="00943AD3">
              <w:rPr>
                <w:rFonts w:ascii="Arial" w:hAnsi="Arial" w:cs="Arial"/>
                <w:b/>
              </w:rPr>
              <w:t>Small Business</w:t>
            </w:r>
            <w:r w:rsidR="00CE2775" w:rsidRPr="00943AD3">
              <w:rPr>
                <w:rFonts w:ascii="Arial" w:hAnsi="Arial" w:cs="Arial"/>
              </w:rPr>
              <w:t xml:space="preserve"> </w:t>
            </w:r>
            <w:r w:rsidR="00733AE9" w:rsidRPr="00943AD3">
              <w:rPr>
                <w:rFonts w:ascii="Arial" w:hAnsi="Arial" w:cs="Arial"/>
              </w:rPr>
              <w:t>(50 or fewer employees –ORS183.310(10))</w:t>
            </w:r>
          </w:p>
        </w:tc>
        <w:tc>
          <w:tcPr>
            <w:tcW w:w="2610" w:type="dxa"/>
          </w:tcPr>
          <w:p w:rsidR="00A64A2D" w:rsidRPr="003577A6" w:rsidRDefault="00774D6F" w:rsidP="00774D6F">
            <w:r w:rsidRPr="003577A6">
              <w:t xml:space="preserve">a) Estimated number </w:t>
            </w:r>
            <w:r w:rsidR="006F1EB9" w:rsidRPr="003577A6">
              <w:t>of small businesses subject to the proposed rule</w:t>
            </w:r>
          </w:p>
        </w:tc>
        <w:tc>
          <w:tcPr>
            <w:tcW w:w="6048" w:type="dxa"/>
          </w:tcPr>
          <w:p w:rsidR="002A4DC8" w:rsidRDefault="00586E0F" w:rsidP="00CE2775">
            <w:pPr>
              <w:rPr>
                <w:iCs/>
              </w:rPr>
            </w:pPr>
            <w:r>
              <w:rPr>
                <w:iCs/>
              </w:rPr>
              <w:t xml:space="preserve">Very few </w:t>
            </w:r>
            <w:r w:rsidR="00E07876">
              <w:rPr>
                <w:iCs/>
              </w:rPr>
              <w:t xml:space="preserve">small </w:t>
            </w:r>
            <w:r>
              <w:rPr>
                <w:iCs/>
              </w:rPr>
              <w:t xml:space="preserve">businesses are directly subject to these water quality </w:t>
            </w:r>
            <w:r w:rsidR="003D2188">
              <w:rPr>
                <w:iCs/>
              </w:rPr>
              <w:t>criteria</w:t>
            </w:r>
            <w:r>
              <w:rPr>
                <w:iCs/>
              </w:rPr>
              <w:t xml:space="preserve"> because most small businesses do not have direct discharges to waters of the state and </w:t>
            </w:r>
            <w:r w:rsidR="003A0DDA">
              <w:rPr>
                <w:iCs/>
              </w:rPr>
              <w:t>do</w:t>
            </w:r>
            <w:r>
              <w:rPr>
                <w:iCs/>
              </w:rPr>
              <w:t xml:space="preserve"> not </w:t>
            </w:r>
            <w:r w:rsidR="003A0DDA">
              <w:rPr>
                <w:iCs/>
              </w:rPr>
              <w:t>receive individual NPDES permits</w:t>
            </w:r>
            <w:r w:rsidR="003D2188">
              <w:rPr>
                <w:iCs/>
              </w:rPr>
              <w:t xml:space="preserve"> </w:t>
            </w:r>
            <w:r w:rsidR="003A0DDA">
              <w:rPr>
                <w:iCs/>
              </w:rPr>
              <w:t>from</w:t>
            </w:r>
            <w:r>
              <w:rPr>
                <w:iCs/>
              </w:rPr>
              <w:t xml:space="preserve"> DEQ. </w:t>
            </w:r>
            <w:r w:rsidR="003A0DDA">
              <w:rPr>
                <w:iCs/>
              </w:rPr>
              <w:t xml:space="preserve"> Most small businesses discharge to a POTW.</w:t>
            </w:r>
            <w:r>
              <w:rPr>
                <w:iCs/>
              </w:rPr>
              <w:t xml:space="preserve"> </w:t>
            </w:r>
          </w:p>
          <w:p w:rsidR="002A4DC8" w:rsidRDefault="002A4DC8" w:rsidP="00CE2775">
            <w:pPr>
              <w:rPr>
                <w:iCs/>
              </w:rPr>
            </w:pPr>
          </w:p>
          <w:p w:rsidR="003D2188" w:rsidRDefault="003A0DDA" w:rsidP="00CE2775">
            <w:pPr>
              <w:rPr>
                <w:iCs/>
              </w:rPr>
            </w:pPr>
            <w:r>
              <w:rPr>
                <w:iCs/>
              </w:rPr>
              <w:t xml:space="preserve">Approximately 2700 permittees, many of whom would be small businesses, receive general NPDES </w:t>
            </w:r>
            <w:r w:rsidR="002A4DC8">
              <w:rPr>
                <w:iCs/>
              </w:rPr>
              <w:t>permits from DEQ.  The pollution control actions required under these permits will most likely not change as a result of the proposed revisions to the arsenic, iron and manganese criteria.  In most cases, the actions address multiple pollutants, not just one of these three.  If a permit does contain requirements specific to iron or manganese, those requirements may be able to be removed.</w:t>
            </w:r>
          </w:p>
          <w:p w:rsidR="003D2188" w:rsidRDefault="003D2188" w:rsidP="00CE2775">
            <w:pPr>
              <w:rPr>
                <w:iCs/>
              </w:rPr>
            </w:pPr>
          </w:p>
          <w:p w:rsidR="004B1BC7" w:rsidRDefault="00586E0F" w:rsidP="00E07876">
            <w:pPr>
              <w:rPr>
                <w:iCs/>
              </w:rPr>
            </w:pPr>
            <w:r>
              <w:rPr>
                <w:iCs/>
              </w:rPr>
              <w:t xml:space="preserve">Some businesses </w:t>
            </w:r>
            <w:r w:rsidR="00BB26BF">
              <w:rPr>
                <w:iCs/>
              </w:rPr>
              <w:t>are</w:t>
            </w:r>
            <w:r>
              <w:rPr>
                <w:iCs/>
              </w:rPr>
              <w:t xml:space="preserve"> subject to requirements </w:t>
            </w:r>
            <w:r w:rsidR="003D2188">
              <w:rPr>
                <w:iCs/>
              </w:rPr>
              <w:t xml:space="preserve">from a </w:t>
            </w:r>
            <w:r w:rsidR="004B1BC7">
              <w:rPr>
                <w:iCs/>
              </w:rPr>
              <w:t>POTW</w:t>
            </w:r>
            <w:r w:rsidR="003D2188">
              <w:rPr>
                <w:iCs/>
              </w:rPr>
              <w:t xml:space="preserve"> u</w:t>
            </w:r>
            <w:r w:rsidR="004B1BC7">
              <w:rPr>
                <w:iCs/>
              </w:rPr>
              <w:t>nder their pretreatment program, including</w:t>
            </w:r>
            <w:r w:rsidR="003D2188">
              <w:rPr>
                <w:iCs/>
              </w:rPr>
              <w:t xml:space="preserve"> </w:t>
            </w:r>
            <w:r w:rsidR="004B1BC7">
              <w:rPr>
                <w:iCs/>
              </w:rPr>
              <w:t>approximately 130 small businesses</w:t>
            </w:r>
            <w:r w:rsidR="00DE1509">
              <w:rPr>
                <w:iCs/>
              </w:rPr>
              <w:t>.</w:t>
            </w:r>
            <w:r w:rsidR="00BB26BF">
              <w:rPr>
                <w:iCs/>
              </w:rPr>
              <w:t xml:space="preserve">  </w:t>
            </w:r>
            <w:r w:rsidR="004B1BC7">
              <w:rPr>
                <w:iCs/>
              </w:rPr>
              <w:t xml:space="preserve">DEQ does not </w:t>
            </w:r>
            <w:r w:rsidR="00DE1509">
              <w:rPr>
                <w:iCs/>
              </w:rPr>
              <w:t xml:space="preserve">have data indicating </w:t>
            </w:r>
            <w:r w:rsidR="004B1BC7">
              <w:rPr>
                <w:iCs/>
              </w:rPr>
              <w:t xml:space="preserve">how many of these businesses receive limits for arsenic, iron or manganese.  </w:t>
            </w:r>
            <w:r w:rsidR="003D2188">
              <w:rPr>
                <w:iCs/>
              </w:rPr>
              <w:t>However,</w:t>
            </w:r>
            <w:r>
              <w:rPr>
                <w:iCs/>
              </w:rPr>
              <w:t xml:space="preserve"> because the proposal will </w:t>
            </w:r>
            <w:r w:rsidR="003D2188">
              <w:rPr>
                <w:iCs/>
              </w:rPr>
              <w:t xml:space="preserve">withdraw criteria for iron and manganese and make the arsenic </w:t>
            </w:r>
            <w:r>
              <w:rPr>
                <w:iCs/>
              </w:rPr>
              <w:t>criteria less stringent</w:t>
            </w:r>
            <w:r w:rsidR="003D2188">
              <w:rPr>
                <w:iCs/>
              </w:rPr>
              <w:t xml:space="preserve"> than current criteria, the number of small businesses subject to pretreatment requirements </w:t>
            </w:r>
            <w:r w:rsidR="004B1BC7">
              <w:rPr>
                <w:iCs/>
              </w:rPr>
              <w:t xml:space="preserve">for these pollutants </w:t>
            </w:r>
            <w:r w:rsidR="003D2188">
              <w:rPr>
                <w:iCs/>
              </w:rPr>
              <w:t xml:space="preserve">would </w:t>
            </w:r>
            <w:r w:rsidR="00E07876">
              <w:rPr>
                <w:iCs/>
              </w:rPr>
              <w:t>e</w:t>
            </w:r>
            <w:r w:rsidR="003D2188">
              <w:rPr>
                <w:iCs/>
              </w:rPr>
              <w:t xml:space="preserve">ither remain unchanged or </w:t>
            </w:r>
            <w:r w:rsidR="00E07876">
              <w:rPr>
                <w:iCs/>
              </w:rPr>
              <w:t>b</w:t>
            </w:r>
            <w:r w:rsidR="003D2188">
              <w:rPr>
                <w:iCs/>
              </w:rPr>
              <w:t>e reduced.</w:t>
            </w:r>
          </w:p>
          <w:p w:rsidR="004B1BC7" w:rsidRPr="004B1BC7" w:rsidRDefault="004B1BC7" w:rsidP="00E07876">
            <w:pPr>
              <w:rPr>
                <w:iCs/>
              </w:rPr>
            </w:pPr>
          </w:p>
        </w:tc>
      </w:tr>
      <w:tr w:rsidR="004E7857" w:rsidRPr="00943AD3" w:rsidTr="00943AD3">
        <w:trPr>
          <w:trHeight w:val="863"/>
        </w:trPr>
        <w:tc>
          <w:tcPr>
            <w:tcW w:w="2358" w:type="dxa"/>
            <w:vMerge/>
          </w:tcPr>
          <w:p w:rsidR="004E7857" w:rsidRPr="00943AD3" w:rsidRDefault="004E7857" w:rsidP="00943AD3">
            <w:pPr>
              <w:ind w:left="360"/>
              <w:rPr>
                <w:rFonts w:ascii="Arial" w:hAnsi="Arial" w:cs="Arial"/>
                <w:b/>
              </w:rPr>
            </w:pPr>
          </w:p>
        </w:tc>
        <w:tc>
          <w:tcPr>
            <w:tcW w:w="2610" w:type="dxa"/>
          </w:tcPr>
          <w:p w:rsidR="004E7857" w:rsidRPr="003577A6" w:rsidRDefault="00DC30D6" w:rsidP="00774D6F">
            <w:r w:rsidRPr="003577A6">
              <w:t xml:space="preserve">b) </w:t>
            </w:r>
            <w:r w:rsidR="004E7857" w:rsidRPr="003577A6">
              <w:t>Types of businesses and industries with small businesses subject to the proposed rule</w:t>
            </w:r>
          </w:p>
        </w:tc>
        <w:tc>
          <w:tcPr>
            <w:tcW w:w="6048" w:type="dxa"/>
          </w:tcPr>
          <w:p w:rsidR="00E07876" w:rsidRDefault="00E07876" w:rsidP="00435DC2">
            <w:pPr>
              <w:rPr>
                <w:iCs/>
              </w:rPr>
            </w:pPr>
            <w:r>
              <w:rPr>
                <w:iCs/>
              </w:rPr>
              <w:t xml:space="preserve">Wood treating facilities </w:t>
            </w:r>
            <w:r w:rsidR="00435DC2">
              <w:rPr>
                <w:iCs/>
              </w:rPr>
              <w:t xml:space="preserve">are known to </w:t>
            </w:r>
            <w:r>
              <w:rPr>
                <w:iCs/>
              </w:rPr>
              <w:t xml:space="preserve">have arsenic in their stormwater run-off.  There are approximately </w:t>
            </w:r>
            <w:r w:rsidR="00B419CD">
              <w:rPr>
                <w:iCs/>
              </w:rPr>
              <w:t>8</w:t>
            </w:r>
            <w:r>
              <w:rPr>
                <w:iCs/>
              </w:rPr>
              <w:t xml:space="preserve"> wood treating facilities </w:t>
            </w:r>
            <w:r w:rsidR="002D0B88">
              <w:rPr>
                <w:iCs/>
              </w:rPr>
              <w:t xml:space="preserve">that are required to meet specific permit limits or benchmarks in their NPDES permits for arsenic.  </w:t>
            </w:r>
            <w:r>
              <w:rPr>
                <w:iCs/>
              </w:rPr>
              <w:t xml:space="preserve">The criteria value changes will not likely alter the </w:t>
            </w:r>
            <w:r w:rsidR="002D0B88">
              <w:rPr>
                <w:iCs/>
              </w:rPr>
              <w:t xml:space="preserve">actions these </w:t>
            </w:r>
            <w:r>
              <w:rPr>
                <w:iCs/>
              </w:rPr>
              <w:t>facilities</w:t>
            </w:r>
            <w:r w:rsidR="002D0B88">
              <w:rPr>
                <w:iCs/>
              </w:rPr>
              <w:t xml:space="preserve"> take to control or treat arsenic in their discharge because those same actions will likely be needed to meet limits based on the revised criteria.</w:t>
            </w:r>
          </w:p>
          <w:p w:rsidR="00435DC2" w:rsidRPr="00E07876" w:rsidRDefault="00435DC2" w:rsidP="00435DC2">
            <w:pPr>
              <w:rPr>
                <w:iCs/>
                <w:highlight w:val="yellow"/>
              </w:rPr>
            </w:pPr>
          </w:p>
        </w:tc>
      </w:tr>
      <w:tr w:rsidR="00676867" w:rsidRPr="00943AD3" w:rsidTr="00943AD3">
        <w:trPr>
          <w:trHeight w:val="458"/>
        </w:trPr>
        <w:tc>
          <w:tcPr>
            <w:tcW w:w="2358" w:type="dxa"/>
            <w:vMerge/>
          </w:tcPr>
          <w:p w:rsidR="00676867" w:rsidRPr="00943AD3" w:rsidRDefault="00676867" w:rsidP="00943AD3">
            <w:pPr>
              <w:ind w:left="360"/>
              <w:rPr>
                <w:rFonts w:ascii="Arial" w:hAnsi="Arial" w:cs="Arial"/>
                <w:b/>
                <w:color w:val="FF6600"/>
              </w:rPr>
            </w:pPr>
          </w:p>
        </w:tc>
        <w:tc>
          <w:tcPr>
            <w:tcW w:w="2610" w:type="dxa"/>
          </w:tcPr>
          <w:p w:rsidR="00676867" w:rsidRPr="003577A6" w:rsidRDefault="00DC30D6" w:rsidP="00774D6F">
            <w:r w:rsidRPr="003577A6">
              <w:t>c) Projected reporting, recordkeeping and other administrative activities required by small businesses for compliance with the proposed rule, including costs of professional services</w:t>
            </w:r>
          </w:p>
        </w:tc>
        <w:tc>
          <w:tcPr>
            <w:tcW w:w="6048" w:type="dxa"/>
          </w:tcPr>
          <w:p w:rsidR="00435DC2" w:rsidRDefault="00435DC2" w:rsidP="00E80307">
            <w:pPr>
              <w:rPr>
                <w:iCs/>
              </w:rPr>
            </w:pPr>
            <w:r w:rsidRPr="00435DC2">
              <w:rPr>
                <w:iCs/>
              </w:rPr>
              <w:t xml:space="preserve">The </w:t>
            </w:r>
            <w:r w:rsidR="00F91163">
              <w:rPr>
                <w:iCs/>
              </w:rPr>
              <w:t xml:space="preserve">proposed </w:t>
            </w:r>
            <w:r w:rsidRPr="00435DC2">
              <w:rPr>
                <w:iCs/>
              </w:rPr>
              <w:t xml:space="preserve">criteria value changes </w:t>
            </w:r>
            <w:r w:rsidR="00E80307">
              <w:rPr>
                <w:iCs/>
              </w:rPr>
              <w:t>are not likely to</w:t>
            </w:r>
            <w:r w:rsidRPr="00435DC2">
              <w:rPr>
                <w:iCs/>
              </w:rPr>
              <w:t xml:space="preserve"> </w:t>
            </w:r>
            <w:r w:rsidR="00E80307">
              <w:rPr>
                <w:iCs/>
              </w:rPr>
              <w:t>affect the reporting, recordkeeping or other administrative activities required of small businesses for compliance.  If there is any impact, it would be that few</w:t>
            </w:r>
            <w:r w:rsidR="00F91163">
              <w:rPr>
                <w:iCs/>
              </w:rPr>
              <w:t>er</w:t>
            </w:r>
            <w:r w:rsidR="00E80307">
              <w:rPr>
                <w:iCs/>
              </w:rPr>
              <w:t xml:space="preserve"> businesses will be subject to </w:t>
            </w:r>
            <w:r w:rsidR="00F91163">
              <w:rPr>
                <w:iCs/>
              </w:rPr>
              <w:t>requirements related to meeting water quality standards.</w:t>
            </w:r>
          </w:p>
          <w:p w:rsidR="00E80307" w:rsidRPr="00943AD3" w:rsidRDefault="00E80307" w:rsidP="00E80307">
            <w:pPr>
              <w:rPr>
                <w:highlight w:val="yellow"/>
              </w:rPr>
            </w:pPr>
          </w:p>
        </w:tc>
      </w:tr>
      <w:tr w:rsidR="00A64A2D" w:rsidRPr="00943AD3" w:rsidTr="00943AD3">
        <w:trPr>
          <w:trHeight w:val="458"/>
        </w:trPr>
        <w:tc>
          <w:tcPr>
            <w:tcW w:w="2358" w:type="dxa"/>
            <w:vMerge/>
          </w:tcPr>
          <w:p w:rsidR="00A64A2D" w:rsidRPr="00943AD3" w:rsidRDefault="00A64A2D" w:rsidP="00943AD3">
            <w:pPr>
              <w:ind w:left="360"/>
              <w:rPr>
                <w:rFonts w:ascii="Arial" w:hAnsi="Arial" w:cs="Arial"/>
                <w:b/>
                <w:color w:val="FF6600"/>
              </w:rPr>
            </w:pPr>
          </w:p>
        </w:tc>
        <w:tc>
          <w:tcPr>
            <w:tcW w:w="2610" w:type="dxa"/>
          </w:tcPr>
          <w:p w:rsidR="00A64A2D" w:rsidRPr="003577A6" w:rsidRDefault="005E16B4" w:rsidP="00774D6F">
            <w:r w:rsidRPr="003577A6">
              <w:t>d</w:t>
            </w:r>
            <w:r w:rsidR="00774D6F" w:rsidRPr="003577A6">
              <w:t xml:space="preserve">) </w:t>
            </w:r>
            <w:r w:rsidRPr="003577A6">
              <w:t>The equipment, supplies, labor, and increased administration required by small businesses for compliance with the proposed rule</w:t>
            </w:r>
          </w:p>
        </w:tc>
        <w:tc>
          <w:tcPr>
            <w:tcW w:w="6048" w:type="dxa"/>
          </w:tcPr>
          <w:p w:rsidR="00F91163" w:rsidRDefault="00F91163" w:rsidP="00F91163">
            <w:pPr>
              <w:rPr>
                <w:iCs/>
              </w:rPr>
            </w:pPr>
            <w:r w:rsidRPr="00435DC2">
              <w:rPr>
                <w:iCs/>
              </w:rPr>
              <w:t xml:space="preserve">The </w:t>
            </w:r>
            <w:r>
              <w:rPr>
                <w:iCs/>
              </w:rPr>
              <w:t xml:space="preserve">proposed </w:t>
            </w:r>
            <w:r w:rsidRPr="00435DC2">
              <w:rPr>
                <w:iCs/>
              </w:rPr>
              <w:t xml:space="preserve">criteria value changes </w:t>
            </w:r>
            <w:r>
              <w:rPr>
                <w:iCs/>
              </w:rPr>
              <w:t>are not likely to</w:t>
            </w:r>
            <w:r w:rsidRPr="00435DC2">
              <w:rPr>
                <w:iCs/>
              </w:rPr>
              <w:t xml:space="preserve"> </w:t>
            </w:r>
            <w:r>
              <w:rPr>
                <w:iCs/>
              </w:rPr>
              <w:t>affect equipment, labor, supplies or other expenses for small businesses related to compliance.  If there is any impact, it would be that fewer businesses will be subject to requirements related to meeting water quality standards.</w:t>
            </w:r>
          </w:p>
          <w:p w:rsidR="00F91163" w:rsidRPr="00943AD3" w:rsidRDefault="00F91163" w:rsidP="00CE2775">
            <w:pPr>
              <w:rPr>
                <w:highlight w:val="yellow"/>
              </w:rPr>
            </w:pPr>
          </w:p>
        </w:tc>
      </w:tr>
      <w:tr w:rsidR="00A64A2D" w:rsidRPr="00943AD3" w:rsidTr="00943AD3">
        <w:tc>
          <w:tcPr>
            <w:tcW w:w="2358" w:type="dxa"/>
            <w:vMerge/>
          </w:tcPr>
          <w:p w:rsidR="00A64A2D" w:rsidRPr="00943AD3" w:rsidRDefault="00A64A2D" w:rsidP="00943AD3">
            <w:pPr>
              <w:ind w:left="360"/>
              <w:rPr>
                <w:rFonts w:ascii="Arial" w:hAnsi="Arial" w:cs="Arial"/>
                <w:b/>
                <w:color w:val="FF6600"/>
              </w:rPr>
            </w:pPr>
          </w:p>
        </w:tc>
        <w:tc>
          <w:tcPr>
            <w:tcW w:w="2610" w:type="dxa"/>
          </w:tcPr>
          <w:p w:rsidR="00A64A2D" w:rsidRPr="003577A6" w:rsidRDefault="00737336" w:rsidP="00774D6F">
            <w:r w:rsidRPr="003577A6">
              <w:t>e</w:t>
            </w:r>
            <w:r w:rsidR="00774D6F" w:rsidRPr="003577A6">
              <w:t xml:space="preserve">) </w:t>
            </w:r>
            <w:r w:rsidR="00C75473" w:rsidRPr="003577A6">
              <w:t>A description of the manner in which DEQ involved small businesses in the development of this rulemaking</w:t>
            </w:r>
          </w:p>
        </w:tc>
        <w:tc>
          <w:tcPr>
            <w:tcW w:w="6048" w:type="dxa"/>
          </w:tcPr>
          <w:p w:rsidR="00F91163" w:rsidRPr="000C2DF4" w:rsidRDefault="00F91163" w:rsidP="00211D5F">
            <w:r w:rsidRPr="00F91163">
              <w:t>DEQ has met with and received input from a stakeholder workgroup</w:t>
            </w:r>
            <w:r>
              <w:t xml:space="preserve"> that included business representatives, but not specifically small businesses.  </w:t>
            </w:r>
            <w:r w:rsidR="00681A0B">
              <w:t xml:space="preserve">A representative from </w:t>
            </w:r>
            <w:r>
              <w:t>Associated Oregon Industries has participated on this workgroup.  In addition, DEQ informed a larger Toxics Stakeholder Group of our intention related to these revisions.  That group includes</w:t>
            </w:r>
            <w:r w:rsidR="007D2351">
              <w:t xml:space="preserve"> the Oregon Forest Industries Council, the Oregon Farm Bureau, a representative of small woodlot owners, Tribal representatives, commercial fishermen and Oregonians for Food and Shelter.</w:t>
            </w:r>
          </w:p>
          <w:p w:rsidR="000C2DF4" w:rsidRPr="00F91163" w:rsidRDefault="000C2DF4" w:rsidP="00211D5F">
            <w:pPr>
              <w:rPr>
                <w:b/>
                <w:highlight w:val="yellow"/>
              </w:rPr>
            </w:pPr>
          </w:p>
        </w:tc>
      </w:tr>
      <w:tr w:rsidR="00912B45" w:rsidRPr="00943AD3" w:rsidTr="00943AD3">
        <w:trPr>
          <w:trHeight w:val="890"/>
        </w:trPr>
        <w:tc>
          <w:tcPr>
            <w:tcW w:w="2358" w:type="dxa"/>
          </w:tcPr>
          <w:p w:rsidR="00912B45" w:rsidRPr="00943AD3" w:rsidRDefault="00C8496F" w:rsidP="00943AD3">
            <w:pPr>
              <w:ind w:left="360"/>
              <w:rPr>
                <w:rFonts w:ascii="Arial" w:hAnsi="Arial" w:cs="Arial"/>
                <w:b/>
              </w:rPr>
            </w:pPr>
            <w:r w:rsidRPr="00943AD3">
              <w:rPr>
                <w:rFonts w:ascii="Arial" w:hAnsi="Arial" w:cs="Arial"/>
                <w:b/>
              </w:rPr>
              <w:t xml:space="preserve">Impacts </w:t>
            </w:r>
            <w:r w:rsidR="003849F8" w:rsidRPr="00943AD3">
              <w:rPr>
                <w:rFonts w:ascii="Arial" w:hAnsi="Arial" w:cs="Arial"/>
                <w:b/>
              </w:rPr>
              <w:t>on</w:t>
            </w:r>
            <w:r w:rsidRPr="00943AD3">
              <w:rPr>
                <w:rFonts w:ascii="Arial" w:hAnsi="Arial" w:cs="Arial"/>
                <w:b/>
              </w:rPr>
              <w:t xml:space="preserve"> </w:t>
            </w:r>
            <w:r w:rsidR="002D3D3F" w:rsidRPr="00943AD3">
              <w:rPr>
                <w:rFonts w:ascii="Arial" w:hAnsi="Arial" w:cs="Arial"/>
                <w:b/>
              </w:rPr>
              <w:t>Large Business</w:t>
            </w:r>
          </w:p>
          <w:p w:rsidR="007D2BCB" w:rsidRPr="00943AD3" w:rsidRDefault="007D2BCB" w:rsidP="00943AD3">
            <w:pPr>
              <w:ind w:left="360"/>
              <w:rPr>
                <w:rFonts w:ascii="Arial" w:hAnsi="Arial" w:cs="Arial"/>
              </w:rPr>
            </w:pPr>
            <w:r w:rsidRPr="00943AD3">
              <w:rPr>
                <w:rFonts w:ascii="Arial" w:hAnsi="Arial" w:cs="Arial"/>
              </w:rPr>
              <w:t>(all businesses that are not “small businesses” under ORS183.310(10))</w:t>
            </w:r>
          </w:p>
          <w:p w:rsidR="00931890" w:rsidRPr="00943AD3" w:rsidRDefault="00931890" w:rsidP="00943AD3">
            <w:pPr>
              <w:ind w:left="360"/>
              <w:rPr>
                <w:rFonts w:ascii="Arial" w:hAnsi="Arial" w:cs="Arial"/>
              </w:rPr>
            </w:pPr>
          </w:p>
        </w:tc>
        <w:tc>
          <w:tcPr>
            <w:tcW w:w="8658" w:type="dxa"/>
            <w:gridSpan w:val="2"/>
          </w:tcPr>
          <w:p w:rsidR="007D2351" w:rsidRDefault="00663C28" w:rsidP="009A4405">
            <w:pPr>
              <w:rPr>
                <w:iCs/>
              </w:rPr>
            </w:pPr>
            <w:r>
              <w:rPr>
                <w:iCs/>
              </w:rPr>
              <w:t>L</w:t>
            </w:r>
            <w:r w:rsidR="007D2351">
              <w:rPr>
                <w:iCs/>
              </w:rPr>
              <w:t xml:space="preserve">arge businesses </w:t>
            </w:r>
            <w:r>
              <w:rPr>
                <w:iCs/>
              </w:rPr>
              <w:t xml:space="preserve">that </w:t>
            </w:r>
            <w:r w:rsidR="00926271">
              <w:rPr>
                <w:iCs/>
              </w:rPr>
              <w:t xml:space="preserve">discharge directly to Oregon’s surface waters </w:t>
            </w:r>
            <w:r w:rsidR="00DE1509">
              <w:rPr>
                <w:iCs/>
              </w:rPr>
              <w:t>are</w:t>
            </w:r>
            <w:r w:rsidR="00926271">
              <w:rPr>
                <w:iCs/>
              </w:rPr>
              <w:t xml:space="preserve"> directly </w:t>
            </w:r>
            <w:r w:rsidR="007D2351">
              <w:rPr>
                <w:iCs/>
              </w:rPr>
              <w:t xml:space="preserve">regulated through </w:t>
            </w:r>
            <w:r w:rsidR="00DE1509">
              <w:rPr>
                <w:iCs/>
              </w:rPr>
              <w:t xml:space="preserve">DEQ’s </w:t>
            </w:r>
            <w:r w:rsidR="007D2351">
              <w:rPr>
                <w:iCs/>
              </w:rPr>
              <w:t xml:space="preserve">water quality permitting program.  </w:t>
            </w:r>
            <w:r w:rsidR="002D7456">
              <w:rPr>
                <w:iCs/>
              </w:rPr>
              <w:t>These b</w:t>
            </w:r>
            <w:r w:rsidR="007D2351">
              <w:rPr>
                <w:iCs/>
              </w:rPr>
              <w:t xml:space="preserve">usinesses </w:t>
            </w:r>
            <w:r w:rsidR="00926271">
              <w:rPr>
                <w:iCs/>
              </w:rPr>
              <w:t xml:space="preserve">must test their wastewater to determine what pollutant concentrations it contains.  Businesses that </w:t>
            </w:r>
            <w:r w:rsidR="007D2351">
              <w:rPr>
                <w:iCs/>
              </w:rPr>
              <w:t xml:space="preserve">have the potential to </w:t>
            </w:r>
            <w:r w:rsidR="00DE1509">
              <w:rPr>
                <w:iCs/>
              </w:rPr>
              <w:t>cause the water</w:t>
            </w:r>
            <w:r w:rsidR="00684062">
              <w:rPr>
                <w:iCs/>
              </w:rPr>
              <w:t xml:space="preserve"> </w:t>
            </w:r>
            <w:r w:rsidR="00DE1509">
              <w:rPr>
                <w:iCs/>
              </w:rPr>
              <w:t xml:space="preserve">body to </w:t>
            </w:r>
            <w:r w:rsidR="007D2351">
              <w:rPr>
                <w:iCs/>
              </w:rPr>
              <w:t xml:space="preserve">exceed water quality standards are subject to regulatory effluent limits that specify the </w:t>
            </w:r>
            <w:r w:rsidR="00926271">
              <w:rPr>
                <w:iCs/>
              </w:rPr>
              <w:t xml:space="preserve">maximum </w:t>
            </w:r>
            <w:r w:rsidR="007D2351">
              <w:rPr>
                <w:iCs/>
              </w:rPr>
              <w:t xml:space="preserve">concentration of a pollutant that may be in their discharge.  </w:t>
            </w:r>
          </w:p>
          <w:p w:rsidR="00926271" w:rsidRDefault="00926271" w:rsidP="009A4405">
            <w:pPr>
              <w:rPr>
                <w:iCs/>
              </w:rPr>
            </w:pPr>
          </w:p>
          <w:p w:rsidR="00926271" w:rsidRDefault="00926271" w:rsidP="009A4405">
            <w:pPr>
              <w:rPr>
                <w:iCs/>
              </w:rPr>
            </w:pPr>
            <w:r>
              <w:rPr>
                <w:iCs/>
              </w:rPr>
              <w:t xml:space="preserve">DEQ’s current criteria for arsenic are for total arsenic and the new criteria will be for inorganic arsenic.  Inorganic arsenic testing is more expensive than total arsenic, so </w:t>
            </w:r>
            <w:r w:rsidR="00684062">
              <w:rPr>
                <w:iCs/>
              </w:rPr>
              <w:t>monitoring</w:t>
            </w:r>
            <w:r w:rsidR="00DE1509">
              <w:rPr>
                <w:iCs/>
              </w:rPr>
              <w:t xml:space="preserve"> cost</w:t>
            </w:r>
            <w:r w:rsidR="00684062">
              <w:rPr>
                <w:iCs/>
              </w:rPr>
              <w:t>s</w:t>
            </w:r>
            <w:r w:rsidR="00DE1509">
              <w:rPr>
                <w:iCs/>
              </w:rPr>
              <w:t xml:space="preserve"> may</w:t>
            </w:r>
            <w:r>
              <w:rPr>
                <w:iCs/>
              </w:rPr>
              <w:t xml:space="preserve"> increase</w:t>
            </w:r>
            <w:r w:rsidR="00DE1509">
              <w:rPr>
                <w:iCs/>
              </w:rPr>
              <w:t xml:space="preserve"> </w:t>
            </w:r>
            <w:r>
              <w:rPr>
                <w:iCs/>
              </w:rPr>
              <w:t xml:space="preserve">for </w:t>
            </w:r>
            <w:r w:rsidR="003A0DDA">
              <w:rPr>
                <w:iCs/>
              </w:rPr>
              <w:t xml:space="preserve">some </w:t>
            </w:r>
            <w:r>
              <w:rPr>
                <w:iCs/>
              </w:rPr>
              <w:t xml:space="preserve">businesses.  </w:t>
            </w:r>
            <w:r w:rsidR="003A0DDA">
              <w:rPr>
                <w:iCs/>
              </w:rPr>
              <w:t xml:space="preserve">However, only those businesses with the potential to </w:t>
            </w:r>
            <w:r w:rsidR="00DE1509">
              <w:rPr>
                <w:iCs/>
              </w:rPr>
              <w:t xml:space="preserve">cause an </w:t>
            </w:r>
            <w:r w:rsidR="003A0DDA">
              <w:rPr>
                <w:iCs/>
              </w:rPr>
              <w:t>exceed</w:t>
            </w:r>
            <w:r w:rsidR="00DE1509">
              <w:rPr>
                <w:iCs/>
              </w:rPr>
              <w:t>ance of</w:t>
            </w:r>
            <w:r w:rsidR="003A0DDA">
              <w:rPr>
                <w:iCs/>
              </w:rPr>
              <w:t xml:space="preserve"> the criterion </w:t>
            </w:r>
            <w:r w:rsidR="00DE1509">
              <w:rPr>
                <w:iCs/>
              </w:rPr>
              <w:t>are required to</w:t>
            </w:r>
            <w:r w:rsidR="003A0DDA">
              <w:rPr>
                <w:iCs/>
              </w:rPr>
              <w:t xml:space="preserve"> regular</w:t>
            </w:r>
            <w:r w:rsidR="00DE1509">
              <w:rPr>
                <w:iCs/>
              </w:rPr>
              <w:t>ly</w:t>
            </w:r>
            <w:r w:rsidR="003A0DDA">
              <w:rPr>
                <w:iCs/>
              </w:rPr>
              <w:t xml:space="preserve"> monitor throughout their permit term</w:t>
            </w:r>
            <w:r w:rsidR="00DE1509">
              <w:rPr>
                <w:iCs/>
              </w:rPr>
              <w:t>. U</w:t>
            </w:r>
            <w:r w:rsidR="003A0DDA">
              <w:rPr>
                <w:iCs/>
              </w:rPr>
              <w:t xml:space="preserve">nder the </w:t>
            </w:r>
            <w:r w:rsidR="00DE1509">
              <w:rPr>
                <w:iCs/>
              </w:rPr>
              <w:t>proposed rule,</w:t>
            </w:r>
            <w:r w:rsidR="003A0DDA">
              <w:rPr>
                <w:iCs/>
              </w:rPr>
              <w:t xml:space="preserve"> fewer businesses will be in this category.</w:t>
            </w:r>
          </w:p>
          <w:p w:rsidR="007D2351" w:rsidRDefault="007D2351" w:rsidP="009A4405">
            <w:pPr>
              <w:rPr>
                <w:iCs/>
              </w:rPr>
            </w:pPr>
          </w:p>
          <w:p w:rsidR="007D2351" w:rsidRDefault="007D2351" w:rsidP="009A4405">
            <w:pPr>
              <w:rPr>
                <w:iCs/>
              </w:rPr>
            </w:pPr>
            <w:r>
              <w:rPr>
                <w:iCs/>
              </w:rPr>
              <w:t xml:space="preserve">At this time, </w:t>
            </w:r>
            <w:r w:rsidR="00663C28">
              <w:rPr>
                <w:iCs/>
              </w:rPr>
              <w:t xml:space="preserve">no major </w:t>
            </w:r>
            <w:r w:rsidR="00B736ED">
              <w:rPr>
                <w:iCs/>
              </w:rPr>
              <w:t xml:space="preserve">industrial </w:t>
            </w:r>
            <w:r w:rsidR="00663C28">
              <w:rPr>
                <w:iCs/>
              </w:rPr>
              <w:t xml:space="preserve">dischargers and 13 minor industrial dischargers </w:t>
            </w:r>
            <w:r>
              <w:rPr>
                <w:iCs/>
              </w:rPr>
              <w:t xml:space="preserve">in Oregon have effluent limits </w:t>
            </w:r>
            <w:r w:rsidR="00663C28">
              <w:rPr>
                <w:iCs/>
              </w:rPr>
              <w:t xml:space="preserve">in their NPDES permits </w:t>
            </w:r>
            <w:r>
              <w:rPr>
                <w:iCs/>
              </w:rPr>
              <w:t xml:space="preserve">for arsenic, iron or manganese.  </w:t>
            </w:r>
            <w:r w:rsidR="00D94DB8">
              <w:rPr>
                <w:iCs/>
              </w:rPr>
              <w:t>Many permittees, however, are being required to collect data.  A</w:t>
            </w:r>
            <w:r w:rsidR="00663C28">
              <w:rPr>
                <w:iCs/>
              </w:rPr>
              <w:t xml:space="preserve">s </w:t>
            </w:r>
            <w:r>
              <w:rPr>
                <w:iCs/>
              </w:rPr>
              <w:t>permit</w:t>
            </w:r>
            <w:r w:rsidR="00663C28">
              <w:rPr>
                <w:iCs/>
              </w:rPr>
              <w:t xml:space="preserve">s are renewed, DEQ expects that additional permittees </w:t>
            </w:r>
            <w:r>
              <w:rPr>
                <w:iCs/>
              </w:rPr>
              <w:t>w</w:t>
            </w:r>
            <w:r w:rsidR="002D7456">
              <w:rPr>
                <w:iCs/>
              </w:rPr>
              <w:t>ou</w:t>
            </w:r>
            <w:r>
              <w:rPr>
                <w:iCs/>
              </w:rPr>
              <w:t>l</w:t>
            </w:r>
            <w:r w:rsidR="002D7456">
              <w:rPr>
                <w:iCs/>
              </w:rPr>
              <w:t>d</w:t>
            </w:r>
            <w:r>
              <w:rPr>
                <w:iCs/>
              </w:rPr>
              <w:t xml:space="preserve"> have difficulty meeting the current criteria</w:t>
            </w:r>
            <w:r w:rsidR="002D7456">
              <w:rPr>
                <w:iCs/>
              </w:rPr>
              <w:t xml:space="preserve">, </w:t>
            </w:r>
            <w:r>
              <w:rPr>
                <w:iCs/>
              </w:rPr>
              <w:t>particularly those located on water bod</w:t>
            </w:r>
            <w:r w:rsidR="00F8029F">
              <w:rPr>
                <w:iCs/>
              </w:rPr>
              <w:t>i</w:t>
            </w:r>
            <w:r>
              <w:rPr>
                <w:iCs/>
              </w:rPr>
              <w:t>es that are listed as water quality impaired for these pollutants, such as the Willamette and Columbia Rivers.</w:t>
            </w:r>
          </w:p>
          <w:p w:rsidR="007D2351" w:rsidRDefault="007D2351" w:rsidP="009A4405">
            <w:pPr>
              <w:rPr>
                <w:iCs/>
              </w:rPr>
            </w:pPr>
          </w:p>
          <w:p w:rsidR="007D2351" w:rsidRDefault="007D2351" w:rsidP="009A4405">
            <w:pPr>
              <w:rPr>
                <w:iCs/>
              </w:rPr>
            </w:pPr>
            <w:r>
              <w:rPr>
                <w:iCs/>
              </w:rPr>
              <w:t>The proposed criteria changes will reduce unnecessary restrictions on permittees that would not be able to meet iron or manganese criteria.</w:t>
            </w:r>
          </w:p>
          <w:p w:rsidR="007D2351" w:rsidRDefault="007D2351" w:rsidP="009A4405">
            <w:pPr>
              <w:rPr>
                <w:iCs/>
              </w:rPr>
            </w:pPr>
          </w:p>
          <w:p w:rsidR="0049205E" w:rsidRDefault="00CE0228" w:rsidP="002474B1">
            <w:pPr>
              <w:rPr>
                <w:iCs/>
              </w:rPr>
            </w:pPr>
            <w:r>
              <w:rPr>
                <w:iCs/>
              </w:rPr>
              <w:t xml:space="preserve">The proposed arsenic criteria are less stringent than the current criteria and therefore, should be less costly to attain.  </w:t>
            </w:r>
            <w:r w:rsidR="00B83412">
              <w:rPr>
                <w:iCs/>
              </w:rPr>
              <w:t>The proposed arsenic reduction policy is a new requirement that will apply to some dischargers.  F</w:t>
            </w:r>
            <w:r>
              <w:rPr>
                <w:iCs/>
              </w:rPr>
              <w:t xml:space="preserve">acilities that discharge </w:t>
            </w:r>
            <w:r w:rsidR="00B736ED">
              <w:rPr>
                <w:iCs/>
              </w:rPr>
              <w:t xml:space="preserve">to waters </w:t>
            </w:r>
            <w:r w:rsidR="00B83412">
              <w:rPr>
                <w:iCs/>
              </w:rPr>
              <w:t>that have</w:t>
            </w:r>
            <w:r w:rsidR="00B736ED">
              <w:rPr>
                <w:iCs/>
              </w:rPr>
              <w:t xml:space="preserve"> arsenic levels below the proposed criteria and </w:t>
            </w:r>
            <w:r w:rsidR="00B83412">
              <w:rPr>
                <w:iCs/>
              </w:rPr>
              <w:t>a</w:t>
            </w:r>
            <w:r w:rsidR="00B736ED">
              <w:rPr>
                <w:iCs/>
              </w:rPr>
              <w:t xml:space="preserve">re delineated by DEQ as </w:t>
            </w:r>
            <w:r>
              <w:rPr>
                <w:iCs/>
              </w:rPr>
              <w:t xml:space="preserve">a drinking water </w:t>
            </w:r>
            <w:r w:rsidR="001B781E">
              <w:rPr>
                <w:iCs/>
              </w:rPr>
              <w:t>source protection</w:t>
            </w:r>
            <w:r>
              <w:rPr>
                <w:iCs/>
              </w:rPr>
              <w:t xml:space="preserve"> </w:t>
            </w:r>
            <w:r w:rsidR="00B83412">
              <w:rPr>
                <w:iCs/>
              </w:rPr>
              <w:t>area</w:t>
            </w:r>
            <w:r w:rsidR="001B781E">
              <w:rPr>
                <w:iCs/>
              </w:rPr>
              <w:t xml:space="preserve"> must evaluate their </w:t>
            </w:r>
            <w:r w:rsidR="00DD485E">
              <w:rPr>
                <w:iCs/>
              </w:rPr>
              <w:t xml:space="preserve">potential to </w:t>
            </w:r>
            <w:r w:rsidR="001B781E">
              <w:rPr>
                <w:iCs/>
              </w:rPr>
              <w:t xml:space="preserve">affect </w:t>
            </w:r>
            <w:r w:rsidR="00DD485E">
              <w:rPr>
                <w:iCs/>
              </w:rPr>
              <w:t xml:space="preserve">arsenic concentrations in the source water. </w:t>
            </w:r>
            <w:r w:rsidR="001B781E">
              <w:rPr>
                <w:iCs/>
              </w:rPr>
              <w:t xml:space="preserve"> </w:t>
            </w:r>
            <w:r w:rsidR="00DD485E">
              <w:rPr>
                <w:iCs/>
              </w:rPr>
              <w:t xml:space="preserve">Dischargers that </w:t>
            </w:r>
            <w:r w:rsidR="001B781E">
              <w:rPr>
                <w:iCs/>
              </w:rPr>
              <w:t>have the potential to increase the concentration of arsenic in their receiving water body</w:t>
            </w:r>
            <w:r>
              <w:rPr>
                <w:iCs/>
              </w:rPr>
              <w:t xml:space="preserve"> will be required to develop a plan and implement measures to reduce the </w:t>
            </w:r>
            <w:r w:rsidR="00B83412">
              <w:rPr>
                <w:iCs/>
              </w:rPr>
              <w:t>amount</w:t>
            </w:r>
            <w:r>
              <w:rPr>
                <w:iCs/>
              </w:rPr>
              <w:t xml:space="preserve"> of arsenic </w:t>
            </w:r>
            <w:r w:rsidR="00B83412">
              <w:rPr>
                <w:iCs/>
              </w:rPr>
              <w:t xml:space="preserve">added from </w:t>
            </w:r>
            <w:r>
              <w:rPr>
                <w:iCs/>
              </w:rPr>
              <w:t xml:space="preserve">their </w:t>
            </w:r>
            <w:r w:rsidR="00B83412">
              <w:rPr>
                <w:iCs/>
              </w:rPr>
              <w:t xml:space="preserve">process </w:t>
            </w:r>
            <w:r>
              <w:rPr>
                <w:iCs/>
              </w:rPr>
              <w:t xml:space="preserve">as much as feasible.  The purpose of this requirement is to minimize </w:t>
            </w:r>
            <w:r w:rsidR="0049205E">
              <w:rPr>
                <w:iCs/>
              </w:rPr>
              <w:t xml:space="preserve">any potential </w:t>
            </w:r>
            <w:r w:rsidR="00B83412">
              <w:rPr>
                <w:iCs/>
              </w:rPr>
              <w:t xml:space="preserve">additional </w:t>
            </w:r>
            <w:r w:rsidR="0049205E">
              <w:rPr>
                <w:iCs/>
              </w:rPr>
              <w:t>risk from the discharge</w:t>
            </w:r>
            <w:r>
              <w:rPr>
                <w:iCs/>
              </w:rPr>
              <w:t xml:space="preserve"> </w:t>
            </w:r>
            <w:r w:rsidR="0049205E">
              <w:rPr>
                <w:iCs/>
              </w:rPr>
              <w:t>to a public drinking water supply and to minimize any potential human health risk from arsenic exposure through drinking water.</w:t>
            </w:r>
            <w:r w:rsidR="00F8029F">
              <w:rPr>
                <w:iCs/>
              </w:rPr>
              <w:t xml:space="preserve">  </w:t>
            </w:r>
            <w:r w:rsidR="00F805B1">
              <w:rPr>
                <w:iCs/>
              </w:rPr>
              <w:t xml:space="preserve">There are </w:t>
            </w:r>
            <w:r w:rsidR="001B781E">
              <w:rPr>
                <w:iCs/>
              </w:rPr>
              <w:t>19</w:t>
            </w:r>
            <w:r w:rsidR="00F805B1">
              <w:rPr>
                <w:iCs/>
              </w:rPr>
              <w:t xml:space="preserve"> major industrial NPDES permittees </w:t>
            </w:r>
            <w:r w:rsidR="001B781E">
              <w:rPr>
                <w:iCs/>
              </w:rPr>
              <w:t xml:space="preserve">in Oregon.  </w:t>
            </w:r>
            <w:r w:rsidR="00F805B1">
              <w:rPr>
                <w:iCs/>
              </w:rPr>
              <w:t xml:space="preserve">Only a subset of these </w:t>
            </w:r>
            <w:r w:rsidR="00327A2B">
              <w:rPr>
                <w:iCs/>
              </w:rPr>
              <w:t xml:space="preserve">will </w:t>
            </w:r>
            <w:r w:rsidR="002474B1">
              <w:rPr>
                <w:iCs/>
              </w:rPr>
              <w:t>be subject to the arsenic reduction policy</w:t>
            </w:r>
            <w:r w:rsidR="00F8029F">
              <w:rPr>
                <w:iCs/>
              </w:rPr>
              <w:t xml:space="preserve">, as described above.  </w:t>
            </w:r>
            <w:r w:rsidR="002474B1">
              <w:rPr>
                <w:iCs/>
              </w:rPr>
              <w:t xml:space="preserve">Although there will be costs associated with developing and implementing an arsenic reduction plan, </w:t>
            </w:r>
            <w:r w:rsidR="0049205E">
              <w:rPr>
                <w:iCs/>
              </w:rPr>
              <w:t>the</w:t>
            </w:r>
            <w:r w:rsidR="002474B1">
              <w:rPr>
                <w:iCs/>
              </w:rPr>
              <w:t xml:space="preserve">se costs should be lower than the costs </w:t>
            </w:r>
            <w:r w:rsidR="00F805B1">
              <w:rPr>
                <w:iCs/>
              </w:rPr>
              <w:t xml:space="preserve">that would be incurred by the facility </w:t>
            </w:r>
            <w:r w:rsidR="002474B1">
              <w:rPr>
                <w:iCs/>
              </w:rPr>
              <w:t xml:space="preserve">to comply with the current arsenic criteria.  In addition, these costs </w:t>
            </w:r>
            <w:r w:rsidR="002B305B">
              <w:rPr>
                <w:iCs/>
              </w:rPr>
              <w:t>will</w:t>
            </w:r>
            <w:r w:rsidR="002474B1">
              <w:rPr>
                <w:iCs/>
              </w:rPr>
              <w:t xml:space="preserve"> be targeted to </w:t>
            </w:r>
            <w:r w:rsidR="00F805B1">
              <w:rPr>
                <w:iCs/>
              </w:rPr>
              <w:t>reducing arsenic</w:t>
            </w:r>
            <w:r w:rsidR="002474B1">
              <w:rPr>
                <w:iCs/>
              </w:rPr>
              <w:t xml:space="preserve"> </w:t>
            </w:r>
            <w:r w:rsidR="00F805B1">
              <w:rPr>
                <w:iCs/>
              </w:rPr>
              <w:t xml:space="preserve">associated with the facilities’ processes (as opposed to reducing naturally-occurring arsenic) and achieving those reductions </w:t>
            </w:r>
            <w:r w:rsidR="002474B1">
              <w:rPr>
                <w:iCs/>
              </w:rPr>
              <w:t xml:space="preserve">where </w:t>
            </w:r>
            <w:r w:rsidR="002B305B">
              <w:rPr>
                <w:iCs/>
              </w:rPr>
              <w:t xml:space="preserve">the discharge may affect </w:t>
            </w:r>
            <w:r w:rsidR="002474B1">
              <w:rPr>
                <w:iCs/>
              </w:rPr>
              <w:t xml:space="preserve">a </w:t>
            </w:r>
            <w:r w:rsidR="002B305B">
              <w:rPr>
                <w:iCs/>
              </w:rPr>
              <w:t>public water supply</w:t>
            </w:r>
            <w:r w:rsidR="002474B1">
              <w:rPr>
                <w:iCs/>
              </w:rPr>
              <w:t xml:space="preserve">. </w:t>
            </w:r>
          </w:p>
          <w:p w:rsidR="00926271" w:rsidRPr="00943AD3" w:rsidRDefault="00926271" w:rsidP="00F8029F">
            <w:pPr>
              <w:rPr>
                <w:spacing w:val="-3"/>
              </w:rPr>
            </w:pPr>
          </w:p>
        </w:tc>
      </w:tr>
      <w:tr w:rsidR="00211D5F" w:rsidRPr="00943AD3" w:rsidTr="00943AD3">
        <w:trPr>
          <w:trHeight w:val="890"/>
        </w:trPr>
        <w:tc>
          <w:tcPr>
            <w:tcW w:w="2358" w:type="dxa"/>
          </w:tcPr>
          <w:p w:rsidR="00211D5F" w:rsidRPr="00943AD3" w:rsidRDefault="003849F8" w:rsidP="00943AD3">
            <w:pPr>
              <w:ind w:left="360"/>
              <w:rPr>
                <w:rFonts w:ascii="Arial" w:hAnsi="Arial" w:cs="Arial"/>
                <w:b/>
              </w:rPr>
            </w:pPr>
            <w:bookmarkStart w:id="5" w:name="ABLG"/>
            <w:bookmarkEnd w:id="5"/>
            <w:r w:rsidRPr="00943AD3">
              <w:rPr>
                <w:rFonts w:ascii="Arial" w:hAnsi="Arial" w:cs="Arial"/>
                <w:b/>
              </w:rPr>
              <w:t xml:space="preserve">Impacts on </w:t>
            </w:r>
            <w:r w:rsidR="00211D5F" w:rsidRPr="00943AD3">
              <w:rPr>
                <w:rFonts w:ascii="Arial" w:hAnsi="Arial" w:cs="Arial"/>
                <w:b/>
              </w:rPr>
              <w:t>Local Government</w:t>
            </w:r>
          </w:p>
          <w:p w:rsidR="00EE032E" w:rsidRPr="00943AD3" w:rsidRDefault="00EE032E" w:rsidP="00943AD3">
            <w:pPr>
              <w:ind w:left="360"/>
              <w:rPr>
                <w:rFonts w:ascii="Arial" w:hAnsi="Arial" w:cs="Arial"/>
                <w:b/>
              </w:rPr>
            </w:pPr>
          </w:p>
        </w:tc>
        <w:tc>
          <w:tcPr>
            <w:tcW w:w="8658" w:type="dxa"/>
            <w:gridSpan w:val="2"/>
          </w:tcPr>
          <w:p w:rsidR="009A06D4" w:rsidRDefault="00F8029F" w:rsidP="009A06D4">
            <w:pPr>
              <w:rPr>
                <w:iCs/>
              </w:rPr>
            </w:pPr>
            <w:r>
              <w:rPr>
                <w:iCs/>
              </w:rPr>
              <w:t>DEQ expects that compliance with t</w:t>
            </w:r>
            <w:r w:rsidR="0049205E">
              <w:rPr>
                <w:iCs/>
              </w:rPr>
              <w:t xml:space="preserve">he proposed criteria </w:t>
            </w:r>
            <w:r>
              <w:rPr>
                <w:iCs/>
              </w:rPr>
              <w:t xml:space="preserve">will be less costly </w:t>
            </w:r>
            <w:r w:rsidR="0049205E">
              <w:rPr>
                <w:iCs/>
              </w:rPr>
              <w:t xml:space="preserve">for </w:t>
            </w:r>
            <w:r w:rsidR="00F504BB">
              <w:rPr>
                <w:iCs/>
              </w:rPr>
              <w:t xml:space="preserve">municipal dischargers </w:t>
            </w:r>
            <w:r>
              <w:rPr>
                <w:iCs/>
              </w:rPr>
              <w:t>tha</w:t>
            </w:r>
            <w:r w:rsidR="00D46651">
              <w:rPr>
                <w:iCs/>
              </w:rPr>
              <w:t>n</w:t>
            </w:r>
            <w:r>
              <w:rPr>
                <w:iCs/>
              </w:rPr>
              <w:t xml:space="preserve"> </w:t>
            </w:r>
            <w:r w:rsidR="0049205E">
              <w:rPr>
                <w:iCs/>
              </w:rPr>
              <w:t xml:space="preserve">the </w:t>
            </w:r>
            <w:r>
              <w:rPr>
                <w:iCs/>
              </w:rPr>
              <w:t xml:space="preserve">current </w:t>
            </w:r>
            <w:r w:rsidR="0049205E">
              <w:rPr>
                <w:iCs/>
              </w:rPr>
              <w:t xml:space="preserve">criteria for these three metals than under the current criteria.  </w:t>
            </w:r>
            <w:r w:rsidR="00D46651">
              <w:rPr>
                <w:iCs/>
              </w:rPr>
              <w:t>S</w:t>
            </w:r>
            <w:r w:rsidR="009A06D4">
              <w:rPr>
                <w:iCs/>
              </w:rPr>
              <w:t xml:space="preserve">ome municipalities </w:t>
            </w:r>
            <w:r w:rsidR="00D46651">
              <w:rPr>
                <w:iCs/>
              </w:rPr>
              <w:t xml:space="preserve">in areas of the state with high natural levels of arsenic may still find compliance with the revised criteria to be a </w:t>
            </w:r>
            <w:r w:rsidR="002A5B04">
              <w:rPr>
                <w:iCs/>
              </w:rPr>
              <w:t>challeng</w:t>
            </w:r>
            <w:r w:rsidR="00D46651">
              <w:rPr>
                <w:iCs/>
              </w:rPr>
              <w:t>e, particularly if there are groundwater inputs to their effluent.  The revised criteria reduce that challenge, but do not eliminate it.</w:t>
            </w:r>
            <w:r w:rsidR="0049205E">
              <w:rPr>
                <w:iCs/>
              </w:rPr>
              <w:t xml:space="preserve">  </w:t>
            </w:r>
            <w:r w:rsidR="002A5B04">
              <w:rPr>
                <w:iCs/>
              </w:rPr>
              <w:t>DEQ is aware of the difficulties and intends to work with cities on compliance strategies where it will be infeasible for the facility to meet the arsenic criteria due to inflow and infiltration issues or the presence of arsenic in source water.</w:t>
            </w:r>
          </w:p>
          <w:p w:rsidR="002A5B04" w:rsidRDefault="002A5B04" w:rsidP="009A06D4">
            <w:pPr>
              <w:rPr>
                <w:iCs/>
              </w:rPr>
            </w:pPr>
          </w:p>
          <w:p w:rsidR="002A5B04" w:rsidRDefault="002A5B04" w:rsidP="009A06D4">
            <w:pPr>
              <w:rPr>
                <w:iCs/>
              </w:rPr>
            </w:pPr>
            <w:r>
              <w:rPr>
                <w:iCs/>
              </w:rPr>
              <w:t xml:space="preserve">Cities that exceed the MCL </w:t>
            </w:r>
            <w:proofErr w:type="gramStart"/>
            <w:r>
              <w:rPr>
                <w:iCs/>
              </w:rPr>
              <w:t>of 10 µg/l in their effluent</w:t>
            </w:r>
            <w:proofErr w:type="gramEnd"/>
            <w:r>
              <w:rPr>
                <w:iCs/>
              </w:rPr>
              <w:t xml:space="preserve"> will be required to develop arsenic reduction plans under </w:t>
            </w:r>
            <w:r w:rsidR="00D46651">
              <w:rPr>
                <w:iCs/>
              </w:rPr>
              <w:t>DEQ’s program to address</w:t>
            </w:r>
            <w:r>
              <w:rPr>
                <w:iCs/>
              </w:rPr>
              <w:t xml:space="preserve"> </w:t>
            </w:r>
            <w:r w:rsidR="00D46651">
              <w:rPr>
                <w:iCs/>
              </w:rPr>
              <w:t>p</w:t>
            </w:r>
            <w:r>
              <w:rPr>
                <w:iCs/>
              </w:rPr>
              <w:t xml:space="preserve">riority </w:t>
            </w:r>
            <w:r w:rsidR="00D46651">
              <w:rPr>
                <w:iCs/>
              </w:rPr>
              <w:t>p</w:t>
            </w:r>
            <w:r>
              <w:rPr>
                <w:iCs/>
              </w:rPr>
              <w:t xml:space="preserve">ersistent </w:t>
            </w:r>
            <w:r w:rsidR="00D46651">
              <w:rPr>
                <w:iCs/>
              </w:rPr>
              <w:t>p</w:t>
            </w:r>
            <w:r>
              <w:rPr>
                <w:iCs/>
              </w:rPr>
              <w:t>ollutant</w:t>
            </w:r>
            <w:r w:rsidR="00D46651">
              <w:rPr>
                <w:iCs/>
              </w:rPr>
              <w:t>s</w:t>
            </w:r>
            <w:r>
              <w:rPr>
                <w:iCs/>
              </w:rPr>
              <w:t xml:space="preserve"> (</w:t>
            </w:r>
            <w:r w:rsidR="00D46651">
              <w:rPr>
                <w:iCs/>
              </w:rPr>
              <w:t xml:space="preserve">also known as </w:t>
            </w:r>
            <w:r>
              <w:rPr>
                <w:iCs/>
              </w:rPr>
              <w:t>Senate Bill 737).</w:t>
            </w:r>
          </w:p>
          <w:p w:rsidR="00A67D3C" w:rsidRDefault="00A67D3C" w:rsidP="009A06D4">
            <w:pPr>
              <w:rPr>
                <w:iCs/>
              </w:rPr>
            </w:pPr>
          </w:p>
          <w:p w:rsidR="00A67D3C" w:rsidRDefault="00A67D3C" w:rsidP="00A67D3C">
            <w:pPr>
              <w:rPr>
                <w:iCs/>
              </w:rPr>
            </w:pPr>
            <w:r>
              <w:rPr>
                <w:iCs/>
              </w:rPr>
              <w:t>Because the proposed numeric criteria remain well below the arsenic MCL of 10µg/l, the proposed criteria will not cause drinking water suppliers to incur additional treatment costs in order to comply with the Safe Drinking Water Act.</w:t>
            </w:r>
          </w:p>
          <w:p w:rsidR="009A06D4" w:rsidRPr="003577A6" w:rsidRDefault="009A06D4" w:rsidP="009A4405"/>
        </w:tc>
      </w:tr>
      <w:tr w:rsidR="00211D5F" w:rsidRPr="00943AD3" w:rsidTr="00943AD3">
        <w:trPr>
          <w:trHeight w:val="413"/>
        </w:trPr>
        <w:tc>
          <w:tcPr>
            <w:tcW w:w="2358" w:type="dxa"/>
          </w:tcPr>
          <w:p w:rsidR="007A2436" w:rsidRPr="00943AD3" w:rsidRDefault="003849F8" w:rsidP="00943AD3">
            <w:pPr>
              <w:ind w:left="360"/>
              <w:rPr>
                <w:rFonts w:ascii="Arial" w:hAnsi="Arial" w:cs="Arial"/>
                <w:b/>
              </w:rPr>
            </w:pPr>
            <w:bookmarkStart w:id="6" w:name="ABSA"/>
            <w:bookmarkEnd w:id="6"/>
            <w:r w:rsidRPr="00943AD3">
              <w:rPr>
                <w:rFonts w:ascii="Arial" w:hAnsi="Arial" w:cs="Arial"/>
                <w:b/>
              </w:rPr>
              <w:t xml:space="preserve">Impacts on </w:t>
            </w:r>
            <w:r w:rsidR="00211D5F" w:rsidRPr="00943AD3">
              <w:rPr>
                <w:rFonts w:ascii="Arial" w:hAnsi="Arial" w:cs="Arial"/>
                <w:b/>
              </w:rPr>
              <w:t>State Agencies</w:t>
            </w:r>
            <w:r w:rsidR="005062F9" w:rsidRPr="00943AD3">
              <w:rPr>
                <w:rFonts w:ascii="Arial" w:hAnsi="Arial" w:cs="Arial"/>
                <w:b/>
              </w:rPr>
              <w:t xml:space="preserve"> </w:t>
            </w:r>
            <w:r w:rsidRPr="00943AD3">
              <w:rPr>
                <w:rFonts w:ascii="Arial" w:hAnsi="Arial" w:cs="Arial"/>
                <w:b/>
              </w:rPr>
              <w:t>o</w:t>
            </w:r>
            <w:r w:rsidR="004B7BC8" w:rsidRPr="00943AD3">
              <w:rPr>
                <w:rFonts w:ascii="Arial" w:hAnsi="Arial" w:cs="Arial"/>
                <w:b/>
              </w:rPr>
              <w:t xml:space="preserve">ther </w:t>
            </w:r>
            <w:r w:rsidRPr="00943AD3">
              <w:rPr>
                <w:rFonts w:ascii="Arial" w:hAnsi="Arial" w:cs="Arial"/>
                <w:b/>
              </w:rPr>
              <w:t>t</w:t>
            </w:r>
            <w:r w:rsidR="00621478" w:rsidRPr="00943AD3">
              <w:rPr>
                <w:rFonts w:ascii="Arial" w:hAnsi="Arial" w:cs="Arial"/>
                <w:b/>
              </w:rPr>
              <w:t>han DEQ</w:t>
            </w:r>
          </w:p>
          <w:p w:rsidR="007A2436" w:rsidRPr="00943AD3" w:rsidRDefault="007A2436" w:rsidP="00943AD3">
            <w:pPr>
              <w:ind w:left="360"/>
              <w:rPr>
                <w:rFonts w:ascii="Arial" w:hAnsi="Arial" w:cs="Arial"/>
                <w:b/>
              </w:rPr>
            </w:pPr>
          </w:p>
        </w:tc>
        <w:tc>
          <w:tcPr>
            <w:tcW w:w="8658" w:type="dxa"/>
            <w:gridSpan w:val="2"/>
          </w:tcPr>
          <w:p w:rsidR="001A43B7" w:rsidRDefault="00EC6E01" w:rsidP="00EC6E01">
            <w:r>
              <w:t>DEQ does not expect that the criteria revisions will have a fiscal or economic impact on other state agencies.</w:t>
            </w:r>
          </w:p>
          <w:p w:rsidR="00EC6E01" w:rsidRPr="003577A6" w:rsidRDefault="00EC6E01" w:rsidP="00EC6E01"/>
        </w:tc>
      </w:tr>
      <w:tr w:rsidR="009257A2" w:rsidRPr="00943AD3" w:rsidTr="00943AD3">
        <w:tc>
          <w:tcPr>
            <w:tcW w:w="2358" w:type="dxa"/>
          </w:tcPr>
          <w:p w:rsidR="009257A2" w:rsidRPr="00443A21" w:rsidRDefault="00AF4F3E" w:rsidP="00943AD3">
            <w:pPr>
              <w:jc w:val="center"/>
              <w:rPr>
                <w:rFonts w:ascii="Arial" w:hAnsi="Arial" w:cs="Arial"/>
                <w:b/>
              </w:rPr>
            </w:pPr>
            <w:bookmarkStart w:id="7" w:name="ABDEQ"/>
            <w:bookmarkEnd w:id="7"/>
            <w:r w:rsidRPr="00AF4F3E">
              <w:rPr>
                <w:rFonts w:ascii="Arial" w:hAnsi="Arial" w:cs="Arial"/>
                <w:b/>
              </w:rPr>
              <w:t>Impacts on DEQ</w:t>
            </w:r>
          </w:p>
          <w:p w:rsidR="003849F8" w:rsidRPr="00443A21" w:rsidRDefault="003849F8" w:rsidP="003849F8">
            <w:pPr>
              <w:rPr>
                <w:rFonts w:ascii="Arial" w:hAnsi="Arial" w:cs="Arial"/>
                <w:b/>
              </w:rPr>
            </w:pPr>
          </w:p>
          <w:p w:rsidR="00EE032E" w:rsidRPr="00443A21" w:rsidRDefault="00EE032E" w:rsidP="00943AD3">
            <w:pPr>
              <w:ind w:left="720"/>
              <w:rPr>
                <w:rFonts w:ascii="Arial" w:hAnsi="Arial" w:cs="Arial"/>
                <w:b/>
              </w:rPr>
            </w:pPr>
          </w:p>
        </w:tc>
        <w:tc>
          <w:tcPr>
            <w:tcW w:w="8658" w:type="dxa"/>
            <w:gridSpan w:val="2"/>
          </w:tcPr>
          <w:p w:rsidR="00EC6E01" w:rsidRPr="00443A21" w:rsidRDefault="00AF4F3E" w:rsidP="00EC6E01">
            <w:pPr>
              <w:rPr>
                <w:iCs/>
              </w:rPr>
            </w:pPr>
            <w:r w:rsidRPr="00AF4F3E">
              <w:rPr>
                <w:iCs/>
              </w:rPr>
              <w:t xml:space="preserve">The proposed criteria revisions will reduce the resources that would be required for DEQ to permit facilities that cannot feasibly meet the current water quality criteria for arsenic, iron or manganese.  DEQ anticipates that some of those resources may be spent evaluating and incorporating arsenic reduction measures into permits; however due to the focused eligibility criteria, DEQ does not expect a large number of facilities to be subject to this requirement.  The proposed criteria revisions together with the arsenic </w:t>
            </w:r>
            <w:proofErr w:type="spellStart"/>
            <w:r w:rsidRPr="00AF4F3E">
              <w:rPr>
                <w:iCs/>
              </w:rPr>
              <w:t>redu</w:t>
            </w:r>
            <w:proofErr w:type="spellEnd"/>
            <w:r w:rsidR="00E13509">
              <w:rPr>
                <w:iCs/>
              </w:rPr>
              <w:t xml:space="preserve"> </w:t>
            </w:r>
            <w:proofErr w:type="spellStart"/>
            <w:r w:rsidRPr="00AF4F3E">
              <w:rPr>
                <w:iCs/>
              </w:rPr>
              <w:t>ction</w:t>
            </w:r>
            <w:proofErr w:type="spellEnd"/>
            <w:r w:rsidRPr="00AF4F3E">
              <w:rPr>
                <w:iCs/>
              </w:rPr>
              <w:t xml:space="preserve"> plans will focus agency resources on ensuring actions are taken to reduce anthropogenic additions of arsenic and reduce the need for administrative remedies that may not yield any greater environmental results.  The demand on DEQ resources to address toxics is growing and these revisions will help DEQ focus its efforts on other pollutants that need to be addressed. </w:t>
            </w:r>
          </w:p>
          <w:p w:rsidR="00EC6E01" w:rsidRPr="00443A21" w:rsidRDefault="00EC6E01" w:rsidP="00EC6E01">
            <w:pPr>
              <w:rPr>
                <w:iCs/>
              </w:rPr>
            </w:pPr>
          </w:p>
          <w:p w:rsidR="00EC6E01" w:rsidRPr="00443A21" w:rsidRDefault="00AF4F3E" w:rsidP="00EC6E01">
            <w:pPr>
              <w:rPr>
                <w:iCs/>
              </w:rPr>
            </w:pPr>
            <w:r w:rsidRPr="00AF4F3E">
              <w:rPr>
                <w:iCs/>
              </w:rPr>
              <w:t>The proposed criteria revisions will also reduce the DEQ resource demands that would otherwise be required to address the 107 water body segments currently listed as impaired for arsenic, iron or manganese and in need of a TMDL. DEQ expects that very few of these listings will remain after they are re-evaluated and the impaired waters list is updated.  Again, this will allow agency resources to address more important water quality problems and pollutants that have more potential for reduction.  Due to the Agency’s limited resources, it is important for DEQ to be able to align its resources to address those pollutants that are of concern and target areas where real environmental reductions can be achieved.</w:t>
            </w:r>
          </w:p>
          <w:p w:rsidR="001A1DB6" w:rsidRPr="00443A21" w:rsidRDefault="00AF4F3E" w:rsidP="00211D5F">
            <w:pPr>
              <w:rPr>
                <w:b/>
                <w:u w:val="single"/>
              </w:rPr>
            </w:pPr>
            <w:r w:rsidRPr="00AF4F3E">
              <w:rPr>
                <w:iCs/>
              </w:rPr>
              <w:t xml:space="preserve">  </w:t>
            </w:r>
          </w:p>
        </w:tc>
      </w:tr>
      <w:tr w:rsidR="009257A2" w:rsidRPr="00943AD3" w:rsidTr="00943AD3">
        <w:tc>
          <w:tcPr>
            <w:tcW w:w="2358" w:type="dxa"/>
          </w:tcPr>
          <w:p w:rsidR="009257A2" w:rsidRPr="00943AD3" w:rsidRDefault="009257A2" w:rsidP="00943AD3">
            <w:pPr>
              <w:tabs>
                <w:tab w:val="left" w:pos="360"/>
                <w:tab w:val="right" w:pos="2700"/>
              </w:tabs>
              <w:ind w:left="360"/>
              <w:rPr>
                <w:rFonts w:ascii="Arial" w:hAnsi="Arial" w:cs="Arial"/>
                <w:b/>
              </w:rPr>
            </w:pPr>
            <w:bookmarkStart w:id="8" w:name="ABOA"/>
            <w:bookmarkEnd w:id="8"/>
            <w:r w:rsidRPr="00943AD3">
              <w:rPr>
                <w:rFonts w:ascii="Arial" w:hAnsi="Arial" w:cs="Arial"/>
                <w:b/>
              </w:rPr>
              <w:t>Assumptions</w:t>
            </w:r>
          </w:p>
          <w:p w:rsidR="00EE032E" w:rsidRPr="00943AD3" w:rsidRDefault="00EE032E" w:rsidP="00943AD3">
            <w:pPr>
              <w:tabs>
                <w:tab w:val="left" w:pos="360"/>
                <w:tab w:val="right" w:pos="2700"/>
              </w:tabs>
              <w:rPr>
                <w:rFonts w:ascii="Arial" w:hAnsi="Arial" w:cs="Arial"/>
                <w:b/>
              </w:rPr>
            </w:pPr>
          </w:p>
        </w:tc>
        <w:tc>
          <w:tcPr>
            <w:tcW w:w="8658" w:type="dxa"/>
            <w:gridSpan w:val="2"/>
            <w:shd w:val="clear" w:color="auto" w:fill="FFFFFF"/>
          </w:tcPr>
          <w:p w:rsidR="00CF7236" w:rsidRDefault="00E31B1D" w:rsidP="009A4405">
            <w:pPr>
              <w:rPr>
                <w:iCs/>
              </w:rPr>
            </w:pPr>
            <w:r>
              <w:rPr>
                <w:iCs/>
              </w:rPr>
              <w:t xml:space="preserve">DEQ relied on </w:t>
            </w:r>
            <w:r w:rsidR="00CF7236" w:rsidRPr="00CF7236">
              <w:rPr>
                <w:iCs/>
              </w:rPr>
              <w:t xml:space="preserve">the </w:t>
            </w:r>
            <w:r w:rsidR="00CF7236">
              <w:rPr>
                <w:iCs/>
              </w:rPr>
              <w:t xml:space="preserve">best available information to </w:t>
            </w:r>
            <w:r>
              <w:rPr>
                <w:iCs/>
              </w:rPr>
              <w:t>propose these</w:t>
            </w:r>
            <w:r w:rsidR="00CF7236">
              <w:rPr>
                <w:iCs/>
              </w:rPr>
              <w:t xml:space="preserve"> amendments</w:t>
            </w:r>
            <w:r>
              <w:rPr>
                <w:iCs/>
              </w:rPr>
              <w:t xml:space="preserve"> and</w:t>
            </w:r>
            <w:r w:rsidR="00CF7236">
              <w:rPr>
                <w:iCs/>
              </w:rPr>
              <w:t xml:space="preserve"> is </w:t>
            </w:r>
            <w:r>
              <w:rPr>
                <w:iCs/>
              </w:rPr>
              <w:t xml:space="preserve">confident, based on the sources of information, that the data and information are </w:t>
            </w:r>
            <w:r w:rsidR="00CF7236">
              <w:rPr>
                <w:iCs/>
              </w:rPr>
              <w:t>reasonably true and accurate.</w:t>
            </w:r>
          </w:p>
          <w:p w:rsidR="00CF7236" w:rsidRDefault="00CF7236" w:rsidP="009A4405">
            <w:pPr>
              <w:rPr>
                <w:iCs/>
              </w:rPr>
            </w:pPr>
          </w:p>
          <w:p w:rsidR="00CF7236" w:rsidRPr="00CF7236" w:rsidRDefault="00E31B1D" w:rsidP="009A4405">
            <w:pPr>
              <w:rPr>
                <w:iCs/>
              </w:rPr>
            </w:pPr>
            <w:r>
              <w:rPr>
                <w:iCs/>
              </w:rPr>
              <w:t>DEQ concluded t</w:t>
            </w:r>
            <w:r w:rsidR="00CF7236">
              <w:rPr>
                <w:iCs/>
              </w:rPr>
              <w:t>hat is it in the interest of the public to expend public and private resources on actions that will result in measurable environmental benefits.</w:t>
            </w:r>
          </w:p>
          <w:p w:rsidR="002B305B" w:rsidRPr="00943AD3" w:rsidRDefault="002B305B" w:rsidP="009A4405">
            <w:pPr>
              <w:rPr>
                <w:spacing w:val="-3"/>
                <w:highlight w:val="yellow"/>
              </w:rPr>
            </w:pPr>
          </w:p>
        </w:tc>
      </w:tr>
      <w:tr w:rsidR="009257A2" w:rsidRPr="00943AD3" w:rsidTr="00943AD3">
        <w:tc>
          <w:tcPr>
            <w:tcW w:w="2358" w:type="dxa"/>
          </w:tcPr>
          <w:p w:rsidR="009257A2" w:rsidRPr="00943AD3" w:rsidRDefault="009257A2" w:rsidP="00943AD3">
            <w:pPr>
              <w:tabs>
                <w:tab w:val="left" w:pos="360"/>
                <w:tab w:val="right" w:pos="2700"/>
              </w:tabs>
              <w:ind w:left="360"/>
              <w:rPr>
                <w:rFonts w:ascii="Arial" w:hAnsi="Arial" w:cs="Arial"/>
                <w:b/>
              </w:rPr>
            </w:pPr>
            <w:r w:rsidRPr="00943AD3">
              <w:rPr>
                <w:rFonts w:ascii="Arial" w:hAnsi="Arial" w:cs="Arial"/>
                <w:b/>
              </w:rPr>
              <w:t>Housing Cost</w:t>
            </w:r>
            <w:r w:rsidR="000C6F67" w:rsidRPr="00943AD3">
              <w:rPr>
                <w:rFonts w:ascii="Arial" w:hAnsi="Arial" w:cs="Arial"/>
                <w:b/>
              </w:rPr>
              <w:t>s</w:t>
            </w:r>
          </w:p>
        </w:tc>
        <w:tc>
          <w:tcPr>
            <w:tcW w:w="8658" w:type="dxa"/>
            <w:gridSpan w:val="2"/>
          </w:tcPr>
          <w:p w:rsidR="006E6321" w:rsidRPr="003577A6" w:rsidRDefault="00482C25" w:rsidP="00943AD3">
            <w:pPr>
              <w:autoSpaceDE w:val="0"/>
              <w:autoSpaceDN w:val="0"/>
              <w:adjustRightInd w:val="0"/>
            </w:pPr>
            <w:r w:rsidRPr="003577A6">
              <w:t>DEQ</w:t>
            </w:r>
            <w:r w:rsidR="005E1B38" w:rsidRPr="003577A6">
              <w:t xml:space="preserve"> has determined that this proposed rulemaking will </w:t>
            </w:r>
            <w:r w:rsidR="005E1B38" w:rsidRPr="00E31B1D">
              <w:t xml:space="preserve">have </w:t>
            </w:r>
            <w:r w:rsidR="00EC6E01" w:rsidRPr="00E31B1D">
              <w:rPr>
                <w:iCs/>
              </w:rPr>
              <w:t>no effect</w:t>
            </w:r>
            <w:r w:rsidR="005E1B38" w:rsidRPr="00E31B1D">
              <w:rPr>
                <w:iCs/>
              </w:rPr>
              <w:t xml:space="preserve"> </w:t>
            </w:r>
            <w:r w:rsidR="005E1B38" w:rsidRPr="00E31B1D">
              <w:t>on the cost of development of a 6,000 square foot parcel and the</w:t>
            </w:r>
            <w:r w:rsidR="00847B5D" w:rsidRPr="00E31B1D">
              <w:t xml:space="preserve"> </w:t>
            </w:r>
            <w:r w:rsidR="005E1B38" w:rsidRPr="00E31B1D">
              <w:t>construction of a 1,200 square foot detached single famil</w:t>
            </w:r>
            <w:r w:rsidR="005E1B38" w:rsidRPr="003577A6">
              <w:t>y dwelling on that parcel.</w:t>
            </w:r>
          </w:p>
          <w:p w:rsidR="005E1B38" w:rsidRPr="00943AD3" w:rsidRDefault="005E1B38" w:rsidP="005E1B38">
            <w:pPr>
              <w:rPr>
                <w:highlight w:val="magenta"/>
              </w:rPr>
            </w:pPr>
          </w:p>
        </w:tc>
      </w:tr>
      <w:tr w:rsidR="00211D5F" w:rsidRPr="00943AD3" w:rsidTr="00943AD3">
        <w:tc>
          <w:tcPr>
            <w:tcW w:w="2358" w:type="dxa"/>
          </w:tcPr>
          <w:p w:rsidR="00EE032E" w:rsidRPr="00943AD3" w:rsidRDefault="00211D5F" w:rsidP="00211D5F">
            <w:pPr>
              <w:rPr>
                <w:rFonts w:ascii="Arial" w:hAnsi="Arial" w:cs="Arial"/>
                <w:b/>
              </w:rPr>
            </w:pPr>
            <w:r w:rsidRPr="00943AD3">
              <w:rPr>
                <w:rFonts w:ascii="Arial" w:hAnsi="Arial" w:cs="Arial"/>
                <w:b/>
              </w:rPr>
              <w:t>Adminis</w:t>
            </w:r>
            <w:r w:rsidR="009257A2" w:rsidRPr="00943AD3">
              <w:rPr>
                <w:rFonts w:ascii="Arial" w:hAnsi="Arial" w:cs="Arial"/>
                <w:b/>
              </w:rPr>
              <w:t>trative Rule Advisory Committee</w:t>
            </w:r>
          </w:p>
        </w:tc>
        <w:tc>
          <w:tcPr>
            <w:tcW w:w="8658" w:type="dxa"/>
            <w:gridSpan w:val="2"/>
          </w:tcPr>
          <w:p w:rsidR="006E6321" w:rsidRPr="003577A6" w:rsidRDefault="00EC6E01" w:rsidP="00211D5F">
            <w:r>
              <w:t xml:space="preserve">DEQ assembled a Toxics Water Quality Standards Rulemaking Workgroup to assist us with the development and evaluation of the proposed rule.  This group has been meeting since January, 2009 and will continue to work with DEQ on additional rule provisions </w:t>
            </w:r>
            <w:r w:rsidR="008031D6">
              <w:t>until fall of this year.</w:t>
            </w:r>
          </w:p>
          <w:p w:rsidR="006E6321" w:rsidRPr="003577A6" w:rsidRDefault="006E6321" w:rsidP="00211D5F"/>
        </w:tc>
      </w:tr>
    </w:tbl>
    <w:p w:rsidR="00DA42A5" w:rsidRPr="00891DCE" w:rsidRDefault="006A64A3">
      <w:pPr>
        <w:tabs>
          <w:tab w:val="left" w:pos="360"/>
          <w:tab w:val="right" w:pos="2700"/>
        </w:tabs>
        <w:rPr>
          <w:rFonts w:ascii="Arial" w:hAnsi="Arial" w:cs="Arial"/>
        </w:rPr>
      </w:pP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r>
    </w:p>
    <w:p w:rsidR="00EE032E" w:rsidRPr="00891DCE" w:rsidRDefault="00EE032E">
      <w:pPr>
        <w:tabs>
          <w:tab w:val="left" w:pos="360"/>
          <w:tab w:val="right" w:pos="2700"/>
        </w:tabs>
        <w:rPr>
          <w:rFonts w:ascii="Arial" w:hAnsi="Arial" w:cs="Arial"/>
        </w:rPr>
      </w:pPr>
    </w:p>
    <w:p w:rsidR="006A64A3" w:rsidRPr="00891DCE" w:rsidRDefault="004C3D35" w:rsidP="007004FC">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_________________________________</w:t>
      </w:r>
      <w:r>
        <w:rPr>
          <w:rFonts w:ascii="Arial" w:hAnsi="Arial" w:cs="Arial"/>
        </w:rPr>
        <w:tab/>
      </w:r>
      <w:r w:rsidR="007004FC" w:rsidRPr="00891DCE">
        <w:rPr>
          <w:rFonts w:ascii="Arial" w:hAnsi="Arial" w:cs="Arial"/>
        </w:rPr>
        <w:t>____</w:t>
      </w:r>
      <w:r>
        <w:rPr>
          <w:rFonts w:ascii="Arial" w:hAnsi="Arial" w:cs="Arial"/>
        </w:rPr>
        <w:t>_____________</w:t>
      </w:r>
      <w:r w:rsidR="00F2038C">
        <w:rPr>
          <w:rFonts w:ascii="Arial" w:hAnsi="Arial" w:cs="Arial"/>
        </w:rPr>
        <w:t>________________           _________________</w:t>
      </w:r>
    </w:p>
    <w:p w:rsidR="007004FC" w:rsidRPr="00891DCE" w:rsidRDefault="007004FC" w:rsidP="007004FC">
      <w:pPr>
        <w:tabs>
          <w:tab w:val="center" w:pos="1700"/>
          <w:tab w:val="left" w:pos="2880"/>
          <w:tab w:val="left" w:pos="3600"/>
          <w:tab w:val="left" w:pos="4320"/>
          <w:tab w:val="left" w:pos="5040"/>
          <w:tab w:val="left" w:pos="5760"/>
          <w:tab w:val="left" w:pos="6480"/>
          <w:tab w:val="left" w:pos="7200"/>
          <w:tab w:val="center" w:pos="7560"/>
          <w:tab w:val="left" w:pos="7920"/>
        </w:tabs>
        <w:rPr>
          <w:rFonts w:ascii="Arial" w:hAnsi="Arial" w:cs="Arial"/>
        </w:rPr>
      </w:pPr>
      <w:r w:rsidRPr="00891DCE">
        <w:rPr>
          <w:rFonts w:ascii="Arial" w:hAnsi="Arial" w:cs="Arial"/>
        </w:rPr>
        <w:t>Prepared</w:t>
      </w:r>
      <w:r w:rsidR="00BC20F6" w:rsidRPr="00891DCE">
        <w:rPr>
          <w:rFonts w:ascii="Arial" w:hAnsi="Arial" w:cs="Arial"/>
        </w:rPr>
        <w:t xml:space="preserve"> by</w:t>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t>Printed name</w:t>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r>
      <w:r w:rsidRPr="00891DCE">
        <w:rPr>
          <w:rFonts w:ascii="Arial" w:hAnsi="Arial" w:cs="Arial"/>
        </w:rPr>
        <w:tab/>
        <w:t>Date</w:t>
      </w:r>
    </w:p>
    <w:p w:rsidR="007004FC" w:rsidRPr="00891DCE" w:rsidRDefault="007004FC" w:rsidP="007004FC">
      <w:pPr>
        <w:tabs>
          <w:tab w:val="center" w:pos="1700"/>
          <w:tab w:val="left" w:pos="2880"/>
          <w:tab w:val="left" w:pos="3600"/>
          <w:tab w:val="left" w:pos="4320"/>
          <w:tab w:val="left" w:pos="5040"/>
          <w:tab w:val="left" w:pos="5760"/>
          <w:tab w:val="left" w:pos="6480"/>
          <w:tab w:val="left" w:pos="7200"/>
          <w:tab w:val="center" w:pos="7560"/>
          <w:tab w:val="left" w:pos="7920"/>
        </w:tabs>
        <w:rPr>
          <w:rFonts w:ascii="Arial" w:hAnsi="Arial" w:cs="Arial"/>
        </w:rPr>
      </w:pPr>
    </w:p>
    <w:p w:rsidR="00DA42A5" w:rsidRPr="00891DCE" w:rsidRDefault="00DA42A5" w:rsidP="007004FC">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sidRPr="00891DCE">
        <w:rPr>
          <w:rFonts w:ascii="Arial" w:hAnsi="Arial" w:cs="Arial"/>
        </w:rPr>
        <w:tab/>
      </w:r>
      <w:r w:rsidRPr="00891DCE">
        <w:rPr>
          <w:rFonts w:ascii="Arial" w:hAnsi="Arial" w:cs="Arial"/>
        </w:rPr>
        <w:tab/>
      </w:r>
      <w:r w:rsidRPr="00891DCE">
        <w:rPr>
          <w:rFonts w:ascii="Arial" w:hAnsi="Arial" w:cs="Arial"/>
        </w:rPr>
        <w:tab/>
      </w:r>
    </w:p>
    <w:p w:rsidR="004C3D35" w:rsidRPr="00891DCE" w:rsidRDefault="004C3D35" w:rsidP="004C3D35">
      <w:pPr>
        <w:tabs>
          <w:tab w:val="left" w:pos="360"/>
          <w:tab w:val="right" w:pos="270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_________________________________</w:t>
      </w:r>
      <w:r>
        <w:rPr>
          <w:rFonts w:ascii="Arial" w:hAnsi="Arial" w:cs="Arial"/>
        </w:rPr>
        <w:tab/>
      </w:r>
      <w:r w:rsidRPr="00891DCE">
        <w:rPr>
          <w:rFonts w:ascii="Arial" w:hAnsi="Arial" w:cs="Arial"/>
        </w:rPr>
        <w:t>____</w:t>
      </w:r>
      <w:r>
        <w:rPr>
          <w:rFonts w:ascii="Arial" w:hAnsi="Arial" w:cs="Arial"/>
        </w:rPr>
        <w:t>_____________</w:t>
      </w:r>
      <w:r w:rsidR="00F2038C">
        <w:rPr>
          <w:rFonts w:ascii="Arial" w:hAnsi="Arial" w:cs="Arial"/>
        </w:rPr>
        <w:t>________________           __________________</w:t>
      </w:r>
    </w:p>
    <w:p w:rsidR="006A64A3" w:rsidRPr="00891DCE" w:rsidRDefault="007004FC" w:rsidP="004C3D35">
      <w:pPr>
        <w:tabs>
          <w:tab w:val="left" w:pos="2880"/>
          <w:tab w:val="left" w:pos="3600"/>
          <w:tab w:val="left" w:pos="4320"/>
          <w:tab w:val="left" w:pos="5040"/>
          <w:tab w:val="left" w:pos="5760"/>
          <w:tab w:val="left" w:pos="6480"/>
          <w:tab w:val="left" w:pos="7200"/>
          <w:tab w:val="left" w:pos="7920"/>
        </w:tabs>
        <w:rPr>
          <w:rFonts w:ascii="Arial" w:hAnsi="Arial" w:cs="Arial"/>
        </w:rPr>
      </w:pPr>
      <w:r w:rsidRPr="00891DCE">
        <w:rPr>
          <w:rFonts w:ascii="Arial" w:hAnsi="Arial" w:cs="Arial"/>
        </w:rPr>
        <w:t xml:space="preserve">Approved by </w:t>
      </w:r>
      <w:r w:rsidR="009611F3" w:rsidRPr="00891DCE">
        <w:rPr>
          <w:rFonts w:ascii="Arial" w:hAnsi="Arial" w:cs="Arial"/>
        </w:rPr>
        <w:t>DEQ Budget Office</w:t>
      </w:r>
      <w:r w:rsidRPr="00891DCE">
        <w:rPr>
          <w:rFonts w:ascii="Arial" w:hAnsi="Arial" w:cs="Arial"/>
        </w:rPr>
        <w:tab/>
      </w:r>
      <w:r w:rsidRPr="00891DCE">
        <w:rPr>
          <w:rFonts w:ascii="Arial" w:hAnsi="Arial" w:cs="Arial"/>
        </w:rPr>
        <w:tab/>
      </w:r>
      <w:r w:rsidRPr="00891DCE">
        <w:rPr>
          <w:rFonts w:ascii="Arial" w:hAnsi="Arial" w:cs="Arial"/>
        </w:rPr>
        <w:tab/>
      </w:r>
      <w:r w:rsidR="009611F3" w:rsidRPr="00891DCE">
        <w:rPr>
          <w:rFonts w:ascii="Arial" w:hAnsi="Arial" w:cs="Arial"/>
        </w:rPr>
        <w:t>Printed name</w:t>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r>
      <w:r w:rsidR="009611F3" w:rsidRPr="00891DCE">
        <w:rPr>
          <w:rFonts w:ascii="Arial" w:hAnsi="Arial" w:cs="Arial"/>
        </w:rPr>
        <w:tab/>
        <w:t>Date</w:t>
      </w:r>
    </w:p>
    <w:sectPr w:rsidR="006A64A3" w:rsidRPr="00891DCE" w:rsidSect="002367C5">
      <w:foot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F11" w:rsidRDefault="001B0F11">
      <w:r>
        <w:separator/>
      </w:r>
    </w:p>
  </w:endnote>
  <w:endnote w:type="continuationSeparator" w:id="0">
    <w:p w:rsidR="001B0F11" w:rsidRDefault="001B0F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994" w:rsidRPr="0017100C" w:rsidRDefault="00040994" w:rsidP="00672CF1">
    <w:pPr>
      <w:pStyle w:val="Footer"/>
      <w:rPr>
        <w:rFonts w:ascii="Arial" w:hAnsi="Arial" w:cs="Arial"/>
      </w:rPr>
    </w:pPr>
    <w:r>
      <w:rPr>
        <w:rFonts w:ascii="Arial" w:hAnsi="Arial" w:cs="Arial"/>
        <w:sz w:val="16"/>
        <w:szCs w:val="16"/>
      </w:rPr>
      <w:t>August 4, 2010 DRAFT</w:t>
    </w:r>
    <w:r>
      <w:rPr>
        <w:rFonts w:ascii="Arial" w:hAnsi="Arial" w:cs="Arial"/>
      </w:rPr>
      <w:t xml:space="preserve"> </w:t>
    </w:r>
    <w:r>
      <w:rPr>
        <w:rFonts w:ascii="Arial" w:hAnsi="Arial" w:cs="Arial"/>
      </w:rPr>
      <w:tab/>
    </w:r>
    <w:r>
      <w:rPr>
        <w:rFonts w:ascii="Arial" w:hAnsi="Arial" w:cs="Arial"/>
      </w:rPr>
      <w:tab/>
    </w:r>
    <w:r w:rsidRPr="0017100C">
      <w:rPr>
        <w:rFonts w:ascii="Arial" w:hAnsi="Arial" w:cs="Arial"/>
      </w:rPr>
      <w:t xml:space="preserve">Attachment </w:t>
    </w:r>
    <w:r w:rsidRPr="00EB2B30">
      <w:rPr>
        <w:rFonts w:ascii="Arial" w:hAnsi="Arial" w:cs="Arial"/>
        <w:highlight w:val="yellow"/>
      </w:rPr>
      <w:t>X</w:t>
    </w:r>
    <w:r w:rsidRPr="0017100C">
      <w:rPr>
        <w:rFonts w:ascii="Arial" w:hAnsi="Arial" w:cs="Arial"/>
      </w:rPr>
      <w:t xml:space="preserve">, p. </w:t>
    </w:r>
    <w:r w:rsidR="00AF4F3E" w:rsidRPr="0017100C">
      <w:rPr>
        <w:rStyle w:val="PageNumber"/>
        <w:rFonts w:ascii="Arial" w:hAnsi="Arial" w:cs="Arial"/>
      </w:rPr>
      <w:fldChar w:fldCharType="begin"/>
    </w:r>
    <w:r w:rsidRPr="0017100C">
      <w:rPr>
        <w:rStyle w:val="PageNumber"/>
        <w:rFonts w:ascii="Arial" w:hAnsi="Arial" w:cs="Arial"/>
      </w:rPr>
      <w:instrText xml:space="preserve"> PAGE </w:instrText>
    </w:r>
    <w:r w:rsidR="00AF4F3E" w:rsidRPr="0017100C">
      <w:rPr>
        <w:rStyle w:val="PageNumber"/>
        <w:rFonts w:ascii="Arial" w:hAnsi="Arial" w:cs="Arial"/>
      </w:rPr>
      <w:fldChar w:fldCharType="separate"/>
    </w:r>
    <w:r w:rsidR="00E13509">
      <w:rPr>
        <w:rStyle w:val="PageNumber"/>
        <w:rFonts w:ascii="Arial" w:hAnsi="Arial" w:cs="Arial"/>
        <w:noProof/>
      </w:rPr>
      <w:t>5</w:t>
    </w:r>
    <w:r w:rsidR="00AF4F3E" w:rsidRPr="0017100C">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F11" w:rsidRDefault="001B0F11">
      <w:r>
        <w:separator/>
      </w:r>
    </w:p>
  </w:footnote>
  <w:footnote w:type="continuationSeparator" w:id="0">
    <w:p w:rsidR="001B0F11" w:rsidRDefault="001B0F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70FA"/>
    <w:multiLevelType w:val="hybridMultilevel"/>
    <w:tmpl w:val="1E54C9A8"/>
    <w:lvl w:ilvl="0" w:tplc="3E06E6E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70212B"/>
    <w:multiLevelType w:val="hybridMultilevel"/>
    <w:tmpl w:val="5080C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F80680"/>
    <w:multiLevelType w:val="hybridMultilevel"/>
    <w:tmpl w:val="CFF6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8F1173D"/>
    <w:multiLevelType w:val="hybridMultilevel"/>
    <w:tmpl w:val="4A52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A64A3"/>
    <w:rsid w:val="00002206"/>
    <w:rsid w:val="00002E32"/>
    <w:rsid w:val="000114E9"/>
    <w:rsid w:val="0001295D"/>
    <w:rsid w:val="0001576E"/>
    <w:rsid w:val="00015DA5"/>
    <w:rsid w:val="00024A06"/>
    <w:rsid w:val="00036786"/>
    <w:rsid w:val="00040994"/>
    <w:rsid w:val="00040ECC"/>
    <w:rsid w:val="00041EAA"/>
    <w:rsid w:val="00043C28"/>
    <w:rsid w:val="0004745A"/>
    <w:rsid w:val="000479A0"/>
    <w:rsid w:val="000531BC"/>
    <w:rsid w:val="00053BB3"/>
    <w:rsid w:val="000567AD"/>
    <w:rsid w:val="00056EC3"/>
    <w:rsid w:val="0006364F"/>
    <w:rsid w:val="0006385C"/>
    <w:rsid w:val="000679C7"/>
    <w:rsid w:val="00067F22"/>
    <w:rsid w:val="00070F34"/>
    <w:rsid w:val="0007535A"/>
    <w:rsid w:val="00076640"/>
    <w:rsid w:val="00076950"/>
    <w:rsid w:val="000862D5"/>
    <w:rsid w:val="00090612"/>
    <w:rsid w:val="00090C6C"/>
    <w:rsid w:val="000937AF"/>
    <w:rsid w:val="00094483"/>
    <w:rsid w:val="00094D4F"/>
    <w:rsid w:val="00096876"/>
    <w:rsid w:val="000A2C64"/>
    <w:rsid w:val="000A345B"/>
    <w:rsid w:val="000A6441"/>
    <w:rsid w:val="000B4052"/>
    <w:rsid w:val="000C2DF4"/>
    <w:rsid w:val="000C2EE0"/>
    <w:rsid w:val="000C6F67"/>
    <w:rsid w:val="000D05A0"/>
    <w:rsid w:val="000D78AE"/>
    <w:rsid w:val="000E1CF8"/>
    <w:rsid w:val="000E4E10"/>
    <w:rsid w:val="000F095C"/>
    <w:rsid w:val="000F0FFC"/>
    <w:rsid w:val="00102BB4"/>
    <w:rsid w:val="00110455"/>
    <w:rsid w:val="00110EF5"/>
    <w:rsid w:val="00112233"/>
    <w:rsid w:val="001123C4"/>
    <w:rsid w:val="0011563B"/>
    <w:rsid w:val="001169CF"/>
    <w:rsid w:val="00126872"/>
    <w:rsid w:val="00126F29"/>
    <w:rsid w:val="00127402"/>
    <w:rsid w:val="00132CD4"/>
    <w:rsid w:val="001337F0"/>
    <w:rsid w:val="00133866"/>
    <w:rsid w:val="0013756F"/>
    <w:rsid w:val="00141E1C"/>
    <w:rsid w:val="00151039"/>
    <w:rsid w:val="001649E4"/>
    <w:rsid w:val="00170B34"/>
    <w:rsid w:val="0017100C"/>
    <w:rsid w:val="001834CA"/>
    <w:rsid w:val="00184D07"/>
    <w:rsid w:val="00187645"/>
    <w:rsid w:val="00190A26"/>
    <w:rsid w:val="00193B5B"/>
    <w:rsid w:val="00194776"/>
    <w:rsid w:val="001A0427"/>
    <w:rsid w:val="001A1DB6"/>
    <w:rsid w:val="001A43B7"/>
    <w:rsid w:val="001A57AE"/>
    <w:rsid w:val="001B0F11"/>
    <w:rsid w:val="001B152F"/>
    <w:rsid w:val="001B1E46"/>
    <w:rsid w:val="001B781E"/>
    <w:rsid w:val="001C20E0"/>
    <w:rsid w:val="001C6173"/>
    <w:rsid w:val="001C62CB"/>
    <w:rsid w:val="001D2B1A"/>
    <w:rsid w:val="001E6C2A"/>
    <w:rsid w:val="001F2491"/>
    <w:rsid w:val="001F42FD"/>
    <w:rsid w:val="001F5EC0"/>
    <w:rsid w:val="002034C3"/>
    <w:rsid w:val="00204C00"/>
    <w:rsid w:val="002068DE"/>
    <w:rsid w:val="00206D3F"/>
    <w:rsid w:val="00210082"/>
    <w:rsid w:val="002114D7"/>
    <w:rsid w:val="00211D5F"/>
    <w:rsid w:val="00214500"/>
    <w:rsid w:val="00220D8C"/>
    <w:rsid w:val="00222056"/>
    <w:rsid w:val="00224100"/>
    <w:rsid w:val="00224BEE"/>
    <w:rsid w:val="002256C5"/>
    <w:rsid w:val="0022579E"/>
    <w:rsid w:val="002279D5"/>
    <w:rsid w:val="0023047F"/>
    <w:rsid w:val="00232B6F"/>
    <w:rsid w:val="00235DE7"/>
    <w:rsid w:val="002365E9"/>
    <w:rsid w:val="002367C5"/>
    <w:rsid w:val="002474B1"/>
    <w:rsid w:val="00251847"/>
    <w:rsid w:val="00261B94"/>
    <w:rsid w:val="002633E2"/>
    <w:rsid w:val="00273478"/>
    <w:rsid w:val="00276E56"/>
    <w:rsid w:val="00281EBB"/>
    <w:rsid w:val="0028371C"/>
    <w:rsid w:val="00287077"/>
    <w:rsid w:val="002944DD"/>
    <w:rsid w:val="002977C0"/>
    <w:rsid w:val="002A14FC"/>
    <w:rsid w:val="002A4DC8"/>
    <w:rsid w:val="002A5B04"/>
    <w:rsid w:val="002B2524"/>
    <w:rsid w:val="002B305B"/>
    <w:rsid w:val="002B497B"/>
    <w:rsid w:val="002C330C"/>
    <w:rsid w:val="002D0B88"/>
    <w:rsid w:val="002D3D3F"/>
    <w:rsid w:val="002D7456"/>
    <w:rsid w:val="002E00E7"/>
    <w:rsid w:val="002E26E7"/>
    <w:rsid w:val="002F0D67"/>
    <w:rsid w:val="002F3253"/>
    <w:rsid w:val="002F5509"/>
    <w:rsid w:val="002F78E8"/>
    <w:rsid w:val="00300235"/>
    <w:rsid w:val="003023DA"/>
    <w:rsid w:val="00304556"/>
    <w:rsid w:val="0031145E"/>
    <w:rsid w:val="00313070"/>
    <w:rsid w:val="00324B72"/>
    <w:rsid w:val="00327248"/>
    <w:rsid w:val="00327A2B"/>
    <w:rsid w:val="00330BB7"/>
    <w:rsid w:val="00335EDC"/>
    <w:rsid w:val="0033666A"/>
    <w:rsid w:val="00351BCE"/>
    <w:rsid w:val="003577A6"/>
    <w:rsid w:val="00362627"/>
    <w:rsid w:val="00362648"/>
    <w:rsid w:val="0037071B"/>
    <w:rsid w:val="00372229"/>
    <w:rsid w:val="003732F5"/>
    <w:rsid w:val="0037391F"/>
    <w:rsid w:val="00374AD7"/>
    <w:rsid w:val="003849F8"/>
    <w:rsid w:val="00385DDF"/>
    <w:rsid w:val="003913E7"/>
    <w:rsid w:val="003924BE"/>
    <w:rsid w:val="0039428F"/>
    <w:rsid w:val="003A0DDA"/>
    <w:rsid w:val="003A72A6"/>
    <w:rsid w:val="003B58E7"/>
    <w:rsid w:val="003B6C0A"/>
    <w:rsid w:val="003D14A9"/>
    <w:rsid w:val="003D1AF5"/>
    <w:rsid w:val="003D2188"/>
    <w:rsid w:val="003D2B14"/>
    <w:rsid w:val="003D413A"/>
    <w:rsid w:val="003D4221"/>
    <w:rsid w:val="003D4B1C"/>
    <w:rsid w:val="003E0A11"/>
    <w:rsid w:val="003E2809"/>
    <w:rsid w:val="003E36A9"/>
    <w:rsid w:val="003F29B5"/>
    <w:rsid w:val="003F71F9"/>
    <w:rsid w:val="0040081A"/>
    <w:rsid w:val="0040443D"/>
    <w:rsid w:val="00411409"/>
    <w:rsid w:val="004150AE"/>
    <w:rsid w:val="00421570"/>
    <w:rsid w:val="00422583"/>
    <w:rsid w:val="00424FE7"/>
    <w:rsid w:val="00426107"/>
    <w:rsid w:val="00435DC2"/>
    <w:rsid w:val="00436A8A"/>
    <w:rsid w:val="004430B9"/>
    <w:rsid w:val="00443A21"/>
    <w:rsid w:val="004461A9"/>
    <w:rsid w:val="004543C4"/>
    <w:rsid w:val="00455621"/>
    <w:rsid w:val="0046030B"/>
    <w:rsid w:val="00466A8D"/>
    <w:rsid w:val="004755B8"/>
    <w:rsid w:val="0048058E"/>
    <w:rsid w:val="00482732"/>
    <w:rsid w:val="00482BB4"/>
    <w:rsid w:val="00482C25"/>
    <w:rsid w:val="00486F49"/>
    <w:rsid w:val="004918B8"/>
    <w:rsid w:val="0049205E"/>
    <w:rsid w:val="0049409E"/>
    <w:rsid w:val="00494934"/>
    <w:rsid w:val="004A048E"/>
    <w:rsid w:val="004A07C8"/>
    <w:rsid w:val="004A2CB8"/>
    <w:rsid w:val="004A661D"/>
    <w:rsid w:val="004A6BC2"/>
    <w:rsid w:val="004A7A08"/>
    <w:rsid w:val="004B1BC7"/>
    <w:rsid w:val="004B2075"/>
    <w:rsid w:val="004B2642"/>
    <w:rsid w:val="004B6D33"/>
    <w:rsid w:val="004B7BC8"/>
    <w:rsid w:val="004C01F7"/>
    <w:rsid w:val="004C096C"/>
    <w:rsid w:val="004C27F8"/>
    <w:rsid w:val="004C3D35"/>
    <w:rsid w:val="004C5C1F"/>
    <w:rsid w:val="004C6CEA"/>
    <w:rsid w:val="004D0F04"/>
    <w:rsid w:val="004D10F3"/>
    <w:rsid w:val="004D5CE7"/>
    <w:rsid w:val="004E69A7"/>
    <w:rsid w:val="004E7857"/>
    <w:rsid w:val="004F2D37"/>
    <w:rsid w:val="004F75AE"/>
    <w:rsid w:val="004F79F2"/>
    <w:rsid w:val="005062F9"/>
    <w:rsid w:val="00506C05"/>
    <w:rsid w:val="00512695"/>
    <w:rsid w:val="00512BE7"/>
    <w:rsid w:val="0051355D"/>
    <w:rsid w:val="0051774C"/>
    <w:rsid w:val="005217A0"/>
    <w:rsid w:val="005326BE"/>
    <w:rsid w:val="00533CD6"/>
    <w:rsid w:val="00535E0D"/>
    <w:rsid w:val="00540682"/>
    <w:rsid w:val="00542525"/>
    <w:rsid w:val="00554C1C"/>
    <w:rsid w:val="00560FE6"/>
    <w:rsid w:val="00561056"/>
    <w:rsid w:val="005634F5"/>
    <w:rsid w:val="00565D15"/>
    <w:rsid w:val="005677DF"/>
    <w:rsid w:val="00570B55"/>
    <w:rsid w:val="00570E99"/>
    <w:rsid w:val="005767E3"/>
    <w:rsid w:val="005843E5"/>
    <w:rsid w:val="005859E6"/>
    <w:rsid w:val="0058612E"/>
    <w:rsid w:val="00586E0F"/>
    <w:rsid w:val="00587A78"/>
    <w:rsid w:val="00592C3B"/>
    <w:rsid w:val="00594BBA"/>
    <w:rsid w:val="005953BD"/>
    <w:rsid w:val="005A11F2"/>
    <w:rsid w:val="005A1B14"/>
    <w:rsid w:val="005A3009"/>
    <w:rsid w:val="005A3ECD"/>
    <w:rsid w:val="005A4C47"/>
    <w:rsid w:val="005B0E22"/>
    <w:rsid w:val="005B18F4"/>
    <w:rsid w:val="005B41EA"/>
    <w:rsid w:val="005B48B4"/>
    <w:rsid w:val="005C02F8"/>
    <w:rsid w:val="005C2A15"/>
    <w:rsid w:val="005C778F"/>
    <w:rsid w:val="005D1428"/>
    <w:rsid w:val="005D212B"/>
    <w:rsid w:val="005D348F"/>
    <w:rsid w:val="005E0DCE"/>
    <w:rsid w:val="005E16B4"/>
    <w:rsid w:val="005E184C"/>
    <w:rsid w:val="005E1B38"/>
    <w:rsid w:val="005E556D"/>
    <w:rsid w:val="005E64E1"/>
    <w:rsid w:val="005F39B7"/>
    <w:rsid w:val="005F7E2E"/>
    <w:rsid w:val="00602857"/>
    <w:rsid w:val="00610E39"/>
    <w:rsid w:val="00612BAD"/>
    <w:rsid w:val="00616D4C"/>
    <w:rsid w:val="006211E9"/>
    <w:rsid w:val="00621478"/>
    <w:rsid w:val="00624D46"/>
    <w:rsid w:val="00625722"/>
    <w:rsid w:val="00630CF6"/>
    <w:rsid w:val="006345F3"/>
    <w:rsid w:val="00636EC6"/>
    <w:rsid w:val="006372BE"/>
    <w:rsid w:val="00647D80"/>
    <w:rsid w:val="00660176"/>
    <w:rsid w:val="00661323"/>
    <w:rsid w:val="00662023"/>
    <w:rsid w:val="0066364D"/>
    <w:rsid w:val="00663C28"/>
    <w:rsid w:val="00672484"/>
    <w:rsid w:val="00672CF1"/>
    <w:rsid w:val="006731E4"/>
    <w:rsid w:val="0067547B"/>
    <w:rsid w:val="00676867"/>
    <w:rsid w:val="0068056B"/>
    <w:rsid w:val="006809AB"/>
    <w:rsid w:val="00681A0B"/>
    <w:rsid w:val="00684062"/>
    <w:rsid w:val="006866C9"/>
    <w:rsid w:val="00695E24"/>
    <w:rsid w:val="00696A79"/>
    <w:rsid w:val="006977C9"/>
    <w:rsid w:val="006A64A3"/>
    <w:rsid w:val="006A7254"/>
    <w:rsid w:val="006B298A"/>
    <w:rsid w:val="006B67EA"/>
    <w:rsid w:val="006B7E6F"/>
    <w:rsid w:val="006D3ACE"/>
    <w:rsid w:val="006E152C"/>
    <w:rsid w:val="006E24DA"/>
    <w:rsid w:val="006E6321"/>
    <w:rsid w:val="006F1E73"/>
    <w:rsid w:val="006F1EB9"/>
    <w:rsid w:val="006F3055"/>
    <w:rsid w:val="006F37B3"/>
    <w:rsid w:val="006F3F57"/>
    <w:rsid w:val="006F5826"/>
    <w:rsid w:val="006F7D39"/>
    <w:rsid w:val="007004FC"/>
    <w:rsid w:val="00704118"/>
    <w:rsid w:val="007067FD"/>
    <w:rsid w:val="0071101A"/>
    <w:rsid w:val="00711A87"/>
    <w:rsid w:val="0071696D"/>
    <w:rsid w:val="00716DA8"/>
    <w:rsid w:val="00720D33"/>
    <w:rsid w:val="0072473B"/>
    <w:rsid w:val="0072481E"/>
    <w:rsid w:val="00726737"/>
    <w:rsid w:val="00727370"/>
    <w:rsid w:val="00727B74"/>
    <w:rsid w:val="00731FE0"/>
    <w:rsid w:val="00733AE9"/>
    <w:rsid w:val="00733F3A"/>
    <w:rsid w:val="00737336"/>
    <w:rsid w:val="00737B8F"/>
    <w:rsid w:val="00742273"/>
    <w:rsid w:val="00746885"/>
    <w:rsid w:val="00747475"/>
    <w:rsid w:val="00753D7B"/>
    <w:rsid w:val="00760AD6"/>
    <w:rsid w:val="00767C66"/>
    <w:rsid w:val="007722CF"/>
    <w:rsid w:val="00774D6F"/>
    <w:rsid w:val="00777EE9"/>
    <w:rsid w:val="00785F71"/>
    <w:rsid w:val="007870A5"/>
    <w:rsid w:val="007902B6"/>
    <w:rsid w:val="00795A22"/>
    <w:rsid w:val="007A146D"/>
    <w:rsid w:val="007A2436"/>
    <w:rsid w:val="007A5174"/>
    <w:rsid w:val="007A72FE"/>
    <w:rsid w:val="007A731A"/>
    <w:rsid w:val="007A7C5D"/>
    <w:rsid w:val="007B167C"/>
    <w:rsid w:val="007B477A"/>
    <w:rsid w:val="007B768B"/>
    <w:rsid w:val="007C141D"/>
    <w:rsid w:val="007C2D3E"/>
    <w:rsid w:val="007D2351"/>
    <w:rsid w:val="007D2BCB"/>
    <w:rsid w:val="007D5B51"/>
    <w:rsid w:val="007D5D64"/>
    <w:rsid w:val="007D6D8B"/>
    <w:rsid w:val="007F1514"/>
    <w:rsid w:val="007F2B1F"/>
    <w:rsid w:val="007F3011"/>
    <w:rsid w:val="007F3259"/>
    <w:rsid w:val="007F53C6"/>
    <w:rsid w:val="007F6FED"/>
    <w:rsid w:val="007F7B35"/>
    <w:rsid w:val="00800CD0"/>
    <w:rsid w:val="008031D6"/>
    <w:rsid w:val="00803E92"/>
    <w:rsid w:val="00810757"/>
    <w:rsid w:val="00824B5F"/>
    <w:rsid w:val="008251D0"/>
    <w:rsid w:val="00847B5D"/>
    <w:rsid w:val="00851BD9"/>
    <w:rsid w:val="00857BBE"/>
    <w:rsid w:val="00860B15"/>
    <w:rsid w:val="0086119E"/>
    <w:rsid w:val="00865348"/>
    <w:rsid w:val="00866293"/>
    <w:rsid w:val="0086683D"/>
    <w:rsid w:val="008761D4"/>
    <w:rsid w:val="00881AD4"/>
    <w:rsid w:val="00881D42"/>
    <w:rsid w:val="00882EB0"/>
    <w:rsid w:val="008840B8"/>
    <w:rsid w:val="008915AA"/>
    <w:rsid w:val="00891DCE"/>
    <w:rsid w:val="008947AB"/>
    <w:rsid w:val="008976FA"/>
    <w:rsid w:val="00897808"/>
    <w:rsid w:val="008B328A"/>
    <w:rsid w:val="008B42C7"/>
    <w:rsid w:val="008B55D3"/>
    <w:rsid w:val="008B6A83"/>
    <w:rsid w:val="008B784C"/>
    <w:rsid w:val="008B7C05"/>
    <w:rsid w:val="008D7051"/>
    <w:rsid w:val="008E188A"/>
    <w:rsid w:val="008E5143"/>
    <w:rsid w:val="008E51F5"/>
    <w:rsid w:val="008E616E"/>
    <w:rsid w:val="008F0BB3"/>
    <w:rsid w:val="009007C7"/>
    <w:rsid w:val="00901AD0"/>
    <w:rsid w:val="00902E9A"/>
    <w:rsid w:val="00905A37"/>
    <w:rsid w:val="00912B45"/>
    <w:rsid w:val="009160F6"/>
    <w:rsid w:val="00920841"/>
    <w:rsid w:val="009257A2"/>
    <w:rsid w:val="00925E4E"/>
    <w:rsid w:val="00926271"/>
    <w:rsid w:val="009317BF"/>
    <w:rsid w:val="00931890"/>
    <w:rsid w:val="009338DE"/>
    <w:rsid w:val="009410B8"/>
    <w:rsid w:val="00943210"/>
    <w:rsid w:val="00943AD3"/>
    <w:rsid w:val="0094527E"/>
    <w:rsid w:val="00956B70"/>
    <w:rsid w:val="009611F3"/>
    <w:rsid w:val="0096149D"/>
    <w:rsid w:val="00962E6B"/>
    <w:rsid w:val="0096737E"/>
    <w:rsid w:val="00972800"/>
    <w:rsid w:val="0097407D"/>
    <w:rsid w:val="00981D45"/>
    <w:rsid w:val="009829C3"/>
    <w:rsid w:val="009830CC"/>
    <w:rsid w:val="00986D78"/>
    <w:rsid w:val="00987470"/>
    <w:rsid w:val="0098754F"/>
    <w:rsid w:val="00992E4D"/>
    <w:rsid w:val="00996DBD"/>
    <w:rsid w:val="00997EB7"/>
    <w:rsid w:val="009A06D4"/>
    <w:rsid w:val="009A1D54"/>
    <w:rsid w:val="009A34A0"/>
    <w:rsid w:val="009A4405"/>
    <w:rsid w:val="009B1058"/>
    <w:rsid w:val="009C612B"/>
    <w:rsid w:val="009D3156"/>
    <w:rsid w:val="009D7903"/>
    <w:rsid w:val="009D796B"/>
    <w:rsid w:val="009E0102"/>
    <w:rsid w:val="009E0821"/>
    <w:rsid w:val="009E2A6C"/>
    <w:rsid w:val="009E50F0"/>
    <w:rsid w:val="009E5FFE"/>
    <w:rsid w:val="009E6021"/>
    <w:rsid w:val="009E6B4D"/>
    <w:rsid w:val="009F3CC9"/>
    <w:rsid w:val="009F5A3F"/>
    <w:rsid w:val="009F7489"/>
    <w:rsid w:val="00A0595F"/>
    <w:rsid w:val="00A06302"/>
    <w:rsid w:val="00A20346"/>
    <w:rsid w:val="00A32585"/>
    <w:rsid w:val="00A325B0"/>
    <w:rsid w:val="00A32DCF"/>
    <w:rsid w:val="00A37B83"/>
    <w:rsid w:val="00A40693"/>
    <w:rsid w:val="00A50FD5"/>
    <w:rsid w:val="00A54AFA"/>
    <w:rsid w:val="00A5555C"/>
    <w:rsid w:val="00A61A01"/>
    <w:rsid w:val="00A62F37"/>
    <w:rsid w:val="00A64A2D"/>
    <w:rsid w:val="00A64EEA"/>
    <w:rsid w:val="00A655C2"/>
    <w:rsid w:val="00A678C0"/>
    <w:rsid w:val="00A67D3C"/>
    <w:rsid w:val="00A72431"/>
    <w:rsid w:val="00A726D2"/>
    <w:rsid w:val="00A74329"/>
    <w:rsid w:val="00A829A9"/>
    <w:rsid w:val="00A84959"/>
    <w:rsid w:val="00A87FAF"/>
    <w:rsid w:val="00AA14F1"/>
    <w:rsid w:val="00AB2213"/>
    <w:rsid w:val="00AD2571"/>
    <w:rsid w:val="00AD3959"/>
    <w:rsid w:val="00AD6A51"/>
    <w:rsid w:val="00AE5B83"/>
    <w:rsid w:val="00AE77DE"/>
    <w:rsid w:val="00AF096D"/>
    <w:rsid w:val="00AF1FDC"/>
    <w:rsid w:val="00AF4F3E"/>
    <w:rsid w:val="00AF63E3"/>
    <w:rsid w:val="00AF7367"/>
    <w:rsid w:val="00B055F8"/>
    <w:rsid w:val="00B05E2C"/>
    <w:rsid w:val="00B1335D"/>
    <w:rsid w:val="00B13628"/>
    <w:rsid w:val="00B17EE0"/>
    <w:rsid w:val="00B2043A"/>
    <w:rsid w:val="00B21C8C"/>
    <w:rsid w:val="00B3143C"/>
    <w:rsid w:val="00B419CD"/>
    <w:rsid w:val="00B464D6"/>
    <w:rsid w:val="00B47501"/>
    <w:rsid w:val="00B57B76"/>
    <w:rsid w:val="00B6119F"/>
    <w:rsid w:val="00B62CC9"/>
    <w:rsid w:val="00B7093A"/>
    <w:rsid w:val="00B736ED"/>
    <w:rsid w:val="00B8031D"/>
    <w:rsid w:val="00B82FD4"/>
    <w:rsid w:val="00B831A3"/>
    <w:rsid w:val="00B83412"/>
    <w:rsid w:val="00B85763"/>
    <w:rsid w:val="00B87C6D"/>
    <w:rsid w:val="00B92CFD"/>
    <w:rsid w:val="00BA06A9"/>
    <w:rsid w:val="00BA3083"/>
    <w:rsid w:val="00BB136C"/>
    <w:rsid w:val="00BB21C6"/>
    <w:rsid w:val="00BB26BF"/>
    <w:rsid w:val="00BB3E7C"/>
    <w:rsid w:val="00BC187E"/>
    <w:rsid w:val="00BC20F6"/>
    <w:rsid w:val="00BC663E"/>
    <w:rsid w:val="00BC7943"/>
    <w:rsid w:val="00BC79D3"/>
    <w:rsid w:val="00BC7BF6"/>
    <w:rsid w:val="00BD6B9B"/>
    <w:rsid w:val="00BE0ECC"/>
    <w:rsid w:val="00BE4807"/>
    <w:rsid w:val="00BE6DC2"/>
    <w:rsid w:val="00BE7235"/>
    <w:rsid w:val="00BF6E71"/>
    <w:rsid w:val="00BF7496"/>
    <w:rsid w:val="00C01192"/>
    <w:rsid w:val="00C02F60"/>
    <w:rsid w:val="00C10FD6"/>
    <w:rsid w:val="00C112B7"/>
    <w:rsid w:val="00C20F05"/>
    <w:rsid w:val="00C221FC"/>
    <w:rsid w:val="00C3255E"/>
    <w:rsid w:val="00C36C0D"/>
    <w:rsid w:val="00C41175"/>
    <w:rsid w:val="00C42F46"/>
    <w:rsid w:val="00C43351"/>
    <w:rsid w:val="00C44B53"/>
    <w:rsid w:val="00C45949"/>
    <w:rsid w:val="00C56B7B"/>
    <w:rsid w:val="00C6079C"/>
    <w:rsid w:val="00C6436C"/>
    <w:rsid w:val="00C75473"/>
    <w:rsid w:val="00C80503"/>
    <w:rsid w:val="00C81557"/>
    <w:rsid w:val="00C8496F"/>
    <w:rsid w:val="00C9351D"/>
    <w:rsid w:val="00C9362E"/>
    <w:rsid w:val="00C941BE"/>
    <w:rsid w:val="00C94399"/>
    <w:rsid w:val="00CA5220"/>
    <w:rsid w:val="00CB1DE7"/>
    <w:rsid w:val="00CC44DA"/>
    <w:rsid w:val="00CC7E25"/>
    <w:rsid w:val="00CD3990"/>
    <w:rsid w:val="00CE0228"/>
    <w:rsid w:val="00CE1053"/>
    <w:rsid w:val="00CE2775"/>
    <w:rsid w:val="00CE58DD"/>
    <w:rsid w:val="00CF066B"/>
    <w:rsid w:val="00CF29F4"/>
    <w:rsid w:val="00CF4C03"/>
    <w:rsid w:val="00CF4FAE"/>
    <w:rsid w:val="00CF5F25"/>
    <w:rsid w:val="00CF7236"/>
    <w:rsid w:val="00D03FC5"/>
    <w:rsid w:val="00D04B62"/>
    <w:rsid w:val="00D0541D"/>
    <w:rsid w:val="00D05D8D"/>
    <w:rsid w:val="00D1326C"/>
    <w:rsid w:val="00D20113"/>
    <w:rsid w:val="00D252EC"/>
    <w:rsid w:val="00D35A64"/>
    <w:rsid w:val="00D35F3E"/>
    <w:rsid w:val="00D40D90"/>
    <w:rsid w:val="00D4374E"/>
    <w:rsid w:val="00D45541"/>
    <w:rsid w:val="00D46651"/>
    <w:rsid w:val="00D53F45"/>
    <w:rsid w:val="00D60A69"/>
    <w:rsid w:val="00D624E5"/>
    <w:rsid w:val="00D6273C"/>
    <w:rsid w:val="00D67377"/>
    <w:rsid w:val="00D74EB1"/>
    <w:rsid w:val="00D80609"/>
    <w:rsid w:val="00D81BBD"/>
    <w:rsid w:val="00D82005"/>
    <w:rsid w:val="00D847D1"/>
    <w:rsid w:val="00D8631D"/>
    <w:rsid w:val="00D9018A"/>
    <w:rsid w:val="00D907DC"/>
    <w:rsid w:val="00D9167A"/>
    <w:rsid w:val="00D93339"/>
    <w:rsid w:val="00D94DB8"/>
    <w:rsid w:val="00D96031"/>
    <w:rsid w:val="00DA42A5"/>
    <w:rsid w:val="00DB433E"/>
    <w:rsid w:val="00DB4811"/>
    <w:rsid w:val="00DB4E2B"/>
    <w:rsid w:val="00DB6B9E"/>
    <w:rsid w:val="00DC27FC"/>
    <w:rsid w:val="00DC2E68"/>
    <w:rsid w:val="00DC30D6"/>
    <w:rsid w:val="00DC602B"/>
    <w:rsid w:val="00DC7C7E"/>
    <w:rsid w:val="00DD050C"/>
    <w:rsid w:val="00DD485E"/>
    <w:rsid w:val="00DE1509"/>
    <w:rsid w:val="00DE1A26"/>
    <w:rsid w:val="00DE3D83"/>
    <w:rsid w:val="00DE5247"/>
    <w:rsid w:val="00DF0C49"/>
    <w:rsid w:val="00DF36E1"/>
    <w:rsid w:val="00DF7DD8"/>
    <w:rsid w:val="00E000D5"/>
    <w:rsid w:val="00E07876"/>
    <w:rsid w:val="00E13509"/>
    <w:rsid w:val="00E14524"/>
    <w:rsid w:val="00E26AC8"/>
    <w:rsid w:val="00E27CB5"/>
    <w:rsid w:val="00E30335"/>
    <w:rsid w:val="00E31B1D"/>
    <w:rsid w:val="00E33640"/>
    <w:rsid w:val="00E35ABC"/>
    <w:rsid w:val="00E400E9"/>
    <w:rsid w:val="00E40784"/>
    <w:rsid w:val="00E45527"/>
    <w:rsid w:val="00E45C5A"/>
    <w:rsid w:val="00E5261A"/>
    <w:rsid w:val="00E53E56"/>
    <w:rsid w:val="00E60C52"/>
    <w:rsid w:val="00E60DCF"/>
    <w:rsid w:val="00E70045"/>
    <w:rsid w:val="00E7168E"/>
    <w:rsid w:val="00E72D79"/>
    <w:rsid w:val="00E745A8"/>
    <w:rsid w:val="00E80307"/>
    <w:rsid w:val="00E80674"/>
    <w:rsid w:val="00E843D1"/>
    <w:rsid w:val="00E86991"/>
    <w:rsid w:val="00E954AF"/>
    <w:rsid w:val="00E97223"/>
    <w:rsid w:val="00EA0F40"/>
    <w:rsid w:val="00EA2403"/>
    <w:rsid w:val="00EA74A2"/>
    <w:rsid w:val="00EB2B30"/>
    <w:rsid w:val="00EB7CF1"/>
    <w:rsid w:val="00EB7E5D"/>
    <w:rsid w:val="00EC0132"/>
    <w:rsid w:val="00EC6E01"/>
    <w:rsid w:val="00ED1A75"/>
    <w:rsid w:val="00ED3CB8"/>
    <w:rsid w:val="00ED4080"/>
    <w:rsid w:val="00ED636C"/>
    <w:rsid w:val="00EE032E"/>
    <w:rsid w:val="00EE60C8"/>
    <w:rsid w:val="00EF566C"/>
    <w:rsid w:val="00F00D1E"/>
    <w:rsid w:val="00F0363A"/>
    <w:rsid w:val="00F0596D"/>
    <w:rsid w:val="00F2038C"/>
    <w:rsid w:val="00F20C49"/>
    <w:rsid w:val="00F222FA"/>
    <w:rsid w:val="00F303AE"/>
    <w:rsid w:val="00F31423"/>
    <w:rsid w:val="00F33D5F"/>
    <w:rsid w:val="00F369F3"/>
    <w:rsid w:val="00F37869"/>
    <w:rsid w:val="00F455CD"/>
    <w:rsid w:val="00F47698"/>
    <w:rsid w:val="00F504BB"/>
    <w:rsid w:val="00F5779F"/>
    <w:rsid w:val="00F67146"/>
    <w:rsid w:val="00F67836"/>
    <w:rsid w:val="00F73AA6"/>
    <w:rsid w:val="00F74F44"/>
    <w:rsid w:val="00F77D50"/>
    <w:rsid w:val="00F8009B"/>
    <w:rsid w:val="00F8029F"/>
    <w:rsid w:val="00F805B1"/>
    <w:rsid w:val="00F91163"/>
    <w:rsid w:val="00F91249"/>
    <w:rsid w:val="00F92133"/>
    <w:rsid w:val="00FA4013"/>
    <w:rsid w:val="00FB0A6F"/>
    <w:rsid w:val="00FB4C79"/>
    <w:rsid w:val="00FC2D1E"/>
    <w:rsid w:val="00FC4905"/>
    <w:rsid w:val="00FC5A5E"/>
    <w:rsid w:val="00FD2EA1"/>
    <w:rsid w:val="00FF392C"/>
    <w:rsid w:val="00FF3D79"/>
    <w:rsid w:val="00FF4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C5"/>
  </w:style>
  <w:style w:type="paragraph" w:styleId="Heading2">
    <w:name w:val="heading 2"/>
    <w:basedOn w:val="Normal"/>
    <w:next w:val="Normal"/>
    <w:qFormat/>
    <w:rsid w:val="00E000D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3F29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Map Title"/>
    <w:basedOn w:val="Normal"/>
    <w:next w:val="Normal"/>
    <w:qFormat/>
    <w:rsid w:val="00592C3B"/>
    <w:pPr>
      <w:spacing w:after="240"/>
      <w:outlineLvl w:val="3"/>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1D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E032E"/>
    <w:pPr>
      <w:tabs>
        <w:tab w:val="center" w:pos="4320"/>
        <w:tab w:val="right" w:pos="8640"/>
      </w:tabs>
    </w:pPr>
  </w:style>
  <w:style w:type="paragraph" w:styleId="Footer">
    <w:name w:val="footer"/>
    <w:basedOn w:val="Normal"/>
    <w:rsid w:val="00EE032E"/>
    <w:pPr>
      <w:tabs>
        <w:tab w:val="center" w:pos="4320"/>
        <w:tab w:val="right" w:pos="8640"/>
      </w:tabs>
    </w:pPr>
  </w:style>
  <w:style w:type="paragraph" w:styleId="BalloonText">
    <w:name w:val="Balloon Text"/>
    <w:basedOn w:val="Normal"/>
    <w:semiHidden/>
    <w:rsid w:val="000C6F67"/>
    <w:rPr>
      <w:rFonts w:ascii="Tahoma" w:hAnsi="Tahoma" w:cs="Tahoma"/>
      <w:sz w:val="16"/>
      <w:szCs w:val="16"/>
    </w:rPr>
  </w:style>
  <w:style w:type="character" w:styleId="PageNumber">
    <w:name w:val="page number"/>
    <w:basedOn w:val="DefaultParagraphFont"/>
    <w:rsid w:val="00362627"/>
  </w:style>
  <w:style w:type="character" w:styleId="Hyperlink">
    <w:name w:val="Hyperlink"/>
    <w:basedOn w:val="DefaultParagraphFont"/>
    <w:rsid w:val="006F3F57"/>
    <w:rPr>
      <w:color w:val="0000FF"/>
      <w:u w:val="single"/>
    </w:rPr>
  </w:style>
  <w:style w:type="character" w:styleId="FollowedHyperlink">
    <w:name w:val="FollowedHyperlink"/>
    <w:basedOn w:val="DefaultParagraphFont"/>
    <w:rsid w:val="006F3F57"/>
    <w:rPr>
      <w:color w:val="800080"/>
      <w:u w:val="single"/>
    </w:rPr>
  </w:style>
  <w:style w:type="paragraph" w:styleId="BlockText">
    <w:name w:val="Block Text"/>
    <w:basedOn w:val="Normal"/>
    <w:rsid w:val="00592C3B"/>
    <w:rPr>
      <w:sz w:val="24"/>
    </w:rPr>
  </w:style>
  <w:style w:type="paragraph" w:customStyle="1" w:styleId="DEQSMALLHEADLINES">
    <w:name w:val="(DEQ)SMALL HEADLINES"/>
    <w:basedOn w:val="Normal"/>
    <w:rsid w:val="00592C3B"/>
    <w:rPr>
      <w:rFonts w:ascii="Arial" w:eastAsia="Times" w:hAnsi="Arial"/>
      <w:b/>
    </w:rPr>
  </w:style>
  <w:style w:type="paragraph" w:styleId="FootnoteText">
    <w:name w:val="footnote text"/>
    <w:basedOn w:val="Normal"/>
    <w:semiHidden/>
    <w:rsid w:val="006A7254"/>
  </w:style>
  <w:style w:type="character" w:styleId="FootnoteReference">
    <w:name w:val="footnote reference"/>
    <w:basedOn w:val="DefaultParagraphFont"/>
    <w:semiHidden/>
    <w:rsid w:val="006A7254"/>
    <w:rPr>
      <w:vertAlign w:val="superscript"/>
    </w:rPr>
  </w:style>
  <w:style w:type="paragraph" w:customStyle="1" w:styleId="DEQTEXTforFACTSHEET">
    <w:name w:val="(DEQ)TEXT for FACT SHEET"/>
    <w:basedOn w:val="Normal"/>
    <w:rsid w:val="004B2642"/>
    <w:rPr>
      <w:rFonts w:eastAsia="Times"/>
    </w:rPr>
  </w:style>
  <w:style w:type="paragraph" w:customStyle="1" w:styleId="deqtextforfactsheet0">
    <w:name w:val="deqtextforfactsheet"/>
    <w:basedOn w:val="Normal"/>
    <w:rsid w:val="002D3D3F"/>
    <w:pPr>
      <w:spacing w:before="100" w:beforeAutospacing="1" w:after="100" w:afterAutospacing="1"/>
    </w:pPr>
    <w:rPr>
      <w:sz w:val="24"/>
      <w:szCs w:val="24"/>
    </w:rPr>
  </w:style>
  <w:style w:type="paragraph" w:customStyle="1" w:styleId="DEQREPORTTITLE">
    <w:name w:val="(DEQ)REPORT TITLE"/>
    <w:basedOn w:val="Heading2"/>
    <w:rsid w:val="00E000D5"/>
    <w:pPr>
      <w:spacing w:before="0" w:after="0"/>
    </w:pPr>
    <w:rPr>
      <w:rFonts w:cs="Times New Roman"/>
      <w:bCs w:val="0"/>
      <w:i w:val="0"/>
      <w:iCs w:val="0"/>
      <w:sz w:val="60"/>
      <w:szCs w:val="20"/>
    </w:rPr>
  </w:style>
  <w:style w:type="paragraph" w:customStyle="1" w:styleId="DEQDIVISIONORPROGRAM">
    <w:name w:val="(DEQ)DIVISION OR PROGRAM"/>
    <w:basedOn w:val="Normal"/>
    <w:rsid w:val="003F29B5"/>
    <w:rPr>
      <w:b/>
      <w:sz w:val="32"/>
    </w:rPr>
  </w:style>
  <w:style w:type="paragraph" w:customStyle="1" w:styleId="DEQDATEOFREPORT">
    <w:name w:val="(DEQ) DATE OF REPORT"/>
    <w:basedOn w:val="Heading3"/>
    <w:rsid w:val="003F29B5"/>
    <w:pPr>
      <w:keepLines w:val="0"/>
      <w:spacing w:before="0"/>
    </w:pPr>
    <w:rPr>
      <w:rFonts w:ascii="Arial" w:eastAsia="Times New Roman" w:hAnsi="Arial" w:cs="Times New Roman"/>
      <w:bCs w:val="0"/>
      <w:color w:val="auto"/>
      <w:sz w:val="24"/>
    </w:rPr>
  </w:style>
  <w:style w:type="character" w:customStyle="1" w:styleId="Heading3Char">
    <w:name w:val="Heading 3 Char"/>
    <w:basedOn w:val="DefaultParagraphFont"/>
    <w:link w:val="Heading3"/>
    <w:uiPriority w:val="9"/>
    <w:semiHidden/>
    <w:rsid w:val="003F29B5"/>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DE1509"/>
    <w:rPr>
      <w:sz w:val="16"/>
      <w:szCs w:val="16"/>
    </w:rPr>
  </w:style>
  <w:style w:type="paragraph" w:styleId="CommentText">
    <w:name w:val="annotation text"/>
    <w:basedOn w:val="Normal"/>
    <w:link w:val="CommentTextChar"/>
    <w:uiPriority w:val="99"/>
    <w:semiHidden/>
    <w:unhideWhenUsed/>
    <w:rsid w:val="00DE1509"/>
  </w:style>
  <w:style w:type="character" w:customStyle="1" w:styleId="CommentTextChar">
    <w:name w:val="Comment Text Char"/>
    <w:basedOn w:val="DefaultParagraphFont"/>
    <w:link w:val="CommentText"/>
    <w:uiPriority w:val="99"/>
    <w:semiHidden/>
    <w:rsid w:val="00DE1509"/>
  </w:style>
  <w:style w:type="paragraph" w:styleId="CommentSubject">
    <w:name w:val="annotation subject"/>
    <w:basedOn w:val="CommentText"/>
    <w:next w:val="CommentText"/>
    <w:link w:val="CommentSubjectChar"/>
    <w:uiPriority w:val="99"/>
    <w:semiHidden/>
    <w:unhideWhenUsed/>
    <w:rsid w:val="00DE1509"/>
    <w:rPr>
      <w:b/>
      <w:bCs/>
    </w:rPr>
  </w:style>
  <w:style w:type="character" w:customStyle="1" w:styleId="CommentSubjectChar">
    <w:name w:val="Comment Subject Char"/>
    <w:basedOn w:val="CommentTextChar"/>
    <w:link w:val="CommentSubject"/>
    <w:uiPriority w:val="99"/>
    <w:semiHidden/>
    <w:rsid w:val="00DE1509"/>
    <w:rPr>
      <w:b/>
      <w:bCs/>
    </w:rPr>
  </w:style>
  <w:style w:type="paragraph" w:styleId="Revision">
    <w:name w:val="Revision"/>
    <w:hidden/>
    <w:uiPriority w:val="99"/>
    <w:semiHidden/>
    <w:rsid w:val="006866C9"/>
  </w:style>
</w:styles>
</file>

<file path=word/webSettings.xml><?xml version="1.0" encoding="utf-8"?>
<w:webSettings xmlns:r="http://schemas.openxmlformats.org/officeDocument/2006/relationships" xmlns:w="http://schemas.openxmlformats.org/wordprocessingml/2006/main">
  <w:divs>
    <w:div w:id="156907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standards/review.ht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turdevant.debra@de.state.or.us" TargetMode="External"/><Relationship Id="rId12" Type="http://schemas.openxmlformats.org/officeDocument/2006/relationships/oleObject" Target="embeddings/oleObject1.bin"/><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pa.gov/waterscience/criteria/library/redbook.pdf" TargetMode="External"/><Relationship Id="rId4" Type="http://schemas.openxmlformats.org/officeDocument/2006/relationships/webSettings" Target="webSettings.xml"/><Relationship Id="rId9" Type="http://schemas.openxmlformats.org/officeDocument/2006/relationships/hyperlink" Target="http://www.epa.gov/waterscience/criteria/library/goldboo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Props1.xml><?xml version="1.0" encoding="utf-8"?>
<ds:datastoreItem xmlns:ds="http://schemas.openxmlformats.org/officeDocument/2006/customXml" ds:itemID="{5FAD13A7-841C-418C-92EC-D280D6BB4A12}"/>
</file>

<file path=customXml/itemProps2.xml><?xml version="1.0" encoding="utf-8"?>
<ds:datastoreItem xmlns:ds="http://schemas.openxmlformats.org/officeDocument/2006/customXml" ds:itemID="{06DFAD29-1D4A-4ED5-98AA-43217E13FF2D}"/>
</file>

<file path=customXml/itemProps3.xml><?xml version="1.0" encoding="utf-8"?>
<ds:datastoreItem xmlns:ds="http://schemas.openxmlformats.org/officeDocument/2006/customXml" ds:itemID="{273523EA-C7E7-4F20-B905-E421683AC4A7}"/>
</file>

<file path=docProps/app.xml><?xml version="1.0" encoding="utf-8"?>
<Properties xmlns="http://schemas.openxmlformats.org/officeDocument/2006/extended-properties" xmlns:vt="http://schemas.openxmlformats.org/officeDocument/2006/docPropsVTypes">
  <Template>Normal.dotm</Template>
  <TotalTime>26</TotalTime>
  <Pages>5</Pages>
  <Words>2971</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Secretary of State</vt:lpstr>
    </vt:vector>
  </TitlesOfParts>
  <Company>Oregon Secretary of State</Company>
  <LinksUpToDate>false</LinksUpToDate>
  <CharactersWithSpaces>20176</CharactersWithSpaces>
  <SharedDoc>false</SharedDoc>
  <HLinks>
    <vt:vector size="18" baseType="variant">
      <vt:variant>
        <vt:i4>7143478</vt:i4>
      </vt:variant>
      <vt:variant>
        <vt:i4>6</vt:i4>
      </vt:variant>
      <vt:variant>
        <vt:i4>0</vt:i4>
      </vt:variant>
      <vt:variant>
        <vt:i4>5</vt:i4>
      </vt:variant>
      <vt:variant>
        <vt:lpwstr>http://www.qualityinfo.org/olmisj/OlmisZine</vt:lpwstr>
      </vt:variant>
      <vt:variant>
        <vt:lpwstr/>
      </vt:variant>
      <vt:variant>
        <vt:i4>852013</vt:i4>
      </vt:variant>
      <vt:variant>
        <vt:i4>3</vt:i4>
      </vt:variant>
      <vt:variant>
        <vt:i4>0</vt:i4>
      </vt:variant>
      <vt:variant>
        <vt:i4>5</vt:i4>
      </vt:variant>
      <vt:variant>
        <vt:lpwstr>http://www.census.gov/econ/census02/guide/02EC_OR.HTM</vt:lpwstr>
      </vt:variant>
      <vt:variant>
        <vt:lpwstr/>
      </vt:variant>
      <vt:variant>
        <vt:i4>852013</vt:i4>
      </vt:variant>
      <vt:variant>
        <vt:i4>0</vt:i4>
      </vt:variant>
      <vt:variant>
        <vt:i4>0</vt:i4>
      </vt:variant>
      <vt:variant>
        <vt:i4>5</vt:i4>
      </vt:variant>
      <vt:variant>
        <vt:lpwstr>http://www.census.gov/econ/census02/guide/02EC_OR.HTM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need and fiscal and economic impact</dc:title>
  <dc:subject/>
  <dc:creator>Archives Divison</dc:creator>
  <cp:keywords/>
  <dc:description/>
  <cp:lastModifiedBy>debra sturdevant</cp:lastModifiedBy>
  <cp:revision>4</cp:revision>
  <cp:lastPrinted>2010-08-13T17:15:00Z</cp:lastPrinted>
  <dcterms:created xsi:type="dcterms:W3CDTF">2010-08-13T17:09:00Z</dcterms:created>
  <dcterms:modified xsi:type="dcterms:W3CDTF">2010-08-13T17:36:00Z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