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B7" w:rsidRPr="00022EC6" w:rsidRDefault="00022EC6" w:rsidP="004317A4">
      <w:pPr>
        <w:spacing w:line="240" w:lineRule="auto"/>
        <w:jc w:val="center"/>
        <w:rPr>
          <w:b/>
          <w:sz w:val="40"/>
          <w:szCs w:val="40"/>
        </w:rPr>
      </w:pPr>
      <w:r w:rsidRPr="00022EC6">
        <w:rPr>
          <w:noProof/>
          <w:sz w:val="40"/>
          <w:szCs w:val="40"/>
        </w:rPr>
        <w:drawing>
          <wp:anchor distT="0" distB="0" distL="114300" distR="114300" simplePos="0" relativeHeight="251659264" behindDoc="1" locked="0" layoutInCell="1" allowOverlap="1">
            <wp:simplePos x="0" y="0"/>
            <wp:positionH relativeFrom="column">
              <wp:posOffset>-574675</wp:posOffset>
            </wp:positionH>
            <wp:positionV relativeFrom="paragraph">
              <wp:posOffset>-715645</wp:posOffset>
            </wp:positionV>
            <wp:extent cx="529590" cy="1247775"/>
            <wp:effectExtent l="19050" t="0" r="3810" b="0"/>
            <wp:wrapTight wrapText="bothSides">
              <wp:wrapPolygon edited="0">
                <wp:start x="-777" y="0"/>
                <wp:lineTo x="-777" y="21435"/>
                <wp:lineTo x="21755" y="21435"/>
                <wp:lineTo x="21755" y="0"/>
                <wp:lineTo x="-777" y="0"/>
              </wp:wrapPolygon>
            </wp:wrapTight>
            <wp:docPr id="6" name="Picture 0" descr="small black and white deq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black and white deq logo.TIF"/>
                    <pic:cNvPicPr/>
                  </pic:nvPicPr>
                  <pic:blipFill>
                    <a:blip r:embed="rId8" cstate="print"/>
                    <a:stretch>
                      <a:fillRect/>
                    </a:stretch>
                  </pic:blipFill>
                  <pic:spPr>
                    <a:xfrm>
                      <a:off x="0" y="0"/>
                      <a:ext cx="529590" cy="1247775"/>
                    </a:xfrm>
                    <a:prstGeom prst="rect">
                      <a:avLst/>
                    </a:prstGeom>
                  </pic:spPr>
                </pic:pic>
              </a:graphicData>
            </a:graphic>
          </wp:anchor>
        </w:drawing>
      </w:r>
      <w:r w:rsidR="001473B7" w:rsidRPr="00022EC6">
        <w:rPr>
          <w:b/>
          <w:sz w:val="40"/>
          <w:szCs w:val="40"/>
        </w:rPr>
        <w:t xml:space="preserve">Human Health </w:t>
      </w:r>
      <w:r w:rsidR="003571B2">
        <w:rPr>
          <w:b/>
          <w:sz w:val="40"/>
          <w:szCs w:val="40"/>
        </w:rPr>
        <w:t xml:space="preserve">Water Quality </w:t>
      </w:r>
      <w:r w:rsidR="001473B7" w:rsidRPr="00022EC6">
        <w:rPr>
          <w:b/>
          <w:sz w:val="40"/>
          <w:szCs w:val="40"/>
        </w:rPr>
        <w:t>Criteria</w:t>
      </w:r>
      <w:r>
        <w:rPr>
          <w:b/>
          <w:sz w:val="40"/>
          <w:szCs w:val="40"/>
        </w:rPr>
        <w:t xml:space="preserve"> for Toxics</w:t>
      </w:r>
      <w:r w:rsidR="004317A4">
        <w:rPr>
          <w:b/>
          <w:sz w:val="40"/>
          <w:szCs w:val="40"/>
        </w:rPr>
        <w:t xml:space="preserve"> Rulemaking</w:t>
      </w:r>
    </w:p>
    <w:p w:rsidR="00022EC6" w:rsidRDefault="00022EC6" w:rsidP="00022EC6">
      <w:pPr>
        <w:pStyle w:val="Title"/>
      </w:pPr>
    </w:p>
    <w:p w:rsidR="00022EC6" w:rsidRPr="00022EC6" w:rsidRDefault="00022EC6" w:rsidP="00022EC6">
      <w:pPr>
        <w:pStyle w:val="Title"/>
        <w:rPr>
          <w:sz w:val="44"/>
          <w:szCs w:val="44"/>
        </w:rPr>
      </w:pPr>
      <w:r w:rsidRPr="00022EC6">
        <w:rPr>
          <w:sz w:val="44"/>
          <w:szCs w:val="44"/>
        </w:rPr>
        <w:t>Work Plan</w:t>
      </w:r>
      <w:r w:rsidR="003571B2">
        <w:rPr>
          <w:sz w:val="44"/>
          <w:szCs w:val="44"/>
        </w:rPr>
        <w:t xml:space="preserve"> Summary</w:t>
      </w:r>
    </w:p>
    <w:p w:rsidR="003D4F94" w:rsidRPr="00022EC6" w:rsidRDefault="007E1EFB">
      <w:pPr>
        <w:rPr>
          <w:b/>
          <w:sz w:val="28"/>
          <w:szCs w:val="28"/>
        </w:rPr>
      </w:pPr>
      <w:r w:rsidRPr="00022EC6">
        <w:rPr>
          <w:b/>
          <w:sz w:val="28"/>
          <w:szCs w:val="28"/>
        </w:rPr>
        <w:t>Purpose</w:t>
      </w:r>
      <w:r w:rsidR="003D4F94" w:rsidRPr="00022EC6">
        <w:rPr>
          <w:b/>
          <w:sz w:val="28"/>
          <w:szCs w:val="28"/>
        </w:rPr>
        <w:t xml:space="preserve">  </w:t>
      </w:r>
    </w:p>
    <w:p w:rsidR="00234606" w:rsidRDefault="003D4F94" w:rsidP="00234606">
      <w:pPr>
        <w:rPr>
          <w:shd w:val="clear" w:color="auto" w:fill="FFFFFF"/>
        </w:rPr>
      </w:pPr>
      <w:r>
        <w:t>This work plan has been develop</w:t>
      </w:r>
      <w:r w:rsidR="00C763DC">
        <w:t>ed in response to</w:t>
      </w:r>
      <w:r>
        <w:t xml:space="preserve"> the</w:t>
      </w:r>
      <w:r w:rsidR="003571B2">
        <w:t xml:space="preserve"> direction</w:t>
      </w:r>
      <w:r>
        <w:t xml:space="preserve"> </w:t>
      </w:r>
      <w:r w:rsidR="00303CB0">
        <w:t>DEQ received from the Environmental Quality Commission (</w:t>
      </w:r>
      <w:r>
        <w:t>EQC</w:t>
      </w:r>
      <w:r w:rsidR="00303CB0">
        <w:t>) at it</w:t>
      </w:r>
      <w:r w:rsidR="003571B2">
        <w:t>s</w:t>
      </w:r>
      <w:r>
        <w:t xml:space="preserve"> meeting on February 18, 2010.  </w:t>
      </w:r>
      <w:r w:rsidR="00234606">
        <w:rPr>
          <w:shd w:val="clear" w:color="auto" w:fill="FFFFFF"/>
        </w:rPr>
        <w:t>As a result of DEQ’s presentation, statements made by interested p</w:t>
      </w:r>
      <w:r w:rsidR="00FB6F54">
        <w:rPr>
          <w:shd w:val="clear" w:color="auto" w:fill="FFFFFF"/>
        </w:rPr>
        <w:t>arties and discussion with the commission members, the c</w:t>
      </w:r>
      <w:r w:rsidR="00234606">
        <w:rPr>
          <w:shd w:val="clear" w:color="auto" w:fill="FFFFFF"/>
        </w:rPr>
        <w:t xml:space="preserve">ommission directed DEQ to extend its timeframe for rule adoption until mid-2011 to assure </w:t>
      </w:r>
      <w:r w:rsidR="00303CB0">
        <w:rPr>
          <w:shd w:val="clear" w:color="auto" w:fill="FFFFFF"/>
        </w:rPr>
        <w:t xml:space="preserve">that the rulemaking to revise human health </w:t>
      </w:r>
      <w:r w:rsidR="003571B2">
        <w:rPr>
          <w:shd w:val="clear" w:color="auto" w:fill="FFFFFF"/>
        </w:rPr>
        <w:t>water quality standards</w:t>
      </w:r>
      <w:r w:rsidR="00303CB0">
        <w:rPr>
          <w:shd w:val="clear" w:color="auto" w:fill="FFFFFF"/>
        </w:rPr>
        <w:t xml:space="preserve"> for toxic pollutants fully </w:t>
      </w:r>
      <w:r w:rsidR="00FB6F54">
        <w:rPr>
          <w:shd w:val="clear" w:color="auto" w:fill="FFFFFF"/>
        </w:rPr>
        <w:t>addresses the direction of the c</w:t>
      </w:r>
      <w:r w:rsidR="00303CB0">
        <w:rPr>
          <w:shd w:val="clear" w:color="auto" w:fill="FFFFFF"/>
        </w:rPr>
        <w:t>ommission to address</w:t>
      </w:r>
      <w:r w:rsidR="00234606">
        <w:rPr>
          <w:shd w:val="clear" w:color="auto" w:fill="FFFFFF"/>
        </w:rPr>
        <w:t xml:space="preserve"> both NPDES and non-NPDES rule elements.  </w:t>
      </w:r>
    </w:p>
    <w:p w:rsidR="007E1EFB" w:rsidRPr="00022EC6" w:rsidRDefault="00CE6343" w:rsidP="00114B09">
      <w:pPr>
        <w:rPr>
          <w:b/>
          <w:sz w:val="28"/>
          <w:szCs w:val="28"/>
        </w:rPr>
      </w:pPr>
      <w:r w:rsidRPr="00022EC6">
        <w:rPr>
          <w:b/>
          <w:sz w:val="28"/>
          <w:szCs w:val="28"/>
        </w:rPr>
        <w:t>EQC Directive</w:t>
      </w:r>
      <w:r w:rsidR="00046731">
        <w:rPr>
          <w:b/>
          <w:sz w:val="28"/>
          <w:szCs w:val="28"/>
        </w:rPr>
        <w:t>s</w:t>
      </w:r>
    </w:p>
    <w:p w:rsidR="00284D3A" w:rsidRPr="003D4F94" w:rsidRDefault="00284D3A" w:rsidP="006D0C9B">
      <w:pPr>
        <w:spacing w:after="0"/>
        <w:rPr>
          <w:rFonts w:eastAsia="Times New Roman" w:cs="Times New Roman"/>
          <w:color w:val="000000"/>
        </w:rPr>
      </w:pPr>
      <w:r w:rsidRPr="003D4F94">
        <w:rPr>
          <w:rFonts w:eastAsia="Times New Roman" w:cs="Times New Roman"/>
          <w:color w:val="000000"/>
        </w:rPr>
        <w:t xml:space="preserve">On October 23, 2008, the Oregon Environmental Quality Commission gave DEQ unanimous </w:t>
      </w:r>
      <w:r w:rsidR="00303CB0">
        <w:rPr>
          <w:rFonts w:eastAsia="Times New Roman" w:cs="Times New Roman"/>
          <w:color w:val="000000"/>
        </w:rPr>
        <w:t>direction</w:t>
      </w:r>
      <w:r w:rsidR="00303CB0" w:rsidRPr="003D4F94">
        <w:rPr>
          <w:rFonts w:eastAsia="Times New Roman" w:cs="Times New Roman"/>
          <w:color w:val="000000"/>
        </w:rPr>
        <w:t xml:space="preserve"> </w:t>
      </w:r>
      <w:r w:rsidRPr="003D4F94">
        <w:rPr>
          <w:rFonts w:eastAsia="Times New Roman" w:cs="Times New Roman"/>
          <w:color w:val="000000"/>
        </w:rPr>
        <w:t>to</w:t>
      </w:r>
      <w:r w:rsidR="007E1EFB">
        <w:rPr>
          <w:rFonts w:eastAsia="Times New Roman" w:cs="Times New Roman"/>
          <w:color w:val="000000"/>
        </w:rPr>
        <w:t xml:space="preserve"> pursue rule revisions that would</w:t>
      </w:r>
      <w:r w:rsidRPr="003D4F94">
        <w:rPr>
          <w:rFonts w:eastAsia="Times New Roman" w:cs="Times New Roman"/>
          <w:color w:val="000000"/>
        </w:rPr>
        <w:t xml:space="preserve"> set new water quality standards for toxic pollutants i</w:t>
      </w:r>
      <w:r w:rsidR="007E1EFB">
        <w:rPr>
          <w:rFonts w:eastAsia="Times New Roman" w:cs="Times New Roman"/>
          <w:color w:val="000000"/>
        </w:rPr>
        <w:t>n Oregon. The new standards would be based on a higher</w:t>
      </w:r>
      <w:r w:rsidRPr="003D4F94">
        <w:rPr>
          <w:rFonts w:eastAsia="Times New Roman" w:cs="Times New Roman"/>
          <w:color w:val="000000"/>
        </w:rPr>
        <w:t xml:space="preserve"> fish consumption rate </w:t>
      </w:r>
      <w:r w:rsidR="007E1EFB">
        <w:rPr>
          <w:rFonts w:eastAsia="Times New Roman" w:cs="Times New Roman"/>
          <w:color w:val="000000"/>
        </w:rPr>
        <w:t xml:space="preserve">which </w:t>
      </w:r>
      <w:r w:rsidRPr="003D4F94">
        <w:rPr>
          <w:rFonts w:eastAsia="Times New Roman" w:cs="Times New Roman"/>
          <w:color w:val="000000"/>
        </w:rPr>
        <w:t>is much more protective of human health than the existing rate. </w:t>
      </w:r>
      <w:r w:rsidR="007E1EFB">
        <w:rPr>
          <w:rFonts w:eastAsia="Times New Roman" w:cs="Times New Roman"/>
          <w:color w:val="000000"/>
        </w:rPr>
        <w:t xml:space="preserve"> Specifically, t</w:t>
      </w:r>
      <w:r w:rsidRPr="003D4F94">
        <w:rPr>
          <w:rFonts w:eastAsia="Times New Roman" w:cs="Times New Roman"/>
          <w:color w:val="000000"/>
        </w:rPr>
        <w:t xml:space="preserve">he EQC directed DEQ to: </w:t>
      </w:r>
    </w:p>
    <w:p w:rsidR="00284D3A" w:rsidRPr="003D4F94" w:rsidRDefault="00284D3A" w:rsidP="006D0C9B">
      <w:pPr>
        <w:numPr>
          <w:ilvl w:val="1"/>
          <w:numId w:val="2"/>
        </w:numPr>
        <w:spacing w:before="100" w:beforeAutospacing="1" w:after="100" w:afterAutospacing="1"/>
        <w:rPr>
          <w:rFonts w:eastAsia="Times New Roman" w:cs="Times New Roman"/>
          <w:color w:val="000000"/>
        </w:rPr>
      </w:pPr>
      <w:r w:rsidRPr="003D4F94">
        <w:rPr>
          <w:rFonts w:eastAsia="Times New Roman" w:cs="Times New Roman"/>
          <w:color w:val="000000"/>
        </w:rPr>
        <w:t xml:space="preserve">Revise Oregon’s toxics criteria for human health based on a fish consumption rate of 175 grams per person per day; </w:t>
      </w:r>
    </w:p>
    <w:p w:rsidR="00284D3A" w:rsidRPr="003D4F94" w:rsidRDefault="00284D3A" w:rsidP="006D0C9B">
      <w:pPr>
        <w:numPr>
          <w:ilvl w:val="1"/>
          <w:numId w:val="2"/>
        </w:numPr>
        <w:spacing w:before="100" w:beforeAutospacing="1" w:after="100" w:afterAutospacing="1"/>
        <w:rPr>
          <w:rFonts w:eastAsia="Times New Roman" w:cs="Times New Roman"/>
          <w:color w:val="000000"/>
        </w:rPr>
      </w:pPr>
      <w:r w:rsidRPr="003D4F94">
        <w:rPr>
          <w:rFonts w:eastAsia="Times New Roman" w:cs="Times New Roman"/>
          <w:color w:val="000000"/>
        </w:rPr>
        <w:t xml:space="preserve">Propose rule language that will allow DEQ to implement the standards in National Pollutant Discharge Elimination System (NPDES) permits and other Clean Water Act programs in an environmentally meaningful and cost-effective manner; </w:t>
      </w:r>
    </w:p>
    <w:p w:rsidR="00284D3A" w:rsidRPr="003D4F94" w:rsidRDefault="00284D3A" w:rsidP="006D0C9B">
      <w:pPr>
        <w:numPr>
          <w:ilvl w:val="1"/>
          <w:numId w:val="2"/>
        </w:numPr>
        <w:spacing w:before="100" w:beforeAutospacing="1" w:after="100" w:afterAutospacing="1"/>
        <w:rPr>
          <w:rFonts w:eastAsia="Times New Roman" w:cs="Times New Roman"/>
          <w:color w:val="000000"/>
        </w:rPr>
      </w:pPr>
      <w:r w:rsidRPr="003D4F94">
        <w:rPr>
          <w:rFonts w:eastAsia="Times New Roman" w:cs="Times New Roman"/>
          <w:color w:val="000000"/>
        </w:rPr>
        <w:t xml:space="preserve">Propose rule language or develop other implementation strategies to reduce the adverse impacts of toxic substances in Oregon’s waters that are the result of non-point source (not via a pipe) discharges or other sources not subject to section 402 of the Clean Water Act; </w:t>
      </w:r>
    </w:p>
    <w:p w:rsidR="001473B7" w:rsidRPr="00CE6343" w:rsidRDefault="00284D3A" w:rsidP="006D0C9B">
      <w:pPr>
        <w:numPr>
          <w:ilvl w:val="1"/>
          <w:numId w:val="2"/>
        </w:numPr>
        <w:spacing w:before="100" w:beforeAutospacing="1" w:after="100" w:afterAutospacing="1"/>
        <w:rPr>
          <w:rFonts w:eastAsia="Times New Roman" w:cs="Times New Roman"/>
          <w:color w:val="000000"/>
        </w:rPr>
      </w:pPr>
      <w:r w:rsidRPr="003D4F94">
        <w:rPr>
          <w:rFonts w:eastAsia="Times New Roman" w:cs="Times New Roman"/>
          <w:color w:val="000000"/>
        </w:rPr>
        <w:t xml:space="preserve">Develop a proposed rule and implementation methods that carefully consider the costs and benefits of the fish consumption rate and the data and scientific analysis already compiled or that is developed as part of the rulemaking proceeding. </w:t>
      </w:r>
    </w:p>
    <w:p w:rsidR="001473B7" w:rsidRPr="00022EC6" w:rsidRDefault="001473B7" w:rsidP="007E1EFB">
      <w:pPr>
        <w:rPr>
          <w:b/>
          <w:sz w:val="28"/>
          <w:szCs w:val="28"/>
        </w:rPr>
      </w:pPr>
      <w:r w:rsidRPr="00022EC6">
        <w:rPr>
          <w:b/>
          <w:sz w:val="28"/>
          <w:szCs w:val="28"/>
        </w:rPr>
        <w:t>Structure and Function of Work Groups</w:t>
      </w:r>
    </w:p>
    <w:p w:rsidR="009A6107" w:rsidRDefault="00303CB0" w:rsidP="00234606">
      <w:r>
        <w:t>DEQ has been working with</w:t>
      </w:r>
      <w:r w:rsidR="00422806">
        <w:t xml:space="preserve"> two stakeholder work groups that </w:t>
      </w:r>
      <w:r>
        <w:t xml:space="preserve">were </w:t>
      </w:r>
      <w:r w:rsidR="00422806">
        <w:t xml:space="preserve">formed to </w:t>
      </w:r>
      <w:r>
        <w:t xml:space="preserve">provide input to </w:t>
      </w:r>
      <w:r w:rsidR="00422806">
        <w:t>the Department in this rulemaking.  The Rulemaking Work Group</w:t>
      </w:r>
      <w:r w:rsidR="009A6107">
        <w:t xml:space="preserve"> (RWG)</w:t>
      </w:r>
      <w:r>
        <w:t>,</w:t>
      </w:r>
      <w:r w:rsidR="009A6107">
        <w:t xml:space="preserve"> which began meeting in December of 2008</w:t>
      </w:r>
      <w:r>
        <w:t>,</w:t>
      </w:r>
      <w:r w:rsidR="009A6107">
        <w:t xml:space="preserve"> has primarily focused on </w:t>
      </w:r>
      <w:r>
        <w:t xml:space="preserve">evaluating </w:t>
      </w:r>
      <w:r w:rsidR="009A6107">
        <w:t xml:space="preserve">implementation tools </w:t>
      </w:r>
      <w:r>
        <w:t xml:space="preserve">targeted toward entities which </w:t>
      </w:r>
      <w:r>
        <w:lastRenderedPageBreak/>
        <w:t xml:space="preserve">receive an individual National Pollutant Discharge Elimination System (NPDES) permit. The group has considered tools that would enable these industrial and municipal entities to </w:t>
      </w:r>
      <w:r w:rsidR="009A6107">
        <w:t xml:space="preserve">comply with </w:t>
      </w:r>
      <w:r>
        <w:t xml:space="preserve">the anticipated </w:t>
      </w:r>
      <w:r w:rsidR="009A6107">
        <w:t>lower toxics criteria</w:t>
      </w:r>
      <w:r>
        <w:t xml:space="preserve">. DEQ has also met with the non-NPDES Rulemaking </w:t>
      </w:r>
      <w:r w:rsidR="00477B98">
        <w:t>W</w:t>
      </w:r>
      <w:r>
        <w:t>ork</w:t>
      </w:r>
      <w:r w:rsidR="00477B98">
        <w:t xml:space="preserve"> G</w:t>
      </w:r>
      <w:r>
        <w:t xml:space="preserve">roup, </w:t>
      </w:r>
      <w:r w:rsidR="009A6107">
        <w:t xml:space="preserve">formed </w:t>
      </w:r>
      <w:r>
        <w:t>in November 2009, to evaluate implementation approaches to address</w:t>
      </w:r>
      <w:r w:rsidR="009A6107">
        <w:t xml:space="preserve"> sources</w:t>
      </w:r>
      <w:r>
        <w:t xml:space="preserve"> of toxic pollutants</w:t>
      </w:r>
      <w:r w:rsidR="009A6107">
        <w:t xml:space="preserve"> from nonpoint sources.  </w:t>
      </w:r>
      <w:r>
        <w:t>Members of the NPDES Rulemaking Work</w:t>
      </w:r>
      <w:r w:rsidR="00477B98">
        <w:t xml:space="preserve"> G</w:t>
      </w:r>
      <w:r>
        <w:t>roup also belong to the non</w:t>
      </w:r>
      <w:r w:rsidR="009A6107">
        <w:t>-NPDES Work Group</w:t>
      </w:r>
      <w:r w:rsidR="003571B2">
        <w:t>; however, the non-NPDES</w:t>
      </w:r>
      <w:r w:rsidR="00477B98">
        <w:t xml:space="preserve"> Work Group </w:t>
      </w:r>
      <w:r w:rsidR="00BF229C">
        <w:t xml:space="preserve">has additional members representing agricultural and forestry interests, given the broader application of the proposed rulemaking action items.  </w:t>
      </w:r>
    </w:p>
    <w:p w:rsidR="00234606" w:rsidRPr="009A6107" w:rsidRDefault="009A6107" w:rsidP="00234606">
      <w:r>
        <w:t xml:space="preserve"> </w:t>
      </w:r>
      <w:r w:rsidR="00234606">
        <w:t xml:space="preserve">DEQ will </w:t>
      </w:r>
      <w:r w:rsidR="00477B98">
        <w:t>continue to meet with these groups to solicit their input and feedback on the development of the rulemaking package. DEQ will be standardizing its approach to holding stakeholder workgroup meetings—meeting</w:t>
      </w:r>
      <w:r w:rsidR="004157E6">
        <w:t>s</w:t>
      </w:r>
      <w:r w:rsidR="00477B98">
        <w:t xml:space="preserve"> will be held once a month </w:t>
      </w:r>
      <w:r w:rsidR="00F80875">
        <w:rPr>
          <w:shd w:val="clear" w:color="auto" w:fill="FFFFFF"/>
        </w:rPr>
        <w:t>over the next 8-9</w:t>
      </w:r>
      <w:r w:rsidR="00234606">
        <w:rPr>
          <w:shd w:val="clear" w:color="auto" w:fill="FFFFFF"/>
        </w:rPr>
        <w:t xml:space="preserve"> months to allow for substantive, focused discussions on topics, including </w:t>
      </w:r>
      <w:r w:rsidR="00BF229C">
        <w:rPr>
          <w:shd w:val="clear" w:color="auto" w:fill="FFFFFF"/>
        </w:rPr>
        <w:t>the following ideas DEQ has discussed</w:t>
      </w:r>
      <w:r w:rsidR="00234606">
        <w:rPr>
          <w:shd w:val="clear" w:color="auto" w:fill="FFFFFF"/>
        </w:rPr>
        <w:t xml:space="preserve"> with its stakeholder groups and presented to EQC as part of its presentation:</w:t>
      </w:r>
    </w:p>
    <w:p w:rsidR="00234606" w:rsidRPr="00046731" w:rsidRDefault="00234606" w:rsidP="00234606">
      <w:pPr>
        <w:pStyle w:val="ListParagraph"/>
        <w:numPr>
          <w:ilvl w:val="0"/>
          <w:numId w:val="3"/>
        </w:numPr>
        <w:rPr>
          <w:color w:val="365F91" w:themeColor="accent1" w:themeShade="BF"/>
          <w:shd w:val="clear" w:color="auto" w:fill="FFFFFF"/>
        </w:rPr>
      </w:pPr>
      <w:r w:rsidRPr="00046731">
        <w:rPr>
          <w:color w:val="365F91" w:themeColor="accent1" w:themeShade="BF"/>
          <w:shd w:val="clear" w:color="auto" w:fill="FFFFFF"/>
        </w:rPr>
        <w:t>Develop revised variance regulations</w:t>
      </w:r>
    </w:p>
    <w:p w:rsidR="00234606" w:rsidRPr="00046731" w:rsidRDefault="00AB47D1" w:rsidP="00234606">
      <w:pPr>
        <w:pStyle w:val="ListParagraph"/>
        <w:numPr>
          <w:ilvl w:val="0"/>
          <w:numId w:val="3"/>
        </w:numPr>
        <w:rPr>
          <w:color w:val="365F91" w:themeColor="accent1" w:themeShade="BF"/>
          <w:shd w:val="clear" w:color="auto" w:fill="FFFFFF"/>
        </w:rPr>
      </w:pPr>
      <w:r w:rsidRPr="00046731">
        <w:rPr>
          <w:color w:val="365F91" w:themeColor="accent1" w:themeShade="BF"/>
          <w:shd w:val="clear" w:color="auto" w:fill="FFFFFF"/>
        </w:rPr>
        <w:t>Explore other NPDES implementation tools</w:t>
      </w:r>
    </w:p>
    <w:p w:rsidR="00234606" w:rsidRPr="00046731" w:rsidRDefault="00AB47D1" w:rsidP="00234606">
      <w:pPr>
        <w:pStyle w:val="ListParagraph"/>
        <w:numPr>
          <w:ilvl w:val="0"/>
          <w:numId w:val="3"/>
        </w:numPr>
        <w:rPr>
          <w:color w:val="365F91" w:themeColor="accent1" w:themeShade="BF"/>
          <w:shd w:val="clear" w:color="auto" w:fill="FFFFFF"/>
        </w:rPr>
      </w:pPr>
      <w:r w:rsidRPr="00046731">
        <w:rPr>
          <w:color w:val="365F91" w:themeColor="accent1" w:themeShade="BF"/>
          <w:shd w:val="clear" w:color="auto" w:fill="FFFFFF"/>
        </w:rPr>
        <w:t>Develop</w:t>
      </w:r>
      <w:r w:rsidR="00F80875" w:rsidRPr="00046731">
        <w:rPr>
          <w:color w:val="365F91" w:themeColor="accent1" w:themeShade="BF"/>
          <w:shd w:val="clear" w:color="auto" w:fill="FFFFFF"/>
        </w:rPr>
        <w:t xml:space="preserve"> </w:t>
      </w:r>
      <w:r w:rsidRPr="00046731">
        <w:rPr>
          <w:color w:val="365F91" w:themeColor="accent1" w:themeShade="BF"/>
          <w:shd w:val="clear" w:color="auto" w:fill="FFFFFF"/>
        </w:rPr>
        <w:t>TMDLs for nonpoint source load allocations that are “implementation-ready</w:t>
      </w:r>
      <w:r w:rsidR="00F80875" w:rsidRPr="00046731">
        <w:rPr>
          <w:color w:val="365F91" w:themeColor="accent1" w:themeShade="BF"/>
          <w:shd w:val="clear" w:color="auto" w:fill="FFFFFF"/>
        </w:rPr>
        <w:t>”</w:t>
      </w:r>
    </w:p>
    <w:p w:rsidR="00234606" w:rsidRPr="00046731" w:rsidRDefault="00AB47D1" w:rsidP="00234606">
      <w:pPr>
        <w:pStyle w:val="ListParagraph"/>
        <w:numPr>
          <w:ilvl w:val="0"/>
          <w:numId w:val="3"/>
        </w:numPr>
        <w:rPr>
          <w:color w:val="365F91" w:themeColor="accent1" w:themeShade="BF"/>
          <w:shd w:val="clear" w:color="auto" w:fill="FFFFFF"/>
        </w:rPr>
      </w:pPr>
      <w:r w:rsidRPr="00046731">
        <w:rPr>
          <w:color w:val="365F91" w:themeColor="accent1" w:themeShade="BF"/>
          <w:spacing w:val="-3"/>
          <w:szCs w:val="24"/>
        </w:rPr>
        <w:t xml:space="preserve">Revise </w:t>
      </w:r>
      <w:r w:rsidR="00F80875" w:rsidRPr="00046731">
        <w:rPr>
          <w:color w:val="365F91" w:themeColor="accent1" w:themeShade="BF"/>
          <w:spacing w:val="-3"/>
          <w:szCs w:val="24"/>
        </w:rPr>
        <w:t>water quality standards</w:t>
      </w:r>
      <w:r w:rsidRPr="00046731">
        <w:rPr>
          <w:color w:val="365F91" w:themeColor="accent1" w:themeShade="BF"/>
          <w:spacing w:val="-3"/>
          <w:szCs w:val="24"/>
        </w:rPr>
        <w:t xml:space="preserve"> provisions to facilitate the reduction of transport of toxics attached to sediment into streams  </w:t>
      </w:r>
    </w:p>
    <w:p w:rsidR="00234606" w:rsidRPr="00046731" w:rsidRDefault="00AB47D1" w:rsidP="00234606">
      <w:pPr>
        <w:pStyle w:val="ListParagraph"/>
        <w:numPr>
          <w:ilvl w:val="0"/>
          <w:numId w:val="3"/>
        </w:numPr>
        <w:rPr>
          <w:color w:val="365F91" w:themeColor="accent1" w:themeShade="BF"/>
          <w:shd w:val="clear" w:color="auto" w:fill="FFFFFF"/>
        </w:rPr>
      </w:pPr>
      <w:r w:rsidRPr="00046731">
        <w:rPr>
          <w:color w:val="365F91" w:themeColor="accent1" w:themeShade="BF"/>
          <w:spacing w:val="-3"/>
          <w:szCs w:val="24"/>
        </w:rPr>
        <w:t>Evaluate Toxic Release Inventory (TRI) data in the development of permits across DEQ</w:t>
      </w:r>
    </w:p>
    <w:p w:rsidR="00477B98" w:rsidRPr="00046731" w:rsidRDefault="00AB47D1" w:rsidP="00234606">
      <w:pPr>
        <w:pStyle w:val="ListParagraph"/>
        <w:numPr>
          <w:ilvl w:val="0"/>
          <w:numId w:val="3"/>
        </w:numPr>
        <w:rPr>
          <w:color w:val="365F91" w:themeColor="accent1" w:themeShade="BF"/>
          <w:shd w:val="clear" w:color="auto" w:fill="FFFFFF"/>
        </w:rPr>
      </w:pPr>
      <w:r w:rsidRPr="00046731">
        <w:rPr>
          <w:color w:val="365F91" w:themeColor="accent1" w:themeShade="BF"/>
          <w:szCs w:val="24"/>
        </w:rPr>
        <w:t>Develop rules, as necessary, to develop a state program to address indirect discharges of toxic pollutants to municipal collection systems</w:t>
      </w:r>
      <w:r w:rsidR="00477B98" w:rsidRPr="00046731" w:rsidDel="00477B98">
        <w:rPr>
          <w:color w:val="365F91" w:themeColor="accent1" w:themeShade="BF"/>
          <w:spacing w:val="-3"/>
          <w:szCs w:val="24"/>
        </w:rPr>
        <w:t xml:space="preserve"> </w:t>
      </w:r>
    </w:p>
    <w:p w:rsidR="00477B98" w:rsidRPr="00046731" w:rsidRDefault="00477B98" w:rsidP="00234606">
      <w:pPr>
        <w:pStyle w:val="ListParagraph"/>
        <w:numPr>
          <w:ilvl w:val="0"/>
          <w:numId w:val="3"/>
        </w:numPr>
        <w:rPr>
          <w:color w:val="365F91" w:themeColor="accent1" w:themeShade="BF"/>
          <w:shd w:val="clear" w:color="auto" w:fill="FFFFFF"/>
        </w:rPr>
      </w:pPr>
      <w:r w:rsidRPr="00046731">
        <w:rPr>
          <w:color w:val="365F91" w:themeColor="accent1" w:themeShade="BF"/>
          <w:spacing w:val="-3"/>
          <w:szCs w:val="24"/>
        </w:rPr>
        <w:t>Develop a</w:t>
      </w:r>
      <w:r w:rsidR="00AB47D1" w:rsidRPr="00046731">
        <w:rPr>
          <w:color w:val="365F91" w:themeColor="accent1" w:themeShade="BF"/>
          <w:szCs w:val="24"/>
        </w:rPr>
        <w:t>ntidegradation policy rule modifications to clarify and facilitate its application to non-NPDES sources</w:t>
      </w:r>
      <w:r w:rsidRPr="00046731" w:rsidDel="00477B98">
        <w:rPr>
          <w:color w:val="365F91" w:themeColor="accent1" w:themeShade="BF"/>
          <w:shd w:val="clear" w:color="auto" w:fill="FFFFFF"/>
        </w:rPr>
        <w:t xml:space="preserve"> </w:t>
      </w:r>
    </w:p>
    <w:p w:rsidR="00234606" w:rsidRPr="00046731" w:rsidRDefault="00234606" w:rsidP="00234606">
      <w:pPr>
        <w:pStyle w:val="ListParagraph"/>
        <w:numPr>
          <w:ilvl w:val="0"/>
          <w:numId w:val="3"/>
        </w:numPr>
        <w:rPr>
          <w:color w:val="365F91" w:themeColor="accent1" w:themeShade="BF"/>
          <w:shd w:val="clear" w:color="auto" w:fill="FFFFFF"/>
        </w:rPr>
      </w:pPr>
      <w:r w:rsidRPr="00046731">
        <w:rPr>
          <w:color w:val="365F91" w:themeColor="accent1" w:themeShade="BF"/>
          <w:shd w:val="clear" w:color="auto" w:fill="FFFFFF"/>
        </w:rPr>
        <w:t>Develop a new division in the ORS that addresses DEQ’s toxics reduction strategy</w:t>
      </w:r>
    </w:p>
    <w:p w:rsidR="00234606" w:rsidRPr="00234606" w:rsidRDefault="00511D13" w:rsidP="00CE6343">
      <w:pPr>
        <w:rPr>
          <w:sz w:val="24"/>
          <w:szCs w:val="24"/>
        </w:rPr>
      </w:pPr>
      <w:r>
        <w:rPr>
          <w:shd w:val="clear" w:color="auto" w:fill="FFFFFF"/>
        </w:rPr>
        <w:t>The nonpoint source</w:t>
      </w:r>
      <w:r w:rsidR="00234606" w:rsidRPr="00234606">
        <w:rPr>
          <w:shd w:val="clear" w:color="auto" w:fill="FFFFFF"/>
        </w:rPr>
        <w:t xml:space="preserve">-related topics </w:t>
      </w:r>
      <w:r w:rsidR="00477B98">
        <w:rPr>
          <w:shd w:val="clear" w:color="auto" w:fill="FFFFFF"/>
        </w:rPr>
        <w:t>list</w:t>
      </w:r>
      <w:r w:rsidR="00F80875">
        <w:rPr>
          <w:shd w:val="clear" w:color="auto" w:fill="FFFFFF"/>
        </w:rPr>
        <w:t>ed</w:t>
      </w:r>
      <w:r w:rsidR="00477B98">
        <w:rPr>
          <w:shd w:val="clear" w:color="auto" w:fill="FFFFFF"/>
        </w:rPr>
        <w:t xml:space="preserve"> above include the concepts and proposals </w:t>
      </w:r>
      <w:r w:rsidR="00234606" w:rsidRPr="00234606">
        <w:rPr>
          <w:shd w:val="clear" w:color="auto" w:fill="FFFFFF"/>
        </w:rPr>
        <w:t xml:space="preserve">DEQ </w:t>
      </w:r>
      <w:r w:rsidR="00477B98">
        <w:rPr>
          <w:shd w:val="clear" w:color="auto" w:fill="FFFFFF"/>
        </w:rPr>
        <w:t>highlighted for</w:t>
      </w:r>
      <w:r w:rsidR="00477B98" w:rsidRPr="00234606">
        <w:rPr>
          <w:shd w:val="clear" w:color="auto" w:fill="FFFFFF"/>
        </w:rPr>
        <w:t xml:space="preserve"> </w:t>
      </w:r>
      <w:r w:rsidR="00616A9D">
        <w:rPr>
          <w:shd w:val="clear" w:color="auto" w:fill="FFFFFF"/>
        </w:rPr>
        <w:t>the</w:t>
      </w:r>
      <w:r w:rsidR="00234606" w:rsidRPr="00234606">
        <w:rPr>
          <w:shd w:val="clear" w:color="auto" w:fill="FFFFFF"/>
        </w:rPr>
        <w:t xml:space="preserve"> </w:t>
      </w:r>
      <w:r w:rsidR="00616A9D">
        <w:rPr>
          <w:shd w:val="clear" w:color="auto" w:fill="FFFFFF"/>
        </w:rPr>
        <w:t xml:space="preserve">EQC </w:t>
      </w:r>
      <w:r w:rsidR="00477B98">
        <w:rPr>
          <w:shd w:val="clear" w:color="auto" w:fill="FFFFFF"/>
        </w:rPr>
        <w:t>at its February meeting and are currently</w:t>
      </w:r>
      <w:r w:rsidR="00234606" w:rsidRPr="00234606">
        <w:rPr>
          <w:shd w:val="clear" w:color="auto" w:fill="FFFFFF"/>
        </w:rPr>
        <w:t xml:space="preserve"> </w:t>
      </w:r>
      <w:r w:rsidR="00477B98">
        <w:rPr>
          <w:shd w:val="clear" w:color="auto" w:fill="FFFFFF"/>
        </w:rPr>
        <w:t>under development by DEQ. DEQ will be discussing these items further with the relevant workgroup and will be finalizing the scope of the rulemaking package by the end of April 2010</w:t>
      </w:r>
      <w:r w:rsidR="00234606" w:rsidRPr="00234606">
        <w:rPr>
          <w:shd w:val="clear" w:color="auto" w:fill="FFFFFF"/>
        </w:rPr>
        <w:t xml:space="preserve">.  </w:t>
      </w:r>
      <w:r>
        <w:rPr>
          <w:shd w:val="clear" w:color="auto" w:fill="FFFFFF"/>
        </w:rPr>
        <w:t xml:space="preserve">Please refer to </w:t>
      </w:r>
      <w:r w:rsidR="00616A9D">
        <w:rPr>
          <w:shd w:val="clear" w:color="auto" w:fill="FFFFFF"/>
        </w:rPr>
        <w:t xml:space="preserve">Table 2 for </w:t>
      </w:r>
      <w:r>
        <w:rPr>
          <w:shd w:val="clear" w:color="auto" w:fill="FFFFFF"/>
        </w:rPr>
        <w:t>the proposed monthly work group agen</w:t>
      </w:r>
      <w:r w:rsidR="00616A9D">
        <w:rPr>
          <w:shd w:val="clear" w:color="auto" w:fill="FFFFFF"/>
        </w:rPr>
        <w:t>da items and</w:t>
      </w:r>
      <w:r>
        <w:rPr>
          <w:shd w:val="clear" w:color="auto" w:fill="FFFFFF"/>
        </w:rPr>
        <w:t xml:space="preserve"> anticipated dates for group discussion</w:t>
      </w:r>
      <w:r w:rsidR="00BA6F19">
        <w:rPr>
          <w:shd w:val="clear" w:color="auto" w:fill="FFFFFF"/>
        </w:rPr>
        <w:t xml:space="preserve"> on</w:t>
      </w:r>
      <w:r w:rsidR="00CE61AD">
        <w:rPr>
          <w:shd w:val="clear" w:color="auto" w:fill="FFFFFF"/>
        </w:rPr>
        <w:t xml:space="preserve"> these topics</w:t>
      </w:r>
      <w:r>
        <w:rPr>
          <w:shd w:val="clear" w:color="auto" w:fill="FFFFFF"/>
        </w:rPr>
        <w:t xml:space="preserve">.  </w:t>
      </w:r>
      <w:r w:rsidR="00D915E9">
        <w:rPr>
          <w:shd w:val="clear" w:color="auto" w:fill="FFFFFF"/>
        </w:rPr>
        <w:t>T</w:t>
      </w:r>
      <w:r w:rsidR="00CE61AD">
        <w:rPr>
          <w:shd w:val="clear" w:color="auto" w:fill="FFFFFF"/>
        </w:rPr>
        <w:t>opics</w:t>
      </w:r>
      <w:r w:rsidR="00234606" w:rsidRPr="00234606">
        <w:rPr>
          <w:shd w:val="clear" w:color="auto" w:fill="FFFFFF"/>
        </w:rPr>
        <w:t xml:space="preserve"> </w:t>
      </w:r>
      <w:r w:rsidR="00CE61AD">
        <w:rPr>
          <w:shd w:val="clear" w:color="auto" w:fill="FFFFFF"/>
        </w:rPr>
        <w:t>and anticipated dates may be adjusted based on discussion and exploration of work g</w:t>
      </w:r>
      <w:r w:rsidR="00234606" w:rsidRPr="00234606">
        <w:rPr>
          <w:shd w:val="clear" w:color="auto" w:fill="FFFFFF"/>
        </w:rPr>
        <w:t>roups.</w:t>
      </w:r>
      <w:r w:rsidR="00D915E9">
        <w:rPr>
          <w:shd w:val="clear" w:color="auto" w:fill="FFFFFF"/>
        </w:rPr>
        <w:t xml:space="preserve">  Table 1 gives a major milestone overview for the entire rulemaking to meet EQC adoption by June 2011. </w:t>
      </w:r>
      <w:r w:rsidR="00234606" w:rsidRPr="00234606">
        <w:rPr>
          <w:shd w:val="clear" w:color="auto" w:fill="FFFFFF"/>
        </w:rPr>
        <w:t xml:space="preserve">  </w:t>
      </w:r>
    </w:p>
    <w:p w:rsidR="00C223D3" w:rsidRDefault="00CE6343" w:rsidP="00422806">
      <w:pPr>
        <w:sectPr w:rsidR="00C223D3" w:rsidSect="008E2BC6">
          <w:headerReference w:type="default" r:id="rId9"/>
          <w:footerReference w:type="default" r:id="rId10"/>
          <w:pgSz w:w="12240" w:h="15840"/>
          <w:pgMar w:top="1440" w:right="1440" w:bottom="1440" w:left="1440" w:header="720" w:footer="720" w:gutter="0"/>
          <w:cols w:space="720"/>
          <w:docGrid w:linePitch="360"/>
        </w:sectPr>
      </w:pPr>
      <w:r>
        <w:t xml:space="preserve">Members of the </w:t>
      </w:r>
      <w:r w:rsidR="00A634A3">
        <w:t xml:space="preserve">Rulemaking Work Group </w:t>
      </w:r>
      <w:r>
        <w:t>are also members of the</w:t>
      </w:r>
      <w:r w:rsidR="00A634A3" w:rsidRPr="00A634A3">
        <w:t xml:space="preserve"> </w:t>
      </w:r>
      <w:r w:rsidR="00A634A3">
        <w:t>Non-NPDES Rulemaking Work Group</w:t>
      </w:r>
      <w:r>
        <w:t xml:space="preserve">.  To reduce travel and time commitments associated with these meetings, </w:t>
      </w:r>
      <w:r w:rsidR="00A634A3">
        <w:t xml:space="preserve">DEQ will schedule meetings of </w:t>
      </w:r>
      <w:r>
        <w:t>the work groups on the same day</w:t>
      </w:r>
      <w:r w:rsidR="00A634A3" w:rsidRPr="00A634A3">
        <w:t xml:space="preserve"> </w:t>
      </w:r>
      <w:r w:rsidR="00A634A3">
        <w:t>and will split the time to accommodate two half-day meetings</w:t>
      </w:r>
      <w:r>
        <w:t xml:space="preserve">.  Meetings </w:t>
      </w:r>
      <w:r w:rsidR="00A634A3">
        <w:t>are</w:t>
      </w:r>
      <w:r>
        <w:t xml:space="preserve"> s</w:t>
      </w:r>
      <w:r w:rsidR="004317A4">
        <w:t>c</w:t>
      </w:r>
      <w:r w:rsidR="000A21B7">
        <w:t>heduled for the following dates:</w:t>
      </w:r>
    </w:p>
    <w:p w:rsidR="00234606" w:rsidRPr="00046731" w:rsidRDefault="00234606" w:rsidP="0096315B">
      <w:pPr>
        <w:spacing w:line="240" w:lineRule="auto"/>
        <w:rPr>
          <w:b/>
          <w:color w:val="365F91" w:themeColor="accent1" w:themeShade="BF"/>
        </w:rPr>
      </w:pPr>
      <w:r w:rsidRPr="00046731">
        <w:rPr>
          <w:b/>
          <w:color w:val="365F91" w:themeColor="accent1" w:themeShade="BF"/>
        </w:rPr>
        <w:lastRenderedPageBreak/>
        <w:t>March 31</w:t>
      </w:r>
      <w:r w:rsidR="00C223D3" w:rsidRPr="00046731">
        <w:rPr>
          <w:b/>
          <w:color w:val="365F91" w:themeColor="accent1" w:themeShade="BF"/>
        </w:rPr>
        <w:tab/>
      </w:r>
      <w:r w:rsidR="00C223D3" w:rsidRPr="00046731">
        <w:rPr>
          <w:b/>
          <w:color w:val="365F91" w:themeColor="accent1" w:themeShade="BF"/>
        </w:rPr>
        <w:tab/>
      </w:r>
      <w:r w:rsidR="00374C90" w:rsidRPr="00046731">
        <w:rPr>
          <w:b/>
          <w:color w:val="365F91" w:themeColor="accent1" w:themeShade="BF"/>
        </w:rPr>
        <w:t>June 30</w:t>
      </w:r>
      <w:r w:rsidR="00BA6F19" w:rsidRPr="00046731">
        <w:rPr>
          <w:b/>
          <w:color w:val="365F91" w:themeColor="accent1" w:themeShade="BF"/>
        </w:rPr>
        <w:tab/>
      </w:r>
      <w:r w:rsidR="00BA6F19" w:rsidRPr="00046731">
        <w:rPr>
          <w:b/>
          <w:color w:val="365F91" w:themeColor="accent1" w:themeShade="BF"/>
        </w:rPr>
        <w:tab/>
      </w:r>
      <w:r w:rsidR="00BA6F19" w:rsidRPr="00046731">
        <w:rPr>
          <w:b/>
          <w:color w:val="365F91" w:themeColor="accent1" w:themeShade="BF"/>
        </w:rPr>
        <w:tab/>
        <w:t>September 22</w:t>
      </w:r>
    </w:p>
    <w:p w:rsidR="00BA6F19" w:rsidRPr="00046731" w:rsidRDefault="00C223D3" w:rsidP="00BA6F19">
      <w:pPr>
        <w:spacing w:line="240" w:lineRule="auto"/>
        <w:rPr>
          <w:b/>
          <w:color w:val="365F91" w:themeColor="accent1" w:themeShade="BF"/>
        </w:rPr>
      </w:pPr>
      <w:r w:rsidRPr="00046731">
        <w:rPr>
          <w:b/>
          <w:color w:val="365F91" w:themeColor="accent1" w:themeShade="BF"/>
        </w:rPr>
        <w:t>April 27</w:t>
      </w:r>
      <w:r w:rsidRPr="00046731">
        <w:rPr>
          <w:b/>
          <w:color w:val="365F91" w:themeColor="accent1" w:themeShade="BF"/>
        </w:rPr>
        <w:tab/>
      </w:r>
      <w:r w:rsidRPr="00046731">
        <w:rPr>
          <w:b/>
          <w:color w:val="365F91" w:themeColor="accent1" w:themeShade="BF"/>
        </w:rPr>
        <w:tab/>
      </w:r>
      <w:r w:rsidRPr="00046731">
        <w:rPr>
          <w:b/>
          <w:color w:val="365F91" w:themeColor="accent1" w:themeShade="BF"/>
        </w:rPr>
        <w:tab/>
      </w:r>
      <w:r w:rsidR="00BA6F19" w:rsidRPr="00046731">
        <w:rPr>
          <w:b/>
          <w:color w:val="365F91" w:themeColor="accent1" w:themeShade="BF"/>
        </w:rPr>
        <w:t>July 15</w:t>
      </w:r>
      <w:r w:rsidR="00BA6F19" w:rsidRPr="00046731">
        <w:rPr>
          <w:b/>
          <w:color w:val="365F91" w:themeColor="accent1" w:themeShade="BF"/>
        </w:rPr>
        <w:tab/>
      </w:r>
      <w:r w:rsidR="00BA6F19" w:rsidRPr="00046731">
        <w:rPr>
          <w:b/>
          <w:color w:val="365F91" w:themeColor="accent1" w:themeShade="BF"/>
        </w:rPr>
        <w:tab/>
      </w:r>
      <w:r w:rsidR="00BA6F19" w:rsidRPr="00046731">
        <w:rPr>
          <w:b/>
          <w:color w:val="365F91" w:themeColor="accent1" w:themeShade="BF"/>
        </w:rPr>
        <w:tab/>
        <w:t>October 27</w:t>
      </w:r>
      <w:r w:rsidR="00A634A3" w:rsidRPr="00046731">
        <w:rPr>
          <w:b/>
          <w:color w:val="365F91" w:themeColor="accent1" w:themeShade="BF"/>
        </w:rPr>
        <w:t xml:space="preserve"> (if needed)</w:t>
      </w:r>
    </w:p>
    <w:p w:rsidR="00C223D3" w:rsidRPr="00046731" w:rsidRDefault="00BA6F19" w:rsidP="00BA6F19">
      <w:pPr>
        <w:spacing w:line="240" w:lineRule="auto"/>
        <w:rPr>
          <w:b/>
          <w:color w:val="365F91" w:themeColor="accent1" w:themeShade="BF"/>
        </w:rPr>
        <w:sectPr w:rsidR="00C223D3" w:rsidRPr="00046731" w:rsidSect="00C223D3">
          <w:type w:val="continuous"/>
          <w:pgSz w:w="12240" w:h="15840"/>
          <w:pgMar w:top="1440" w:right="1440" w:bottom="1440" w:left="1440" w:header="720" w:footer="720" w:gutter="0"/>
          <w:cols w:space="720"/>
          <w:docGrid w:linePitch="360"/>
        </w:sectPr>
      </w:pPr>
      <w:r w:rsidRPr="00046731">
        <w:rPr>
          <w:b/>
          <w:color w:val="365F91" w:themeColor="accent1" w:themeShade="BF"/>
        </w:rPr>
        <w:t>May 20</w:t>
      </w:r>
      <w:r w:rsidRPr="00046731">
        <w:rPr>
          <w:b/>
          <w:color w:val="365F91" w:themeColor="accent1" w:themeShade="BF"/>
        </w:rPr>
        <w:tab/>
      </w:r>
      <w:r w:rsidRPr="00046731">
        <w:rPr>
          <w:b/>
          <w:color w:val="365F91" w:themeColor="accent1" w:themeShade="BF"/>
        </w:rPr>
        <w:tab/>
      </w:r>
      <w:r w:rsidRPr="00046731">
        <w:rPr>
          <w:b/>
          <w:color w:val="365F91" w:themeColor="accent1" w:themeShade="BF"/>
        </w:rPr>
        <w:tab/>
        <w:t>August 17</w:t>
      </w:r>
      <w:r w:rsidRPr="00046731">
        <w:rPr>
          <w:b/>
          <w:color w:val="365F91" w:themeColor="accent1" w:themeShade="BF"/>
        </w:rPr>
        <w:tab/>
      </w:r>
      <w:r w:rsidRPr="00046731">
        <w:rPr>
          <w:b/>
          <w:color w:val="365F91" w:themeColor="accent1" w:themeShade="BF"/>
        </w:rPr>
        <w:tab/>
        <w:t xml:space="preserve">November 18 </w:t>
      </w:r>
      <w:r w:rsidR="00A634A3" w:rsidRPr="00046731">
        <w:rPr>
          <w:b/>
          <w:color w:val="365F91" w:themeColor="accent1" w:themeShade="BF"/>
        </w:rPr>
        <w:t>(if needed)</w:t>
      </w:r>
    </w:p>
    <w:p w:rsidR="0096315B" w:rsidRDefault="00CE61AD" w:rsidP="007E1EFB">
      <w:r>
        <w:lastRenderedPageBreak/>
        <w:t xml:space="preserve">The function of the rulemaking work groups is to advise the Department on policy considerations for its rulemaking proposals.  To assist the work groups in its policy deliberations, the Department will provide </w:t>
      </w:r>
      <w:r w:rsidR="000A21B7">
        <w:t xml:space="preserve">the </w:t>
      </w:r>
      <w:r w:rsidR="00A634A3">
        <w:t xml:space="preserve">work group </w:t>
      </w:r>
      <w:r>
        <w:t xml:space="preserve">members technical information developed by DEQ staff, EPA staff, or </w:t>
      </w:r>
      <w:r w:rsidR="00A634A3">
        <w:t xml:space="preserve">other </w:t>
      </w:r>
      <w:r>
        <w:t xml:space="preserve">work group members to evaluate policy options and </w:t>
      </w:r>
      <w:r w:rsidR="0096315B">
        <w:t xml:space="preserve">draft </w:t>
      </w:r>
      <w:r>
        <w:t xml:space="preserve">regulatory language associated </w:t>
      </w:r>
      <w:r w:rsidR="008E5504">
        <w:t xml:space="preserve">with each proposed rulemaking action.  </w:t>
      </w:r>
    </w:p>
    <w:p w:rsidR="00BF229C" w:rsidRPr="00BF229C" w:rsidRDefault="008E5504" w:rsidP="007E1EFB">
      <w:pPr>
        <w:rPr>
          <w:sz w:val="24"/>
          <w:szCs w:val="24"/>
        </w:rPr>
      </w:pPr>
      <w:r>
        <w:t>Some of the issues likely to be add</w:t>
      </w:r>
      <w:r w:rsidR="005706A1">
        <w:t>ressed by work group members will</w:t>
      </w:r>
      <w:r>
        <w:t xml:space="preserve"> be controversial.  For example, factors such as, environmental and economic interests, lack of clear guidance from EPA, lack of sufficient data to definitively determine a cause and effect, or implementing procedures which are new to the Department may all contribute to lack of consensus among group members.  Although the goal of the Depa</w:t>
      </w:r>
      <w:r w:rsidR="003278EC">
        <w:t>rtment will</w:t>
      </w:r>
      <w:r>
        <w:t xml:space="preserve"> be to work towards consensus, it is very unlikely this </w:t>
      </w:r>
      <w:r w:rsidR="00A634A3">
        <w:t xml:space="preserve">will </w:t>
      </w:r>
      <w:r>
        <w:t xml:space="preserve">occur </w:t>
      </w:r>
      <w:r w:rsidR="00A634A3">
        <w:t xml:space="preserve">for all of the issues DEQ anticipates discussing, </w:t>
      </w:r>
      <w:r>
        <w:t>given the diverse membership of the wor</w:t>
      </w:r>
      <w:r w:rsidR="0096315B">
        <w:t>k groups, and rulemaking time constraints</w:t>
      </w:r>
      <w:r>
        <w:t xml:space="preserve">.   </w:t>
      </w:r>
      <w:r w:rsidR="003278EC">
        <w:t xml:space="preserve">To account for this disparity, </w:t>
      </w:r>
      <w:r w:rsidR="0096315B">
        <w:t>the Department will capture views expressed by wo</w:t>
      </w:r>
      <w:r w:rsidR="00065029">
        <w:t>rk group members as part of an Issue P</w:t>
      </w:r>
      <w:r w:rsidR="0096315B">
        <w:t xml:space="preserve">aper which will be developed for each rulemaking </w:t>
      </w:r>
      <w:r w:rsidR="00A634A3">
        <w:t>component</w:t>
      </w:r>
      <w:r w:rsidR="0096315B">
        <w:t>.</w:t>
      </w:r>
      <w:r w:rsidR="00BF229C">
        <w:t xml:space="preserve">  To keep </w:t>
      </w:r>
      <w:r w:rsidR="00A634A3">
        <w:t>c</w:t>
      </w:r>
      <w:r w:rsidR="00BF229C">
        <w:t xml:space="preserve">ommission members updated on rulemaking progress, </w:t>
      </w:r>
      <w:r w:rsidR="00BF229C" w:rsidRPr="00234606">
        <w:rPr>
          <w:shd w:val="clear" w:color="auto" w:fill="FFFFFF"/>
        </w:rPr>
        <w:t xml:space="preserve">DEQ will provide updates at each EQC meeting until </w:t>
      </w:r>
      <w:r w:rsidR="00BF229C">
        <w:rPr>
          <w:shd w:val="clear" w:color="auto" w:fill="FFFFFF"/>
        </w:rPr>
        <w:t xml:space="preserve">this </w:t>
      </w:r>
      <w:r w:rsidR="00BF229C" w:rsidRPr="00234606">
        <w:rPr>
          <w:shd w:val="clear" w:color="auto" w:fill="FFFFFF"/>
        </w:rPr>
        <w:t xml:space="preserve">rule is adopted. </w:t>
      </w:r>
    </w:p>
    <w:p w:rsidR="00C223D3" w:rsidRPr="00022EC6" w:rsidRDefault="00147D8F" w:rsidP="007E1EFB">
      <w:pPr>
        <w:rPr>
          <w:b/>
          <w:sz w:val="28"/>
          <w:szCs w:val="28"/>
        </w:rPr>
      </w:pPr>
      <w:r w:rsidRPr="00022EC6">
        <w:rPr>
          <w:b/>
          <w:sz w:val="28"/>
          <w:szCs w:val="28"/>
        </w:rPr>
        <w:t>Development of Products</w:t>
      </w:r>
    </w:p>
    <w:p w:rsidR="00234606" w:rsidRDefault="00234606" w:rsidP="00C223D3">
      <w:pPr>
        <w:sectPr w:rsidR="00234606" w:rsidSect="00CE61AD">
          <w:type w:val="continuous"/>
          <w:pgSz w:w="12240" w:h="15840"/>
          <w:pgMar w:top="1440" w:right="1440" w:bottom="1440" w:left="1440" w:header="720" w:footer="720" w:gutter="0"/>
          <w:cols w:space="720"/>
          <w:docGrid w:linePitch="360"/>
        </w:sectPr>
      </w:pPr>
    </w:p>
    <w:p w:rsidR="00A57F4D" w:rsidRDefault="003278EC" w:rsidP="003278EC">
      <w:r>
        <w:t>The Department will develop technical support documents, option proposals, and draft rule lan</w:t>
      </w:r>
      <w:r w:rsidR="00065029">
        <w:t>guage for work group review.  The Department will carefully consider input from stakeholders as it develops final language and policy decisions.  Issue Papers will capture information, such as</w:t>
      </w:r>
      <w:r w:rsidR="00A634A3">
        <w:t>:</w:t>
      </w:r>
      <w:r w:rsidR="00065029">
        <w:t xml:space="preserve"> description of rulemaking action, policy issues and evaluation, work group member views, proposed rule language, applicability, authority and precedence, and other supporting information.  </w:t>
      </w:r>
      <w:r w:rsidR="00A500BC">
        <w:t>At a minimum, Issue Papers will be developed and used to facilitate work group discussions on:</w:t>
      </w:r>
    </w:p>
    <w:p w:rsidR="00F775DD" w:rsidRDefault="00F775DD" w:rsidP="00A500BC">
      <w:pPr>
        <w:pStyle w:val="ListParagraph"/>
        <w:numPr>
          <w:ilvl w:val="0"/>
          <w:numId w:val="4"/>
        </w:numPr>
      </w:pPr>
      <w:r>
        <w:t>Specific criteria (e.g., arsenic, iron, manganese)</w:t>
      </w:r>
    </w:p>
    <w:p w:rsidR="00A500BC" w:rsidRDefault="00A500BC" w:rsidP="00A500BC">
      <w:pPr>
        <w:pStyle w:val="ListParagraph"/>
        <w:numPr>
          <w:ilvl w:val="0"/>
          <w:numId w:val="4"/>
        </w:numPr>
      </w:pPr>
      <w:r>
        <w:t>Variances</w:t>
      </w:r>
    </w:p>
    <w:p w:rsidR="00A500BC" w:rsidRDefault="00A500BC" w:rsidP="00A500BC">
      <w:pPr>
        <w:pStyle w:val="ListParagraph"/>
        <w:numPr>
          <w:ilvl w:val="0"/>
          <w:numId w:val="4"/>
        </w:numPr>
      </w:pPr>
      <w:r>
        <w:t>Implementation tools to address background pollutants</w:t>
      </w:r>
    </w:p>
    <w:p w:rsidR="00F775DD" w:rsidRDefault="00F775DD" w:rsidP="00A500BC">
      <w:pPr>
        <w:pStyle w:val="ListParagraph"/>
        <w:numPr>
          <w:ilvl w:val="0"/>
          <w:numId w:val="4"/>
        </w:numPr>
      </w:pPr>
      <w:r>
        <w:t>Intake Credits</w:t>
      </w:r>
    </w:p>
    <w:p w:rsidR="00A500BC" w:rsidRDefault="00A500BC" w:rsidP="00A500BC">
      <w:pPr>
        <w:pStyle w:val="ListParagraph"/>
        <w:numPr>
          <w:ilvl w:val="0"/>
          <w:numId w:val="4"/>
        </w:numPr>
      </w:pPr>
      <w:r>
        <w:t>Pretreatment program</w:t>
      </w:r>
      <w:r w:rsidR="00D915E9">
        <w:t>s</w:t>
      </w:r>
    </w:p>
    <w:p w:rsidR="00A500BC" w:rsidRDefault="00A500BC" w:rsidP="00A500BC">
      <w:pPr>
        <w:pStyle w:val="ListParagraph"/>
        <w:numPr>
          <w:ilvl w:val="0"/>
          <w:numId w:val="4"/>
        </w:numPr>
      </w:pPr>
      <w:r>
        <w:t>Implementation-Ready TMDLs</w:t>
      </w:r>
    </w:p>
    <w:p w:rsidR="00A500BC" w:rsidRDefault="00A500BC" w:rsidP="00A500BC">
      <w:pPr>
        <w:pStyle w:val="ListParagraph"/>
        <w:numPr>
          <w:ilvl w:val="0"/>
          <w:numId w:val="4"/>
        </w:numPr>
      </w:pPr>
      <w:r>
        <w:t>Sediment and toxics</w:t>
      </w:r>
    </w:p>
    <w:p w:rsidR="00A500BC" w:rsidRDefault="00A500BC" w:rsidP="00A500BC">
      <w:pPr>
        <w:pStyle w:val="ListParagraph"/>
        <w:numPr>
          <w:ilvl w:val="0"/>
          <w:numId w:val="4"/>
        </w:numPr>
      </w:pPr>
      <w:proofErr w:type="spellStart"/>
      <w:r>
        <w:t>Antidegradation</w:t>
      </w:r>
      <w:proofErr w:type="spellEnd"/>
      <w:r w:rsidR="00D915E9">
        <w:t xml:space="preserve"> policies</w:t>
      </w:r>
    </w:p>
    <w:p w:rsidR="00A57F4D" w:rsidRDefault="005706A1" w:rsidP="003278EC">
      <w:r>
        <w:t>Draft Internal</w:t>
      </w:r>
      <w:r w:rsidR="00065029">
        <w:t xml:space="preserve"> Management Directives (IMD) which </w:t>
      </w:r>
      <w:proofErr w:type="gramStart"/>
      <w:r w:rsidR="00065029">
        <w:t>describe</w:t>
      </w:r>
      <w:proofErr w:type="gramEnd"/>
      <w:r w:rsidR="00065029">
        <w:t xml:space="preserve"> how DEQ will implement </w:t>
      </w:r>
      <w:r w:rsidR="00A57F4D">
        <w:t xml:space="preserve">new or revised </w:t>
      </w:r>
      <w:r w:rsidR="00065029">
        <w:t>regulations</w:t>
      </w:r>
      <w:r w:rsidR="00A57F4D">
        <w:t xml:space="preserve"> and policies will be developed before rules go out for public comment.  Although stakeholders will not be </w:t>
      </w:r>
      <w:r>
        <w:t xml:space="preserve">substantially </w:t>
      </w:r>
      <w:r w:rsidR="00A57F4D">
        <w:t xml:space="preserve">involved with </w:t>
      </w:r>
      <w:r>
        <w:t xml:space="preserve">the </w:t>
      </w:r>
      <w:r w:rsidR="00A57F4D">
        <w:t xml:space="preserve">development of these documents, IMDs will augment stakeholder knowledge of how regulatory language translates to actual implementation.  Typically, IMDs are developed after rules become effective. </w:t>
      </w:r>
    </w:p>
    <w:p w:rsidR="00CE61AD" w:rsidRDefault="00BF229C" w:rsidP="003278EC">
      <w:pPr>
        <w:sectPr w:rsidR="00CE61AD" w:rsidSect="00CE61AD">
          <w:type w:val="continuous"/>
          <w:pgSz w:w="12240" w:h="15840"/>
          <w:pgMar w:top="1440" w:right="1440" w:bottom="1440" w:left="1440" w:header="720" w:footer="720" w:gutter="0"/>
          <w:cols w:space="720"/>
          <w:docGrid w:linePitch="360"/>
        </w:sectPr>
      </w:pPr>
      <w:r>
        <w:t>The D</w:t>
      </w:r>
      <w:r w:rsidR="00C62EAC">
        <w:t xml:space="preserve">epartment anticipates that work group meetings will be </w:t>
      </w:r>
      <w:r w:rsidR="00A634A3">
        <w:t xml:space="preserve">substantively </w:t>
      </w:r>
      <w:r w:rsidR="00C62EAC">
        <w:t xml:space="preserve">completed by September, in order to meet DEQ internal review time frames and submit the final rule package to the Secretary of State by December 15.  Both work groups will also need to review </w:t>
      </w:r>
      <w:r w:rsidR="00E1458D">
        <w:t xml:space="preserve">and provide input to </w:t>
      </w:r>
      <w:r w:rsidR="00C62EAC">
        <w:t>the Statement of Need and Fiscal and Economic Impac</w:t>
      </w:r>
      <w:r w:rsidR="00E1458D">
        <w:t xml:space="preserve">t developed by DEQ. </w:t>
      </w:r>
      <w:r w:rsidR="001B1BF9">
        <w:t xml:space="preserve"> </w:t>
      </w:r>
    </w:p>
    <w:p w:rsidR="008A3A39" w:rsidRDefault="008A3A39" w:rsidP="00147D8F">
      <w:pPr>
        <w:rPr>
          <w:b/>
        </w:rPr>
        <w:sectPr w:rsidR="008A3A39" w:rsidSect="0005106B">
          <w:type w:val="continuous"/>
          <w:pgSz w:w="12240" w:h="15840"/>
          <w:pgMar w:top="1440" w:right="720" w:bottom="1440" w:left="720" w:header="720" w:footer="720" w:gutter="0"/>
          <w:cols w:space="720"/>
          <w:docGrid w:linePitch="360"/>
        </w:sectPr>
      </w:pPr>
    </w:p>
    <w:p w:rsidR="008A3A39" w:rsidRDefault="008A3A39" w:rsidP="00147D8F">
      <w:pPr>
        <w:rPr>
          <w:b/>
        </w:rPr>
      </w:pPr>
    </w:p>
    <w:p w:rsidR="004317A4" w:rsidRPr="004317A4" w:rsidRDefault="00E80A40" w:rsidP="00147D8F">
      <w:pPr>
        <w:rPr>
          <w:b/>
          <w:sz w:val="36"/>
          <w:szCs w:val="36"/>
        </w:rPr>
      </w:pPr>
      <w:r>
        <w:rPr>
          <w:b/>
          <w:sz w:val="36"/>
          <w:szCs w:val="36"/>
        </w:rPr>
        <w:t xml:space="preserve">Table 1:  </w:t>
      </w:r>
      <w:r w:rsidR="00147D8F" w:rsidRPr="004317A4">
        <w:rPr>
          <w:b/>
          <w:sz w:val="36"/>
          <w:szCs w:val="36"/>
        </w:rPr>
        <w:t xml:space="preserve">Major Milestones in </w:t>
      </w:r>
      <w:r w:rsidR="00DB4F45" w:rsidRPr="004317A4">
        <w:rPr>
          <w:b/>
          <w:sz w:val="36"/>
          <w:szCs w:val="36"/>
        </w:rPr>
        <w:t>Rulemaking Timeline</w:t>
      </w:r>
    </w:p>
    <w:p w:rsidR="008A3A39" w:rsidRPr="004317A4" w:rsidRDefault="004317A4" w:rsidP="00147D8F">
      <w:pPr>
        <w:rPr>
          <w:b/>
          <w:sz w:val="32"/>
          <w:szCs w:val="32"/>
        </w:rPr>
      </w:pPr>
      <w:r w:rsidRPr="00A81A48">
        <w:rPr>
          <w:b/>
          <w:sz w:val="28"/>
          <w:szCs w:val="28"/>
        </w:rPr>
        <w:t>2010</w:t>
      </w:r>
      <w:r w:rsidRPr="00A81A48">
        <w:rPr>
          <w:b/>
          <w:sz w:val="28"/>
          <w:szCs w:val="28"/>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sidRPr="00A81A48">
        <w:rPr>
          <w:b/>
          <w:sz w:val="28"/>
          <w:szCs w:val="28"/>
        </w:rPr>
        <w:t>2011</w:t>
      </w:r>
    </w:p>
    <w:p w:rsidR="0005106B" w:rsidRDefault="00A81A48" w:rsidP="00147D8F">
      <w:pPr>
        <w:rPr>
          <w:b/>
        </w:rPr>
      </w:pPr>
      <w:r w:rsidRPr="00631AFC">
        <w:rPr>
          <w:b/>
        </w:rPr>
        <w:object w:dxaOrig="15210" w:dyaOrig="1977">
          <v:shape id="_x0000_i1026" type="#_x0000_t75" style="width:736.9pt;height:95.8pt" o:ole="">
            <v:imagedata r:id="rId11" o:title=""/>
          </v:shape>
          <o:OLEObject Type="Embed" ProgID="Excel.Sheet.12" ShapeID="_x0000_i1026" DrawAspect="Content" ObjectID="_1331123989" r:id="rId12"/>
        </w:object>
      </w:r>
    </w:p>
    <w:p w:rsidR="00FB6F54" w:rsidRDefault="00FB6F54" w:rsidP="00FB6F54">
      <w:pPr>
        <w:rPr>
          <w:b/>
        </w:rPr>
        <w:sectPr w:rsidR="00FB6F54" w:rsidSect="008A3A39">
          <w:headerReference w:type="default" r:id="rId13"/>
          <w:pgSz w:w="15840" w:h="12240" w:orient="landscape"/>
          <w:pgMar w:top="720" w:right="720" w:bottom="720" w:left="720" w:header="720" w:footer="720" w:gutter="0"/>
          <w:cols w:space="720"/>
          <w:docGrid w:linePitch="360"/>
        </w:sectPr>
      </w:pPr>
    </w:p>
    <w:p w:rsidR="00147D8F" w:rsidRDefault="00147D8F" w:rsidP="00FB6F54">
      <w:pPr>
        <w:rPr>
          <w:b/>
        </w:rPr>
      </w:pPr>
    </w:p>
    <w:p w:rsidR="0005106B" w:rsidRDefault="0005106B"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rsidP="0005106B">
      <w:pPr>
        <w:rPr>
          <w:b/>
        </w:rPr>
      </w:pPr>
    </w:p>
    <w:p w:rsidR="00A03CC4" w:rsidRDefault="00A03CC4">
      <w:pPr>
        <w:rPr>
          <w:b/>
        </w:rPr>
      </w:pPr>
      <w:r>
        <w:rPr>
          <w:b/>
        </w:rPr>
        <w:br w:type="page"/>
      </w:r>
    </w:p>
    <w:tbl>
      <w:tblPr>
        <w:tblStyle w:val="TableGrid"/>
        <w:tblW w:w="5000" w:type="pct"/>
        <w:tblLook w:val="01E0"/>
      </w:tblPr>
      <w:tblGrid>
        <w:gridCol w:w="1347"/>
        <w:gridCol w:w="1424"/>
        <w:gridCol w:w="1371"/>
        <w:gridCol w:w="1473"/>
        <w:gridCol w:w="1327"/>
        <w:gridCol w:w="1424"/>
        <w:gridCol w:w="1424"/>
        <w:gridCol w:w="1231"/>
        <w:gridCol w:w="1137"/>
        <w:gridCol w:w="1137"/>
        <w:gridCol w:w="1321"/>
      </w:tblGrid>
      <w:tr w:rsidR="00BE4957" w:rsidRPr="00002A44" w:rsidTr="001F71BC">
        <w:trPr>
          <w:trHeight w:val="504"/>
        </w:trPr>
        <w:tc>
          <w:tcPr>
            <w:tcW w:w="461" w:type="pct"/>
            <w:tcBorders>
              <w:top w:val="single" w:sz="18" w:space="0" w:color="auto"/>
              <w:left w:val="single" w:sz="18" w:space="0" w:color="auto"/>
              <w:bottom w:val="single" w:sz="36" w:space="0" w:color="auto"/>
              <w:right w:val="single" w:sz="36" w:space="0" w:color="auto"/>
            </w:tcBorders>
            <w:shd w:val="thinDiagCross" w:color="4A442A" w:themeColor="background2" w:themeShade="40" w:fill="DDD9C3" w:themeFill="background2" w:themeFillShade="E6"/>
            <w:vAlign w:val="center"/>
          </w:tcPr>
          <w:p w:rsidR="00BE4957" w:rsidRPr="00002A44" w:rsidRDefault="00BE4957" w:rsidP="00BE4957">
            <w:pPr>
              <w:jc w:val="center"/>
              <w:rPr>
                <w:rFonts w:asciiTheme="minorHAnsi" w:hAnsiTheme="minorHAnsi" w:cs="Arial"/>
              </w:rPr>
            </w:pPr>
          </w:p>
        </w:tc>
        <w:tc>
          <w:tcPr>
            <w:tcW w:w="487" w:type="pct"/>
            <w:tcBorders>
              <w:top w:val="single" w:sz="18" w:space="0" w:color="auto"/>
              <w:left w:val="single" w:sz="36"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March</w:t>
            </w:r>
            <w:r w:rsidR="00046731" w:rsidRPr="00046731">
              <w:rPr>
                <w:rFonts w:asciiTheme="minorHAnsi" w:hAnsiTheme="minorHAnsi" w:cs="Arial"/>
                <w:b/>
                <w:sz w:val="24"/>
                <w:szCs w:val="24"/>
              </w:rPr>
              <w:t xml:space="preserve"> 31</w:t>
            </w:r>
          </w:p>
        </w:tc>
        <w:tc>
          <w:tcPr>
            <w:tcW w:w="469"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April</w:t>
            </w:r>
            <w:r w:rsidR="00046731" w:rsidRPr="00046731">
              <w:rPr>
                <w:rFonts w:asciiTheme="minorHAnsi" w:hAnsiTheme="minorHAnsi" w:cs="Arial"/>
                <w:b/>
                <w:sz w:val="24"/>
                <w:szCs w:val="24"/>
              </w:rPr>
              <w:t xml:space="preserve"> 27</w:t>
            </w:r>
          </w:p>
        </w:tc>
        <w:tc>
          <w:tcPr>
            <w:tcW w:w="504"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May</w:t>
            </w:r>
            <w:r w:rsidR="00046731" w:rsidRPr="00046731">
              <w:rPr>
                <w:rFonts w:asciiTheme="minorHAnsi" w:hAnsiTheme="minorHAnsi" w:cs="Arial"/>
                <w:b/>
                <w:sz w:val="24"/>
                <w:szCs w:val="24"/>
              </w:rPr>
              <w:t xml:space="preserve"> 20</w:t>
            </w:r>
          </w:p>
        </w:tc>
        <w:tc>
          <w:tcPr>
            <w:tcW w:w="454"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June</w:t>
            </w:r>
            <w:r w:rsidR="00046731" w:rsidRPr="00046731">
              <w:rPr>
                <w:rFonts w:asciiTheme="minorHAnsi" w:hAnsiTheme="minorHAnsi" w:cs="Arial"/>
                <w:b/>
                <w:sz w:val="24"/>
                <w:szCs w:val="24"/>
              </w:rPr>
              <w:t xml:space="preserve"> 30</w:t>
            </w:r>
          </w:p>
        </w:tc>
        <w:tc>
          <w:tcPr>
            <w:tcW w:w="487"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July</w:t>
            </w:r>
            <w:r w:rsidR="00046731" w:rsidRPr="00046731">
              <w:rPr>
                <w:rFonts w:asciiTheme="minorHAnsi" w:hAnsiTheme="minorHAnsi" w:cs="Arial"/>
                <w:b/>
                <w:sz w:val="24"/>
                <w:szCs w:val="24"/>
              </w:rPr>
              <w:t xml:space="preserve"> 15</w:t>
            </w:r>
          </w:p>
        </w:tc>
        <w:tc>
          <w:tcPr>
            <w:tcW w:w="487"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Aug</w:t>
            </w:r>
            <w:r w:rsidR="00046731" w:rsidRPr="00046731">
              <w:rPr>
                <w:rFonts w:asciiTheme="minorHAnsi" w:hAnsiTheme="minorHAnsi" w:cs="Arial"/>
                <w:b/>
                <w:sz w:val="24"/>
                <w:szCs w:val="24"/>
              </w:rPr>
              <w:t xml:space="preserve"> 17</w:t>
            </w:r>
          </w:p>
        </w:tc>
        <w:tc>
          <w:tcPr>
            <w:tcW w:w="421"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Sept</w:t>
            </w:r>
            <w:r w:rsidR="00046731" w:rsidRPr="00046731">
              <w:rPr>
                <w:rFonts w:asciiTheme="minorHAnsi" w:hAnsiTheme="minorHAnsi" w:cs="Arial"/>
                <w:b/>
                <w:sz w:val="24"/>
                <w:szCs w:val="24"/>
              </w:rPr>
              <w:t xml:space="preserve"> 22</w:t>
            </w:r>
          </w:p>
        </w:tc>
        <w:tc>
          <w:tcPr>
            <w:tcW w:w="389"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Oct</w:t>
            </w:r>
          </w:p>
        </w:tc>
        <w:tc>
          <w:tcPr>
            <w:tcW w:w="389" w:type="pct"/>
            <w:tcBorders>
              <w:top w:val="single" w:sz="18" w:space="0" w:color="auto"/>
              <w:left w:val="single" w:sz="8" w:space="0" w:color="auto"/>
              <w:bottom w:val="single" w:sz="36" w:space="0" w:color="auto"/>
              <w:right w:val="single" w:sz="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Nov</w:t>
            </w:r>
          </w:p>
        </w:tc>
        <w:tc>
          <w:tcPr>
            <w:tcW w:w="452" w:type="pct"/>
            <w:tcBorders>
              <w:top w:val="single" w:sz="18" w:space="0" w:color="auto"/>
              <w:left w:val="single" w:sz="8" w:space="0" w:color="auto"/>
              <w:bottom w:val="single" w:sz="36" w:space="0" w:color="auto"/>
              <w:right w:val="single" w:sz="18"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Dec.</w:t>
            </w:r>
          </w:p>
        </w:tc>
      </w:tr>
      <w:tr w:rsidR="00BE4957" w:rsidRPr="00002A44" w:rsidTr="001F71BC">
        <w:trPr>
          <w:trHeight w:val="488"/>
        </w:trPr>
        <w:tc>
          <w:tcPr>
            <w:tcW w:w="461" w:type="pct"/>
            <w:vMerge w:val="restart"/>
            <w:tcBorders>
              <w:top w:val="single" w:sz="36" w:space="0" w:color="auto"/>
              <w:left w:val="single" w:sz="18" w:space="0" w:color="auto"/>
              <w:right w:val="single" w:sz="36"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RWG</w:t>
            </w:r>
          </w:p>
        </w:tc>
        <w:tc>
          <w:tcPr>
            <w:tcW w:w="487" w:type="pct"/>
            <w:vMerge w:val="restart"/>
            <w:tcBorders>
              <w:top w:val="single" w:sz="36" w:space="0" w:color="auto"/>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r w:rsidRPr="00002A44">
              <w:rPr>
                <w:rFonts w:asciiTheme="minorHAnsi" w:hAnsiTheme="minorHAnsi" w:cs="Arial"/>
              </w:rPr>
              <w:t>No meeting</w:t>
            </w:r>
          </w:p>
        </w:tc>
        <w:tc>
          <w:tcPr>
            <w:tcW w:w="469" w:type="pct"/>
            <w:vMerge w:val="restart"/>
            <w:tcBorders>
              <w:top w:val="single" w:sz="36" w:space="0" w:color="auto"/>
              <w:left w:val="single" w:sz="8" w:space="0" w:color="auto"/>
              <w:bottom w:val="nil"/>
              <w:right w:val="single" w:sz="8" w:space="0" w:color="auto"/>
            </w:tcBorders>
            <w:shd w:val="clear" w:color="auto" w:fill="800080"/>
            <w:vAlign w:val="center"/>
          </w:tcPr>
          <w:p w:rsidR="00BE4957" w:rsidRPr="00E14278" w:rsidRDefault="00BE4957" w:rsidP="00BE4957">
            <w:pPr>
              <w:jc w:val="center"/>
              <w:rPr>
                <w:rFonts w:asciiTheme="minorHAnsi" w:hAnsiTheme="minorHAnsi" w:cs="Arial"/>
                <w:color w:val="FFFFFF" w:themeColor="background1"/>
              </w:rPr>
            </w:pPr>
            <w:r w:rsidRPr="00E14278">
              <w:rPr>
                <w:rFonts w:asciiTheme="minorHAnsi" w:hAnsiTheme="minorHAnsi" w:cs="Arial"/>
                <w:color w:val="FFFFFF" w:themeColor="background1"/>
              </w:rPr>
              <w:t>Multiple Discharger Variance (MDV)</w:t>
            </w:r>
          </w:p>
        </w:tc>
        <w:tc>
          <w:tcPr>
            <w:tcW w:w="504" w:type="pct"/>
            <w:tcBorders>
              <w:top w:val="single" w:sz="36" w:space="0" w:color="auto"/>
              <w:left w:val="single" w:sz="8" w:space="0" w:color="auto"/>
              <w:bottom w:val="nil"/>
              <w:right w:val="single" w:sz="8" w:space="0" w:color="auto"/>
            </w:tcBorders>
            <w:shd w:val="clear" w:color="auto" w:fill="80008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Variances</w:t>
            </w:r>
          </w:p>
        </w:tc>
        <w:tc>
          <w:tcPr>
            <w:tcW w:w="454" w:type="pct"/>
            <w:vMerge w:val="restart"/>
            <w:tcBorders>
              <w:top w:val="single" w:sz="36" w:space="0" w:color="auto"/>
              <w:left w:val="single" w:sz="8" w:space="0" w:color="auto"/>
              <w:bottom w:val="nil"/>
              <w:right w:val="single" w:sz="8" w:space="0" w:color="auto"/>
            </w:tcBorders>
            <w:shd w:val="clear" w:color="auto" w:fill="80008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Variances</w:t>
            </w:r>
          </w:p>
        </w:tc>
        <w:tc>
          <w:tcPr>
            <w:tcW w:w="487" w:type="pct"/>
            <w:vMerge w:val="restart"/>
            <w:tcBorders>
              <w:top w:val="single" w:sz="36" w:space="0" w:color="auto"/>
              <w:left w:val="single" w:sz="8" w:space="0" w:color="auto"/>
              <w:bottom w:val="nil"/>
              <w:right w:val="single" w:sz="18" w:space="0" w:color="009900"/>
            </w:tcBorders>
            <w:vAlign w:val="center"/>
          </w:tcPr>
          <w:p w:rsidR="00BE4957" w:rsidRDefault="00A305AD" w:rsidP="00A305AD">
            <w:pPr>
              <w:jc w:val="center"/>
              <w:rPr>
                <w:rFonts w:asciiTheme="minorHAnsi" w:hAnsiTheme="minorHAnsi" w:cs="Arial"/>
              </w:rPr>
            </w:pPr>
            <w:r>
              <w:rPr>
                <w:rFonts w:asciiTheme="minorHAnsi" w:hAnsiTheme="minorHAnsi" w:cs="Arial"/>
              </w:rPr>
              <w:t>If needed</w:t>
            </w:r>
          </w:p>
          <w:p w:rsidR="00A305AD" w:rsidRPr="00002A44" w:rsidRDefault="00A305AD" w:rsidP="00BE4957">
            <w:pPr>
              <w:rPr>
                <w:rFonts w:asciiTheme="minorHAnsi" w:hAnsiTheme="minorHAnsi" w:cs="Arial"/>
              </w:rPr>
            </w:pPr>
          </w:p>
        </w:tc>
        <w:tc>
          <w:tcPr>
            <w:tcW w:w="487" w:type="pct"/>
            <w:vMerge w:val="restart"/>
            <w:tcBorders>
              <w:top w:val="single" w:sz="36" w:space="0" w:color="auto"/>
              <w:left w:val="single" w:sz="18" w:space="0" w:color="009900"/>
              <w:bottom w:val="single" w:sz="18" w:space="0" w:color="009900"/>
              <w:right w:val="single" w:sz="18" w:space="0" w:color="009900"/>
            </w:tcBorders>
            <w:shd w:val="clear" w:color="auto" w:fill="auto"/>
            <w:vAlign w:val="center"/>
          </w:tcPr>
          <w:p w:rsidR="00BE4957" w:rsidRPr="00002A44" w:rsidRDefault="00BE4957" w:rsidP="00BE4957">
            <w:pPr>
              <w:jc w:val="center"/>
              <w:rPr>
                <w:rFonts w:asciiTheme="minorHAnsi" w:hAnsiTheme="minorHAnsi" w:cs="Arial"/>
              </w:rPr>
            </w:pPr>
            <w:r w:rsidRPr="00002A44">
              <w:rPr>
                <w:rFonts w:asciiTheme="minorHAnsi" w:hAnsiTheme="minorHAnsi" w:cs="Arial"/>
              </w:rPr>
              <w:t>Review Fiscal Impact</w:t>
            </w:r>
          </w:p>
        </w:tc>
        <w:tc>
          <w:tcPr>
            <w:tcW w:w="421" w:type="pct"/>
            <w:vMerge w:val="restart"/>
            <w:tcBorders>
              <w:top w:val="single" w:sz="36" w:space="0" w:color="auto"/>
              <w:left w:val="single" w:sz="18" w:space="0" w:color="009900"/>
              <w:bottom w:val="single" w:sz="18" w:space="0" w:color="FF9933"/>
              <w:right w:val="single" w:sz="18" w:space="0" w:color="FF9933"/>
            </w:tcBorders>
            <w:shd w:val="clear" w:color="auto" w:fill="auto"/>
            <w:vAlign w:val="center"/>
          </w:tcPr>
          <w:p w:rsidR="00BE4957" w:rsidRPr="00A305AD" w:rsidRDefault="00BE4957" w:rsidP="00BE4957">
            <w:pPr>
              <w:jc w:val="center"/>
              <w:rPr>
                <w:rFonts w:asciiTheme="minorHAnsi" w:hAnsiTheme="minorHAnsi" w:cs="Arial"/>
                <w:b/>
              </w:rPr>
            </w:pPr>
            <w:r w:rsidRPr="00A305AD">
              <w:rPr>
                <w:rFonts w:asciiTheme="minorHAnsi" w:hAnsiTheme="minorHAnsi" w:cs="Arial"/>
                <w:b/>
              </w:rPr>
              <w:t>Review Total Draft Package</w:t>
            </w:r>
          </w:p>
        </w:tc>
        <w:tc>
          <w:tcPr>
            <w:tcW w:w="389" w:type="pct"/>
            <w:vMerge w:val="restart"/>
            <w:tcBorders>
              <w:top w:val="single" w:sz="36" w:space="0" w:color="auto"/>
              <w:left w:val="single" w:sz="18" w:space="0" w:color="FF9933"/>
              <w:bottom w:val="nil"/>
              <w:right w:val="single" w:sz="8" w:space="0" w:color="auto"/>
            </w:tcBorders>
            <w:vAlign w:val="center"/>
          </w:tcPr>
          <w:p w:rsidR="00BE4957" w:rsidRPr="00002A44" w:rsidRDefault="00BE4957" w:rsidP="00BE4957">
            <w:pPr>
              <w:jc w:val="center"/>
              <w:rPr>
                <w:rFonts w:asciiTheme="minorHAnsi" w:hAnsiTheme="minorHAnsi" w:cs="Arial"/>
              </w:rPr>
            </w:pPr>
            <w:r>
              <w:rPr>
                <w:rFonts w:asciiTheme="minorHAnsi" w:hAnsiTheme="minorHAnsi" w:cs="Arial"/>
              </w:rPr>
              <w:t>10/27 mtg, if needed</w:t>
            </w:r>
          </w:p>
        </w:tc>
        <w:tc>
          <w:tcPr>
            <w:tcW w:w="389" w:type="pct"/>
            <w:vMerge w:val="restart"/>
            <w:tcBorders>
              <w:top w:val="single" w:sz="36" w:space="0" w:color="auto"/>
              <w:left w:val="single" w:sz="8" w:space="0" w:color="auto"/>
              <w:bottom w:val="nil"/>
              <w:right w:val="single" w:sz="8" w:space="0" w:color="auto"/>
            </w:tcBorders>
            <w:shd w:val="clear" w:color="auto" w:fill="FFFFFF" w:themeFill="background1"/>
            <w:vAlign w:val="center"/>
          </w:tcPr>
          <w:p w:rsidR="00BE4957" w:rsidRPr="00E14278" w:rsidRDefault="00BE4957" w:rsidP="00BE4957">
            <w:pPr>
              <w:jc w:val="center"/>
              <w:rPr>
                <w:rFonts w:asciiTheme="minorHAnsi" w:hAnsiTheme="minorHAnsi" w:cs="Arial"/>
              </w:rPr>
            </w:pPr>
            <w:r>
              <w:rPr>
                <w:rFonts w:asciiTheme="minorHAnsi" w:hAnsiTheme="minorHAnsi" w:cs="Arial"/>
              </w:rPr>
              <w:t>11/18 mtg, if needed</w:t>
            </w:r>
          </w:p>
        </w:tc>
        <w:tc>
          <w:tcPr>
            <w:tcW w:w="452" w:type="pct"/>
            <w:vMerge w:val="restart"/>
            <w:tcBorders>
              <w:top w:val="single" w:sz="36" w:space="0" w:color="auto"/>
              <w:left w:val="single" w:sz="8" w:space="0" w:color="auto"/>
              <w:bottom w:val="nil"/>
              <w:right w:val="single" w:sz="18" w:space="0" w:color="auto"/>
            </w:tcBorders>
            <w:shd w:val="clear" w:color="auto" w:fill="FFFFFF" w:themeFill="background1"/>
            <w:vAlign w:val="center"/>
          </w:tcPr>
          <w:p w:rsidR="00BE4957" w:rsidRPr="00002A44" w:rsidRDefault="00BE4957" w:rsidP="00BE4957">
            <w:pPr>
              <w:jc w:val="center"/>
              <w:rPr>
                <w:rFonts w:asciiTheme="minorHAnsi" w:hAnsiTheme="minorHAnsi" w:cs="Arial"/>
              </w:rPr>
            </w:pPr>
          </w:p>
        </w:tc>
      </w:tr>
      <w:tr w:rsidR="00BE4957" w:rsidRPr="00002A44" w:rsidTr="001F71BC">
        <w:trPr>
          <w:trHeight w:val="487"/>
        </w:trPr>
        <w:tc>
          <w:tcPr>
            <w:tcW w:w="461" w:type="pct"/>
            <w:vMerge/>
            <w:tcBorders>
              <w:left w:val="single" w:sz="18" w:space="0" w:color="auto"/>
              <w:right w:val="single" w:sz="36" w:space="0" w:color="auto"/>
            </w:tcBorders>
            <w:shd w:val="clear" w:color="auto" w:fill="DDD9C3" w:themeFill="background2" w:themeFillShade="E6"/>
            <w:vAlign w:val="center"/>
          </w:tcPr>
          <w:p w:rsidR="00BE4957" w:rsidRPr="00002A44" w:rsidRDefault="00BE4957" w:rsidP="00BE4957">
            <w:pPr>
              <w:jc w:val="center"/>
              <w:rPr>
                <w:rFonts w:asciiTheme="minorHAnsi" w:hAnsiTheme="minorHAnsi" w:cs="Arial"/>
              </w:rPr>
            </w:pPr>
          </w:p>
        </w:tc>
        <w:tc>
          <w:tcPr>
            <w:tcW w:w="487" w:type="pct"/>
            <w:vMerge/>
            <w:tcBorders>
              <w:top w:val="nil"/>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vMerge/>
            <w:tcBorders>
              <w:top w:val="nil"/>
              <w:left w:val="single" w:sz="8" w:space="0" w:color="auto"/>
              <w:bottom w:val="nil"/>
              <w:right w:val="single" w:sz="8" w:space="0" w:color="auto"/>
            </w:tcBorders>
            <w:shd w:val="clear" w:color="auto" w:fill="800080"/>
            <w:vAlign w:val="center"/>
          </w:tcPr>
          <w:p w:rsidR="00BE4957" w:rsidRPr="00002A44" w:rsidRDefault="00BE4957" w:rsidP="00BE4957">
            <w:pPr>
              <w:jc w:val="center"/>
              <w:rPr>
                <w:rFonts w:asciiTheme="minorHAnsi" w:hAnsiTheme="minorHAnsi" w:cs="Arial"/>
              </w:rPr>
            </w:pPr>
          </w:p>
        </w:tc>
        <w:tc>
          <w:tcPr>
            <w:tcW w:w="504" w:type="pct"/>
            <w:tcBorders>
              <w:top w:val="nil"/>
              <w:left w:val="single" w:sz="8" w:space="0" w:color="auto"/>
              <w:bottom w:val="nil"/>
              <w:right w:val="single" w:sz="8" w:space="0" w:color="auto"/>
            </w:tcBorders>
            <w:shd w:val="clear" w:color="auto" w:fill="800080"/>
            <w:vAlign w:val="center"/>
          </w:tcPr>
          <w:p w:rsidR="00BE4957" w:rsidRPr="00002A44" w:rsidRDefault="00BE4957" w:rsidP="00BE4957">
            <w:pPr>
              <w:jc w:val="center"/>
              <w:rPr>
                <w:rFonts w:asciiTheme="minorHAnsi" w:hAnsiTheme="minorHAnsi" w:cs="Arial"/>
                <w:color w:val="FFFFFF"/>
              </w:rPr>
            </w:pPr>
            <w:r>
              <w:rPr>
                <w:rFonts w:asciiTheme="minorHAnsi" w:hAnsiTheme="minorHAnsi" w:cs="Arial"/>
                <w:color w:val="FFFFFF"/>
              </w:rPr>
              <w:t>MDV</w:t>
            </w:r>
          </w:p>
        </w:tc>
        <w:tc>
          <w:tcPr>
            <w:tcW w:w="454" w:type="pct"/>
            <w:vMerge/>
            <w:tcBorders>
              <w:top w:val="nil"/>
              <w:left w:val="single" w:sz="8" w:space="0" w:color="auto"/>
              <w:bottom w:val="nil"/>
              <w:right w:val="single" w:sz="8" w:space="0" w:color="auto"/>
            </w:tcBorders>
            <w:shd w:val="clear" w:color="auto" w:fill="800080"/>
            <w:vAlign w:val="center"/>
          </w:tcPr>
          <w:p w:rsidR="00BE4957" w:rsidRPr="00002A44" w:rsidRDefault="00BE4957" w:rsidP="00BE4957">
            <w:pPr>
              <w:jc w:val="center"/>
              <w:rPr>
                <w:rFonts w:asciiTheme="minorHAnsi" w:hAnsiTheme="minorHAnsi" w:cs="Arial"/>
                <w:color w:val="FFFFFF"/>
              </w:rPr>
            </w:pPr>
          </w:p>
        </w:tc>
        <w:tc>
          <w:tcPr>
            <w:tcW w:w="487" w:type="pct"/>
            <w:vMerge/>
            <w:tcBorders>
              <w:top w:val="nil"/>
              <w:left w:val="single" w:sz="8" w:space="0" w:color="auto"/>
              <w:bottom w:val="nil"/>
              <w:right w:val="single" w:sz="18" w:space="0" w:color="009900"/>
            </w:tcBorders>
            <w:vAlign w:val="center"/>
          </w:tcPr>
          <w:p w:rsidR="00BE4957" w:rsidRPr="00002A44" w:rsidRDefault="00BE4957" w:rsidP="00BE4957">
            <w:pPr>
              <w:jc w:val="center"/>
              <w:rPr>
                <w:rFonts w:asciiTheme="minorHAnsi" w:hAnsiTheme="minorHAnsi" w:cs="Arial"/>
              </w:rPr>
            </w:pPr>
          </w:p>
        </w:tc>
        <w:tc>
          <w:tcPr>
            <w:tcW w:w="487" w:type="pct"/>
            <w:vMerge/>
            <w:tcBorders>
              <w:top w:val="nil"/>
              <w:left w:val="single" w:sz="18" w:space="0" w:color="009900"/>
              <w:bottom w:val="single" w:sz="18" w:space="0" w:color="009900"/>
              <w:right w:val="single" w:sz="18" w:space="0" w:color="009900"/>
            </w:tcBorders>
            <w:shd w:val="clear" w:color="auto" w:fill="auto"/>
            <w:vAlign w:val="center"/>
          </w:tcPr>
          <w:p w:rsidR="00BE4957" w:rsidRPr="00002A44" w:rsidRDefault="00BE4957" w:rsidP="00BE4957">
            <w:pPr>
              <w:jc w:val="center"/>
              <w:rPr>
                <w:rFonts w:asciiTheme="minorHAnsi" w:hAnsiTheme="minorHAnsi" w:cs="Arial"/>
              </w:rPr>
            </w:pPr>
          </w:p>
        </w:tc>
        <w:tc>
          <w:tcPr>
            <w:tcW w:w="421" w:type="pct"/>
            <w:vMerge/>
            <w:tcBorders>
              <w:top w:val="nil"/>
              <w:left w:val="single" w:sz="18" w:space="0" w:color="009900"/>
              <w:bottom w:val="single" w:sz="18" w:space="0" w:color="FF9933"/>
              <w:right w:val="single" w:sz="18" w:space="0" w:color="FF9933"/>
            </w:tcBorders>
            <w:shd w:val="clear" w:color="auto" w:fill="auto"/>
            <w:vAlign w:val="center"/>
          </w:tcPr>
          <w:p w:rsidR="00BE4957" w:rsidRPr="00002A44" w:rsidRDefault="00BE4957" w:rsidP="00BE4957">
            <w:pPr>
              <w:jc w:val="center"/>
              <w:rPr>
                <w:rFonts w:asciiTheme="minorHAnsi" w:hAnsiTheme="minorHAnsi" w:cs="Arial"/>
              </w:rPr>
            </w:pPr>
          </w:p>
        </w:tc>
        <w:tc>
          <w:tcPr>
            <w:tcW w:w="389" w:type="pct"/>
            <w:vMerge/>
            <w:tcBorders>
              <w:top w:val="nil"/>
              <w:left w:val="single" w:sz="18" w:space="0" w:color="FF9933"/>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vMerge/>
            <w:tcBorders>
              <w:top w:val="nil"/>
              <w:left w:val="single" w:sz="8" w:space="0" w:color="auto"/>
              <w:bottom w:val="nil"/>
              <w:right w:val="single" w:sz="8" w:space="0" w:color="auto"/>
            </w:tcBorders>
            <w:shd w:val="clear" w:color="auto" w:fill="FFFFFF" w:themeFill="background1"/>
            <w:vAlign w:val="center"/>
          </w:tcPr>
          <w:p w:rsidR="00BE4957" w:rsidRPr="00002A44" w:rsidRDefault="00BE4957" w:rsidP="00BE4957">
            <w:pPr>
              <w:jc w:val="center"/>
              <w:rPr>
                <w:rFonts w:asciiTheme="minorHAnsi" w:hAnsiTheme="minorHAnsi" w:cs="Arial"/>
              </w:rPr>
            </w:pPr>
          </w:p>
        </w:tc>
        <w:tc>
          <w:tcPr>
            <w:tcW w:w="452" w:type="pct"/>
            <w:vMerge/>
            <w:tcBorders>
              <w:top w:val="nil"/>
              <w:left w:val="single" w:sz="8" w:space="0" w:color="auto"/>
              <w:bottom w:val="nil"/>
              <w:right w:val="single" w:sz="18" w:space="0" w:color="auto"/>
            </w:tcBorders>
            <w:shd w:val="clear" w:color="auto" w:fill="FFFFFF" w:themeFill="background1"/>
            <w:vAlign w:val="center"/>
          </w:tcPr>
          <w:p w:rsidR="00BE4957" w:rsidRPr="00002A44" w:rsidRDefault="00BE4957" w:rsidP="00BE4957">
            <w:pPr>
              <w:jc w:val="center"/>
              <w:rPr>
                <w:rFonts w:asciiTheme="minorHAnsi" w:hAnsiTheme="minorHAnsi" w:cs="Arial"/>
              </w:rPr>
            </w:pPr>
          </w:p>
        </w:tc>
      </w:tr>
      <w:tr w:rsidR="00BE4957" w:rsidRPr="00002A44" w:rsidTr="00FB6F54">
        <w:trPr>
          <w:trHeight w:val="720"/>
        </w:trPr>
        <w:tc>
          <w:tcPr>
            <w:tcW w:w="461" w:type="pct"/>
            <w:vMerge/>
            <w:tcBorders>
              <w:left w:val="single" w:sz="18"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tcBorders>
              <w:top w:val="nil"/>
              <w:left w:val="single" w:sz="8" w:space="0" w:color="auto"/>
              <w:bottom w:val="nil"/>
              <w:right w:val="single" w:sz="8" w:space="0" w:color="auto"/>
            </w:tcBorders>
            <w:shd w:val="clear" w:color="auto" w:fill="008080"/>
            <w:vAlign w:val="center"/>
          </w:tcPr>
          <w:p w:rsidR="00BE4957" w:rsidRPr="00DC315C" w:rsidRDefault="00BE4957" w:rsidP="00BE4957">
            <w:pPr>
              <w:jc w:val="center"/>
              <w:rPr>
                <w:rFonts w:asciiTheme="minorHAnsi" w:hAnsiTheme="minorHAnsi" w:cs="Arial"/>
                <w:color w:val="FFFFFF"/>
              </w:rPr>
            </w:pPr>
            <w:r w:rsidRPr="00DC315C">
              <w:rPr>
                <w:rFonts w:asciiTheme="minorHAnsi" w:hAnsiTheme="minorHAnsi" w:cs="Arial"/>
                <w:color w:val="FFFFFF"/>
              </w:rPr>
              <w:t>De Minimus</w:t>
            </w:r>
          </w:p>
        </w:tc>
        <w:tc>
          <w:tcPr>
            <w:tcW w:w="504" w:type="pct"/>
            <w:tcBorders>
              <w:top w:val="nil"/>
              <w:left w:val="single" w:sz="8" w:space="0" w:color="auto"/>
              <w:bottom w:val="nil"/>
              <w:right w:val="single" w:sz="8" w:space="0" w:color="auto"/>
            </w:tcBorders>
            <w:shd w:val="clear" w:color="auto" w:fill="008080"/>
            <w:vAlign w:val="center"/>
          </w:tcPr>
          <w:p w:rsidR="00BE4957" w:rsidRPr="00DC315C" w:rsidRDefault="00BE4957" w:rsidP="00BE4957">
            <w:pPr>
              <w:jc w:val="center"/>
              <w:rPr>
                <w:rFonts w:asciiTheme="minorHAnsi" w:hAnsiTheme="minorHAnsi" w:cs="Arial"/>
                <w:color w:val="FFFFFF"/>
              </w:rPr>
            </w:pPr>
            <w:r w:rsidRPr="00DC315C">
              <w:rPr>
                <w:rFonts w:asciiTheme="minorHAnsi" w:hAnsiTheme="minorHAnsi" w:cs="Arial"/>
                <w:color w:val="FFFFFF"/>
              </w:rPr>
              <w:t>De Minimus</w:t>
            </w:r>
          </w:p>
        </w:tc>
        <w:tc>
          <w:tcPr>
            <w:tcW w:w="454"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single" w:sz="18" w:space="0" w:color="009900"/>
              <w:left w:val="single" w:sz="8" w:space="0" w:color="auto"/>
              <w:bottom w:val="nil"/>
              <w:right w:val="single" w:sz="8" w:space="0" w:color="auto"/>
            </w:tcBorders>
            <w:vAlign w:val="center"/>
          </w:tcPr>
          <w:p w:rsidR="00BE4957" w:rsidRPr="00002A44" w:rsidRDefault="00794DDF" w:rsidP="00BE4957">
            <w:pPr>
              <w:jc w:val="center"/>
              <w:rPr>
                <w:rFonts w:asciiTheme="minorHAnsi" w:hAnsiTheme="minorHAnsi" w:cs="Arial"/>
              </w:rPr>
            </w:pPr>
            <w:r>
              <w:rPr>
                <w:rFonts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0.4pt;margin-top:9.6pt;width:7.15pt;height:93.9pt;z-index:251661312;mso-position-horizontal-relative:text;mso-position-vertical-relative:text" fillcolor="#090" strokecolor="#090">
                  <v:fill color2="fill darken(143)" rotate="t" method="linear sigma" focus="100%" type="gradient"/>
                </v:shape>
              </w:pict>
            </w:r>
          </w:p>
        </w:tc>
        <w:tc>
          <w:tcPr>
            <w:tcW w:w="421" w:type="pct"/>
            <w:tcBorders>
              <w:top w:val="single" w:sz="18" w:space="0" w:color="FF9933"/>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FB6F54">
        <w:trPr>
          <w:trHeight w:val="720"/>
        </w:trPr>
        <w:tc>
          <w:tcPr>
            <w:tcW w:w="461" w:type="pct"/>
            <w:vMerge/>
            <w:tcBorders>
              <w:left w:val="single" w:sz="18"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tcBorders>
              <w:top w:val="nil"/>
              <w:left w:val="single" w:sz="8" w:space="0" w:color="auto"/>
              <w:bottom w:val="nil"/>
              <w:right w:val="single" w:sz="6" w:space="0" w:color="auto"/>
            </w:tcBorders>
            <w:shd w:val="clear" w:color="auto" w:fill="145EB8"/>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General Permit</w:t>
            </w:r>
          </w:p>
        </w:tc>
        <w:tc>
          <w:tcPr>
            <w:tcW w:w="504" w:type="pct"/>
            <w:tcBorders>
              <w:top w:val="nil"/>
              <w:left w:val="single" w:sz="6" w:space="0" w:color="auto"/>
              <w:bottom w:val="nil"/>
              <w:right w:val="single" w:sz="6" w:space="0" w:color="auto"/>
            </w:tcBorders>
            <w:shd w:val="clear" w:color="auto" w:fill="auto"/>
            <w:vAlign w:val="center"/>
          </w:tcPr>
          <w:p w:rsidR="00BE4957" w:rsidRPr="00002A44" w:rsidRDefault="00BE4957" w:rsidP="00BE4957">
            <w:pPr>
              <w:jc w:val="center"/>
              <w:rPr>
                <w:rFonts w:asciiTheme="minorHAnsi" w:hAnsiTheme="minorHAnsi" w:cs="Arial"/>
                <w:color w:val="FFFFFF"/>
              </w:rPr>
            </w:pPr>
          </w:p>
        </w:tc>
        <w:tc>
          <w:tcPr>
            <w:tcW w:w="454" w:type="pct"/>
            <w:tcBorders>
              <w:top w:val="nil"/>
              <w:left w:val="single" w:sz="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21" w:type="pct"/>
            <w:tcBorders>
              <w:top w:val="nil"/>
              <w:left w:val="single" w:sz="8" w:space="0" w:color="auto"/>
              <w:bottom w:val="nil"/>
              <w:right w:val="single" w:sz="8" w:space="0" w:color="auto"/>
            </w:tcBorders>
            <w:vAlign w:val="center"/>
          </w:tcPr>
          <w:p w:rsidR="00BE4957" w:rsidRDefault="00BE4957" w:rsidP="00BE4957">
            <w:pPr>
              <w:jc w:val="cente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046731">
        <w:trPr>
          <w:trHeight w:val="720"/>
        </w:trPr>
        <w:tc>
          <w:tcPr>
            <w:tcW w:w="461" w:type="pct"/>
            <w:vMerge/>
            <w:tcBorders>
              <w:left w:val="single" w:sz="18" w:space="0" w:color="auto"/>
              <w:bottom w:val="single" w:sz="4"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tcBorders>
              <w:top w:val="nil"/>
              <w:left w:val="single" w:sz="8" w:space="0" w:color="auto"/>
              <w:bottom w:val="nil"/>
              <w:right w:val="single" w:sz="8" w:space="0" w:color="auto"/>
            </w:tcBorders>
            <w:shd w:val="clear" w:color="auto" w:fill="E36C0A" w:themeFill="accent6" w:themeFillShade="BF"/>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Restoration Standards</w:t>
            </w:r>
          </w:p>
          <w:p w:rsidR="00BE4957" w:rsidRPr="00002A44" w:rsidRDefault="00BE4957" w:rsidP="00BE4957">
            <w:pPr>
              <w:jc w:val="center"/>
              <w:rPr>
                <w:rFonts w:asciiTheme="minorHAnsi" w:hAnsiTheme="minorHAnsi" w:cs="Arial"/>
              </w:rPr>
            </w:pPr>
          </w:p>
        </w:tc>
        <w:tc>
          <w:tcPr>
            <w:tcW w:w="504" w:type="pct"/>
            <w:tcBorders>
              <w:top w:val="nil"/>
              <w:left w:val="single" w:sz="8" w:space="0" w:color="auto"/>
              <w:bottom w:val="nil"/>
              <w:right w:val="single" w:sz="8" w:space="0" w:color="auto"/>
            </w:tcBorders>
            <w:shd w:val="clear" w:color="auto" w:fill="FFFFFF" w:themeFill="background1"/>
            <w:vAlign w:val="center"/>
          </w:tcPr>
          <w:p w:rsidR="00BE4957" w:rsidRPr="00002A44" w:rsidRDefault="00BE4957" w:rsidP="00BE4957">
            <w:pPr>
              <w:jc w:val="center"/>
              <w:rPr>
                <w:rFonts w:asciiTheme="minorHAnsi" w:hAnsiTheme="minorHAnsi" w:cs="Arial"/>
                <w:color w:val="FFFFFF"/>
              </w:rPr>
            </w:pPr>
          </w:p>
        </w:tc>
        <w:tc>
          <w:tcPr>
            <w:tcW w:w="454" w:type="pct"/>
            <w:tcBorders>
              <w:top w:val="nil"/>
              <w:left w:val="single" w:sz="8" w:space="0" w:color="auto"/>
              <w:bottom w:val="nil"/>
              <w:right w:val="single" w:sz="8" w:space="0" w:color="auto"/>
            </w:tcBorders>
            <w:shd w:val="clear" w:color="auto" w:fill="99330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Delayed Implemen.</w:t>
            </w: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21" w:type="pct"/>
            <w:tcBorders>
              <w:top w:val="nil"/>
              <w:left w:val="single" w:sz="8" w:space="0" w:color="auto"/>
              <w:bottom w:val="nil"/>
              <w:right w:val="single" w:sz="8" w:space="0" w:color="auto"/>
            </w:tcBorders>
            <w:vAlign w:val="center"/>
          </w:tcPr>
          <w:p w:rsidR="00BE4957" w:rsidRDefault="00BE4957" w:rsidP="00BE4957">
            <w:pPr>
              <w:jc w:val="cente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1F71BC">
        <w:trPr>
          <w:trHeight w:val="170"/>
        </w:trPr>
        <w:tc>
          <w:tcPr>
            <w:tcW w:w="461" w:type="pct"/>
            <w:tcBorders>
              <w:left w:val="single" w:sz="18" w:space="0" w:color="auto"/>
              <w:right w:val="single" w:sz="36" w:space="0" w:color="auto"/>
            </w:tcBorders>
            <w:shd w:val="clear" w:color="auto" w:fill="000000" w:themeFill="text1"/>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69"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504"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54"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21"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shd w:val="clear" w:color="auto" w:fill="000000" w:themeFill="text1"/>
            <w:vAlign w:val="center"/>
          </w:tcPr>
          <w:p w:rsidR="00BE4957" w:rsidRPr="00002A44" w:rsidRDefault="00BE4957" w:rsidP="00BE4957">
            <w:pPr>
              <w:jc w:val="center"/>
              <w:rPr>
                <w:rFonts w:asciiTheme="minorHAnsi" w:hAnsiTheme="minorHAnsi" w:cs="Arial"/>
              </w:rPr>
            </w:pPr>
          </w:p>
        </w:tc>
      </w:tr>
      <w:tr w:rsidR="00BE4957" w:rsidRPr="00002A44" w:rsidTr="001F71BC">
        <w:trPr>
          <w:trHeight w:val="720"/>
        </w:trPr>
        <w:tc>
          <w:tcPr>
            <w:tcW w:w="461" w:type="pct"/>
            <w:vMerge w:val="restart"/>
            <w:tcBorders>
              <w:left w:val="single" w:sz="18" w:space="0" w:color="auto"/>
              <w:right w:val="single" w:sz="36"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Non-NPDES</w:t>
            </w:r>
          </w:p>
        </w:tc>
        <w:tc>
          <w:tcPr>
            <w:tcW w:w="487" w:type="pct"/>
            <w:tcBorders>
              <w:top w:val="nil"/>
              <w:left w:val="single" w:sz="36" w:space="0" w:color="auto"/>
              <w:bottom w:val="nil"/>
              <w:right w:val="single" w:sz="8" w:space="0" w:color="auto"/>
            </w:tcBorders>
            <w:shd w:val="clear" w:color="auto" w:fill="00800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Implem. Ready TMDLs</w:t>
            </w:r>
          </w:p>
        </w:tc>
        <w:tc>
          <w:tcPr>
            <w:tcW w:w="46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504" w:type="pct"/>
            <w:tcBorders>
              <w:top w:val="nil"/>
              <w:left w:val="single" w:sz="8" w:space="0" w:color="auto"/>
              <w:bottom w:val="nil"/>
              <w:right w:val="single" w:sz="8" w:space="0" w:color="auto"/>
            </w:tcBorders>
            <w:shd w:val="clear" w:color="auto" w:fill="00800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Implem. Ready TMDLs</w:t>
            </w:r>
          </w:p>
        </w:tc>
        <w:tc>
          <w:tcPr>
            <w:tcW w:w="454"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18" w:space="0" w:color="009900"/>
            </w:tcBorders>
            <w:shd w:val="clear" w:color="auto" w:fill="00800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Implem. Ready TMDLs</w:t>
            </w:r>
          </w:p>
        </w:tc>
        <w:tc>
          <w:tcPr>
            <w:tcW w:w="487" w:type="pct"/>
            <w:tcBorders>
              <w:top w:val="nil"/>
              <w:left w:val="single" w:sz="18" w:space="0" w:color="009900"/>
              <w:bottom w:val="single" w:sz="18" w:space="0" w:color="009900"/>
              <w:right w:val="single" w:sz="18" w:space="0" w:color="009900"/>
            </w:tcBorders>
            <w:shd w:val="clear" w:color="auto" w:fill="auto"/>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rPr>
              <w:t>Review Fiscal Impact</w:t>
            </w:r>
          </w:p>
        </w:tc>
        <w:tc>
          <w:tcPr>
            <w:tcW w:w="421" w:type="pct"/>
            <w:tcBorders>
              <w:top w:val="nil"/>
              <w:left w:val="single" w:sz="18" w:space="0" w:color="009900"/>
              <w:bottom w:val="single" w:sz="18" w:space="0" w:color="FF9933"/>
              <w:right w:val="single" w:sz="18" w:space="0" w:color="FF9933"/>
            </w:tcBorders>
            <w:shd w:val="clear" w:color="auto" w:fill="auto"/>
            <w:vAlign w:val="center"/>
          </w:tcPr>
          <w:p w:rsidR="00BE4957" w:rsidRPr="00A305AD" w:rsidRDefault="00BE4957" w:rsidP="00BE4957">
            <w:pPr>
              <w:jc w:val="center"/>
              <w:rPr>
                <w:rFonts w:asciiTheme="minorHAnsi" w:hAnsiTheme="minorHAnsi" w:cs="Arial"/>
                <w:b/>
              </w:rPr>
            </w:pPr>
            <w:r w:rsidRPr="00A305AD">
              <w:rPr>
                <w:rFonts w:asciiTheme="minorHAnsi" w:hAnsiTheme="minorHAnsi" w:cs="Arial"/>
                <w:b/>
              </w:rPr>
              <w:t>Review Total Draft Package</w:t>
            </w:r>
          </w:p>
        </w:tc>
        <w:tc>
          <w:tcPr>
            <w:tcW w:w="389" w:type="pct"/>
            <w:tcBorders>
              <w:top w:val="nil"/>
              <w:left w:val="single" w:sz="18" w:space="0" w:color="FF9933"/>
              <w:bottom w:val="nil"/>
              <w:right w:val="single" w:sz="8" w:space="0" w:color="auto"/>
            </w:tcBorders>
            <w:vAlign w:val="center"/>
          </w:tcPr>
          <w:p w:rsidR="00BE4957" w:rsidRPr="00002A44" w:rsidRDefault="00BE4957" w:rsidP="00BE4957">
            <w:pPr>
              <w:jc w:val="center"/>
              <w:rPr>
                <w:rFonts w:asciiTheme="minorHAnsi" w:hAnsiTheme="minorHAnsi" w:cs="Arial"/>
              </w:rPr>
            </w:pPr>
            <w:r>
              <w:rPr>
                <w:rFonts w:asciiTheme="minorHAnsi" w:hAnsiTheme="minorHAnsi" w:cs="Arial"/>
              </w:rPr>
              <w:t>10/27 mtg, if needed</w:t>
            </w: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r>
              <w:rPr>
                <w:rFonts w:asciiTheme="minorHAnsi" w:hAnsiTheme="minorHAnsi" w:cs="Arial"/>
              </w:rPr>
              <w:t>11/18 mtg, if needed</w:t>
            </w: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1F71BC">
        <w:trPr>
          <w:trHeight w:val="720"/>
        </w:trPr>
        <w:tc>
          <w:tcPr>
            <w:tcW w:w="461" w:type="pct"/>
            <w:vMerge/>
            <w:tcBorders>
              <w:left w:val="single" w:sz="18"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shd w:val="clear" w:color="auto" w:fill="6699FF"/>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State Pre-Treatment Program</w:t>
            </w:r>
          </w:p>
        </w:tc>
        <w:tc>
          <w:tcPr>
            <w:tcW w:w="469" w:type="pct"/>
            <w:tcBorders>
              <w:top w:val="nil"/>
              <w:left w:val="single" w:sz="8" w:space="0" w:color="auto"/>
              <w:bottom w:val="nil"/>
              <w:right w:val="single" w:sz="8" w:space="0" w:color="auto"/>
            </w:tcBorders>
            <w:shd w:val="clear" w:color="auto" w:fill="6699FF"/>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State Pre-Treatment Program</w:t>
            </w:r>
          </w:p>
        </w:tc>
        <w:tc>
          <w:tcPr>
            <w:tcW w:w="504" w:type="pct"/>
            <w:tcBorders>
              <w:top w:val="nil"/>
              <w:left w:val="single" w:sz="8" w:space="0" w:color="auto"/>
              <w:bottom w:val="nil"/>
              <w:right w:val="single" w:sz="8" w:space="0" w:color="auto"/>
            </w:tcBorders>
            <w:shd w:val="clear" w:color="auto" w:fill="6699FF"/>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State Pre-Treatment Program</w:t>
            </w:r>
          </w:p>
        </w:tc>
        <w:tc>
          <w:tcPr>
            <w:tcW w:w="454"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shd w:val="clear" w:color="auto" w:fill="6699FF"/>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State Pre-Treatment Program</w:t>
            </w:r>
          </w:p>
        </w:tc>
        <w:tc>
          <w:tcPr>
            <w:tcW w:w="487" w:type="pct"/>
            <w:tcBorders>
              <w:top w:val="single" w:sz="18" w:space="0" w:color="009900"/>
              <w:left w:val="single" w:sz="8" w:space="0" w:color="auto"/>
              <w:bottom w:val="nil"/>
              <w:right w:val="single" w:sz="8" w:space="0" w:color="auto"/>
            </w:tcBorders>
            <w:shd w:val="clear" w:color="auto" w:fill="auto"/>
            <w:vAlign w:val="center"/>
          </w:tcPr>
          <w:p w:rsidR="00BE4957" w:rsidRPr="00002A44" w:rsidRDefault="00794DDF" w:rsidP="00BE4957">
            <w:pPr>
              <w:jc w:val="center"/>
              <w:rPr>
                <w:rFonts w:asciiTheme="minorHAnsi" w:hAnsiTheme="minorHAnsi" w:cs="Arial"/>
              </w:rPr>
            </w:pPr>
            <w:r>
              <w:rPr>
                <w:rFonts w:cs="Arial"/>
                <w:noProof/>
              </w:rPr>
              <w:pict>
                <v:shape id="_x0000_s1028" type="#_x0000_t67" style="position:absolute;left:0;text-align:left;margin-left:29.6pt;margin-top:7.95pt;width:7.15pt;height:93.9pt;z-index:251660288;mso-position-horizontal-relative:text;mso-position-vertical-relative:text" fillcolor="#090" strokecolor="#090">
                  <v:fill color2="fill darken(143)" rotate="t" method="linear sigma" focus="100%" type="gradient"/>
                </v:shape>
              </w:pict>
            </w:r>
          </w:p>
        </w:tc>
        <w:tc>
          <w:tcPr>
            <w:tcW w:w="421" w:type="pct"/>
            <w:tcBorders>
              <w:top w:val="single" w:sz="18" w:space="0" w:color="FF9933"/>
              <w:left w:val="single" w:sz="8" w:space="0" w:color="auto"/>
              <w:bottom w:val="nil"/>
              <w:right w:val="single" w:sz="8" w:space="0" w:color="auto"/>
            </w:tcBorders>
            <w:vAlign w:val="center"/>
          </w:tcPr>
          <w:p w:rsidR="00BE4957" w:rsidRDefault="00BE4957" w:rsidP="00BE4957">
            <w:pPr>
              <w:jc w:val="cente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046731">
        <w:trPr>
          <w:trHeight w:val="720"/>
        </w:trPr>
        <w:tc>
          <w:tcPr>
            <w:tcW w:w="461" w:type="pct"/>
            <w:vMerge/>
            <w:tcBorders>
              <w:left w:val="single" w:sz="18"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tcBorders>
              <w:top w:val="nil"/>
              <w:left w:val="single" w:sz="8" w:space="0" w:color="auto"/>
              <w:bottom w:val="nil"/>
              <w:right w:val="single" w:sz="8" w:space="0" w:color="auto"/>
            </w:tcBorders>
            <w:shd w:val="clear" w:color="auto" w:fill="B97B3D"/>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Anti-degradation</w:t>
            </w:r>
          </w:p>
        </w:tc>
        <w:tc>
          <w:tcPr>
            <w:tcW w:w="504" w:type="pct"/>
            <w:tcBorders>
              <w:top w:val="nil"/>
              <w:left w:val="single" w:sz="8" w:space="0" w:color="auto"/>
              <w:bottom w:val="nil"/>
              <w:right w:val="single" w:sz="8" w:space="0" w:color="auto"/>
            </w:tcBorders>
            <w:shd w:val="clear" w:color="auto" w:fill="B97B3D"/>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Anti-degradation</w:t>
            </w:r>
          </w:p>
        </w:tc>
        <w:tc>
          <w:tcPr>
            <w:tcW w:w="454"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21" w:type="pct"/>
            <w:tcBorders>
              <w:top w:val="nil"/>
              <w:left w:val="single" w:sz="8" w:space="0" w:color="auto"/>
              <w:bottom w:val="nil"/>
              <w:right w:val="single" w:sz="8" w:space="0" w:color="auto"/>
            </w:tcBorders>
            <w:vAlign w:val="center"/>
          </w:tcPr>
          <w:p w:rsidR="00BE4957" w:rsidRDefault="00BE4957" w:rsidP="00BE4957">
            <w:pPr>
              <w:jc w:val="cente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nil"/>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046731">
        <w:trPr>
          <w:trHeight w:val="720"/>
        </w:trPr>
        <w:tc>
          <w:tcPr>
            <w:tcW w:w="461" w:type="pct"/>
            <w:vMerge/>
            <w:tcBorders>
              <w:left w:val="single" w:sz="18" w:space="0" w:color="auto"/>
              <w:bottom w:val="single" w:sz="18" w:space="0" w:color="auto"/>
              <w:right w:val="single" w:sz="36" w:space="0" w:color="auto"/>
            </w:tcBorders>
            <w:shd w:val="clear" w:color="auto" w:fill="DDD9C3" w:themeFill="background2" w:themeFillShade="E6"/>
          </w:tcPr>
          <w:p w:rsidR="00BE4957" w:rsidRPr="00002A44" w:rsidRDefault="00BE4957" w:rsidP="00BE4957">
            <w:pPr>
              <w:jc w:val="center"/>
              <w:rPr>
                <w:rFonts w:asciiTheme="minorHAnsi" w:hAnsiTheme="minorHAnsi" w:cs="Arial"/>
              </w:rPr>
            </w:pPr>
          </w:p>
        </w:tc>
        <w:tc>
          <w:tcPr>
            <w:tcW w:w="487" w:type="pct"/>
            <w:tcBorders>
              <w:top w:val="nil"/>
              <w:left w:val="single" w:sz="36" w:space="0" w:color="auto"/>
              <w:bottom w:val="single" w:sz="18" w:space="0" w:color="auto"/>
              <w:right w:val="single" w:sz="8" w:space="0" w:color="auto"/>
            </w:tcBorders>
            <w:shd w:val="clear" w:color="auto" w:fill="663300"/>
            <w:vAlign w:val="center"/>
          </w:tcPr>
          <w:p w:rsidR="00BE4957" w:rsidRPr="00002A44" w:rsidRDefault="00BE4957" w:rsidP="00BE4957">
            <w:pPr>
              <w:jc w:val="center"/>
              <w:rPr>
                <w:rFonts w:asciiTheme="minorHAnsi" w:hAnsiTheme="minorHAnsi" w:cs="Arial"/>
                <w:color w:val="FFFFFF"/>
              </w:rPr>
            </w:pPr>
            <w:r w:rsidRPr="00002A44">
              <w:rPr>
                <w:rFonts w:asciiTheme="minorHAnsi" w:hAnsiTheme="minorHAnsi" w:cs="Arial"/>
                <w:color w:val="FFFFFF"/>
              </w:rPr>
              <w:t>Sediment &amp; Toxics</w:t>
            </w:r>
          </w:p>
        </w:tc>
        <w:tc>
          <w:tcPr>
            <w:tcW w:w="469" w:type="pct"/>
            <w:tcBorders>
              <w:top w:val="nil"/>
              <w:left w:val="single" w:sz="8" w:space="0" w:color="auto"/>
              <w:bottom w:val="single" w:sz="18" w:space="0" w:color="auto"/>
              <w:right w:val="single" w:sz="8" w:space="0" w:color="auto"/>
            </w:tcBorders>
            <w:shd w:val="clear" w:color="auto" w:fill="663300"/>
            <w:vAlign w:val="center"/>
          </w:tcPr>
          <w:p w:rsidR="00BE4957" w:rsidRPr="00002A44" w:rsidRDefault="00BE4957" w:rsidP="00BE4957">
            <w:pPr>
              <w:jc w:val="center"/>
              <w:rPr>
                <w:rFonts w:asciiTheme="minorHAnsi" w:hAnsiTheme="minorHAnsi"/>
                <w:color w:val="FFFFFF"/>
              </w:rPr>
            </w:pPr>
            <w:r w:rsidRPr="00002A44">
              <w:rPr>
                <w:rFonts w:asciiTheme="minorHAnsi" w:hAnsiTheme="minorHAnsi" w:cs="Arial"/>
                <w:color w:val="FFFFFF"/>
              </w:rPr>
              <w:t>Sediment &amp; Toxics</w:t>
            </w:r>
          </w:p>
        </w:tc>
        <w:tc>
          <w:tcPr>
            <w:tcW w:w="504" w:type="pct"/>
            <w:tcBorders>
              <w:top w:val="nil"/>
              <w:left w:val="single" w:sz="8" w:space="0" w:color="auto"/>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olor w:val="FFFFFF"/>
              </w:rPr>
            </w:pPr>
          </w:p>
        </w:tc>
        <w:tc>
          <w:tcPr>
            <w:tcW w:w="454" w:type="pct"/>
            <w:tcBorders>
              <w:top w:val="nil"/>
              <w:left w:val="single" w:sz="8" w:space="0" w:color="auto"/>
              <w:bottom w:val="single" w:sz="18" w:space="0" w:color="auto"/>
              <w:right w:val="single" w:sz="8" w:space="0" w:color="auto"/>
            </w:tcBorders>
            <w:shd w:val="clear" w:color="auto" w:fill="663300"/>
            <w:vAlign w:val="center"/>
          </w:tcPr>
          <w:p w:rsidR="00BE4957" w:rsidRPr="00002A44" w:rsidRDefault="00BE4957" w:rsidP="00BE4957">
            <w:pPr>
              <w:jc w:val="center"/>
              <w:rPr>
                <w:rFonts w:asciiTheme="minorHAnsi" w:hAnsiTheme="minorHAnsi"/>
                <w:color w:val="FFFFFF"/>
              </w:rPr>
            </w:pPr>
            <w:r w:rsidRPr="00002A44">
              <w:rPr>
                <w:rFonts w:asciiTheme="minorHAnsi" w:hAnsiTheme="minorHAnsi" w:cs="Arial"/>
                <w:color w:val="FFFFFF"/>
              </w:rPr>
              <w:t>Sediment &amp; Toxics</w:t>
            </w:r>
          </w:p>
        </w:tc>
        <w:tc>
          <w:tcPr>
            <w:tcW w:w="487" w:type="pct"/>
            <w:tcBorders>
              <w:top w:val="nil"/>
              <w:left w:val="single" w:sz="8" w:space="0" w:color="auto"/>
              <w:bottom w:val="single" w:sz="18" w:space="0" w:color="auto"/>
              <w:right w:val="single" w:sz="8" w:space="0" w:color="auto"/>
            </w:tcBorders>
            <w:shd w:val="clear" w:color="auto" w:fill="663300"/>
            <w:vAlign w:val="center"/>
          </w:tcPr>
          <w:p w:rsidR="00BE4957" w:rsidRPr="00002A44" w:rsidRDefault="00BE4957" w:rsidP="00BE4957">
            <w:pPr>
              <w:jc w:val="center"/>
              <w:rPr>
                <w:rFonts w:asciiTheme="minorHAnsi" w:hAnsiTheme="minorHAnsi"/>
                <w:color w:val="FFFFFF"/>
              </w:rPr>
            </w:pPr>
            <w:r w:rsidRPr="00002A44">
              <w:rPr>
                <w:rFonts w:asciiTheme="minorHAnsi" w:hAnsiTheme="minorHAnsi" w:cs="Arial"/>
                <w:color w:val="FFFFFF"/>
              </w:rPr>
              <w:t>Sediment &amp; Toxics</w:t>
            </w:r>
          </w:p>
        </w:tc>
        <w:tc>
          <w:tcPr>
            <w:tcW w:w="487" w:type="pct"/>
            <w:tcBorders>
              <w:top w:val="nil"/>
              <w:left w:val="single" w:sz="8" w:space="0" w:color="auto"/>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olor w:val="FFFFFF"/>
              </w:rPr>
            </w:pPr>
          </w:p>
        </w:tc>
        <w:tc>
          <w:tcPr>
            <w:tcW w:w="421" w:type="pct"/>
            <w:tcBorders>
              <w:top w:val="nil"/>
              <w:left w:val="single" w:sz="8" w:space="0" w:color="auto"/>
              <w:bottom w:val="single" w:sz="18" w:space="0" w:color="auto"/>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single" w:sz="18" w:space="0" w:color="auto"/>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nil"/>
              <w:left w:val="single" w:sz="8" w:space="0" w:color="auto"/>
              <w:bottom w:val="single" w:sz="18" w:space="0" w:color="C00000"/>
              <w:right w:val="single" w:sz="8" w:space="0" w:color="auto"/>
            </w:tcBorders>
            <w:vAlign w:val="center"/>
          </w:tcPr>
          <w:p w:rsidR="00BE4957" w:rsidRPr="00002A44" w:rsidRDefault="00BE4957" w:rsidP="00BE4957">
            <w:pPr>
              <w:jc w:val="center"/>
              <w:rPr>
                <w:rFonts w:asciiTheme="minorHAnsi" w:hAnsiTheme="minorHAnsi" w:cs="Arial"/>
              </w:rPr>
            </w:pPr>
          </w:p>
        </w:tc>
        <w:tc>
          <w:tcPr>
            <w:tcW w:w="452" w:type="pct"/>
            <w:tcBorders>
              <w:top w:val="nil"/>
              <w:left w:val="single" w:sz="8" w:space="0" w:color="auto"/>
              <w:bottom w:val="single" w:sz="18" w:space="0" w:color="C00000"/>
              <w:right w:val="single" w:sz="18" w:space="0" w:color="auto"/>
            </w:tcBorders>
            <w:vAlign w:val="center"/>
          </w:tcPr>
          <w:p w:rsidR="00BE4957" w:rsidRPr="00002A44" w:rsidRDefault="00BE4957" w:rsidP="00BE4957">
            <w:pPr>
              <w:jc w:val="center"/>
              <w:rPr>
                <w:rFonts w:asciiTheme="minorHAnsi" w:hAnsiTheme="minorHAnsi" w:cs="Arial"/>
              </w:rPr>
            </w:pPr>
          </w:p>
        </w:tc>
      </w:tr>
      <w:tr w:rsidR="00BE4957" w:rsidRPr="00002A44" w:rsidTr="00046731">
        <w:trPr>
          <w:trHeight w:val="720"/>
        </w:trPr>
        <w:tc>
          <w:tcPr>
            <w:tcW w:w="461" w:type="pct"/>
            <w:vMerge w:val="restart"/>
            <w:tcBorders>
              <w:top w:val="single" w:sz="18" w:space="0" w:color="auto"/>
              <w:left w:val="single" w:sz="18" w:space="0" w:color="auto"/>
              <w:right w:val="single" w:sz="36" w:space="0" w:color="auto"/>
            </w:tcBorders>
            <w:shd w:val="clear" w:color="auto" w:fill="DDD9C3" w:themeFill="background2" w:themeFillShade="E6"/>
            <w:vAlign w:val="center"/>
          </w:tcPr>
          <w:p w:rsidR="00BE4957" w:rsidRPr="00046731" w:rsidRDefault="00BE4957" w:rsidP="00BE4957">
            <w:pPr>
              <w:jc w:val="center"/>
              <w:rPr>
                <w:rFonts w:asciiTheme="minorHAnsi" w:hAnsiTheme="minorHAnsi" w:cs="Arial"/>
                <w:b/>
                <w:sz w:val="24"/>
                <w:szCs w:val="24"/>
              </w:rPr>
            </w:pPr>
            <w:r w:rsidRPr="00046731">
              <w:rPr>
                <w:rFonts w:asciiTheme="minorHAnsi" w:hAnsiTheme="minorHAnsi" w:cs="Arial"/>
                <w:b/>
                <w:sz w:val="24"/>
                <w:szCs w:val="24"/>
              </w:rPr>
              <w:t>Other</w:t>
            </w:r>
          </w:p>
          <w:p w:rsidR="00BE4957" w:rsidRPr="00002A44" w:rsidRDefault="00BE4957" w:rsidP="00BE4957">
            <w:pPr>
              <w:jc w:val="center"/>
              <w:rPr>
                <w:rFonts w:asciiTheme="minorHAnsi" w:hAnsiTheme="minorHAnsi" w:cs="Arial"/>
              </w:rPr>
            </w:pPr>
            <w:r w:rsidRPr="00046731">
              <w:rPr>
                <w:rFonts w:asciiTheme="minorHAnsi" w:hAnsiTheme="minorHAnsi" w:cs="Arial"/>
                <w:b/>
                <w:sz w:val="24"/>
                <w:szCs w:val="24"/>
              </w:rPr>
              <w:t>Milestones</w:t>
            </w:r>
          </w:p>
        </w:tc>
        <w:tc>
          <w:tcPr>
            <w:tcW w:w="487" w:type="pct"/>
            <w:tcBorders>
              <w:top w:val="single" w:sz="18" w:space="0" w:color="auto"/>
              <w:left w:val="single" w:sz="36"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69" w:type="pct"/>
            <w:tcBorders>
              <w:top w:val="single" w:sz="18" w:space="0" w:color="auto"/>
              <w:left w:val="single" w:sz="8" w:space="0" w:color="auto"/>
              <w:bottom w:val="single" w:sz="18" w:space="0" w:color="0070C0"/>
              <w:right w:val="single" w:sz="8" w:space="0" w:color="auto"/>
            </w:tcBorders>
            <w:shd w:val="clear" w:color="auto" w:fill="FFFFCC"/>
            <w:vAlign w:val="center"/>
          </w:tcPr>
          <w:p w:rsidR="00BE4957" w:rsidRPr="00002A44" w:rsidRDefault="00BE4957" w:rsidP="00BE4957">
            <w:pPr>
              <w:jc w:val="center"/>
              <w:rPr>
                <w:rFonts w:asciiTheme="minorHAnsi" w:hAnsiTheme="minorHAnsi" w:cs="Arial"/>
              </w:rPr>
            </w:pPr>
            <w:r w:rsidRPr="00002A44">
              <w:rPr>
                <w:rFonts w:asciiTheme="minorHAnsi" w:hAnsiTheme="minorHAnsi" w:cs="Arial"/>
              </w:rPr>
              <w:t xml:space="preserve">EQC      </w:t>
            </w:r>
            <w:r>
              <w:rPr>
                <w:rFonts w:asciiTheme="minorHAnsi" w:hAnsiTheme="minorHAnsi" w:cs="Arial"/>
              </w:rPr>
              <w:t xml:space="preserve">    </w:t>
            </w:r>
            <w:r w:rsidRPr="00002A44">
              <w:rPr>
                <w:rFonts w:asciiTheme="minorHAnsi" w:hAnsiTheme="minorHAnsi" w:cs="Arial"/>
              </w:rPr>
              <w:t>April 29-30</w:t>
            </w:r>
          </w:p>
        </w:tc>
        <w:tc>
          <w:tcPr>
            <w:tcW w:w="504" w:type="pct"/>
            <w:tcBorders>
              <w:top w:val="single" w:sz="18" w:space="0" w:color="auto"/>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54" w:type="pct"/>
            <w:tcBorders>
              <w:top w:val="single" w:sz="18" w:space="0" w:color="auto"/>
              <w:left w:val="single" w:sz="8" w:space="0" w:color="auto"/>
              <w:bottom w:val="nil"/>
              <w:right w:val="single" w:sz="8" w:space="0" w:color="auto"/>
            </w:tcBorders>
            <w:shd w:val="clear" w:color="auto" w:fill="FFFFCC"/>
            <w:vAlign w:val="center"/>
          </w:tcPr>
          <w:p w:rsidR="00BE4957" w:rsidRDefault="00BE4957" w:rsidP="00BE4957">
            <w:pPr>
              <w:jc w:val="center"/>
              <w:rPr>
                <w:rFonts w:asciiTheme="minorHAnsi" w:hAnsiTheme="minorHAnsi" w:cs="Arial"/>
              </w:rPr>
            </w:pPr>
            <w:r>
              <w:rPr>
                <w:rFonts w:asciiTheme="minorHAnsi" w:hAnsiTheme="minorHAnsi" w:cs="Arial"/>
              </w:rPr>
              <w:t>EQC</w:t>
            </w:r>
          </w:p>
          <w:p w:rsidR="00BE4957" w:rsidRPr="00002A44" w:rsidRDefault="00BE4957" w:rsidP="00BE4957">
            <w:pPr>
              <w:jc w:val="center"/>
              <w:rPr>
                <w:rFonts w:asciiTheme="minorHAnsi" w:hAnsiTheme="minorHAnsi" w:cs="Arial"/>
              </w:rPr>
            </w:pPr>
            <w:r w:rsidRPr="00002A44">
              <w:rPr>
                <w:rFonts w:asciiTheme="minorHAnsi" w:hAnsiTheme="minorHAnsi" w:cs="Arial"/>
              </w:rPr>
              <w:t>June 16-17</w:t>
            </w:r>
          </w:p>
        </w:tc>
        <w:tc>
          <w:tcPr>
            <w:tcW w:w="487" w:type="pct"/>
            <w:tcBorders>
              <w:top w:val="single" w:sz="18" w:space="0" w:color="auto"/>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487" w:type="pct"/>
            <w:tcBorders>
              <w:top w:val="single" w:sz="18" w:space="0" w:color="auto"/>
              <w:left w:val="single" w:sz="8" w:space="0" w:color="auto"/>
              <w:bottom w:val="nil"/>
              <w:right w:val="single" w:sz="8" w:space="0" w:color="auto"/>
            </w:tcBorders>
            <w:shd w:val="clear" w:color="auto" w:fill="FFFFCC"/>
            <w:vAlign w:val="center"/>
          </w:tcPr>
          <w:p w:rsidR="00BE4957" w:rsidRDefault="00BE4957" w:rsidP="00BE4957">
            <w:pPr>
              <w:jc w:val="center"/>
              <w:rPr>
                <w:rFonts w:asciiTheme="minorHAnsi" w:hAnsiTheme="minorHAnsi" w:cs="Arial"/>
              </w:rPr>
            </w:pPr>
            <w:r>
              <w:rPr>
                <w:rFonts w:asciiTheme="minorHAnsi" w:hAnsiTheme="minorHAnsi" w:cs="Arial"/>
              </w:rPr>
              <w:t>EQC</w:t>
            </w:r>
          </w:p>
          <w:p w:rsidR="00BE4957" w:rsidRPr="00002A44" w:rsidRDefault="00BE4957" w:rsidP="00BE4957">
            <w:pPr>
              <w:jc w:val="center"/>
              <w:rPr>
                <w:rFonts w:asciiTheme="minorHAnsi" w:hAnsiTheme="minorHAnsi" w:cs="Arial"/>
              </w:rPr>
            </w:pPr>
            <w:r w:rsidRPr="00002A44">
              <w:rPr>
                <w:rFonts w:asciiTheme="minorHAnsi" w:hAnsiTheme="minorHAnsi" w:cs="Arial"/>
              </w:rPr>
              <w:t>Aug. 18-19</w:t>
            </w:r>
          </w:p>
        </w:tc>
        <w:tc>
          <w:tcPr>
            <w:tcW w:w="421" w:type="pct"/>
            <w:tcBorders>
              <w:top w:val="single" w:sz="18" w:space="0" w:color="auto"/>
              <w:left w:val="single" w:sz="8" w:space="0" w:color="auto"/>
              <w:bottom w:val="nil"/>
              <w:right w:val="single" w:sz="8" w:space="0" w:color="auto"/>
            </w:tcBorders>
            <w:vAlign w:val="center"/>
          </w:tcPr>
          <w:p w:rsidR="00BE4957" w:rsidRPr="00002A44" w:rsidRDefault="00BE4957" w:rsidP="00BE4957">
            <w:pPr>
              <w:jc w:val="center"/>
              <w:rPr>
                <w:rFonts w:asciiTheme="minorHAnsi" w:hAnsiTheme="minorHAnsi" w:cs="Arial"/>
              </w:rPr>
            </w:pPr>
          </w:p>
        </w:tc>
        <w:tc>
          <w:tcPr>
            <w:tcW w:w="389" w:type="pct"/>
            <w:tcBorders>
              <w:top w:val="single" w:sz="18" w:space="0" w:color="auto"/>
              <w:left w:val="single" w:sz="8" w:space="0" w:color="auto"/>
              <w:bottom w:val="nil"/>
              <w:right w:val="single" w:sz="18" w:space="0" w:color="C00000"/>
            </w:tcBorders>
            <w:shd w:val="clear" w:color="auto" w:fill="FFFFCC"/>
            <w:vAlign w:val="center"/>
          </w:tcPr>
          <w:p w:rsidR="00BE4957" w:rsidRDefault="00BE4957" w:rsidP="00BE4957">
            <w:pPr>
              <w:jc w:val="center"/>
              <w:rPr>
                <w:rFonts w:asciiTheme="minorHAnsi" w:hAnsiTheme="minorHAnsi" w:cs="Arial"/>
              </w:rPr>
            </w:pPr>
            <w:r>
              <w:rPr>
                <w:rFonts w:asciiTheme="minorHAnsi" w:hAnsiTheme="minorHAnsi" w:cs="Arial"/>
              </w:rPr>
              <w:t>EQC</w:t>
            </w:r>
          </w:p>
          <w:p w:rsidR="00BE4957" w:rsidRPr="00002A44" w:rsidRDefault="00BE4957" w:rsidP="00BE4957">
            <w:pPr>
              <w:jc w:val="center"/>
              <w:rPr>
                <w:rFonts w:asciiTheme="minorHAnsi" w:hAnsiTheme="minorHAnsi" w:cs="Arial"/>
              </w:rPr>
            </w:pPr>
            <w:r w:rsidRPr="00002A44">
              <w:rPr>
                <w:rFonts w:asciiTheme="minorHAnsi" w:hAnsiTheme="minorHAnsi" w:cs="Arial"/>
              </w:rPr>
              <w:t>Oct. 21-22</w:t>
            </w:r>
          </w:p>
        </w:tc>
        <w:tc>
          <w:tcPr>
            <w:tcW w:w="389" w:type="pct"/>
            <w:tcBorders>
              <w:top w:val="single" w:sz="18" w:space="0" w:color="C00000"/>
              <w:left w:val="single" w:sz="18" w:space="0" w:color="C00000"/>
              <w:bottom w:val="single" w:sz="18" w:space="0" w:color="C00000"/>
              <w:right w:val="single" w:sz="18" w:space="0" w:color="C00000"/>
            </w:tcBorders>
            <w:shd w:val="clear" w:color="auto" w:fill="FFFFFF" w:themeFill="background1"/>
            <w:vAlign w:val="center"/>
          </w:tcPr>
          <w:p w:rsidR="00BE4957" w:rsidRPr="00002A44" w:rsidRDefault="00BE4957" w:rsidP="00BE4957">
            <w:pPr>
              <w:jc w:val="center"/>
              <w:rPr>
                <w:rFonts w:asciiTheme="minorHAnsi" w:hAnsiTheme="minorHAnsi" w:cs="Arial"/>
              </w:rPr>
            </w:pPr>
            <w:r w:rsidRPr="00C82118">
              <w:rPr>
                <w:rFonts w:asciiTheme="minorHAnsi" w:hAnsiTheme="minorHAnsi" w:cs="Arial"/>
              </w:rPr>
              <w:t>Draft Rule Package for SOS</w:t>
            </w:r>
          </w:p>
        </w:tc>
        <w:tc>
          <w:tcPr>
            <w:tcW w:w="452" w:type="pct"/>
            <w:tcBorders>
              <w:top w:val="single" w:sz="18" w:space="0" w:color="C00000"/>
              <w:left w:val="single" w:sz="18" w:space="0" w:color="C00000"/>
              <w:bottom w:val="single" w:sz="18" w:space="0" w:color="C00000"/>
              <w:right w:val="single" w:sz="18" w:space="0" w:color="auto"/>
            </w:tcBorders>
            <w:shd w:val="clear" w:color="auto" w:fill="FFFFFF" w:themeFill="background1"/>
            <w:vAlign w:val="center"/>
          </w:tcPr>
          <w:p w:rsidR="00BE4957" w:rsidRPr="008E7C3E" w:rsidRDefault="00BE4957" w:rsidP="00BE4957">
            <w:pPr>
              <w:jc w:val="center"/>
              <w:rPr>
                <w:rFonts w:asciiTheme="minorHAnsi" w:hAnsiTheme="minorHAnsi" w:cs="Arial"/>
                <w:b/>
              </w:rPr>
            </w:pPr>
            <w:r w:rsidRPr="008E7C3E">
              <w:rPr>
                <w:rFonts w:asciiTheme="minorHAnsi" w:hAnsiTheme="minorHAnsi" w:cs="Arial"/>
                <w:b/>
              </w:rPr>
              <w:t>Final Rule Package for SOS</w:t>
            </w:r>
          </w:p>
        </w:tc>
      </w:tr>
      <w:tr w:rsidR="00BE4957" w:rsidRPr="00002A44" w:rsidTr="00046731">
        <w:trPr>
          <w:trHeight w:val="720"/>
        </w:trPr>
        <w:tc>
          <w:tcPr>
            <w:tcW w:w="461" w:type="pct"/>
            <w:vMerge/>
            <w:tcBorders>
              <w:left w:val="single" w:sz="18" w:space="0" w:color="auto"/>
              <w:bottom w:val="single" w:sz="18" w:space="0" w:color="auto"/>
              <w:right w:val="single" w:sz="36" w:space="0" w:color="auto"/>
            </w:tcBorders>
            <w:shd w:val="clear" w:color="auto" w:fill="DDD9C3" w:themeFill="background2" w:themeFillShade="E6"/>
            <w:vAlign w:val="center"/>
          </w:tcPr>
          <w:p w:rsidR="00BE4957" w:rsidRDefault="00BE4957" w:rsidP="00BE4957">
            <w:pPr>
              <w:jc w:val="center"/>
              <w:rPr>
                <w:rFonts w:asciiTheme="minorHAnsi" w:hAnsiTheme="minorHAnsi" w:cs="Arial"/>
              </w:rPr>
            </w:pPr>
          </w:p>
        </w:tc>
        <w:tc>
          <w:tcPr>
            <w:tcW w:w="487" w:type="pct"/>
            <w:tcBorders>
              <w:top w:val="nil"/>
              <w:left w:val="single" w:sz="36" w:space="0" w:color="auto"/>
              <w:bottom w:val="single" w:sz="18" w:space="0" w:color="auto"/>
              <w:right w:val="single" w:sz="18" w:space="0" w:color="0070C0"/>
            </w:tcBorders>
            <w:shd w:val="clear" w:color="auto" w:fill="auto"/>
            <w:vAlign w:val="center"/>
          </w:tcPr>
          <w:p w:rsidR="00BE4957" w:rsidRPr="00002A44" w:rsidRDefault="00BE4957" w:rsidP="00BE4957">
            <w:pPr>
              <w:jc w:val="center"/>
              <w:rPr>
                <w:rFonts w:asciiTheme="minorHAnsi" w:hAnsiTheme="minorHAnsi" w:cs="Arial"/>
              </w:rPr>
            </w:pPr>
          </w:p>
        </w:tc>
        <w:tc>
          <w:tcPr>
            <w:tcW w:w="469" w:type="pct"/>
            <w:tcBorders>
              <w:top w:val="single" w:sz="18" w:space="0" w:color="0070C0"/>
              <w:left w:val="single" w:sz="18" w:space="0" w:color="0070C0"/>
              <w:bottom w:val="single" w:sz="18" w:space="0" w:color="0070C0"/>
              <w:right w:val="single" w:sz="18" w:space="0" w:color="0070C0"/>
            </w:tcBorders>
            <w:shd w:val="clear" w:color="auto" w:fill="auto"/>
            <w:vAlign w:val="center"/>
          </w:tcPr>
          <w:p w:rsidR="00BE4957" w:rsidRPr="00002A44" w:rsidRDefault="00BE4957" w:rsidP="00BE4957">
            <w:pPr>
              <w:jc w:val="center"/>
              <w:rPr>
                <w:rFonts w:asciiTheme="minorHAnsi" w:hAnsiTheme="minorHAnsi" w:cs="Arial"/>
              </w:rPr>
            </w:pPr>
            <w:r>
              <w:rPr>
                <w:rFonts w:asciiTheme="minorHAnsi" w:hAnsiTheme="minorHAnsi" w:cs="Arial"/>
              </w:rPr>
              <w:t>Scope of rulemaking finalized</w:t>
            </w:r>
          </w:p>
        </w:tc>
        <w:tc>
          <w:tcPr>
            <w:tcW w:w="504" w:type="pct"/>
            <w:tcBorders>
              <w:top w:val="nil"/>
              <w:left w:val="single" w:sz="18" w:space="0" w:color="0070C0"/>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454" w:type="pct"/>
            <w:tcBorders>
              <w:top w:val="nil"/>
              <w:left w:val="single" w:sz="8" w:space="0" w:color="auto"/>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487" w:type="pct"/>
            <w:tcBorders>
              <w:top w:val="nil"/>
              <w:left w:val="single" w:sz="8" w:space="0" w:color="auto"/>
              <w:bottom w:val="single" w:sz="18" w:space="0" w:color="auto"/>
              <w:right w:val="single" w:sz="8"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421" w:type="pct"/>
            <w:tcBorders>
              <w:top w:val="nil"/>
              <w:left w:val="single" w:sz="8" w:space="0" w:color="auto"/>
              <w:bottom w:val="single" w:sz="18" w:space="0" w:color="auto"/>
              <w:right w:val="single" w:sz="4"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389" w:type="pct"/>
            <w:tcBorders>
              <w:top w:val="nil"/>
              <w:left w:val="single" w:sz="4" w:space="0" w:color="auto"/>
              <w:bottom w:val="single" w:sz="18" w:space="0" w:color="auto"/>
              <w:right w:val="single" w:sz="4" w:space="0" w:color="auto"/>
            </w:tcBorders>
            <w:shd w:val="clear" w:color="auto" w:fill="auto"/>
            <w:vAlign w:val="center"/>
          </w:tcPr>
          <w:p w:rsidR="00BE4957" w:rsidRPr="00002A44" w:rsidRDefault="00BE4957" w:rsidP="00BE4957">
            <w:pPr>
              <w:jc w:val="center"/>
              <w:rPr>
                <w:rFonts w:asciiTheme="minorHAnsi" w:hAnsiTheme="minorHAnsi" w:cs="Arial"/>
              </w:rPr>
            </w:pPr>
          </w:p>
        </w:tc>
        <w:tc>
          <w:tcPr>
            <w:tcW w:w="389" w:type="pct"/>
            <w:tcBorders>
              <w:top w:val="single" w:sz="18" w:space="0" w:color="C00000"/>
              <w:left w:val="single" w:sz="4" w:space="0" w:color="auto"/>
              <w:bottom w:val="single" w:sz="18" w:space="0" w:color="auto"/>
              <w:right w:val="single" w:sz="4" w:space="0" w:color="auto"/>
            </w:tcBorders>
            <w:shd w:val="clear" w:color="auto" w:fill="auto"/>
            <w:vAlign w:val="center"/>
          </w:tcPr>
          <w:p w:rsidR="00BE4957" w:rsidRPr="00C82118" w:rsidRDefault="00BE4957" w:rsidP="00BE4957">
            <w:pPr>
              <w:jc w:val="center"/>
              <w:rPr>
                <w:rFonts w:asciiTheme="minorHAnsi" w:hAnsiTheme="minorHAnsi" w:cs="Arial"/>
              </w:rPr>
            </w:pPr>
          </w:p>
        </w:tc>
        <w:tc>
          <w:tcPr>
            <w:tcW w:w="452" w:type="pct"/>
            <w:tcBorders>
              <w:top w:val="single" w:sz="18" w:space="0" w:color="C00000"/>
              <w:left w:val="single" w:sz="4" w:space="0" w:color="auto"/>
              <w:bottom w:val="single" w:sz="18" w:space="0" w:color="auto"/>
              <w:right w:val="single" w:sz="18" w:space="0" w:color="auto"/>
            </w:tcBorders>
            <w:shd w:val="clear" w:color="auto" w:fill="auto"/>
            <w:vAlign w:val="center"/>
          </w:tcPr>
          <w:p w:rsidR="00BE4957" w:rsidRPr="00C82118" w:rsidRDefault="00BE4957" w:rsidP="00BE4957">
            <w:pPr>
              <w:jc w:val="center"/>
              <w:rPr>
                <w:rFonts w:asciiTheme="minorHAnsi" w:hAnsiTheme="minorHAnsi" w:cs="Arial"/>
              </w:rPr>
            </w:pPr>
          </w:p>
        </w:tc>
      </w:tr>
    </w:tbl>
    <w:p w:rsidR="00A03CC4" w:rsidRPr="00046731" w:rsidRDefault="00616A9D" w:rsidP="0005106B">
      <w:pPr>
        <w:rPr>
          <w:sz w:val="20"/>
          <w:szCs w:val="20"/>
        </w:rPr>
      </w:pPr>
      <w:r>
        <w:rPr>
          <w:b/>
          <w:sz w:val="20"/>
          <w:szCs w:val="20"/>
        </w:rPr>
        <w:t>*</w:t>
      </w:r>
      <w:r w:rsidR="00A03CC4" w:rsidRPr="00680FE3">
        <w:rPr>
          <w:sz w:val="20"/>
          <w:szCs w:val="20"/>
        </w:rPr>
        <w:t>Adjustments to the agenda topics may occur based on work group discussions and DEQ rulemaking milestones.</w:t>
      </w:r>
      <w:r w:rsidR="00A03CC4">
        <w:rPr>
          <w:sz w:val="20"/>
          <w:szCs w:val="20"/>
        </w:rPr>
        <w:t xml:space="preserve">  Agenda items listed above have not been assigned specific time frames for each meeting. </w:t>
      </w:r>
    </w:p>
    <w:sectPr w:rsidR="00A03CC4" w:rsidRPr="00046731" w:rsidSect="00FB6F54">
      <w:headerReference w:type="default" r:id="rId14"/>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0BC" w:rsidRDefault="00A500BC" w:rsidP="00C626D7">
      <w:pPr>
        <w:spacing w:after="0" w:line="240" w:lineRule="auto"/>
      </w:pPr>
      <w:r>
        <w:separator/>
      </w:r>
    </w:p>
  </w:endnote>
  <w:endnote w:type="continuationSeparator" w:id="0">
    <w:p w:rsidR="00A500BC" w:rsidRDefault="00A500BC" w:rsidP="00C62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6079"/>
      <w:docPartObj>
        <w:docPartGallery w:val="Page Numbers (Bottom of Page)"/>
        <w:docPartUnique/>
      </w:docPartObj>
    </w:sdtPr>
    <w:sdtContent>
      <w:p w:rsidR="00A500BC" w:rsidRDefault="00794DDF">
        <w:pPr>
          <w:pStyle w:val="Footer"/>
          <w:jc w:val="center"/>
        </w:pPr>
        <w:fldSimple w:instr=" PAGE   \* MERGEFORMAT ">
          <w:r w:rsidR="00364324">
            <w:rPr>
              <w:noProof/>
            </w:rPr>
            <w:t>1</w:t>
          </w:r>
        </w:fldSimple>
      </w:p>
    </w:sdtContent>
  </w:sdt>
  <w:p w:rsidR="00A500BC" w:rsidRDefault="00A50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0BC" w:rsidRDefault="00A500BC" w:rsidP="00C626D7">
      <w:pPr>
        <w:spacing w:after="0" w:line="240" w:lineRule="auto"/>
      </w:pPr>
      <w:r>
        <w:separator/>
      </w:r>
    </w:p>
  </w:footnote>
  <w:footnote w:type="continuationSeparator" w:id="0">
    <w:p w:rsidR="00A500BC" w:rsidRDefault="00A500BC" w:rsidP="00C626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C" w:rsidRDefault="00A500BC">
    <w:pPr>
      <w:pStyle w:val="Header"/>
    </w:pPr>
    <w:r>
      <w:tab/>
    </w:r>
    <w:r>
      <w:tab/>
      <w:t>March 26, 2010</w:t>
    </w:r>
  </w:p>
  <w:p w:rsidR="00A500BC" w:rsidRDefault="00A500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C" w:rsidRDefault="00A500BC">
    <w:pPr>
      <w:pStyle w:val="Header"/>
    </w:pPr>
    <w:r>
      <w:tab/>
    </w:r>
    <w:r>
      <w:tab/>
      <w:t>March 26, 2010</w:t>
    </w:r>
  </w:p>
  <w:p w:rsidR="00A500BC" w:rsidRDefault="00A500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BC" w:rsidRDefault="00A500BC">
    <w:pPr>
      <w:pStyle w:val="Header"/>
    </w:pPr>
    <w:r w:rsidRPr="00FB6F54">
      <w:rPr>
        <w:b/>
        <w:sz w:val="32"/>
        <w:szCs w:val="32"/>
      </w:rPr>
      <w:t>TABLE 2:  Work Group Monthly Draft Agenda Items for Toxics Rulemaking</w:t>
    </w:r>
    <w:r>
      <w:tab/>
    </w:r>
    <w:r>
      <w:tab/>
      <w:t>March 26, 2010</w:t>
    </w:r>
  </w:p>
  <w:p w:rsidR="00A500BC" w:rsidRDefault="00A5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43F1062"/>
    <w:multiLevelType w:val="multilevel"/>
    <w:tmpl w:val="45F8919E"/>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2611B"/>
    <w:multiLevelType w:val="hybridMultilevel"/>
    <w:tmpl w:val="2E0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F2154"/>
    <w:multiLevelType w:val="hybridMultilevel"/>
    <w:tmpl w:val="F312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048BE"/>
    <w:multiLevelType w:val="hybridMultilevel"/>
    <w:tmpl w:val="C4C2C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1473B7"/>
    <w:rsid w:val="00022EC6"/>
    <w:rsid w:val="00046731"/>
    <w:rsid w:val="0005106B"/>
    <w:rsid w:val="00065029"/>
    <w:rsid w:val="000A21B7"/>
    <w:rsid w:val="00114B09"/>
    <w:rsid w:val="001473B7"/>
    <w:rsid w:val="00147D8F"/>
    <w:rsid w:val="001B1BF9"/>
    <w:rsid w:val="001B28FF"/>
    <w:rsid w:val="001F71BC"/>
    <w:rsid w:val="00234606"/>
    <w:rsid w:val="00284D3A"/>
    <w:rsid w:val="00294FBD"/>
    <w:rsid w:val="002B6036"/>
    <w:rsid w:val="00303CB0"/>
    <w:rsid w:val="003278EC"/>
    <w:rsid w:val="003571B2"/>
    <w:rsid w:val="00364324"/>
    <w:rsid w:val="00374C90"/>
    <w:rsid w:val="00375EAF"/>
    <w:rsid w:val="003D4F94"/>
    <w:rsid w:val="004157E6"/>
    <w:rsid w:val="00422806"/>
    <w:rsid w:val="004317A4"/>
    <w:rsid w:val="004678DD"/>
    <w:rsid w:val="00477B98"/>
    <w:rsid w:val="004F60C2"/>
    <w:rsid w:val="00511D13"/>
    <w:rsid w:val="005706A1"/>
    <w:rsid w:val="00616A9D"/>
    <w:rsid w:val="00663B79"/>
    <w:rsid w:val="006D0C9B"/>
    <w:rsid w:val="007775F1"/>
    <w:rsid w:val="007862D2"/>
    <w:rsid w:val="00794DDF"/>
    <w:rsid w:val="007E1EFB"/>
    <w:rsid w:val="008A3A39"/>
    <w:rsid w:val="008D146E"/>
    <w:rsid w:val="008E2BC6"/>
    <w:rsid w:val="008E5504"/>
    <w:rsid w:val="008E7C3E"/>
    <w:rsid w:val="0096016E"/>
    <w:rsid w:val="0096315B"/>
    <w:rsid w:val="00995F69"/>
    <w:rsid w:val="009A6107"/>
    <w:rsid w:val="00A03CC4"/>
    <w:rsid w:val="00A305AD"/>
    <w:rsid w:val="00A500BC"/>
    <w:rsid w:val="00A57F4D"/>
    <w:rsid w:val="00A634A3"/>
    <w:rsid w:val="00A81A48"/>
    <w:rsid w:val="00A8367F"/>
    <w:rsid w:val="00AB47D1"/>
    <w:rsid w:val="00B060F1"/>
    <w:rsid w:val="00B10A9E"/>
    <w:rsid w:val="00B17535"/>
    <w:rsid w:val="00BA6F19"/>
    <w:rsid w:val="00BE4957"/>
    <w:rsid w:val="00BF229C"/>
    <w:rsid w:val="00C223D3"/>
    <w:rsid w:val="00C626D7"/>
    <w:rsid w:val="00C62EAC"/>
    <w:rsid w:val="00C763DC"/>
    <w:rsid w:val="00CE61AD"/>
    <w:rsid w:val="00CE6343"/>
    <w:rsid w:val="00CF167C"/>
    <w:rsid w:val="00D915E9"/>
    <w:rsid w:val="00DB4F45"/>
    <w:rsid w:val="00E1458D"/>
    <w:rsid w:val="00E80A40"/>
    <w:rsid w:val="00F775DD"/>
    <w:rsid w:val="00F80875"/>
    <w:rsid w:val="00F9769F"/>
    <w:rsid w:val="00FB6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B7"/>
    <w:pPr>
      <w:ind w:left="720"/>
      <w:contextualSpacing/>
    </w:pPr>
  </w:style>
  <w:style w:type="paragraph" w:styleId="NormalWeb">
    <w:name w:val="Normal (Web)"/>
    <w:basedOn w:val="Normal"/>
    <w:uiPriority w:val="99"/>
    <w:semiHidden/>
    <w:unhideWhenUsed/>
    <w:rsid w:val="00284D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2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D7"/>
  </w:style>
  <w:style w:type="paragraph" w:styleId="Footer">
    <w:name w:val="footer"/>
    <w:basedOn w:val="Normal"/>
    <w:link w:val="FooterChar"/>
    <w:uiPriority w:val="99"/>
    <w:unhideWhenUsed/>
    <w:rsid w:val="00C62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D7"/>
  </w:style>
  <w:style w:type="paragraph" w:styleId="BalloonText">
    <w:name w:val="Balloon Text"/>
    <w:basedOn w:val="Normal"/>
    <w:link w:val="BalloonTextChar"/>
    <w:uiPriority w:val="99"/>
    <w:semiHidden/>
    <w:unhideWhenUsed/>
    <w:rsid w:val="00022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EC6"/>
    <w:rPr>
      <w:rFonts w:ascii="Tahoma" w:hAnsi="Tahoma" w:cs="Tahoma"/>
      <w:sz w:val="16"/>
      <w:szCs w:val="16"/>
    </w:rPr>
  </w:style>
  <w:style w:type="paragraph" w:styleId="NoSpacing">
    <w:name w:val="No Spacing"/>
    <w:link w:val="NoSpacingChar"/>
    <w:uiPriority w:val="1"/>
    <w:qFormat/>
    <w:rsid w:val="00022EC6"/>
    <w:pPr>
      <w:spacing w:after="0" w:line="240" w:lineRule="auto"/>
    </w:pPr>
    <w:rPr>
      <w:rFonts w:eastAsiaTheme="minorEastAsia"/>
    </w:rPr>
  </w:style>
  <w:style w:type="character" w:customStyle="1" w:styleId="NoSpacingChar">
    <w:name w:val="No Spacing Char"/>
    <w:basedOn w:val="DefaultParagraphFont"/>
    <w:link w:val="NoSpacing"/>
    <w:uiPriority w:val="1"/>
    <w:rsid w:val="00022EC6"/>
    <w:rPr>
      <w:rFonts w:eastAsiaTheme="minorEastAsia"/>
    </w:rPr>
  </w:style>
  <w:style w:type="paragraph" w:styleId="Title">
    <w:name w:val="Title"/>
    <w:basedOn w:val="Normal"/>
    <w:next w:val="Normal"/>
    <w:link w:val="TitleChar"/>
    <w:uiPriority w:val="10"/>
    <w:qFormat/>
    <w:rsid w:val="00022E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2EC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34A3"/>
    <w:rPr>
      <w:sz w:val="16"/>
      <w:szCs w:val="16"/>
    </w:rPr>
  </w:style>
  <w:style w:type="paragraph" w:styleId="CommentText">
    <w:name w:val="annotation text"/>
    <w:basedOn w:val="Normal"/>
    <w:link w:val="CommentTextChar"/>
    <w:uiPriority w:val="99"/>
    <w:semiHidden/>
    <w:unhideWhenUsed/>
    <w:rsid w:val="00A634A3"/>
    <w:pPr>
      <w:spacing w:line="240" w:lineRule="auto"/>
    </w:pPr>
    <w:rPr>
      <w:sz w:val="20"/>
      <w:szCs w:val="20"/>
    </w:rPr>
  </w:style>
  <w:style w:type="character" w:customStyle="1" w:styleId="CommentTextChar">
    <w:name w:val="Comment Text Char"/>
    <w:basedOn w:val="DefaultParagraphFont"/>
    <w:link w:val="CommentText"/>
    <w:uiPriority w:val="99"/>
    <w:semiHidden/>
    <w:rsid w:val="00A634A3"/>
    <w:rPr>
      <w:sz w:val="20"/>
      <w:szCs w:val="20"/>
    </w:rPr>
  </w:style>
  <w:style w:type="paragraph" w:styleId="CommentSubject">
    <w:name w:val="annotation subject"/>
    <w:basedOn w:val="CommentText"/>
    <w:next w:val="CommentText"/>
    <w:link w:val="CommentSubjectChar"/>
    <w:uiPriority w:val="99"/>
    <w:semiHidden/>
    <w:unhideWhenUsed/>
    <w:rsid w:val="00A634A3"/>
    <w:rPr>
      <w:b/>
      <w:bCs/>
    </w:rPr>
  </w:style>
  <w:style w:type="character" w:customStyle="1" w:styleId="CommentSubjectChar">
    <w:name w:val="Comment Subject Char"/>
    <w:basedOn w:val="CommentTextChar"/>
    <w:link w:val="CommentSubject"/>
    <w:uiPriority w:val="99"/>
    <w:semiHidden/>
    <w:rsid w:val="00A634A3"/>
    <w:rPr>
      <w:b/>
      <w:bCs/>
    </w:rPr>
  </w:style>
  <w:style w:type="table" w:styleId="TableGrid">
    <w:name w:val="Table Grid"/>
    <w:basedOn w:val="TableNormal"/>
    <w:rsid w:val="00A03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12249">
      <w:bodyDiv w:val="1"/>
      <w:marLeft w:val="0"/>
      <w:marRight w:val="0"/>
      <w:marTop w:val="0"/>
      <w:marBottom w:val="0"/>
      <w:divBdr>
        <w:top w:val="none" w:sz="0" w:space="0" w:color="auto"/>
        <w:left w:val="none" w:sz="0" w:space="0" w:color="auto"/>
        <w:bottom w:val="none" w:sz="0" w:space="0" w:color="auto"/>
        <w:right w:val="none" w:sz="0" w:space="0" w:color="auto"/>
      </w:divBdr>
    </w:div>
    <w:div w:id="388118554">
      <w:bodyDiv w:val="1"/>
      <w:marLeft w:val="0"/>
      <w:marRight w:val="0"/>
      <w:marTop w:val="0"/>
      <w:marBottom w:val="0"/>
      <w:divBdr>
        <w:top w:val="none" w:sz="0" w:space="0" w:color="auto"/>
        <w:left w:val="none" w:sz="0" w:space="0" w:color="auto"/>
        <w:bottom w:val="none" w:sz="0" w:space="0" w:color="auto"/>
        <w:right w:val="none" w:sz="0" w:space="0" w:color="auto"/>
      </w:divBdr>
    </w:div>
    <w:div w:id="964849276">
      <w:bodyDiv w:val="1"/>
      <w:marLeft w:val="0"/>
      <w:marRight w:val="0"/>
      <w:marTop w:val="0"/>
      <w:marBottom w:val="0"/>
      <w:divBdr>
        <w:top w:val="none" w:sz="0" w:space="0" w:color="auto"/>
        <w:left w:val="none" w:sz="0" w:space="0" w:color="auto"/>
        <w:bottom w:val="none" w:sz="0" w:space="0" w:color="auto"/>
        <w:right w:val="none" w:sz="0" w:space="0" w:color="auto"/>
      </w:divBdr>
      <w:divsChild>
        <w:div w:id="146168560">
          <w:marLeft w:val="0"/>
          <w:marRight w:val="0"/>
          <w:marTop w:val="0"/>
          <w:marBottom w:val="0"/>
          <w:divBdr>
            <w:top w:val="none" w:sz="0" w:space="0" w:color="auto"/>
            <w:left w:val="none" w:sz="0" w:space="0" w:color="auto"/>
            <w:bottom w:val="none" w:sz="0" w:space="0" w:color="auto"/>
            <w:right w:val="none" w:sz="0" w:space="0" w:color="auto"/>
          </w:divBdr>
          <w:divsChild>
            <w:div w:id="1246301649">
              <w:marLeft w:val="0"/>
              <w:marRight w:val="0"/>
              <w:marTop w:val="0"/>
              <w:marBottom w:val="0"/>
              <w:divBdr>
                <w:top w:val="none" w:sz="0" w:space="0" w:color="auto"/>
                <w:left w:val="none" w:sz="0" w:space="0" w:color="auto"/>
                <w:bottom w:val="none" w:sz="0" w:space="0" w:color="auto"/>
                <w:right w:val="none" w:sz="0" w:space="0" w:color="auto"/>
              </w:divBdr>
              <w:divsChild>
                <w:div w:id="19106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1.xlsx"/><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Rulemaking Workplan and Timelines</Category>
    <Subcategory xmlns="ad9aa276-7b0f-4038-ae2b-df44137905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D1B44-1609-4EB1-B02D-2E4E79A0B141}"/>
</file>

<file path=customXml/itemProps2.xml><?xml version="1.0" encoding="utf-8"?>
<ds:datastoreItem xmlns:ds="http://schemas.openxmlformats.org/officeDocument/2006/customXml" ds:itemID="{C56FD75A-05A8-4655-AE6D-07E0DEE35631}"/>
</file>

<file path=customXml/itemProps3.xml><?xml version="1.0" encoding="utf-8"?>
<ds:datastoreItem xmlns:ds="http://schemas.openxmlformats.org/officeDocument/2006/customXml" ds:itemID="{0895C2CE-91FB-4CE1-A294-D09281C43731}"/>
</file>

<file path=customXml/itemProps4.xml><?xml version="1.0" encoding="utf-8"?>
<ds:datastoreItem xmlns:ds="http://schemas.openxmlformats.org/officeDocument/2006/customXml" ds:itemID="{24D6800E-5468-4AEE-8A25-61BE279FC79C}"/>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cp:lastPrinted>2010-03-25T16:47:00Z</cp:lastPrinted>
  <dcterms:created xsi:type="dcterms:W3CDTF">2010-03-26T22:53:00Z</dcterms:created>
  <dcterms:modified xsi:type="dcterms:W3CDTF">2010-03-26T22:53:00Z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