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795" w:rsidRPr="00A47A97" w:rsidRDefault="00AD6DA5" w:rsidP="00AD6949">
      <w:pPr>
        <w:jc w:val="center"/>
        <w:rPr>
          <w:b/>
          <w:color w:val="4F6228" w:themeColor="accent3" w:themeShade="80"/>
          <w:sz w:val="36"/>
          <w:szCs w:val="36"/>
        </w:rPr>
      </w:pPr>
      <w:r w:rsidRPr="00A47A97">
        <w:rPr>
          <w:b/>
          <w:color w:val="4F6228" w:themeColor="accent3" w:themeShade="80"/>
          <w:sz w:val="36"/>
          <w:szCs w:val="36"/>
        </w:rPr>
        <w:t>Toxics Rulemaking Work Group</w:t>
      </w:r>
    </w:p>
    <w:p w:rsidR="00A47A97" w:rsidRDefault="00A47A97" w:rsidP="00AD6DA5">
      <w:pPr>
        <w:jc w:val="center"/>
        <w:rPr>
          <w:b/>
          <w:sz w:val="32"/>
          <w:szCs w:val="32"/>
        </w:rPr>
      </w:pPr>
      <w:r w:rsidRPr="00A47A97">
        <w:rPr>
          <w:b/>
          <w:color w:val="4F6228" w:themeColor="accent3" w:themeShade="80"/>
          <w:sz w:val="36"/>
          <w:szCs w:val="36"/>
        </w:rPr>
        <w:t>Variances</w:t>
      </w:r>
    </w:p>
    <w:p w:rsidR="00AD6DA5" w:rsidRPr="00A47A97" w:rsidRDefault="00AD6DA5" w:rsidP="00AD6DA5">
      <w:pPr>
        <w:jc w:val="center"/>
        <w:rPr>
          <w:sz w:val="32"/>
          <w:szCs w:val="32"/>
        </w:rPr>
      </w:pPr>
      <w:r w:rsidRPr="00A47A97">
        <w:rPr>
          <w:sz w:val="32"/>
          <w:szCs w:val="32"/>
        </w:rPr>
        <w:t xml:space="preserve">Conference Call No:  </w:t>
      </w:r>
      <w:r w:rsidR="00A47A97" w:rsidRPr="00A47A97">
        <w:rPr>
          <w:color w:val="000000" w:themeColor="text1"/>
          <w:sz w:val="28"/>
          <w:szCs w:val="28"/>
        </w:rPr>
        <w:t>1-503-378-</w:t>
      </w:r>
      <w:r w:rsidRPr="00A47A97">
        <w:rPr>
          <w:color w:val="000000" w:themeColor="text1"/>
          <w:sz w:val="28"/>
          <w:szCs w:val="28"/>
        </w:rPr>
        <w:t>3333</w:t>
      </w:r>
    </w:p>
    <w:p w:rsidR="00AD6949" w:rsidRDefault="00AD6949" w:rsidP="00AD6949">
      <w:pPr>
        <w:jc w:val="center"/>
        <w:rPr>
          <w:b/>
          <w:sz w:val="32"/>
          <w:szCs w:val="32"/>
        </w:rPr>
      </w:pPr>
      <w:r w:rsidRPr="00A47A97">
        <w:rPr>
          <w:sz w:val="32"/>
          <w:szCs w:val="32"/>
        </w:rPr>
        <w:t>January 15, 2010</w:t>
      </w:r>
    </w:p>
    <w:p w:rsidR="00AD6DA5" w:rsidRDefault="00985BEC" w:rsidP="00AD6DA5">
      <w:pPr>
        <w:rPr>
          <w:b/>
          <w:sz w:val="32"/>
          <w:szCs w:val="32"/>
        </w:rPr>
      </w:pPr>
      <w:r>
        <w:rPr>
          <w:b/>
          <w:noProof/>
          <w:sz w:val="32"/>
          <w:szCs w:val="32"/>
        </w:rPr>
        <w:pict>
          <v:shapetype id="_x0000_t32" coordsize="21600,21600" o:spt="32" o:oned="t" path="m,l21600,21600e" filled="f">
            <v:path arrowok="t" fillok="f" o:connecttype="none"/>
            <o:lock v:ext="edit" shapetype="t"/>
          </v:shapetype>
          <v:shape id="_x0000_s1026" type="#_x0000_t32" style="position:absolute;margin-left:-9.65pt;margin-top:12.35pt;width:493.45pt;height:.9pt;z-index:251658240" o:connectortype="straight" strokecolor="#76923c [2406]" strokeweight="1.5pt"/>
        </w:pict>
      </w:r>
    </w:p>
    <w:p w:rsidR="00A47A97" w:rsidRPr="00A47A97" w:rsidRDefault="00A47A97" w:rsidP="00AD6DA5">
      <w:pPr>
        <w:rPr>
          <w:b/>
          <w:color w:val="4F6228" w:themeColor="accent3" w:themeShade="80"/>
          <w:sz w:val="32"/>
          <w:szCs w:val="32"/>
        </w:rPr>
      </w:pPr>
      <w:r w:rsidRPr="00A47A97">
        <w:rPr>
          <w:b/>
          <w:color w:val="4F6228" w:themeColor="accent3" w:themeShade="80"/>
          <w:sz w:val="32"/>
          <w:szCs w:val="32"/>
        </w:rPr>
        <w:t>AGENDA</w:t>
      </w:r>
    </w:p>
    <w:p w:rsidR="00A47A97" w:rsidRPr="00A47A97" w:rsidRDefault="00A47A97" w:rsidP="0092771D">
      <w:pPr>
        <w:pStyle w:val="ListParagraph"/>
        <w:numPr>
          <w:ilvl w:val="0"/>
          <w:numId w:val="9"/>
        </w:numPr>
        <w:spacing w:line="360" w:lineRule="auto"/>
        <w:rPr>
          <w:b/>
          <w:sz w:val="24"/>
          <w:szCs w:val="24"/>
        </w:rPr>
      </w:pPr>
      <w:r>
        <w:rPr>
          <w:b/>
          <w:sz w:val="24"/>
          <w:szCs w:val="24"/>
        </w:rPr>
        <w:t>Introductions</w:t>
      </w:r>
    </w:p>
    <w:p w:rsidR="00A47A97" w:rsidRPr="00A47A97" w:rsidRDefault="002E4DC6" w:rsidP="0092771D">
      <w:pPr>
        <w:pStyle w:val="ListParagraph"/>
        <w:numPr>
          <w:ilvl w:val="0"/>
          <w:numId w:val="9"/>
        </w:numPr>
        <w:spacing w:line="360" w:lineRule="auto"/>
        <w:rPr>
          <w:b/>
          <w:sz w:val="24"/>
          <w:szCs w:val="24"/>
        </w:rPr>
      </w:pPr>
      <w:r>
        <w:rPr>
          <w:b/>
          <w:sz w:val="24"/>
          <w:szCs w:val="24"/>
        </w:rPr>
        <w:t xml:space="preserve">Summary of </w:t>
      </w:r>
      <w:r w:rsidR="00F54DF3">
        <w:rPr>
          <w:b/>
          <w:sz w:val="24"/>
          <w:szCs w:val="24"/>
        </w:rPr>
        <w:t xml:space="preserve">Substantive </w:t>
      </w:r>
      <w:r>
        <w:rPr>
          <w:b/>
          <w:sz w:val="24"/>
          <w:szCs w:val="24"/>
        </w:rPr>
        <w:t xml:space="preserve">Variance Concerns and Opportunity for </w:t>
      </w:r>
      <w:r w:rsidR="00F54DF3">
        <w:rPr>
          <w:b/>
          <w:sz w:val="24"/>
          <w:szCs w:val="24"/>
        </w:rPr>
        <w:t>Discussion</w:t>
      </w:r>
    </w:p>
    <w:p w:rsidR="009E6227" w:rsidRDefault="00AD6DA5" w:rsidP="0092771D">
      <w:pPr>
        <w:pStyle w:val="ListParagraph"/>
        <w:numPr>
          <w:ilvl w:val="0"/>
          <w:numId w:val="9"/>
        </w:numPr>
        <w:spacing w:line="360" w:lineRule="auto"/>
      </w:pPr>
      <w:r w:rsidRPr="00A47A97">
        <w:rPr>
          <w:b/>
          <w:sz w:val="24"/>
          <w:szCs w:val="24"/>
        </w:rPr>
        <w:t>Variance Options for RWG Discussion</w:t>
      </w:r>
    </w:p>
    <w:p w:rsidR="009E6227" w:rsidRDefault="009E6227" w:rsidP="00AD6DA5">
      <w:pPr>
        <w:rPr>
          <w:b/>
          <w:sz w:val="32"/>
          <w:szCs w:val="32"/>
        </w:rPr>
      </w:pPr>
      <w:r>
        <w:rPr>
          <w:b/>
          <w:sz w:val="32"/>
          <w:szCs w:val="32"/>
        </w:rPr>
        <w:t>Agenda Item C: Variance Options for RWG Discussion</w:t>
      </w:r>
    </w:p>
    <w:p w:rsidR="00AD6949" w:rsidRDefault="00A47A97" w:rsidP="002E4DC6">
      <w:pPr>
        <w:spacing w:line="240" w:lineRule="auto"/>
        <w:rPr>
          <w:b/>
          <w:sz w:val="24"/>
          <w:szCs w:val="24"/>
        </w:rPr>
      </w:pPr>
      <w:r>
        <w:rPr>
          <w:b/>
          <w:sz w:val="24"/>
          <w:szCs w:val="24"/>
        </w:rPr>
        <w:t xml:space="preserve">Option 1:  </w:t>
      </w:r>
      <w:r w:rsidR="00AD6949" w:rsidRPr="00A47A97">
        <w:rPr>
          <w:b/>
          <w:sz w:val="24"/>
          <w:szCs w:val="24"/>
        </w:rPr>
        <w:t xml:space="preserve">Multiple Discharger </w:t>
      </w:r>
      <w:proofErr w:type="gramStart"/>
      <w:r w:rsidR="00AD6949" w:rsidRPr="00A47A97">
        <w:rPr>
          <w:b/>
          <w:sz w:val="24"/>
          <w:szCs w:val="24"/>
        </w:rPr>
        <w:t>Variance</w:t>
      </w:r>
      <w:proofErr w:type="gramEnd"/>
      <w:r w:rsidR="00AD6949" w:rsidRPr="00A47A97">
        <w:rPr>
          <w:b/>
          <w:sz w:val="24"/>
          <w:szCs w:val="24"/>
        </w:rPr>
        <w:t xml:space="preserve"> (Background Concentration Allowance)</w:t>
      </w:r>
    </w:p>
    <w:p w:rsidR="002E4DC6" w:rsidRPr="002E4DC6" w:rsidRDefault="002E4DC6" w:rsidP="002E4DC6">
      <w:pPr>
        <w:spacing w:line="240" w:lineRule="auto"/>
        <w:rPr>
          <w:i/>
        </w:rPr>
      </w:pPr>
      <w:r>
        <w:rPr>
          <w:i/>
          <w:sz w:val="24"/>
          <w:szCs w:val="24"/>
        </w:rPr>
        <w:t>(</w:t>
      </w:r>
      <w:r w:rsidRPr="002E4DC6">
        <w:rPr>
          <w:i/>
          <w:sz w:val="24"/>
          <w:szCs w:val="24"/>
        </w:rPr>
        <w:t xml:space="preserve">Refer to complete proposed language in earlier discussion document at </w:t>
      </w:r>
      <w:r w:rsidRPr="002E4DC6">
        <w:rPr>
          <w:i/>
        </w:rPr>
        <w:t>340-041-0061</w:t>
      </w:r>
      <w:r>
        <w:rPr>
          <w:i/>
        </w:rPr>
        <w:t>)</w:t>
      </w:r>
    </w:p>
    <w:p w:rsidR="006846D8" w:rsidRDefault="003254F8">
      <w:pPr>
        <w:ind w:left="720"/>
        <w:rPr>
          <w:sz w:val="24"/>
          <w:szCs w:val="24"/>
          <w:u w:val="single"/>
        </w:rPr>
      </w:pPr>
      <w:r w:rsidRPr="003254F8">
        <w:rPr>
          <w:sz w:val="24"/>
          <w:szCs w:val="24"/>
          <w:u w:val="single"/>
        </w:rPr>
        <w:t>Applicability</w:t>
      </w:r>
    </w:p>
    <w:p w:rsidR="009E6227" w:rsidRPr="002628A6" w:rsidRDefault="009E6227" w:rsidP="002628A6">
      <w:pPr>
        <w:pStyle w:val="ListParagraph"/>
        <w:numPr>
          <w:ilvl w:val="0"/>
          <w:numId w:val="2"/>
        </w:numPr>
        <w:rPr>
          <w:sz w:val="24"/>
          <w:szCs w:val="24"/>
        </w:rPr>
      </w:pPr>
      <w:r w:rsidRPr="002628A6">
        <w:rPr>
          <w:sz w:val="24"/>
          <w:szCs w:val="24"/>
        </w:rPr>
        <w:t>Would apply to m</w:t>
      </w:r>
      <w:r w:rsidR="00C23BB8" w:rsidRPr="002628A6">
        <w:rPr>
          <w:sz w:val="24"/>
          <w:szCs w:val="24"/>
        </w:rPr>
        <w:t>ultiple pass n</w:t>
      </w:r>
      <w:r w:rsidR="00AD6949" w:rsidRPr="002628A6">
        <w:rPr>
          <w:sz w:val="24"/>
          <w:szCs w:val="24"/>
        </w:rPr>
        <w:t>on-contact cooling facil</w:t>
      </w:r>
      <w:r w:rsidR="00C23BB8" w:rsidRPr="002628A6">
        <w:rPr>
          <w:sz w:val="24"/>
          <w:szCs w:val="24"/>
        </w:rPr>
        <w:t>ities</w:t>
      </w:r>
      <w:r w:rsidRPr="002628A6">
        <w:rPr>
          <w:sz w:val="24"/>
          <w:szCs w:val="24"/>
        </w:rPr>
        <w:t xml:space="preserve"> </w:t>
      </w:r>
    </w:p>
    <w:p w:rsidR="009E6227" w:rsidRDefault="009E6227" w:rsidP="009E6227">
      <w:pPr>
        <w:pStyle w:val="ListParagraph"/>
        <w:numPr>
          <w:ilvl w:val="0"/>
          <w:numId w:val="2"/>
        </w:numPr>
        <w:rPr>
          <w:sz w:val="24"/>
          <w:szCs w:val="24"/>
        </w:rPr>
      </w:pPr>
      <w:r>
        <w:rPr>
          <w:sz w:val="24"/>
          <w:szCs w:val="24"/>
        </w:rPr>
        <w:t>Additional limitations:</w:t>
      </w:r>
    </w:p>
    <w:p w:rsidR="006846D8" w:rsidRDefault="009E6227">
      <w:pPr>
        <w:pStyle w:val="ListParagraph"/>
        <w:numPr>
          <w:ilvl w:val="1"/>
          <w:numId w:val="2"/>
        </w:numPr>
        <w:rPr>
          <w:sz w:val="24"/>
          <w:szCs w:val="24"/>
        </w:rPr>
      </w:pPr>
      <w:r w:rsidRPr="00C23BB8">
        <w:rPr>
          <w:sz w:val="24"/>
          <w:szCs w:val="24"/>
        </w:rPr>
        <w:t>The mass of the pollutant in the discharge does not exceed the mass that is attributable to the pollutant in the facility’s intake water</w:t>
      </w:r>
    </w:p>
    <w:p w:rsidR="006846D8" w:rsidRDefault="009E6227">
      <w:pPr>
        <w:pStyle w:val="ListParagraph"/>
        <w:numPr>
          <w:ilvl w:val="1"/>
          <w:numId w:val="2"/>
        </w:numPr>
        <w:rPr>
          <w:sz w:val="24"/>
          <w:szCs w:val="24"/>
        </w:rPr>
      </w:pPr>
      <w:r w:rsidRPr="00C23BB8">
        <w:rPr>
          <w:sz w:val="24"/>
          <w:szCs w:val="24"/>
        </w:rPr>
        <w:t xml:space="preserve">The increase in the pollutant’s concentration after complete mixing with the </w:t>
      </w:r>
      <w:proofErr w:type="spellStart"/>
      <w:r w:rsidRPr="00C23BB8">
        <w:rPr>
          <w:sz w:val="24"/>
          <w:szCs w:val="24"/>
        </w:rPr>
        <w:t>waterbody</w:t>
      </w:r>
      <w:proofErr w:type="spellEnd"/>
      <w:r w:rsidRPr="00C23BB8">
        <w:rPr>
          <w:sz w:val="24"/>
          <w:szCs w:val="24"/>
        </w:rPr>
        <w:t xml:space="preserve"> does not significantly increase the concentration in the </w:t>
      </w:r>
      <w:proofErr w:type="spellStart"/>
      <w:r w:rsidRPr="00C23BB8">
        <w:rPr>
          <w:sz w:val="24"/>
          <w:szCs w:val="24"/>
        </w:rPr>
        <w:t>waterbody</w:t>
      </w:r>
      <w:proofErr w:type="spellEnd"/>
    </w:p>
    <w:p w:rsidR="00C23BB8" w:rsidRPr="00C23BB8" w:rsidRDefault="009E6227" w:rsidP="00C23BB8">
      <w:pPr>
        <w:pStyle w:val="ListParagraph"/>
        <w:numPr>
          <w:ilvl w:val="0"/>
          <w:numId w:val="2"/>
        </w:numPr>
        <w:rPr>
          <w:sz w:val="24"/>
          <w:szCs w:val="24"/>
        </w:rPr>
      </w:pPr>
      <w:r>
        <w:rPr>
          <w:sz w:val="24"/>
          <w:szCs w:val="24"/>
        </w:rPr>
        <w:t>DEQ would prepare justification to accompany rule adoption that for these facilities, it is i</w:t>
      </w:r>
      <w:r w:rsidR="00AD6949" w:rsidRPr="00C23BB8">
        <w:rPr>
          <w:sz w:val="24"/>
          <w:szCs w:val="24"/>
        </w:rPr>
        <w:t>nf</w:t>
      </w:r>
      <w:r w:rsidR="00C23BB8">
        <w:rPr>
          <w:sz w:val="24"/>
          <w:szCs w:val="24"/>
        </w:rPr>
        <w:t>easible to meet standards based</w:t>
      </w:r>
      <w:r w:rsidR="006846D8">
        <w:rPr>
          <w:sz w:val="24"/>
          <w:szCs w:val="24"/>
        </w:rPr>
        <w:t xml:space="preserve"> on</w:t>
      </w:r>
      <w:r w:rsidR="00AD6949" w:rsidRPr="00C23BB8">
        <w:rPr>
          <w:sz w:val="24"/>
          <w:szCs w:val="24"/>
        </w:rPr>
        <w:t xml:space="preserve"> </w:t>
      </w:r>
      <w:r>
        <w:rPr>
          <w:sz w:val="24"/>
          <w:szCs w:val="24"/>
        </w:rPr>
        <w:t xml:space="preserve">one or both </w:t>
      </w:r>
      <w:r w:rsidR="006846D8">
        <w:rPr>
          <w:sz w:val="24"/>
          <w:szCs w:val="24"/>
        </w:rPr>
        <w:t xml:space="preserve">of the following </w:t>
      </w:r>
      <w:r>
        <w:rPr>
          <w:sz w:val="24"/>
          <w:szCs w:val="24"/>
        </w:rPr>
        <w:t>criteria</w:t>
      </w:r>
      <w:r w:rsidR="00C23BB8" w:rsidRPr="00C23BB8">
        <w:rPr>
          <w:sz w:val="24"/>
          <w:szCs w:val="24"/>
        </w:rPr>
        <w:t>: (1) Naturally occurring pollutant concentrations prevent the attainment of the use; or (2) Human-caused conditions or sources of pollution prevent the attainment of the use and cannot be remedied or would cause more environmental damage to correct than to leave in place</w:t>
      </w:r>
      <w:r w:rsidR="00AF2E50">
        <w:rPr>
          <w:sz w:val="24"/>
          <w:szCs w:val="24"/>
        </w:rPr>
        <w:t xml:space="preserve"> (131.10(g)(1) and (3))</w:t>
      </w:r>
    </w:p>
    <w:p w:rsidR="009E6227" w:rsidRDefault="009E6227" w:rsidP="009E6227">
      <w:pPr>
        <w:pStyle w:val="ListParagraph"/>
        <w:numPr>
          <w:ilvl w:val="0"/>
          <w:numId w:val="4"/>
        </w:numPr>
        <w:rPr>
          <w:sz w:val="24"/>
          <w:szCs w:val="24"/>
        </w:rPr>
      </w:pPr>
      <w:r>
        <w:rPr>
          <w:sz w:val="24"/>
          <w:szCs w:val="24"/>
        </w:rPr>
        <w:lastRenderedPageBreak/>
        <w:t xml:space="preserve">DEQ would adopt an explicit provision into water quality standards rules describing the types of facilities that would be eligible for coverage under this provision. This rule provision must be adopted by the Commission and approved by EPA. </w:t>
      </w:r>
    </w:p>
    <w:p w:rsidR="009E6227" w:rsidRPr="00E83BC3" w:rsidRDefault="009E6227" w:rsidP="009E6227">
      <w:pPr>
        <w:pStyle w:val="ListParagraph"/>
        <w:numPr>
          <w:ilvl w:val="0"/>
          <w:numId w:val="4"/>
        </w:numPr>
        <w:rPr>
          <w:sz w:val="24"/>
          <w:szCs w:val="24"/>
        </w:rPr>
      </w:pPr>
      <w:r>
        <w:rPr>
          <w:sz w:val="24"/>
          <w:szCs w:val="24"/>
        </w:rPr>
        <w:t xml:space="preserve">DEQ </w:t>
      </w:r>
      <w:r w:rsidRPr="00E83BC3">
        <w:rPr>
          <w:sz w:val="24"/>
          <w:szCs w:val="24"/>
        </w:rPr>
        <w:t>put</w:t>
      </w:r>
      <w:r>
        <w:rPr>
          <w:sz w:val="24"/>
          <w:szCs w:val="24"/>
        </w:rPr>
        <w:t>s</w:t>
      </w:r>
      <w:r w:rsidRPr="00E83BC3">
        <w:rPr>
          <w:sz w:val="24"/>
          <w:szCs w:val="24"/>
        </w:rPr>
        <w:t xml:space="preserve"> boundaries around the circumstances under which a discharger could be granted a variance under the provision and the 131.10(g) demonstration</w:t>
      </w:r>
      <w:r>
        <w:rPr>
          <w:sz w:val="24"/>
          <w:szCs w:val="24"/>
        </w:rPr>
        <w:t xml:space="preserve"> and</w:t>
      </w:r>
      <w:r w:rsidRPr="00E83BC3">
        <w:rPr>
          <w:sz w:val="24"/>
          <w:szCs w:val="24"/>
        </w:rPr>
        <w:t xml:space="preserve"> would be equally applicable to any discharger fitting within these boundaries.  D</w:t>
      </w:r>
      <w:r>
        <w:rPr>
          <w:sz w:val="24"/>
          <w:szCs w:val="24"/>
        </w:rPr>
        <w:t xml:space="preserve">ischargers do </w:t>
      </w:r>
      <w:r w:rsidRPr="00E83BC3">
        <w:rPr>
          <w:sz w:val="24"/>
          <w:szCs w:val="24"/>
        </w:rPr>
        <w:t xml:space="preserve">not need to individually provide the 131.10(g) demonstration and receive EPA approval. </w:t>
      </w:r>
    </w:p>
    <w:p w:rsidR="009E6227" w:rsidRDefault="009E6227" w:rsidP="009E6227">
      <w:pPr>
        <w:pStyle w:val="ListParagraph"/>
        <w:numPr>
          <w:ilvl w:val="0"/>
          <w:numId w:val="4"/>
        </w:numPr>
        <w:rPr>
          <w:sz w:val="24"/>
          <w:szCs w:val="24"/>
        </w:rPr>
      </w:pPr>
      <w:r>
        <w:rPr>
          <w:sz w:val="24"/>
          <w:szCs w:val="24"/>
        </w:rPr>
        <w:t xml:space="preserve">A discharger submits data and information to DEQ on an individual basis to </w:t>
      </w:r>
      <w:r w:rsidR="007A60B7">
        <w:rPr>
          <w:sz w:val="24"/>
          <w:szCs w:val="24"/>
        </w:rPr>
        <w:t>show that they meet the conditions outlined in the rule</w:t>
      </w:r>
      <w:r>
        <w:rPr>
          <w:sz w:val="24"/>
          <w:szCs w:val="24"/>
        </w:rPr>
        <w:t>.</w:t>
      </w:r>
    </w:p>
    <w:p w:rsidR="009E6227" w:rsidRDefault="009E6227" w:rsidP="009E6227">
      <w:pPr>
        <w:pStyle w:val="ListParagraph"/>
        <w:numPr>
          <w:ilvl w:val="0"/>
          <w:numId w:val="4"/>
        </w:numPr>
        <w:rPr>
          <w:sz w:val="24"/>
          <w:szCs w:val="24"/>
        </w:rPr>
      </w:pPr>
      <w:r>
        <w:rPr>
          <w:sz w:val="24"/>
          <w:szCs w:val="24"/>
        </w:rPr>
        <w:t xml:space="preserve">The multiple discharger variance </w:t>
      </w:r>
      <w:r w:rsidR="007A60B7">
        <w:rPr>
          <w:sz w:val="24"/>
          <w:szCs w:val="24"/>
        </w:rPr>
        <w:t xml:space="preserve">rule </w:t>
      </w:r>
      <w:r>
        <w:rPr>
          <w:sz w:val="24"/>
          <w:szCs w:val="24"/>
        </w:rPr>
        <w:t xml:space="preserve">provision </w:t>
      </w:r>
      <w:r w:rsidR="007A60B7">
        <w:rPr>
          <w:sz w:val="24"/>
          <w:szCs w:val="24"/>
        </w:rPr>
        <w:t>would</w:t>
      </w:r>
      <w:r>
        <w:rPr>
          <w:sz w:val="24"/>
          <w:szCs w:val="24"/>
        </w:rPr>
        <w:t xml:space="preserve"> </w:t>
      </w:r>
      <w:r w:rsidRPr="00E83BC3">
        <w:rPr>
          <w:sz w:val="24"/>
          <w:szCs w:val="24"/>
        </w:rPr>
        <w:t xml:space="preserve">undergo periodic DEQ review at a regular interval (e.g., 5 years) to ensure that the </w:t>
      </w:r>
      <w:r w:rsidR="007A60B7">
        <w:rPr>
          <w:sz w:val="24"/>
          <w:szCs w:val="24"/>
        </w:rPr>
        <w:t>conditions and DEQ’s conclusions regarding the basis for the multiple discharger variance</w:t>
      </w:r>
      <w:r w:rsidRPr="00E83BC3">
        <w:rPr>
          <w:sz w:val="24"/>
          <w:szCs w:val="24"/>
        </w:rPr>
        <w:t xml:space="preserve"> is still supported</w:t>
      </w:r>
      <w:r w:rsidR="007A60B7">
        <w:rPr>
          <w:sz w:val="24"/>
          <w:szCs w:val="24"/>
        </w:rPr>
        <w:t>.</w:t>
      </w:r>
      <w:r w:rsidRPr="00E83BC3">
        <w:rPr>
          <w:sz w:val="24"/>
          <w:szCs w:val="24"/>
        </w:rPr>
        <w:t xml:space="preserve"> Results of </w:t>
      </w:r>
      <w:r>
        <w:rPr>
          <w:sz w:val="24"/>
          <w:szCs w:val="24"/>
        </w:rPr>
        <w:t xml:space="preserve">these periodic reviews are </w:t>
      </w:r>
      <w:r w:rsidRPr="00E83BC3">
        <w:rPr>
          <w:sz w:val="24"/>
          <w:szCs w:val="24"/>
        </w:rPr>
        <w:t>submitted to EPA for review.</w:t>
      </w:r>
    </w:p>
    <w:p w:rsidR="006846D8" w:rsidRPr="00ED0EDF" w:rsidRDefault="000E744D">
      <w:pPr>
        <w:ind w:left="720"/>
        <w:rPr>
          <w:sz w:val="24"/>
          <w:szCs w:val="24"/>
          <w:u w:val="single"/>
        </w:rPr>
      </w:pPr>
      <w:r w:rsidRPr="00ED0EDF">
        <w:rPr>
          <w:sz w:val="24"/>
          <w:szCs w:val="24"/>
          <w:u w:val="single"/>
        </w:rPr>
        <w:t>Pros:</w:t>
      </w:r>
    </w:p>
    <w:p w:rsidR="006846D8" w:rsidRDefault="003254F8" w:rsidP="002628A6">
      <w:pPr>
        <w:pStyle w:val="ListParagraph"/>
        <w:numPr>
          <w:ilvl w:val="0"/>
          <w:numId w:val="10"/>
        </w:numPr>
      </w:pPr>
      <w:r w:rsidRPr="003254F8">
        <w:rPr>
          <w:sz w:val="24"/>
          <w:szCs w:val="24"/>
        </w:rPr>
        <w:t>Could potentially cover most of the facilities that have non-contact cooling concentration issues without issuing individual variances with each permit</w:t>
      </w:r>
      <w:r w:rsidR="000B58E1">
        <w:rPr>
          <w:sz w:val="24"/>
          <w:szCs w:val="24"/>
        </w:rPr>
        <w:t>, thus streamlining the approval process</w:t>
      </w:r>
      <w:r w:rsidR="007A60B7">
        <w:rPr>
          <w:sz w:val="24"/>
          <w:szCs w:val="24"/>
        </w:rPr>
        <w:t>.</w:t>
      </w:r>
    </w:p>
    <w:p w:rsidR="006846D8" w:rsidRDefault="003254F8">
      <w:pPr>
        <w:ind w:left="720"/>
        <w:rPr>
          <w:sz w:val="24"/>
          <w:szCs w:val="24"/>
          <w:u w:val="single"/>
        </w:rPr>
      </w:pPr>
      <w:r w:rsidRPr="003254F8">
        <w:rPr>
          <w:sz w:val="24"/>
          <w:szCs w:val="24"/>
          <w:u w:val="single"/>
        </w:rPr>
        <w:t xml:space="preserve">Cons </w:t>
      </w:r>
    </w:p>
    <w:p w:rsidR="005A4AA3" w:rsidRDefault="00FC7F23" w:rsidP="00E21EDF">
      <w:pPr>
        <w:pStyle w:val="ListParagraph"/>
        <w:numPr>
          <w:ilvl w:val="0"/>
          <w:numId w:val="4"/>
        </w:numPr>
        <w:rPr>
          <w:sz w:val="24"/>
          <w:szCs w:val="24"/>
        </w:rPr>
      </w:pPr>
      <w:r>
        <w:rPr>
          <w:sz w:val="24"/>
          <w:szCs w:val="24"/>
        </w:rPr>
        <w:t>DEQ will most likely need to provide a more rigorous upfront demonstration of 131.10(g) factors and explore how much variability exists in evaluating alternatives to treatment for non-contact cooling facilities.</w:t>
      </w:r>
      <w:r w:rsidR="00E83BC3" w:rsidRPr="00E83BC3">
        <w:rPr>
          <w:sz w:val="24"/>
          <w:szCs w:val="24"/>
        </w:rPr>
        <w:t xml:space="preserve"> </w:t>
      </w:r>
    </w:p>
    <w:p w:rsidR="004C324B" w:rsidRPr="002E4DC6" w:rsidRDefault="007A60B7" w:rsidP="00E21EDF">
      <w:pPr>
        <w:pStyle w:val="ListParagraph"/>
        <w:numPr>
          <w:ilvl w:val="0"/>
          <w:numId w:val="4"/>
        </w:numPr>
        <w:rPr>
          <w:sz w:val="24"/>
          <w:szCs w:val="24"/>
        </w:rPr>
      </w:pPr>
      <w:r>
        <w:rPr>
          <w:sz w:val="24"/>
          <w:szCs w:val="24"/>
        </w:rPr>
        <w:t>Relatively narrow applicability--w</w:t>
      </w:r>
      <w:r w:rsidR="000E744D">
        <w:rPr>
          <w:sz w:val="24"/>
          <w:szCs w:val="24"/>
        </w:rPr>
        <w:t>ould not include other water quality issues affecting increased effluent concentrations</w:t>
      </w:r>
      <w:r w:rsidR="009F1B3F">
        <w:rPr>
          <w:sz w:val="24"/>
          <w:szCs w:val="24"/>
        </w:rPr>
        <w:t xml:space="preserve"> (air deposition, etc.)</w:t>
      </w:r>
      <w:r w:rsidR="0092771D">
        <w:rPr>
          <w:sz w:val="24"/>
          <w:szCs w:val="24"/>
        </w:rPr>
        <w:t>.</w:t>
      </w:r>
    </w:p>
    <w:p w:rsidR="00E21EDF" w:rsidRPr="00A47A97" w:rsidRDefault="00A47A97" w:rsidP="00A47A97">
      <w:pPr>
        <w:rPr>
          <w:b/>
          <w:sz w:val="24"/>
          <w:szCs w:val="24"/>
        </w:rPr>
      </w:pPr>
      <w:r>
        <w:rPr>
          <w:b/>
          <w:sz w:val="24"/>
          <w:szCs w:val="24"/>
        </w:rPr>
        <w:t xml:space="preserve">Option 2:  </w:t>
      </w:r>
      <w:r w:rsidR="000E744D">
        <w:rPr>
          <w:b/>
          <w:sz w:val="24"/>
          <w:szCs w:val="24"/>
        </w:rPr>
        <w:t xml:space="preserve">Separate Provision in </w:t>
      </w:r>
      <w:r w:rsidR="002E4DC6">
        <w:rPr>
          <w:b/>
          <w:sz w:val="24"/>
          <w:szCs w:val="24"/>
        </w:rPr>
        <w:t xml:space="preserve">Variance </w:t>
      </w:r>
      <w:r w:rsidR="000E744D">
        <w:rPr>
          <w:b/>
          <w:sz w:val="24"/>
          <w:szCs w:val="24"/>
        </w:rPr>
        <w:t>Rules Address</w:t>
      </w:r>
      <w:r w:rsidR="009F1B3F">
        <w:rPr>
          <w:b/>
          <w:sz w:val="24"/>
          <w:szCs w:val="24"/>
        </w:rPr>
        <w:t>ing Background Concentrations</w:t>
      </w:r>
      <w:r w:rsidR="000E744D">
        <w:rPr>
          <w:b/>
          <w:sz w:val="24"/>
          <w:szCs w:val="24"/>
        </w:rPr>
        <w:t xml:space="preserve"> </w:t>
      </w:r>
    </w:p>
    <w:p w:rsidR="009F1B3F" w:rsidRPr="009F1B3F" w:rsidRDefault="009F1B3F" w:rsidP="00AF2E50">
      <w:pPr>
        <w:pStyle w:val="ListParagraph"/>
        <w:numPr>
          <w:ilvl w:val="0"/>
          <w:numId w:val="5"/>
        </w:numPr>
        <w:rPr>
          <w:sz w:val="24"/>
          <w:szCs w:val="24"/>
        </w:rPr>
      </w:pPr>
      <w:r w:rsidRPr="00EE34D0">
        <w:rPr>
          <w:sz w:val="24"/>
          <w:szCs w:val="24"/>
        </w:rPr>
        <w:t xml:space="preserve">Adopt </w:t>
      </w:r>
      <w:r w:rsidR="007A60B7" w:rsidRPr="00EE34D0">
        <w:rPr>
          <w:sz w:val="24"/>
          <w:szCs w:val="24"/>
        </w:rPr>
        <w:t xml:space="preserve">explicit provision </w:t>
      </w:r>
      <w:r w:rsidRPr="00EE34D0">
        <w:rPr>
          <w:sz w:val="24"/>
          <w:szCs w:val="24"/>
        </w:rPr>
        <w:t xml:space="preserve">as part of variance rules describing </w:t>
      </w:r>
      <w:r w:rsidR="00EE34D0" w:rsidRPr="00EE34D0">
        <w:rPr>
          <w:sz w:val="24"/>
          <w:szCs w:val="24"/>
        </w:rPr>
        <w:t>the</w:t>
      </w:r>
      <w:r w:rsidR="00EE34D0">
        <w:rPr>
          <w:sz w:val="24"/>
          <w:szCs w:val="24"/>
        </w:rPr>
        <w:t xml:space="preserve"> kind</w:t>
      </w:r>
      <w:r w:rsidR="003254F8" w:rsidRPr="003254F8">
        <w:rPr>
          <w:sz w:val="24"/>
          <w:szCs w:val="24"/>
        </w:rPr>
        <w:t>s of information that DEQ expects would lead to granting a variance for facilities that concentrate background pollutants</w:t>
      </w:r>
      <w:r w:rsidRPr="009F1B3F">
        <w:rPr>
          <w:sz w:val="24"/>
          <w:szCs w:val="24"/>
          <w:u w:val="single"/>
        </w:rPr>
        <w:t xml:space="preserve"> </w:t>
      </w:r>
    </w:p>
    <w:p w:rsidR="00AF2E50" w:rsidRDefault="00AF2E50" w:rsidP="00AF2E50">
      <w:pPr>
        <w:pStyle w:val="ListParagraph"/>
        <w:numPr>
          <w:ilvl w:val="0"/>
          <w:numId w:val="5"/>
        </w:numPr>
        <w:rPr>
          <w:sz w:val="24"/>
          <w:szCs w:val="24"/>
        </w:rPr>
      </w:pPr>
      <w:r w:rsidRPr="00AF2E50">
        <w:rPr>
          <w:sz w:val="24"/>
          <w:szCs w:val="24"/>
          <w:u w:val="single"/>
        </w:rPr>
        <w:t>Applicability:</w:t>
      </w:r>
      <w:r>
        <w:rPr>
          <w:sz w:val="24"/>
          <w:szCs w:val="24"/>
        </w:rPr>
        <w:t xml:space="preserve">  </w:t>
      </w:r>
      <w:r w:rsidR="009F1B3F">
        <w:rPr>
          <w:sz w:val="24"/>
          <w:szCs w:val="24"/>
        </w:rPr>
        <w:t>Non-contact cooling; Contact cooling could also be included</w:t>
      </w:r>
    </w:p>
    <w:p w:rsidR="00AF2E50" w:rsidRPr="009F1B3F" w:rsidRDefault="009F1B3F" w:rsidP="00AF2E50">
      <w:pPr>
        <w:pStyle w:val="ListParagraph"/>
        <w:numPr>
          <w:ilvl w:val="0"/>
          <w:numId w:val="5"/>
        </w:numPr>
        <w:rPr>
          <w:sz w:val="24"/>
          <w:szCs w:val="24"/>
        </w:rPr>
      </w:pPr>
      <w:r>
        <w:rPr>
          <w:sz w:val="24"/>
          <w:szCs w:val="24"/>
        </w:rPr>
        <w:t>E</w:t>
      </w:r>
      <w:r w:rsidR="002E4DC6" w:rsidRPr="009F1B3F">
        <w:rPr>
          <w:sz w:val="24"/>
          <w:szCs w:val="24"/>
        </w:rPr>
        <w:t xml:space="preserve">ach discharger provides </w:t>
      </w:r>
      <w:r w:rsidR="00AF2E50" w:rsidRPr="009F1B3F">
        <w:rPr>
          <w:sz w:val="24"/>
          <w:szCs w:val="24"/>
        </w:rPr>
        <w:t>DEQ with a rationale per 131.10(g</w:t>
      </w:r>
      <w:proofErr w:type="gramStart"/>
      <w:r w:rsidR="00AF2E50" w:rsidRPr="009F1B3F">
        <w:rPr>
          <w:sz w:val="24"/>
          <w:szCs w:val="24"/>
        </w:rPr>
        <w:t>)(</w:t>
      </w:r>
      <w:proofErr w:type="gramEnd"/>
      <w:r w:rsidR="00AF2E50" w:rsidRPr="009F1B3F">
        <w:rPr>
          <w:sz w:val="24"/>
          <w:szCs w:val="24"/>
        </w:rPr>
        <w:t xml:space="preserve">1) and/or (3) that would be applicable to its discharge, as well as data </w:t>
      </w:r>
      <w:r w:rsidR="004C324B" w:rsidRPr="009F1B3F">
        <w:rPr>
          <w:sz w:val="24"/>
          <w:szCs w:val="24"/>
        </w:rPr>
        <w:t>and information to show that it</w:t>
      </w:r>
      <w:r w:rsidR="00AF2E50" w:rsidRPr="009F1B3F">
        <w:rPr>
          <w:sz w:val="24"/>
          <w:szCs w:val="24"/>
        </w:rPr>
        <w:t xml:space="preserve"> meets the rule’s applicability criteria</w:t>
      </w:r>
      <w:r w:rsidR="003254F8">
        <w:rPr>
          <w:sz w:val="24"/>
          <w:szCs w:val="24"/>
        </w:rPr>
        <w:t>.</w:t>
      </w:r>
    </w:p>
    <w:p w:rsidR="009F1B3F" w:rsidRDefault="003254F8" w:rsidP="009F1B3F">
      <w:pPr>
        <w:pStyle w:val="ListParagraph"/>
        <w:numPr>
          <w:ilvl w:val="0"/>
          <w:numId w:val="5"/>
        </w:numPr>
        <w:rPr>
          <w:sz w:val="24"/>
          <w:szCs w:val="24"/>
        </w:rPr>
      </w:pPr>
      <w:r>
        <w:rPr>
          <w:sz w:val="24"/>
          <w:szCs w:val="24"/>
        </w:rPr>
        <w:t>Individual variance approved by EPA</w:t>
      </w:r>
      <w:r w:rsidR="004C324B">
        <w:rPr>
          <w:sz w:val="24"/>
          <w:szCs w:val="24"/>
        </w:rPr>
        <w:t>.</w:t>
      </w:r>
    </w:p>
    <w:p w:rsidR="000E305D" w:rsidRDefault="000E305D" w:rsidP="00017B42">
      <w:pPr>
        <w:rPr>
          <w:sz w:val="24"/>
          <w:szCs w:val="24"/>
        </w:rPr>
      </w:pPr>
    </w:p>
    <w:p w:rsidR="009F1B3F" w:rsidRPr="000E305D" w:rsidRDefault="009F1B3F" w:rsidP="000E305D">
      <w:pPr>
        <w:ind w:left="720"/>
        <w:rPr>
          <w:sz w:val="24"/>
          <w:szCs w:val="24"/>
          <w:u w:val="single"/>
        </w:rPr>
      </w:pPr>
      <w:r w:rsidRPr="000E305D">
        <w:rPr>
          <w:sz w:val="24"/>
          <w:szCs w:val="24"/>
          <w:u w:val="single"/>
        </w:rPr>
        <w:lastRenderedPageBreak/>
        <w:t>Pros:</w:t>
      </w:r>
    </w:p>
    <w:p w:rsidR="009F1B3F" w:rsidRDefault="009F1B3F" w:rsidP="009F1B3F">
      <w:pPr>
        <w:pStyle w:val="ListParagraph"/>
        <w:numPr>
          <w:ilvl w:val="0"/>
          <w:numId w:val="5"/>
        </w:numPr>
        <w:rPr>
          <w:sz w:val="24"/>
          <w:szCs w:val="24"/>
        </w:rPr>
      </w:pPr>
      <w:r>
        <w:rPr>
          <w:sz w:val="24"/>
          <w:szCs w:val="24"/>
        </w:rPr>
        <w:t>Could potentially address more than non-contact cooling; could also address facilities that concentrate background pollutants but that come into contact with other process water</w:t>
      </w:r>
      <w:r w:rsidR="0092771D">
        <w:rPr>
          <w:sz w:val="24"/>
          <w:szCs w:val="24"/>
        </w:rPr>
        <w:t>.</w:t>
      </w:r>
    </w:p>
    <w:p w:rsidR="009F1B3F" w:rsidRDefault="009F1B3F" w:rsidP="009F1B3F">
      <w:pPr>
        <w:pStyle w:val="ListParagraph"/>
        <w:numPr>
          <w:ilvl w:val="0"/>
          <w:numId w:val="5"/>
        </w:numPr>
        <w:rPr>
          <w:sz w:val="24"/>
          <w:szCs w:val="24"/>
        </w:rPr>
      </w:pPr>
      <w:r>
        <w:rPr>
          <w:sz w:val="24"/>
          <w:szCs w:val="24"/>
        </w:rPr>
        <w:t>Provides in rule</w:t>
      </w:r>
      <w:r w:rsidR="00103434">
        <w:rPr>
          <w:sz w:val="24"/>
          <w:szCs w:val="24"/>
        </w:rPr>
        <w:t>,</w:t>
      </w:r>
      <w:r>
        <w:rPr>
          <w:sz w:val="24"/>
          <w:szCs w:val="24"/>
        </w:rPr>
        <w:t xml:space="preserve"> additional specificity regarding the kin</w:t>
      </w:r>
      <w:r w:rsidR="00103434">
        <w:rPr>
          <w:sz w:val="24"/>
          <w:szCs w:val="24"/>
        </w:rPr>
        <w:t xml:space="preserve">d of information DEQ and EPA </w:t>
      </w:r>
      <w:r>
        <w:rPr>
          <w:sz w:val="24"/>
          <w:szCs w:val="24"/>
        </w:rPr>
        <w:t>would expect to grant/approve a variance</w:t>
      </w:r>
    </w:p>
    <w:p w:rsidR="000E305D" w:rsidRPr="00EE34D0" w:rsidRDefault="0092771D" w:rsidP="00EE34D0">
      <w:pPr>
        <w:pStyle w:val="ListParagraph"/>
        <w:numPr>
          <w:ilvl w:val="0"/>
          <w:numId w:val="5"/>
        </w:numPr>
        <w:rPr>
          <w:sz w:val="24"/>
          <w:szCs w:val="24"/>
        </w:rPr>
      </w:pPr>
      <w:r>
        <w:rPr>
          <w:sz w:val="24"/>
          <w:szCs w:val="24"/>
        </w:rPr>
        <w:t>Would most likely</w:t>
      </w:r>
      <w:r w:rsidR="000E305D">
        <w:rPr>
          <w:sz w:val="24"/>
          <w:szCs w:val="24"/>
        </w:rPr>
        <w:t xml:space="preserve"> streamline th</w:t>
      </w:r>
      <w:r w:rsidR="00EE34D0">
        <w:rPr>
          <w:sz w:val="24"/>
          <w:szCs w:val="24"/>
        </w:rPr>
        <w:t xml:space="preserve">e EPA approval process by providing an </w:t>
      </w:r>
      <w:r w:rsidR="000E305D">
        <w:rPr>
          <w:sz w:val="24"/>
          <w:szCs w:val="24"/>
        </w:rPr>
        <w:t xml:space="preserve">upfront </w:t>
      </w:r>
      <w:proofErr w:type="gramStart"/>
      <w:r w:rsidR="000E305D">
        <w:rPr>
          <w:sz w:val="24"/>
          <w:szCs w:val="24"/>
        </w:rPr>
        <w:t>rationale.</w:t>
      </w:r>
      <w:proofErr w:type="gramEnd"/>
    </w:p>
    <w:p w:rsidR="000E305D" w:rsidRPr="000E305D" w:rsidRDefault="009F1B3F" w:rsidP="000E305D">
      <w:pPr>
        <w:ind w:firstLine="720"/>
        <w:rPr>
          <w:sz w:val="24"/>
          <w:szCs w:val="24"/>
          <w:u w:val="single"/>
        </w:rPr>
      </w:pPr>
      <w:r w:rsidRPr="000E305D">
        <w:rPr>
          <w:sz w:val="24"/>
          <w:szCs w:val="24"/>
          <w:u w:val="single"/>
        </w:rPr>
        <w:t>Cons:</w:t>
      </w:r>
    </w:p>
    <w:p w:rsidR="000E305D" w:rsidRPr="000E305D" w:rsidRDefault="000E305D" w:rsidP="000E305D">
      <w:pPr>
        <w:pStyle w:val="ListParagraph"/>
        <w:numPr>
          <w:ilvl w:val="0"/>
          <w:numId w:val="5"/>
        </w:numPr>
        <w:rPr>
          <w:sz w:val="24"/>
          <w:szCs w:val="24"/>
        </w:rPr>
      </w:pPr>
      <w:r w:rsidRPr="000E305D">
        <w:rPr>
          <w:sz w:val="24"/>
          <w:szCs w:val="24"/>
        </w:rPr>
        <w:t>Requires EPA review and approval for each variance issued with the permit</w:t>
      </w:r>
      <w:r w:rsidR="0092771D">
        <w:rPr>
          <w:sz w:val="24"/>
          <w:szCs w:val="24"/>
        </w:rPr>
        <w:t>.</w:t>
      </w:r>
    </w:p>
    <w:p w:rsidR="00FD342F" w:rsidRPr="00A47A97" w:rsidRDefault="00236824" w:rsidP="00A47A97">
      <w:pPr>
        <w:rPr>
          <w:b/>
          <w:sz w:val="24"/>
          <w:szCs w:val="24"/>
        </w:rPr>
      </w:pPr>
      <w:r>
        <w:rPr>
          <w:b/>
          <w:sz w:val="24"/>
          <w:szCs w:val="24"/>
        </w:rPr>
        <w:t>Option 3</w:t>
      </w:r>
      <w:r w:rsidR="00A47A97">
        <w:rPr>
          <w:b/>
          <w:sz w:val="24"/>
          <w:szCs w:val="24"/>
        </w:rPr>
        <w:t xml:space="preserve">:  </w:t>
      </w:r>
      <w:r w:rsidR="009E6227">
        <w:rPr>
          <w:b/>
          <w:sz w:val="24"/>
          <w:szCs w:val="24"/>
        </w:rPr>
        <w:t xml:space="preserve">Do not include any provisions in </w:t>
      </w:r>
      <w:r w:rsidR="005332BF">
        <w:rPr>
          <w:b/>
          <w:sz w:val="24"/>
          <w:szCs w:val="24"/>
        </w:rPr>
        <w:t xml:space="preserve">water quality standards </w:t>
      </w:r>
      <w:r w:rsidR="009E6227">
        <w:rPr>
          <w:b/>
          <w:sz w:val="24"/>
          <w:szCs w:val="24"/>
        </w:rPr>
        <w:t xml:space="preserve">rules addressing </w:t>
      </w:r>
      <w:r w:rsidR="005332BF">
        <w:rPr>
          <w:b/>
          <w:sz w:val="24"/>
          <w:szCs w:val="24"/>
        </w:rPr>
        <w:t>background concentration issues</w:t>
      </w:r>
    </w:p>
    <w:p w:rsidR="00FD342F" w:rsidRDefault="00FD342F" w:rsidP="00FD342F">
      <w:pPr>
        <w:pStyle w:val="ListParagraph"/>
        <w:numPr>
          <w:ilvl w:val="0"/>
          <w:numId w:val="8"/>
        </w:numPr>
        <w:rPr>
          <w:sz w:val="24"/>
          <w:szCs w:val="24"/>
        </w:rPr>
      </w:pPr>
      <w:r>
        <w:rPr>
          <w:sz w:val="24"/>
          <w:szCs w:val="24"/>
        </w:rPr>
        <w:t xml:space="preserve">Language referencing a </w:t>
      </w:r>
      <w:r w:rsidR="005332BF">
        <w:rPr>
          <w:sz w:val="24"/>
          <w:szCs w:val="24"/>
        </w:rPr>
        <w:t>background concentration</w:t>
      </w:r>
      <w:r>
        <w:rPr>
          <w:sz w:val="24"/>
          <w:szCs w:val="24"/>
        </w:rPr>
        <w:t xml:space="preserve"> scenario not </w:t>
      </w:r>
      <w:r w:rsidR="009E6227">
        <w:rPr>
          <w:sz w:val="24"/>
          <w:szCs w:val="24"/>
        </w:rPr>
        <w:t>included</w:t>
      </w:r>
      <w:r>
        <w:rPr>
          <w:sz w:val="24"/>
          <w:szCs w:val="24"/>
        </w:rPr>
        <w:t xml:space="preserve"> in this rulemaking.</w:t>
      </w:r>
    </w:p>
    <w:p w:rsidR="00865AEA" w:rsidRPr="00FD342F" w:rsidRDefault="00865AEA" w:rsidP="00865AEA">
      <w:pPr>
        <w:pStyle w:val="ListParagraph"/>
        <w:numPr>
          <w:ilvl w:val="0"/>
          <w:numId w:val="8"/>
        </w:numPr>
        <w:rPr>
          <w:sz w:val="24"/>
          <w:szCs w:val="24"/>
        </w:rPr>
      </w:pPr>
      <w:r>
        <w:rPr>
          <w:sz w:val="24"/>
          <w:szCs w:val="24"/>
        </w:rPr>
        <w:t>Information supporting variances based on background concentration issues illustrated in IMD to as</w:t>
      </w:r>
      <w:r w:rsidR="005B4511">
        <w:rPr>
          <w:sz w:val="24"/>
          <w:szCs w:val="24"/>
        </w:rPr>
        <w:t>sist permit writers in evaluating</w:t>
      </w:r>
      <w:r>
        <w:rPr>
          <w:sz w:val="24"/>
          <w:szCs w:val="24"/>
        </w:rPr>
        <w:t xml:space="preserve"> variance</w:t>
      </w:r>
      <w:r w:rsidR="005B4511">
        <w:rPr>
          <w:sz w:val="24"/>
          <w:szCs w:val="24"/>
        </w:rPr>
        <w:t>s</w:t>
      </w:r>
      <w:r>
        <w:rPr>
          <w:sz w:val="24"/>
          <w:szCs w:val="24"/>
        </w:rPr>
        <w:t xml:space="preserve"> based on  </w:t>
      </w:r>
      <w:r w:rsidRPr="00AF2E50">
        <w:rPr>
          <w:sz w:val="24"/>
          <w:szCs w:val="24"/>
        </w:rPr>
        <w:t>131.10(g)(1) and/or (3)</w:t>
      </w:r>
      <w:r w:rsidR="000E305D">
        <w:rPr>
          <w:sz w:val="24"/>
          <w:szCs w:val="24"/>
        </w:rPr>
        <w:t xml:space="preserve"> factors</w:t>
      </w:r>
      <w:r>
        <w:rPr>
          <w:sz w:val="24"/>
          <w:szCs w:val="24"/>
        </w:rPr>
        <w:t>.</w:t>
      </w:r>
      <w:r w:rsidR="00103434">
        <w:rPr>
          <w:sz w:val="24"/>
          <w:szCs w:val="24"/>
        </w:rPr>
        <w:t xml:space="preserve">  This illustration would also, most likely, streamline the EPA approval process.</w:t>
      </w:r>
    </w:p>
    <w:p w:rsidR="00FD342F" w:rsidRDefault="005B4511" w:rsidP="00FD342F">
      <w:pPr>
        <w:pStyle w:val="ListParagraph"/>
        <w:numPr>
          <w:ilvl w:val="0"/>
          <w:numId w:val="8"/>
        </w:numPr>
        <w:rPr>
          <w:sz w:val="24"/>
          <w:szCs w:val="24"/>
        </w:rPr>
      </w:pPr>
      <w:r>
        <w:rPr>
          <w:sz w:val="24"/>
          <w:szCs w:val="24"/>
        </w:rPr>
        <w:t>DEQ will</w:t>
      </w:r>
      <w:r w:rsidR="00FD342F">
        <w:rPr>
          <w:sz w:val="24"/>
          <w:szCs w:val="24"/>
        </w:rPr>
        <w:t xml:space="preserve"> gather more information as variance requests are processed and approved</w:t>
      </w:r>
      <w:r>
        <w:rPr>
          <w:sz w:val="24"/>
          <w:szCs w:val="24"/>
        </w:rPr>
        <w:t>,</w:t>
      </w:r>
      <w:r w:rsidR="00FD342F">
        <w:rPr>
          <w:sz w:val="24"/>
          <w:szCs w:val="24"/>
        </w:rPr>
        <w:t xml:space="preserve"> and evaluate whether or not a multiple discharger </w:t>
      </w:r>
      <w:r w:rsidR="00FC7F23">
        <w:rPr>
          <w:sz w:val="24"/>
          <w:szCs w:val="24"/>
        </w:rPr>
        <w:t xml:space="preserve">variance </w:t>
      </w:r>
      <w:r w:rsidR="005332BF">
        <w:rPr>
          <w:sz w:val="24"/>
          <w:szCs w:val="24"/>
        </w:rPr>
        <w:t>or other explicit variance provisions are</w:t>
      </w:r>
      <w:r w:rsidR="00FC7F23">
        <w:rPr>
          <w:sz w:val="24"/>
          <w:szCs w:val="24"/>
        </w:rPr>
        <w:t xml:space="preserve"> warranted </w:t>
      </w:r>
      <w:r w:rsidR="00FD342F">
        <w:rPr>
          <w:sz w:val="24"/>
          <w:szCs w:val="24"/>
        </w:rPr>
        <w:t>under future rulemaking.</w:t>
      </w:r>
    </w:p>
    <w:p w:rsidR="006846D8" w:rsidRDefault="009F1B3F">
      <w:pPr>
        <w:ind w:left="720"/>
        <w:rPr>
          <w:sz w:val="24"/>
          <w:szCs w:val="24"/>
          <w:u w:val="single"/>
        </w:rPr>
      </w:pPr>
      <w:r w:rsidRPr="000E305D">
        <w:rPr>
          <w:sz w:val="24"/>
          <w:szCs w:val="24"/>
          <w:u w:val="single"/>
        </w:rPr>
        <w:t>Pros:</w:t>
      </w:r>
    </w:p>
    <w:p w:rsidR="006846D8" w:rsidRPr="0092771D" w:rsidRDefault="00874910" w:rsidP="003052BD">
      <w:pPr>
        <w:pStyle w:val="ListParagraph"/>
        <w:numPr>
          <w:ilvl w:val="0"/>
          <w:numId w:val="13"/>
        </w:numPr>
      </w:pPr>
      <w:r w:rsidRPr="0092771D">
        <w:rPr>
          <w:sz w:val="24"/>
          <w:szCs w:val="24"/>
        </w:rPr>
        <w:t xml:space="preserve">If a multiple discharger variance is delayed, it could potentially give </w:t>
      </w:r>
      <w:r w:rsidR="003052BD" w:rsidRPr="0092771D">
        <w:rPr>
          <w:sz w:val="24"/>
          <w:szCs w:val="24"/>
        </w:rPr>
        <w:t xml:space="preserve">DEQ </w:t>
      </w:r>
      <w:r w:rsidRPr="0092771D">
        <w:rPr>
          <w:sz w:val="24"/>
          <w:szCs w:val="24"/>
        </w:rPr>
        <w:t>time to further evaluate data and develop a</w:t>
      </w:r>
      <w:r w:rsidR="003052BD" w:rsidRPr="0092771D">
        <w:rPr>
          <w:sz w:val="24"/>
          <w:szCs w:val="24"/>
        </w:rPr>
        <w:t xml:space="preserve"> better understanding of the types and numbers of facilities requesting variances, the pollutants of concern, </w:t>
      </w:r>
      <w:r w:rsidRPr="0092771D">
        <w:rPr>
          <w:sz w:val="24"/>
          <w:szCs w:val="24"/>
        </w:rPr>
        <w:t>and the review and approval process</w:t>
      </w:r>
      <w:r w:rsidR="003052BD" w:rsidRPr="0092771D">
        <w:rPr>
          <w:sz w:val="24"/>
          <w:szCs w:val="24"/>
        </w:rPr>
        <w:t>.</w:t>
      </w:r>
    </w:p>
    <w:p w:rsidR="006846D8" w:rsidRPr="003052BD" w:rsidRDefault="009F1B3F">
      <w:pPr>
        <w:ind w:left="720"/>
        <w:rPr>
          <w:sz w:val="24"/>
          <w:szCs w:val="24"/>
          <w:u w:val="single"/>
        </w:rPr>
      </w:pPr>
      <w:r w:rsidRPr="003052BD">
        <w:rPr>
          <w:sz w:val="24"/>
          <w:szCs w:val="24"/>
          <w:u w:val="single"/>
        </w:rPr>
        <w:t>Cons:</w:t>
      </w:r>
    </w:p>
    <w:p w:rsidR="006846D8" w:rsidRDefault="009F1B3F" w:rsidP="003052BD">
      <w:pPr>
        <w:pStyle w:val="ListParagraph"/>
        <w:numPr>
          <w:ilvl w:val="0"/>
          <w:numId w:val="13"/>
        </w:numPr>
        <w:rPr>
          <w:sz w:val="24"/>
          <w:szCs w:val="24"/>
        </w:rPr>
      </w:pPr>
      <w:r w:rsidRPr="003052BD">
        <w:rPr>
          <w:sz w:val="24"/>
          <w:szCs w:val="24"/>
        </w:rPr>
        <w:t>Additional specificity is not contained in rule</w:t>
      </w:r>
    </w:p>
    <w:p w:rsidR="00FD342F" w:rsidRPr="00FD342F" w:rsidRDefault="00E26498" w:rsidP="00ED0EDF">
      <w:pPr>
        <w:pStyle w:val="ListParagraph"/>
        <w:numPr>
          <w:ilvl w:val="0"/>
          <w:numId w:val="13"/>
        </w:numPr>
      </w:pPr>
      <w:r>
        <w:rPr>
          <w:sz w:val="24"/>
          <w:szCs w:val="24"/>
        </w:rPr>
        <w:t xml:space="preserve">Rule provisions not specifically authorizing a multiple discharger variance could potentially cause an administrative burden on both discharger and DEQ staff in </w:t>
      </w:r>
      <w:r w:rsidR="00EE34D0">
        <w:rPr>
          <w:sz w:val="24"/>
          <w:szCs w:val="24"/>
        </w:rPr>
        <w:t xml:space="preserve">reviewing and approving </w:t>
      </w:r>
      <w:r>
        <w:rPr>
          <w:sz w:val="24"/>
          <w:szCs w:val="24"/>
        </w:rPr>
        <w:t>variance</w:t>
      </w:r>
      <w:r w:rsidR="00EE34D0">
        <w:rPr>
          <w:sz w:val="24"/>
          <w:szCs w:val="24"/>
        </w:rPr>
        <w:t>s</w:t>
      </w:r>
      <w:r>
        <w:rPr>
          <w:sz w:val="24"/>
          <w:szCs w:val="24"/>
        </w:rPr>
        <w:t xml:space="preserve"> based on similar situations, such as a non-contact cooling scenario.</w:t>
      </w:r>
      <w:r w:rsidR="00ED0EDF" w:rsidRPr="00ED0EDF" w:rsidDel="00ED0EDF">
        <w:rPr>
          <w:sz w:val="24"/>
          <w:szCs w:val="24"/>
        </w:rPr>
        <w:t xml:space="preserve"> </w:t>
      </w:r>
    </w:p>
    <w:sectPr w:rsidR="00FD342F" w:rsidRPr="00FD342F" w:rsidSect="0023479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28A6" w:rsidRDefault="002628A6" w:rsidP="002E4DC6">
      <w:pPr>
        <w:spacing w:after="0" w:line="240" w:lineRule="auto"/>
      </w:pPr>
      <w:r>
        <w:separator/>
      </w:r>
    </w:p>
  </w:endnote>
  <w:endnote w:type="continuationSeparator" w:id="1">
    <w:p w:rsidR="002628A6" w:rsidRDefault="002628A6" w:rsidP="002E4D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28A6" w:rsidRDefault="002628A6" w:rsidP="002E4DC6">
      <w:pPr>
        <w:spacing w:after="0" w:line="240" w:lineRule="auto"/>
      </w:pPr>
      <w:r>
        <w:separator/>
      </w:r>
    </w:p>
  </w:footnote>
  <w:footnote w:type="continuationSeparator" w:id="1">
    <w:p w:rsidR="002628A6" w:rsidRDefault="002628A6" w:rsidP="002E4DC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856BB"/>
    <w:multiLevelType w:val="hybridMultilevel"/>
    <w:tmpl w:val="2E109C3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8C05A6F"/>
    <w:multiLevelType w:val="hybridMultilevel"/>
    <w:tmpl w:val="13423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586D15"/>
    <w:multiLevelType w:val="hybridMultilevel"/>
    <w:tmpl w:val="B274BA7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672684E"/>
    <w:multiLevelType w:val="hybridMultilevel"/>
    <w:tmpl w:val="8A4E450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1604805"/>
    <w:multiLevelType w:val="hybridMultilevel"/>
    <w:tmpl w:val="A2308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3141C4"/>
    <w:multiLevelType w:val="hybridMultilevel"/>
    <w:tmpl w:val="EA08C2B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23E6C18"/>
    <w:multiLevelType w:val="hybridMultilevel"/>
    <w:tmpl w:val="44EA3D3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EC27E17"/>
    <w:multiLevelType w:val="hybridMultilevel"/>
    <w:tmpl w:val="2642125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9CA3269"/>
    <w:multiLevelType w:val="hybridMultilevel"/>
    <w:tmpl w:val="347E357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2CD6C35"/>
    <w:multiLevelType w:val="hybridMultilevel"/>
    <w:tmpl w:val="C6728640"/>
    <w:lvl w:ilvl="0" w:tplc="B7AA79E0">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61A14F6"/>
    <w:multiLevelType w:val="hybridMultilevel"/>
    <w:tmpl w:val="6F8A69DA"/>
    <w:lvl w:ilvl="0" w:tplc="CC84703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77E2715C"/>
    <w:multiLevelType w:val="hybridMultilevel"/>
    <w:tmpl w:val="C344859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A3F1DF0"/>
    <w:multiLevelType w:val="hybridMultilevel"/>
    <w:tmpl w:val="F884ABF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12"/>
  </w:num>
  <w:num w:numId="3">
    <w:abstractNumId w:val="10"/>
  </w:num>
  <w:num w:numId="4">
    <w:abstractNumId w:val="2"/>
  </w:num>
  <w:num w:numId="5">
    <w:abstractNumId w:val="0"/>
  </w:num>
  <w:num w:numId="6">
    <w:abstractNumId w:val="8"/>
  </w:num>
  <w:num w:numId="7">
    <w:abstractNumId w:val="4"/>
  </w:num>
  <w:num w:numId="8">
    <w:abstractNumId w:val="3"/>
  </w:num>
  <w:num w:numId="9">
    <w:abstractNumId w:val="9"/>
  </w:num>
  <w:num w:numId="10">
    <w:abstractNumId w:val="5"/>
  </w:num>
  <w:num w:numId="11">
    <w:abstractNumId w:val="6"/>
  </w:num>
  <w:num w:numId="12">
    <w:abstractNumId w:val="7"/>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20"/>
  <w:characterSpacingControl w:val="doNotCompress"/>
  <w:footnotePr>
    <w:footnote w:id="0"/>
    <w:footnote w:id="1"/>
  </w:footnotePr>
  <w:endnotePr>
    <w:endnote w:id="0"/>
    <w:endnote w:id="1"/>
  </w:endnotePr>
  <w:compat/>
  <w:rsids>
    <w:rsidRoot w:val="00AD6949"/>
    <w:rsid w:val="00017B42"/>
    <w:rsid w:val="000B58E1"/>
    <w:rsid w:val="000E305D"/>
    <w:rsid w:val="000E744D"/>
    <w:rsid w:val="00103434"/>
    <w:rsid w:val="00107F9F"/>
    <w:rsid w:val="0020244A"/>
    <w:rsid w:val="00234795"/>
    <w:rsid w:val="00236824"/>
    <w:rsid w:val="002628A6"/>
    <w:rsid w:val="00282435"/>
    <w:rsid w:val="002E4DC6"/>
    <w:rsid w:val="002E6108"/>
    <w:rsid w:val="003052BD"/>
    <w:rsid w:val="003254F8"/>
    <w:rsid w:val="003356C3"/>
    <w:rsid w:val="004C324B"/>
    <w:rsid w:val="005332BF"/>
    <w:rsid w:val="005A4AA3"/>
    <w:rsid w:val="005B4511"/>
    <w:rsid w:val="006846D8"/>
    <w:rsid w:val="007A60B7"/>
    <w:rsid w:val="00865AEA"/>
    <w:rsid w:val="00874910"/>
    <w:rsid w:val="0092771D"/>
    <w:rsid w:val="00985BEC"/>
    <w:rsid w:val="009E6227"/>
    <w:rsid w:val="009F1B3F"/>
    <w:rsid w:val="00A47A97"/>
    <w:rsid w:val="00AD6949"/>
    <w:rsid w:val="00AD6DA5"/>
    <w:rsid w:val="00AF2E50"/>
    <w:rsid w:val="00C23BB8"/>
    <w:rsid w:val="00D10796"/>
    <w:rsid w:val="00E21EDF"/>
    <w:rsid w:val="00E26498"/>
    <w:rsid w:val="00E83BC3"/>
    <w:rsid w:val="00ED0EDF"/>
    <w:rsid w:val="00EE34D0"/>
    <w:rsid w:val="00EE7DA8"/>
    <w:rsid w:val="00F54DF3"/>
    <w:rsid w:val="00FC7F23"/>
    <w:rsid w:val="00FD34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7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949"/>
    <w:pPr>
      <w:ind w:left="720"/>
      <w:contextualSpacing/>
    </w:pPr>
  </w:style>
  <w:style w:type="paragraph" w:styleId="NormalWeb">
    <w:name w:val="Normal (Web)"/>
    <w:basedOn w:val="Normal"/>
    <w:uiPriority w:val="99"/>
    <w:semiHidden/>
    <w:unhideWhenUsed/>
    <w:rsid w:val="00C23BB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23B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3BB8"/>
    <w:rPr>
      <w:rFonts w:ascii="Tahoma" w:hAnsi="Tahoma" w:cs="Tahoma"/>
      <w:sz w:val="16"/>
      <w:szCs w:val="16"/>
    </w:rPr>
  </w:style>
  <w:style w:type="character" w:styleId="CommentReference">
    <w:name w:val="annotation reference"/>
    <w:basedOn w:val="DefaultParagraphFont"/>
    <w:semiHidden/>
    <w:rsid w:val="00C23BB8"/>
    <w:rPr>
      <w:sz w:val="16"/>
      <w:szCs w:val="16"/>
    </w:rPr>
  </w:style>
  <w:style w:type="paragraph" w:styleId="CommentText">
    <w:name w:val="annotation text"/>
    <w:basedOn w:val="Normal"/>
    <w:link w:val="CommentTextChar"/>
    <w:semiHidden/>
    <w:rsid w:val="00C23BB8"/>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C23BB8"/>
    <w:rPr>
      <w:rFonts w:ascii="Times New Roman" w:eastAsia="Times New Roman" w:hAnsi="Times New Roman" w:cs="Times New Roman"/>
      <w:sz w:val="20"/>
      <w:szCs w:val="20"/>
    </w:rPr>
  </w:style>
  <w:style w:type="paragraph" w:styleId="Header">
    <w:name w:val="header"/>
    <w:basedOn w:val="Normal"/>
    <w:link w:val="HeaderChar"/>
    <w:uiPriority w:val="99"/>
    <w:semiHidden/>
    <w:unhideWhenUsed/>
    <w:rsid w:val="002E4DC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E4DC6"/>
  </w:style>
  <w:style w:type="paragraph" w:styleId="Footer">
    <w:name w:val="footer"/>
    <w:basedOn w:val="Normal"/>
    <w:link w:val="FooterChar"/>
    <w:uiPriority w:val="99"/>
    <w:unhideWhenUsed/>
    <w:rsid w:val="002E4D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4DC6"/>
  </w:style>
  <w:style w:type="paragraph" w:styleId="CommentSubject">
    <w:name w:val="annotation subject"/>
    <w:basedOn w:val="CommentText"/>
    <w:next w:val="CommentText"/>
    <w:link w:val="CommentSubjectChar"/>
    <w:uiPriority w:val="99"/>
    <w:semiHidden/>
    <w:unhideWhenUsed/>
    <w:rsid w:val="007A60B7"/>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A60B7"/>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B365BBC6D0E944B7E6A93F4FAC12E0" ma:contentTypeVersion="2" ma:contentTypeDescription="Create a new document." ma:contentTypeScope="" ma:versionID="3f99891eee5a4daf7290a70cfe7f879a">
  <xsd:schema xmlns:xsd="http://www.w3.org/2001/XMLSchema" xmlns:xs="http://www.w3.org/2001/XMLSchema" xmlns:p="http://schemas.microsoft.com/office/2006/metadata/properties" xmlns:ns2="ad9aa276-7b0f-4038-ae2b-df4413790567" targetNamespace="http://schemas.microsoft.com/office/2006/metadata/properties" ma:root="true" ma:fieldsID="570142acab13da14482689177e6427ca" ns2:_="">
    <xsd:import namespace="ad9aa276-7b0f-4038-ae2b-df4413790567"/>
    <xsd:element name="properties">
      <xsd:complexType>
        <xsd:sequence>
          <xsd:element name="documentManagement">
            <xsd:complexType>
              <xsd:all>
                <xsd:element ref="ns2:Category" minOccurs="0"/>
                <xsd:element ref="ns2:Sub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aa276-7b0f-4038-ae2b-df4413790567"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Text">
          <xsd:maxLength value="255"/>
        </xsd:restriction>
      </xsd:simpleType>
    </xsd:element>
    <xsd:element name="Subcategory" ma:index="9" nillable="true" ma:displayName="Subcategory" ma:internalName="Sub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ad9aa276-7b0f-4038-ae2b-df4413790567">Materials from RWG Meetings</Category>
    <Subcategory xmlns="ad9aa276-7b0f-4038-ae2b-df4413790567">January 2010</Subcategory>
  </documentManagement>
</p:properties>
</file>

<file path=customXml/itemProps1.xml><?xml version="1.0" encoding="utf-8"?>
<ds:datastoreItem xmlns:ds="http://schemas.openxmlformats.org/officeDocument/2006/customXml" ds:itemID="{28F1E65D-244A-41AF-8720-99ED40BDABEC}"/>
</file>

<file path=customXml/itemProps2.xml><?xml version="1.0" encoding="utf-8"?>
<ds:datastoreItem xmlns:ds="http://schemas.openxmlformats.org/officeDocument/2006/customXml" ds:itemID="{05B4B875-17D3-41A5-A02B-3C18AC596D48}"/>
</file>

<file path=customXml/itemProps3.xml><?xml version="1.0" encoding="utf-8"?>
<ds:datastoreItem xmlns:ds="http://schemas.openxmlformats.org/officeDocument/2006/customXml" ds:itemID="{BB4D1829-882D-44F5-A306-D42FAF78778A}"/>
</file>

<file path=docProps/app.xml><?xml version="1.0" encoding="utf-8"?>
<Properties xmlns="http://schemas.openxmlformats.org/officeDocument/2006/extended-properties" xmlns:vt="http://schemas.openxmlformats.org/officeDocument/2006/docPropsVTypes">
  <Template>Normal.dotm</Template>
  <TotalTime>35</TotalTime>
  <Pages>3</Pages>
  <Words>782</Words>
  <Characters>4462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5234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Matzke</dc:creator>
  <cp:keywords/>
  <dc:description/>
  <cp:lastModifiedBy>Andrea Matzke</cp:lastModifiedBy>
  <cp:revision>5</cp:revision>
  <cp:lastPrinted>2010-01-12T23:44:00Z</cp:lastPrinted>
  <dcterms:created xsi:type="dcterms:W3CDTF">2010-01-13T23:27:00Z</dcterms:created>
  <dcterms:modified xsi:type="dcterms:W3CDTF">2010-01-13T23:52:00Z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0x010100BAB365BBC6D0E944B7E6A93F4FAC12E0</vt:lpwstr>
  </property>
</Properties>
</file>