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r>
      <w:commentRangeStart w:id="0"/>
      <w:r>
        <w:rPr>
          <w:rFonts w:ascii="Times New Roman" w:hAnsi="Times New Roman"/>
          <w:sz w:val="36"/>
        </w:rPr>
        <w:t>Memorandum</w:t>
      </w:r>
      <w:commentRangeEnd w:id="0"/>
      <w:r w:rsidR="00615FBD">
        <w:rPr>
          <w:rStyle w:val="CommentReference"/>
        </w:rPr>
        <w:commentReference w:id="0"/>
      </w:r>
    </w:p>
    <w:p w:rsidR="002953D9" w:rsidRDefault="00BC0887"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D52334">
        <w:rPr>
          <w:rFonts w:ascii="Times New Roman" w:hAnsi="Times New Roman"/>
          <w:b/>
        </w:rPr>
        <w:t>May 27, 2011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1" w:name="AgendaInfo"/>
      <w:r>
        <w:rPr>
          <w:rFonts w:ascii="Times New Roman" w:hAnsi="Times New Roman"/>
        </w:rPr>
        <w:t xml:space="preserve">Agenda Item </w:t>
      </w:r>
      <w:r w:rsidRPr="00A90926">
        <w:rPr>
          <w:rFonts w:ascii="Times New Roman" w:hAnsi="Times New Roman"/>
          <w:highlight w:val="yellow"/>
        </w:rPr>
        <w:t>X</w:t>
      </w:r>
      <w:r>
        <w:rPr>
          <w:rFonts w:ascii="Times New Roman" w:hAnsi="Times New Roman"/>
        </w:rPr>
        <w:t xml:space="preserve">, </w:t>
      </w:r>
      <w:bookmarkEnd w:id="1"/>
      <w:r>
        <w:rPr>
          <w:rFonts w:ascii="Times New Roman" w:hAnsi="Times New Roman"/>
        </w:rPr>
        <w:t xml:space="preserve">Rule Adoption: </w:t>
      </w:r>
      <w:r w:rsidR="008F18FD">
        <w:rPr>
          <w:rFonts w:ascii="Times New Roman" w:hAnsi="Times New Roman"/>
        </w:rPr>
        <w:t>Revised Water Quality Standards for Human Health and Revised Water Quality Standards Implementation Policies</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8F18FD">
        <w:rPr>
          <w:rFonts w:ascii="Times New Roman" w:hAnsi="Times New Roman"/>
        </w:rPr>
        <w:t xml:space="preserve">June 16-17, 2011 </w:t>
      </w:r>
      <w:r>
        <w:rPr>
          <w:rFonts w:ascii="Times New Roman" w:hAnsi="Times New Roman"/>
        </w:rPr>
        <w:t xml:space="preserve">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503058" w:rsidRDefault="00503058" w:rsidP="009E3AD9">
            <w:pPr>
              <w:tabs>
                <w:tab w:val="left" w:pos="-1440"/>
                <w:tab w:val="left" w:pos="-720"/>
              </w:tabs>
              <w:suppressAutoHyphens/>
              <w:rPr>
                <w:rFonts w:ascii="Times New Roman" w:hAnsi="Times New Roman"/>
                <w:spacing w:val="-3"/>
              </w:rPr>
            </w:pPr>
            <w:r>
              <w:rPr>
                <w:rFonts w:ascii="Times New Roman" w:hAnsi="Times New Roman"/>
                <w:spacing w:val="-3"/>
              </w:rPr>
              <w:t>The proposed rule addresses a significant gap in the level of human health protection provided by Oregon’s current water quality standards and will address this deficiency which EPA also identified as part of its June 2010 disapproval of Oregon’s human health criteria for toxic pollutants. In addition, this rule proposes or revises three permitting implementation tools that are critical for addressing known and anticipated permitting issues and clarifies how DEQ will interact with the Departments of Agriculture and Forestry in their implementation programs to control nonpoint sources of pollutants.</w:t>
            </w:r>
          </w:p>
          <w:p w:rsidR="003B08E7" w:rsidRPr="009E3AD9" w:rsidRDefault="003B08E7" w:rsidP="00503058">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673B1A" w:rsidRDefault="00B0236D" w:rsidP="00A90926">
            <w:pPr>
              <w:rPr>
                <w:szCs w:val="24"/>
              </w:rPr>
            </w:pPr>
            <w:r>
              <w:rPr>
                <w:szCs w:val="24"/>
              </w:rPr>
              <w:t>The</w:t>
            </w:r>
            <w:r w:rsidRPr="009E3AD9">
              <w:rPr>
                <w:szCs w:val="24"/>
              </w:rPr>
              <w:t xml:space="preserve"> Department of Environmental Quality recommends that the </w:t>
            </w:r>
            <w:r>
              <w:rPr>
                <w:szCs w:val="24"/>
              </w:rPr>
              <w:t xml:space="preserve">commission amend Oregon’s water quality standards </w:t>
            </w:r>
            <w:r w:rsidR="00822586">
              <w:rPr>
                <w:szCs w:val="24"/>
              </w:rPr>
              <w:t>revising the human health</w:t>
            </w:r>
            <w:r w:rsidR="00A90926">
              <w:rPr>
                <w:szCs w:val="24"/>
              </w:rPr>
              <w:t xml:space="preserve"> criteria for toxic pollutants and the revised water quality standards implementation policies </w:t>
            </w:r>
            <w:r>
              <w:rPr>
                <w:szCs w:val="24"/>
              </w:rPr>
              <w:t xml:space="preserve">as </w:t>
            </w:r>
            <w:r w:rsidRPr="009E3AD9">
              <w:rPr>
                <w:szCs w:val="24"/>
              </w:rPr>
              <w:t xml:space="preserve">presented in </w:t>
            </w:r>
            <w:r>
              <w:rPr>
                <w:szCs w:val="24"/>
              </w:rPr>
              <w:t>a</w:t>
            </w:r>
            <w:r w:rsidRPr="009E3AD9">
              <w:rPr>
                <w:szCs w:val="24"/>
              </w:rPr>
              <w:t>ttachment A</w:t>
            </w:r>
            <w:r>
              <w:rPr>
                <w:szCs w:val="24"/>
              </w:rPr>
              <w:t>.  The amendments to OAR 340-041</w:t>
            </w:r>
            <w:r w:rsidR="00673B1A">
              <w:rPr>
                <w:szCs w:val="24"/>
              </w:rPr>
              <w:t>,</w:t>
            </w:r>
            <w:r w:rsidR="00A90926">
              <w:rPr>
                <w:szCs w:val="24"/>
              </w:rPr>
              <w:t xml:space="preserve"> </w:t>
            </w:r>
            <w:r w:rsidR="00673B1A">
              <w:rPr>
                <w:szCs w:val="24"/>
              </w:rPr>
              <w:t xml:space="preserve">OAR 340-042, and </w:t>
            </w:r>
            <w:r w:rsidR="00673B1A" w:rsidRPr="00A90926">
              <w:t xml:space="preserve">OAR 340-045 </w:t>
            </w:r>
            <w:r w:rsidR="00A90926">
              <w:rPr>
                <w:szCs w:val="24"/>
              </w:rPr>
              <w:t xml:space="preserve">contain </w:t>
            </w:r>
          </w:p>
          <w:p w:rsidR="00673B1A" w:rsidRDefault="00673B1A" w:rsidP="00673B1A">
            <w:pPr>
              <w:numPr>
                <w:ilvl w:val="0"/>
                <w:numId w:val="14"/>
              </w:numPr>
              <w:rPr>
                <w:szCs w:val="24"/>
              </w:rPr>
            </w:pPr>
            <w:r>
              <w:rPr>
                <w:szCs w:val="24"/>
              </w:rPr>
              <w:t xml:space="preserve">revisions to </w:t>
            </w:r>
            <w:r w:rsidR="00A90926">
              <w:rPr>
                <w:szCs w:val="24"/>
              </w:rPr>
              <w:t>the human health criteria</w:t>
            </w:r>
            <w:r>
              <w:rPr>
                <w:szCs w:val="24"/>
              </w:rPr>
              <w:t xml:space="preserve"> for toxic pollutants</w:t>
            </w:r>
            <w:r w:rsidR="00B0236D">
              <w:rPr>
                <w:szCs w:val="24"/>
              </w:rPr>
              <w:t xml:space="preserve">, </w:t>
            </w:r>
          </w:p>
          <w:p w:rsidR="00673B1A" w:rsidRDefault="00673B1A" w:rsidP="00673B1A">
            <w:pPr>
              <w:numPr>
                <w:ilvl w:val="0"/>
                <w:numId w:val="14"/>
              </w:numPr>
              <w:rPr>
                <w:szCs w:val="24"/>
              </w:rPr>
            </w:pPr>
            <w:r>
              <w:rPr>
                <w:szCs w:val="24"/>
              </w:rPr>
              <w:t>a new “intake credit” provision,</w:t>
            </w:r>
          </w:p>
          <w:p w:rsidR="00673B1A" w:rsidRDefault="00A90926" w:rsidP="00673B1A">
            <w:pPr>
              <w:numPr>
                <w:ilvl w:val="0"/>
                <w:numId w:val="14"/>
              </w:numPr>
              <w:rPr>
                <w:szCs w:val="24"/>
              </w:rPr>
            </w:pPr>
            <w:r>
              <w:rPr>
                <w:szCs w:val="24"/>
              </w:rPr>
              <w:t xml:space="preserve">a new “background pollutant allowance” provision, </w:t>
            </w:r>
          </w:p>
          <w:p w:rsidR="00673B1A" w:rsidRDefault="00A90926" w:rsidP="00673B1A">
            <w:pPr>
              <w:numPr>
                <w:ilvl w:val="0"/>
                <w:numId w:val="14"/>
              </w:numPr>
              <w:rPr>
                <w:szCs w:val="24"/>
              </w:rPr>
            </w:pPr>
            <w:r>
              <w:rPr>
                <w:szCs w:val="24"/>
              </w:rPr>
              <w:t>revisions to the variance rules</w:t>
            </w:r>
            <w:r w:rsidR="00673B1A">
              <w:rPr>
                <w:szCs w:val="24"/>
              </w:rPr>
              <w:t>,</w:t>
            </w:r>
          </w:p>
          <w:p w:rsidR="00673B1A" w:rsidRDefault="00673B1A" w:rsidP="00673B1A">
            <w:pPr>
              <w:numPr>
                <w:ilvl w:val="0"/>
                <w:numId w:val="14"/>
              </w:numPr>
              <w:rPr>
                <w:szCs w:val="24"/>
              </w:rPr>
            </w:pPr>
            <w:r>
              <w:rPr>
                <w:szCs w:val="24"/>
              </w:rPr>
              <w:t xml:space="preserve">revisions </w:t>
            </w:r>
            <w:r w:rsidR="00A90926">
              <w:rPr>
                <w:szCs w:val="24"/>
              </w:rPr>
              <w:t>explain</w:t>
            </w:r>
            <w:r>
              <w:rPr>
                <w:szCs w:val="24"/>
              </w:rPr>
              <w:t>ing</w:t>
            </w:r>
            <w:r w:rsidR="00A90926">
              <w:rPr>
                <w:szCs w:val="24"/>
              </w:rPr>
              <w:t xml:space="preserve"> how the mechanisms for forestry and agricultural nonpoint sources work to meet water quality standards and the TMDL load allocations under the Forest Practices Act and Agricu</w:t>
            </w:r>
            <w:r w:rsidR="003843CA">
              <w:rPr>
                <w:szCs w:val="24"/>
              </w:rPr>
              <w:t xml:space="preserve">lture Water Quality Management </w:t>
            </w:r>
            <w:r w:rsidR="00A90926">
              <w:rPr>
                <w:szCs w:val="24"/>
              </w:rPr>
              <w:t>Act</w:t>
            </w:r>
            <w:r>
              <w:rPr>
                <w:szCs w:val="24"/>
              </w:rPr>
              <w:t>, and</w:t>
            </w:r>
          </w:p>
          <w:p w:rsidR="00673B1A" w:rsidRPr="00673B1A" w:rsidRDefault="00673B1A" w:rsidP="00673B1A">
            <w:pPr>
              <w:numPr>
                <w:ilvl w:val="0"/>
                <w:numId w:val="14"/>
              </w:numPr>
              <w:rPr>
                <w:szCs w:val="24"/>
              </w:rPr>
            </w:pPr>
            <w:proofErr w:type="gramStart"/>
            <w:r>
              <w:rPr>
                <w:szCs w:val="24"/>
              </w:rPr>
              <w:t>revisions</w:t>
            </w:r>
            <w:proofErr w:type="gramEnd"/>
            <w:r>
              <w:rPr>
                <w:szCs w:val="24"/>
              </w:rPr>
              <w:t xml:space="preserve"> </w:t>
            </w:r>
            <w:r w:rsidR="00A90926">
              <w:t>clarifying how</w:t>
            </w:r>
            <w:r w:rsidR="00A90926" w:rsidRPr="00A90926">
              <w:t xml:space="preserve"> air or land sources </w:t>
            </w:r>
            <w:r w:rsidR="00A90926">
              <w:t>are treated in</w:t>
            </w:r>
            <w:r w:rsidR="00A90926" w:rsidRPr="00A90926">
              <w:t xml:space="preserve"> the development of TMDL</w:t>
            </w:r>
            <w:r>
              <w:t>s</w:t>
            </w:r>
            <w:r w:rsidR="00B0236D" w:rsidRPr="00A90926">
              <w:t xml:space="preserve">. </w:t>
            </w:r>
          </w:p>
          <w:p w:rsidR="0055493C" w:rsidRPr="009E3AD9" w:rsidRDefault="00B0236D" w:rsidP="00673B1A">
            <w:pPr>
              <w:rPr>
                <w:szCs w:val="24"/>
              </w:rPr>
            </w:pPr>
            <w:commentRangeStart w:id="2"/>
            <w:r w:rsidRPr="00A90926">
              <w:t>DEQ also recommends</w:t>
            </w:r>
            <w:r>
              <w:rPr>
                <w:szCs w:val="24"/>
              </w:rPr>
              <w:t xml:space="preserve"> that the and the implementing provisions contained in OAR 340-041, OAR 340-042, and OAR 340-045 become applicable under state law only after the revisions considered to be water quality standards are approved </w:t>
            </w:r>
            <w:r>
              <w:rPr>
                <w:szCs w:val="24"/>
              </w:rPr>
              <w:lastRenderedPageBreak/>
              <w:t xml:space="preserve">by EPA and become effective under the federal Clean Water Act.  </w:t>
            </w:r>
            <w:commentRangeEnd w:id="2"/>
            <w:r>
              <w:rPr>
                <w:rStyle w:val="CommentReference"/>
              </w:rPr>
              <w:commentReference w:id="2"/>
            </w:r>
            <w:r>
              <w:rPr>
                <w:szCs w:val="24"/>
              </w:rPr>
              <w:t xml:space="preserve">Language to this effect is included in </w:t>
            </w:r>
            <w:commentRangeStart w:id="3"/>
            <w:r w:rsidRPr="00B0236D">
              <w:rPr>
                <w:szCs w:val="24"/>
                <w:highlight w:val="yellow"/>
              </w:rPr>
              <w:t>the rule language</w:t>
            </w:r>
            <w:r>
              <w:rPr>
                <w:szCs w:val="24"/>
              </w:rPr>
              <w:t xml:space="preserve"> </w:t>
            </w:r>
            <w:commentRangeEnd w:id="3"/>
            <w:r>
              <w:rPr>
                <w:rStyle w:val="CommentReference"/>
              </w:rPr>
              <w:commentReference w:id="3"/>
            </w:r>
            <w:r>
              <w:rPr>
                <w:szCs w:val="24"/>
              </w:rPr>
              <w:t>and in Table 40</w:t>
            </w:r>
            <w:r w:rsidR="0055493C" w:rsidRPr="009E3AD9">
              <w:rPr>
                <w:szCs w:val="24"/>
              </w:rPr>
              <w:t xml:space="preserve"> as presented in Attachment A.  </w:t>
            </w:r>
          </w:p>
          <w:p w:rsidR="0055493C" w:rsidRPr="009E3AD9" w:rsidRDefault="0055493C" w:rsidP="00F9139B">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lastRenderedPageBreak/>
              <w:t>Background and Need for Rulemaking</w:t>
            </w:r>
          </w:p>
          <w:p w:rsidR="0055493C" w:rsidRPr="009E3AD9" w:rsidRDefault="0055493C" w:rsidP="00010164">
            <w:pPr>
              <w:rPr>
                <w:sz w:val="22"/>
              </w:rPr>
            </w:pPr>
          </w:p>
        </w:tc>
        <w:tc>
          <w:tcPr>
            <w:tcW w:w="8376" w:type="dxa"/>
          </w:tcPr>
          <w:p w:rsidR="008970A1" w:rsidRDefault="007A305E" w:rsidP="00F9139B">
            <w:pPr>
              <w:pStyle w:val="ListParagraph"/>
              <w:spacing w:after="200"/>
              <w:ind w:left="0"/>
              <w:rPr>
                <w:rFonts w:ascii="Times New Roman" w:hAnsi="Times New Roman"/>
                <w:color w:val="000000"/>
                <w:szCs w:val="24"/>
              </w:rPr>
            </w:pPr>
            <w:r>
              <w:rPr>
                <w:rFonts w:ascii="Times New Roman" w:hAnsi="Times New Roman"/>
                <w:color w:val="000000"/>
                <w:szCs w:val="24"/>
              </w:rPr>
              <w:t xml:space="preserve">The Clean Water Act establishes </w:t>
            </w:r>
            <w:r w:rsidRPr="00876463">
              <w:rPr>
                <w:rFonts w:ascii="Times New Roman" w:hAnsi="Times New Roman"/>
                <w:color w:val="000000"/>
                <w:szCs w:val="24"/>
              </w:rPr>
              <w:t>DEQ</w:t>
            </w:r>
            <w:r>
              <w:rPr>
                <w:rFonts w:ascii="Times New Roman" w:hAnsi="Times New Roman"/>
                <w:color w:val="000000"/>
                <w:szCs w:val="24"/>
              </w:rPr>
              <w:t>’s</w:t>
            </w:r>
            <w:r w:rsidRPr="00876463">
              <w:rPr>
                <w:rFonts w:ascii="Times New Roman" w:hAnsi="Times New Roman"/>
                <w:color w:val="000000"/>
                <w:szCs w:val="24"/>
              </w:rPr>
              <w:t xml:space="preserve"> responsib</w:t>
            </w:r>
            <w:r>
              <w:rPr>
                <w:rFonts w:ascii="Times New Roman" w:hAnsi="Times New Roman"/>
                <w:color w:val="000000"/>
                <w:szCs w:val="24"/>
              </w:rPr>
              <w:t xml:space="preserve">ility to </w:t>
            </w:r>
            <w:r w:rsidR="00A90926">
              <w:rPr>
                <w:rFonts w:ascii="Times New Roman" w:hAnsi="Times New Roman"/>
                <w:color w:val="000000"/>
                <w:szCs w:val="24"/>
              </w:rPr>
              <w:t>develop and adopt</w:t>
            </w:r>
            <w:r w:rsidRPr="00876463">
              <w:rPr>
                <w:rFonts w:ascii="Times New Roman" w:hAnsi="Times New Roman"/>
                <w:color w:val="000000"/>
                <w:szCs w:val="24"/>
              </w:rPr>
              <w:t xml:space="preserve"> water quality </w:t>
            </w:r>
            <w:r>
              <w:rPr>
                <w:rFonts w:ascii="Times New Roman" w:hAnsi="Times New Roman"/>
                <w:color w:val="000000"/>
                <w:szCs w:val="24"/>
              </w:rPr>
              <w:t xml:space="preserve">standards </w:t>
            </w:r>
            <w:r w:rsidRPr="00876463">
              <w:rPr>
                <w:rFonts w:ascii="Times New Roman" w:hAnsi="Times New Roman"/>
                <w:color w:val="000000"/>
                <w:szCs w:val="24"/>
              </w:rPr>
              <w:t xml:space="preserve">in Oregon to protect human health. </w:t>
            </w:r>
            <w:r>
              <w:t>Standards form the basis and guideposts for other programs DEQ administers under the Clean Water Act</w:t>
            </w:r>
            <w:r w:rsidR="008970A1">
              <w:t>. DEQ must periodically review those standards and keep them up-to-date w</w:t>
            </w:r>
            <w:r w:rsidR="00F9139B">
              <w:t xml:space="preserve">ith science and new information and ensure </w:t>
            </w:r>
            <w:r w:rsidR="00F9139B">
              <w:rPr>
                <w:rFonts w:ascii="Times New Roman" w:hAnsi="Times New Roman"/>
                <w:color w:val="000000"/>
                <w:szCs w:val="24"/>
              </w:rPr>
              <w:t xml:space="preserve">that all beneficial uses are protected. DEQ works to ensure the </w:t>
            </w:r>
            <w:r w:rsidR="00A90926">
              <w:rPr>
                <w:rFonts w:ascii="Times New Roman" w:hAnsi="Times New Roman"/>
                <w:color w:val="000000"/>
                <w:szCs w:val="24"/>
              </w:rPr>
              <w:t xml:space="preserve">water quality standards protect the </w:t>
            </w:r>
            <w:r w:rsidR="00F9139B">
              <w:rPr>
                <w:rFonts w:ascii="Times New Roman" w:hAnsi="Times New Roman"/>
                <w:color w:val="000000"/>
                <w:szCs w:val="24"/>
              </w:rPr>
              <w:t>majority of Oregonians, including susceptible groups, in determining the appropriate level of protection</w:t>
            </w:r>
            <w:r w:rsidR="00A90926">
              <w:rPr>
                <w:rFonts w:ascii="Times New Roman" w:hAnsi="Times New Roman"/>
                <w:color w:val="000000"/>
                <w:szCs w:val="24"/>
              </w:rPr>
              <w:t xml:space="preserve"> reflected in the standards</w:t>
            </w:r>
            <w:r w:rsidR="00F9139B">
              <w:rPr>
                <w:rFonts w:ascii="Times New Roman" w:hAnsi="Times New Roman"/>
                <w:color w:val="000000"/>
                <w:szCs w:val="24"/>
              </w:rPr>
              <w:t>.</w:t>
            </w:r>
          </w:p>
          <w:p w:rsidR="00832A06" w:rsidRDefault="00832A06" w:rsidP="00F9139B">
            <w:pPr>
              <w:pStyle w:val="ListParagraph"/>
              <w:spacing w:after="200"/>
              <w:ind w:left="0"/>
            </w:pPr>
          </w:p>
          <w:p w:rsidR="008970A1" w:rsidRDefault="007A305E" w:rsidP="00F9139B">
            <w:pPr>
              <w:pStyle w:val="ListParagraph"/>
              <w:spacing w:after="200"/>
              <w:ind w:left="0"/>
              <w:rPr>
                <w:rFonts w:ascii="Times New Roman" w:hAnsi="Times New Roman"/>
                <w:color w:val="000000"/>
                <w:szCs w:val="24"/>
              </w:rPr>
            </w:pPr>
            <w:r>
              <w:rPr>
                <w:rFonts w:ascii="Times New Roman" w:hAnsi="Times New Roman"/>
                <w:color w:val="000000"/>
                <w:szCs w:val="24"/>
              </w:rPr>
              <w:t>N</w:t>
            </w:r>
            <w:r w:rsidRPr="00DF7CBF">
              <w:rPr>
                <w:rFonts w:ascii="Times New Roman" w:hAnsi="Times New Roman"/>
                <w:color w:val="000000"/>
                <w:szCs w:val="24"/>
              </w:rPr>
              <w:t>umeric water quality criteria</w:t>
            </w:r>
            <w:r>
              <w:rPr>
                <w:rFonts w:ascii="Times New Roman" w:hAnsi="Times New Roman"/>
                <w:color w:val="000000"/>
                <w:szCs w:val="24"/>
              </w:rPr>
              <w:t>, which are</w:t>
            </w:r>
            <w:r w:rsidRPr="00DF7CBF">
              <w:rPr>
                <w:rFonts w:ascii="Times New Roman" w:hAnsi="Times New Roman"/>
                <w:color w:val="000000"/>
                <w:szCs w:val="24"/>
              </w:rPr>
              <w:t xml:space="preserve"> expressed as concentrations that</w:t>
            </w:r>
            <w:r>
              <w:rPr>
                <w:rFonts w:ascii="Times New Roman" w:hAnsi="Times New Roman"/>
                <w:color w:val="000000"/>
                <w:szCs w:val="24"/>
              </w:rPr>
              <w:t xml:space="preserve"> </w:t>
            </w:r>
            <w:r w:rsidRPr="00DF7CBF">
              <w:rPr>
                <w:rFonts w:ascii="Times New Roman" w:hAnsi="Times New Roman"/>
                <w:color w:val="000000"/>
                <w:szCs w:val="24"/>
              </w:rPr>
              <w:t>are not to be exceeded</w:t>
            </w:r>
            <w:r>
              <w:rPr>
                <w:rFonts w:ascii="Times New Roman" w:hAnsi="Times New Roman"/>
                <w:color w:val="000000"/>
                <w:szCs w:val="24"/>
              </w:rPr>
              <w:t>, are a key component</w:t>
            </w:r>
            <w:r w:rsidR="00F9139B">
              <w:rPr>
                <w:rFonts w:ascii="Times New Roman" w:hAnsi="Times New Roman"/>
                <w:color w:val="000000"/>
                <w:szCs w:val="24"/>
              </w:rPr>
              <w:t xml:space="preserve"> of water quality standards</w:t>
            </w:r>
            <w:r w:rsidRPr="00DF7CBF">
              <w:rPr>
                <w:rFonts w:ascii="Times New Roman" w:hAnsi="Times New Roman"/>
                <w:color w:val="000000"/>
                <w:szCs w:val="24"/>
              </w:rPr>
              <w:t xml:space="preserve">. </w:t>
            </w:r>
            <w:r w:rsidR="00F9139B">
              <w:rPr>
                <w:rFonts w:ascii="Times New Roman" w:hAnsi="Times New Roman"/>
                <w:color w:val="000000"/>
                <w:szCs w:val="24"/>
              </w:rPr>
              <w:t>Meeting water quality standards</w:t>
            </w:r>
            <w:r w:rsidR="008970A1">
              <w:rPr>
                <w:rFonts w:ascii="Times New Roman" w:hAnsi="Times New Roman"/>
                <w:color w:val="000000"/>
                <w:szCs w:val="24"/>
              </w:rPr>
              <w:t xml:space="preserve"> ensure</w:t>
            </w:r>
            <w:r w:rsidR="00F9139B">
              <w:rPr>
                <w:rFonts w:ascii="Times New Roman" w:hAnsi="Times New Roman"/>
                <w:color w:val="000000"/>
                <w:szCs w:val="24"/>
              </w:rPr>
              <w:t>s that</w:t>
            </w:r>
            <w:r w:rsidR="008970A1">
              <w:rPr>
                <w:rFonts w:ascii="Times New Roman" w:hAnsi="Times New Roman"/>
                <w:color w:val="000000"/>
                <w:szCs w:val="24"/>
              </w:rPr>
              <w:t xml:space="preserve"> </w:t>
            </w:r>
            <w:r w:rsidRPr="00DF7CBF">
              <w:rPr>
                <w:rFonts w:ascii="Times New Roman" w:hAnsi="Times New Roman"/>
                <w:color w:val="000000"/>
                <w:szCs w:val="24"/>
              </w:rPr>
              <w:t>Oregonians</w:t>
            </w:r>
            <w:r>
              <w:rPr>
                <w:rFonts w:ascii="Times New Roman" w:hAnsi="Times New Roman"/>
                <w:color w:val="000000"/>
                <w:szCs w:val="24"/>
              </w:rPr>
              <w:t xml:space="preserve"> </w:t>
            </w:r>
            <w:r w:rsidR="008970A1">
              <w:rPr>
                <w:rFonts w:ascii="Times New Roman" w:hAnsi="Times New Roman"/>
                <w:color w:val="000000"/>
                <w:szCs w:val="24"/>
              </w:rPr>
              <w:t>can</w:t>
            </w:r>
            <w:r w:rsidRPr="00DF7CBF">
              <w:rPr>
                <w:rFonts w:ascii="Times New Roman" w:hAnsi="Times New Roman"/>
                <w:color w:val="000000"/>
                <w:szCs w:val="24"/>
              </w:rPr>
              <w:t xml:space="preserve"> consume fish and shellfish and use state waters for drinking water</w:t>
            </w:r>
            <w:r>
              <w:rPr>
                <w:rFonts w:ascii="Times New Roman" w:hAnsi="Times New Roman"/>
                <w:color w:val="000000"/>
                <w:szCs w:val="24"/>
              </w:rPr>
              <w:t xml:space="preserve"> </w:t>
            </w:r>
            <w:r w:rsidRPr="00DF7CBF">
              <w:rPr>
                <w:rFonts w:ascii="Times New Roman" w:hAnsi="Times New Roman"/>
                <w:color w:val="000000"/>
                <w:szCs w:val="24"/>
              </w:rPr>
              <w:t xml:space="preserve">supply without adverse health effects. </w:t>
            </w:r>
          </w:p>
          <w:p w:rsidR="00001BB8" w:rsidRDefault="0069005E" w:rsidP="00001BB8">
            <w:pPr>
              <w:pStyle w:val="EndnoteText"/>
              <w:tabs>
                <w:tab w:val="left" w:pos="-1440"/>
                <w:tab w:val="left" w:pos="-720"/>
                <w:tab w:val="left" w:pos="4050"/>
              </w:tabs>
              <w:suppressAutoHyphens/>
              <w:rPr>
                <w:rFonts w:ascii="Times New Roman" w:hAnsi="Times New Roman"/>
                <w:color w:val="000000"/>
                <w:szCs w:val="24"/>
              </w:rPr>
            </w:pPr>
            <w:r>
              <w:rPr>
                <w:rFonts w:ascii="Times New Roman" w:hAnsi="Times New Roman"/>
                <w:szCs w:val="24"/>
              </w:rPr>
              <w:t>Some</w:t>
            </w:r>
            <w:r w:rsidR="00001BB8">
              <w:rPr>
                <w:rFonts w:ascii="Times New Roman" w:hAnsi="Times New Roman"/>
                <w:szCs w:val="24"/>
              </w:rPr>
              <w:t xml:space="preserve"> water bodies </w:t>
            </w:r>
            <w:r>
              <w:rPr>
                <w:rFonts w:ascii="Times New Roman" w:hAnsi="Times New Roman"/>
                <w:szCs w:val="24"/>
              </w:rPr>
              <w:t xml:space="preserve">are currently </w:t>
            </w:r>
            <w:r w:rsidR="00001BB8">
              <w:rPr>
                <w:rFonts w:ascii="Times New Roman" w:hAnsi="Times New Roman"/>
                <w:szCs w:val="24"/>
              </w:rPr>
              <w:t xml:space="preserve">contaminated by the pollutants addressed by this rulemaking. Some of these pollutants </w:t>
            </w:r>
            <w:r>
              <w:rPr>
                <w:rFonts w:ascii="Times New Roman" w:hAnsi="Times New Roman"/>
                <w:szCs w:val="24"/>
              </w:rPr>
              <w:t xml:space="preserve">have been </w:t>
            </w:r>
            <w:r w:rsidR="00001BB8">
              <w:rPr>
                <w:rFonts w:ascii="Times New Roman" w:hAnsi="Times New Roman"/>
                <w:szCs w:val="24"/>
              </w:rPr>
              <w:t xml:space="preserve">studied extensively by the scientific community, such as </w:t>
            </w:r>
            <w:proofErr w:type="spellStart"/>
            <w:r w:rsidR="00001BB8">
              <w:rPr>
                <w:rFonts w:ascii="Times New Roman" w:hAnsi="Times New Roman"/>
                <w:szCs w:val="24"/>
              </w:rPr>
              <w:t>methylmercury</w:t>
            </w:r>
            <w:proofErr w:type="spellEnd"/>
            <w:r w:rsidR="00001BB8">
              <w:rPr>
                <w:rFonts w:ascii="Times New Roman" w:hAnsi="Times New Roman"/>
                <w:szCs w:val="24"/>
              </w:rPr>
              <w:t xml:space="preserve">, and have well-documented human health effects from exposure through fish consumption. Implementation of water quality standards through Clean Water Act programs prevent future pollution and provide mechanisms for addressing pollution that has already occurred. </w:t>
            </w:r>
            <w:r>
              <w:rPr>
                <w:rFonts w:ascii="Times New Roman" w:hAnsi="Times New Roman"/>
                <w:szCs w:val="24"/>
              </w:rPr>
              <w:t>Water quality s</w:t>
            </w:r>
            <w:r w:rsidR="00001BB8">
              <w:rPr>
                <w:rFonts w:ascii="Times New Roman" w:hAnsi="Times New Roman"/>
                <w:szCs w:val="24"/>
              </w:rPr>
              <w:t>tandards provide appropriate benchmarks for these purposes.</w:t>
            </w:r>
            <w:r w:rsidR="00001BB8">
              <w:rPr>
                <w:rFonts w:ascii="Times New Roman" w:hAnsi="Times New Roman"/>
                <w:color w:val="000000"/>
                <w:szCs w:val="24"/>
              </w:rPr>
              <w:t xml:space="preserve"> </w:t>
            </w:r>
          </w:p>
          <w:p w:rsidR="00001BB8" w:rsidRDefault="00001BB8" w:rsidP="00001BB8">
            <w:pPr>
              <w:pStyle w:val="EndnoteText"/>
              <w:tabs>
                <w:tab w:val="left" w:pos="-1440"/>
                <w:tab w:val="left" w:pos="-720"/>
                <w:tab w:val="left" w:pos="4050"/>
              </w:tabs>
              <w:suppressAutoHyphens/>
              <w:rPr>
                <w:rFonts w:ascii="Times New Roman" w:hAnsi="Times New Roman"/>
                <w:szCs w:val="24"/>
              </w:rPr>
            </w:pPr>
          </w:p>
          <w:p w:rsidR="003450D0" w:rsidRDefault="0069005E" w:rsidP="0069005E">
            <w:pPr>
              <w:rPr>
                <w:rFonts w:ascii="Times New Roman" w:hAnsi="Times New Roman"/>
              </w:rPr>
            </w:pPr>
            <w:r>
              <w:rPr>
                <w:rFonts w:ascii="Times New Roman" w:hAnsi="Times New Roman"/>
              </w:rPr>
              <w:t xml:space="preserve">In 2004, the EQC, adopted EPA’s recommended toxic pollutants criteria for aquatic life and for human health.  The human health criteria were based on a fish consumption rate of 17.5 grams per day (g/d), which represents national </w:t>
            </w:r>
            <w:r w:rsidR="003450D0">
              <w:rPr>
                <w:rFonts w:ascii="Times New Roman" w:hAnsi="Times New Roman"/>
              </w:rPr>
              <w:t>consumption data</w:t>
            </w:r>
            <w:r>
              <w:rPr>
                <w:rFonts w:ascii="Times New Roman" w:hAnsi="Times New Roman"/>
              </w:rPr>
              <w:t xml:space="preserve">.  </w:t>
            </w:r>
            <w:r w:rsidR="003450D0">
              <w:rPr>
                <w:rFonts w:ascii="Times New Roman" w:hAnsi="Times New Roman"/>
              </w:rPr>
              <w:t>EPA and tribal members objected to the criteria, stating that the criteria do not protect Tribal members who eat much greater amounts of fish. In 2005, DEQ committed to revisiting the criteria and began a stakeholder process to reconsider the fish consumption rate.</w:t>
            </w:r>
          </w:p>
          <w:p w:rsidR="003450D0" w:rsidRDefault="003450D0" w:rsidP="0069005E">
            <w:pPr>
              <w:rPr>
                <w:rFonts w:ascii="Times New Roman" w:hAnsi="Times New Roman"/>
              </w:rPr>
            </w:pPr>
          </w:p>
          <w:p w:rsidR="003450D0" w:rsidRDefault="003450D0" w:rsidP="003450D0">
            <w:pPr>
              <w:pStyle w:val="EndnoteText"/>
              <w:tabs>
                <w:tab w:val="left" w:pos="-1440"/>
                <w:tab w:val="left" w:pos="-720"/>
                <w:tab w:val="left" w:pos="4050"/>
              </w:tabs>
              <w:suppressAutoHyphens/>
              <w:rPr>
                <w:rFonts w:ascii="Times New Roman" w:hAnsi="Times New Roman"/>
                <w:color w:val="000000"/>
                <w:szCs w:val="24"/>
              </w:rPr>
            </w:pPr>
            <w:r>
              <w:rPr>
                <w:rFonts w:ascii="Times New Roman" w:hAnsi="Times New Roman"/>
                <w:szCs w:val="24"/>
              </w:rPr>
              <w:t>In October 2008, DEQ presented the results of this process to the commission</w:t>
            </w:r>
            <w:r w:rsidR="002D1925">
              <w:rPr>
                <w:rFonts w:ascii="Times New Roman" w:hAnsi="Times New Roman"/>
                <w:szCs w:val="24"/>
              </w:rPr>
              <w:t xml:space="preserve"> along with a joint recommendation from DEQ, the Confederated Tribes of the Umatilla Indian Reservation and EPA to use 175 grams per day in revising the human health criteria</w:t>
            </w:r>
            <w:r>
              <w:rPr>
                <w:rFonts w:ascii="Times New Roman" w:hAnsi="Times New Roman"/>
                <w:szCs w:val="24"/>
              </w:rPr>
              <w:t>. In turn, th</w:t>
            </w:r>
            <w:r>
              <w:rPr>
                <w:rFonts w:ascii="Times New Roman" w:hAnsi="Times New Roman"/>
                <w:color w:val="000000"/>
                <w:szCs w:val="24"/>
              </w:rPr>
              <w:t>e commission</w:t>
            </w:r>
            <w:r w:rsidRPr="00DF7CBF">
              <w:rPr>
                <w:rFonts w:ascii="Times New Roman" w:hAnsi="Times New Roman"/>
                <w:color w:val="000000"/>
                <w:szCs w:val="24"/>
              </w:rPr>
              <w:t xml:space="preserve"> directed DEQ to </w:t>
            </w:r>
          </w:p>
          <w:p w:rsidR="003450D0" w:rsidRDefault="003450D0" w:rsidP="003450D0">
            <w:pPr>
              <w:pStyle w:val="ListParagraph"/>
              <w:numPr>
                <w:ilvl w:val="0"/>
                <w:numId w:val="16"/>
              </w:numPr>
            </w:pPr>
            <w:r w:rsidRPr="00832A06">
              <w:t xml:space="preserve">Revise Oregon’s toxics criteria for human health based on a fish consumption rate of 175 grams per person per day; </w:t>
            </w:r>
          </w:p>
          <w:p w:rsidR="003450D0" w:rsidRDefault="003450D0" w:rsidP="003450D0">
            <w:pPr>
              <w:pStyle w:val="ListParagraph"/>
              <w:numPr>
                <w:ilvl w:val="0"/>
                <w:numId w:val="16"/>
              </w:numPr>
            </w:pPr>
            <w:r w:rsidRPr="00832A06">
              <w:t xml:space="preserve">Propose rule language that will allow DEQ to implement the standards in National Pollutant Discharge Elimination System (NPDES) permits and other Clean Water Act programs in an environmentally meaningful and cost-effective manner; </w:t>
            </w:r>
          </w:p>
          <w:p w:rsidR="003450D0" w:rsidRDefault="003450D0" w:rsidP="003450D0">
            <w:pPr>
              <w:pStyle w:val="ListParagraph"/>
              <w:numPr>
                <w:ilvl w:val="0"/>
                <w:numId w:val="16"/>
              </w:numPr>
            </w:pPr>
            <w:r w:rsidRPr="00832A06">
              <w:t xml:space="preserve">Propose rule language or develop other implementation strategies to reduce the adverse impacts of toxic substances in Oregon’s waters that are the result of non-point source (not via a pipe) discharges or other sources </w:t>
            </w:r>
            <w:r w:rsidRPr="00832A06">
              <w:lastRenderedPageBreak/>
              <w:t xml:space="preserve">not subject to section 402 of the Clean Water Act; </w:t>
            </w:r>
            <w:r>
              <w:t>and</w:t>
            </w:r>
          </w:p>
          <w:p w:rsidR="003450D0" w:rsidRPr="00832A06" w:rsidRDefault="003450D0" w:rsidP="003450D0">
            <w:pPr>
              <w:pStyle w:val="ListParagraph"/>
              <w:numPr>
                <w:ilvl w:val="0"/>
                <w:numId w:val="16"/>
              </w:numPr>
            </w:pPr>
            <w:r w:rsidRPr="00832A06">
              <w:t xml:space="preserve">Develop a proposed rule and implementation methods that carefully consider the costs and benefits of the fish consumption rate and the data and scientific analysis already compiled or that is developed as part of the rulemaking proceeding. </w:t>
            </w:r>
          </w:p>
          <w:p w:rsidR="003450D0" w:rsidRDefault="003450D0" w:rsidP="0069005E">
            <w:pPr>
              <w:rPr>
                <w:rFonts w:ascii="Times New Roman" w:hAnsi="Times New Roman"/>
              </w:rPr>
            </w:pPr>
          </w:p>
          <w:p w:rsidR="00832A06" w:rsidRDefault="00832A06" w:rsidP="00832A06">
            <w:pPr>
              <w:pStyle w:val="Default"/>
              <w:rPr>
                <w:sz w:val="22"/>
                <w:szCs w:val="22"/>
              </w:rPr>
            </w:pPr>
          </w:p>
          <w:p w:rsidR="00832A06" w:rsidRDefault="00712041" w:rsidP="00F9139B">
            <w:pPr>
              <w:pStyle w:val="EndnoteText"/>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has been working toward these directives since that time with rulemaking advisory workgroups, public discussion and comment on rules, and through the department’s consideration of the many comments received on the rulemaking. </w:t>
            </w:r>
          </w:p>
          <w:p w:rsidR="00832A06" w:rsidRDefault="00832A06" w:rsidP="00F9139B">
            <w:pPr>
              <w:pStyle w:val="EndnoteText"/>
              <w:tabs>
                <w:tab w:val="left" w:pos="-1440"/>
                <w:tab w:val="left" w:pos="-720"/>
                <w:tab w:val="left" w:pos="4050"/>
              </w:tabs>
              <w:suppressAutoHyphens/>
              <w:rPr>
                <w:rFonts w:ascii="Times New Roman" w:hAnsi="Times New Roman"/>
                <w:szCs w:val="24"/>
              </w:rPr>
            </w:pPr>
          </w:p>
          <w:p w:rsidR="00832A06" w:rsidRDefault="002D1925" w:rsidP="00832A06">
            <w:pPr>
              <w:pStyle w:val="EndnoteText"/>
              <w:numPr>
                <w:ilvl w:val="0"/>
                <w:numId w:val="18"/>
              </w:num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The proposed final rules include criteria revisions </w:t>
            </w:r>
            <w:r w:rsidR="00832A06">
              <w:rPr>
                <w:rFonts w:ascii="Times New Roman" w:hAnsi="Times New Roman"/>
                <w:szCs w:val="24"/>
              </w:rPr>
              <w:t xml:space="preserve">based on 175 grams per day. </w:t>
            </w:r>
            <w:r w:rsidR="00E10495">
              <w:rPr>
                <w:rFonts w:ascii="Times New Roman" w:hAnsi="Times New Roman"/>
                <w:szCs w:val="24"/>
              </w:rPr>
              <w:t>As described in the “Stakeholder Involvement” section of this report, DEQ spent a considerable amount of time discussing the choice of an appropriate fish consumption rate with interested members of the public and public health experts. These early discussions culminated in the joint recommendation to the commission and the commission’s direction to proposed rules based on 175 grams per day. During the public comment period, DEQ received many comments on use of fish consumption rate. Carefully considered those comments as described in “Key Issues” section. Many of the comments received raised similar issues to the topics of discussion and DEQ’s considerations during the public workshops and interaction with public health experts. As a result, as described in further detail in the Key Issues section, DEQ con</w:t>
            </w:r>
            <w:r w:rsidR="00832A06">
              <w:rPr>
                <w:rFonts w:ascii="Times New Roman" w:hAnsi="Times New Roman"/>
                <w:szCs w:val="24"/>
              </w:rPr>
              <w:t>tinue</w:t>
            </w:r>
            <w:r w:rsidR="00E10495">
              <w:rPr>
                <w:rFonts w:ascii="Times New Roman" w:hAnsi="Times New Roman"/>
                <w:szCs w:val="24"/>
              </w:rPr>
              <w:t>s</w:t>
            </w:r>
            <w:r w:rsidR="00832A06">
              <w:rPr>
                <w:rFonts w:ascii="Times New Roman" w:hAnsi="Times New Roman"/>
                <w:szCs w:val="24"/>
              </w:rPr>
              <w:t xml:space="preserve"> to conclude 175 grams per day is an appropriate fish consumption rate to protect the majority of Oregonians, therefore, proposing final criteria based on 175 grams per day. </w:t>
            </w:r>
          </w:p>
          <w:p w:rsidR="00131F85" w:rsidRDefault="00131F85" w:rsidP="00131F85">
            <w:pPr>
              <w:pStyle w:val="EndnoteText"/>
              <w:tabs>
                <w:tab w:val="left" w:pos="-1440"/>
                <w:tab w:val="left" w:pos="-720"/>
                <w:tab w:val="left" w:pos="4050"/>
              </w:tabs>
              <w:suppressAutoHyphens/>
              <w:ind w:left="360"/>
              <w:rPr>
                <w:rFonts w:ascii="Times New Roman" w:hAnsi="Times New Roman"/>
                <w:szCs w:val="24"/>
              </w:rPr>
            </w:pPr>
          </w:p>
          <w:p w:rsidR="00832A06" w:rsidRDefault="00832A06" w:rsidP="00832A06">
            <w:pPr>
              <w:pStyle w:val="EndnoteText"/>
              <w:numPr>
                <w:ilvl w:val="0"/>
                <w:numId w:val="18"/>
              </w:num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Implementing NPDES permits. Brainstormed many different ideas to address </w:t>
            </w:r>
            <w:r w:rsidR="00FD24D2">
              <w:rPr>
                <w:rFonts w:ascii="Times New Roman" w:hAnsi="Times New Roman"/>
                <w:szCs w:val="24"/>
              </w:rPr>
              <w:t>known and anticipated permitting issues. Proposed those rules that would complement current permitting approaches and tools, were most likely to address identified issues, and likely to be found legal by EPA under Clean Water Act.</w:t>
            </w:r>
            <w:r w:rsidR="00E10495">
              <w:rPr>
                <w:rFonts w:ascii="Times New Roman" w:hAnsi="Times New Roman"/>
                <w:szCs w:val="24"/>
              </w:rPr>
              <w:t xml:space="preserve"> Evaluated data and information provided by affected entities regarding the potential impact of the implementing the proposed rules into NPDES permits, supplemented that data and information with our own, and performed our own analysis. </w:t>
            </w:r>
            <w:commentRangeStart w:id="4"/>
            <w:r w:rsidR="00E10495">
              <w:rPr>
                <w:rFonts w:ascii="Times New Roman" w:hAnsi="Times New Roman"/>
                <w:szCs w:val="24"/>
              </w:rPr>
              <w:t>DEQ staff will present to the commission the findings of this analysis as part of its presentation.</w:t>
            </w:r>
            <w:commentRangeEnd w:id="4"/>
            <w:r w:rsidR="00E10495">
              <w:rPr>
                <w:rStyle w:val="CommentReference"/>
              </w:rPr>
              <w:commentReference w:id="4"/>
            </w:r>
          </w:p>
          <w:p w:rsidR="00131F85" w:rsidRDefault="00131F85" w:rsidP="00131F85">
            <w:pPr>
              <w:pStyle w:val="ListParagraph"/>
              <w:rPr>
                <w:rFonts w:ascii="Times New Roman" w:hAnsi="Times New Roman"/>
                <w:szCs w:val="24"/>
              </w:rPr>
            </w:pPr>
          </w:p>
          <w:p w:rsidR="00131F85" w:rsidRDefault="00131F85" w:rsidP="00131F85">
            <w:pPr>
              <w:pStyle w:val="EndnoteText"/>
              <w:tabs>
                <w:tab w:val="left" w:pos="-1440"/>
                <w:tab w:val="left" w:pos="-720"/>
                <w:tab w:val="left" w:pos="4050"/>
              </w:tabs>
              <w:suppressAutoHyphens/>
              <w:ind w:left="360"/>
              <w:rPr>
                <w:rFonts w:ascii="Times New Roman" w:hAnsi="Times New Roman"/>
                <w:szCs w:val="24"/>
              </w:rPr>
            </w:pPr>
          </w:p>
          <w:p w:rsidR="00FD24D2" w:rsidRDefault="00FD24D2" w:rsidP="00832A06">
            <w:pPr>
              <w:pStyle w:val="EndnoteText"/>
              <w:numPr>
                <w:ilvl w:val="0"/>
                <w:numId w:val="18"/>
              </w:numPr>
              <w:tabs>
                <w:tab w:val="left" w:pos="-1440"/>
                <w:tab w:val="left" w:pos="-720"/>
                <w:tab w:val="left" w:pos="4050"/>
              </w:tabs>
              <w:suppressAutoHyphens/>
              <w:rPr>
                <w:rFonts w:ascii="Times New Roman" w:hAnsi="Times New Roman"/>
                <w:szCs w:val="24"/>
              </w:rPr>
            </w:pPr>
            <w:commentRangeStart w:id="5"/>
            <w:r>
              <w:rPr>
                <w:rFonts w:ascii="Times New Roman" w:hAnsi="Times New Roman"/>
                <w:szCs w:val="24"/>
              </w:rPr>
              <w:t>Approaching nonpoint source issues. Brainstormed dozens of potential regulatory and non-regulatory options. Evaluated against DEQ and other departments’ regulatory authorities</w:t>
            </w:r>
            <w:commentRangeEnd w:id="5"/>
            <w:r>
              <w:rPr>
                <w:rStyle w:val="CommentReference"/>
              </w:rPr>
              <w:commentReference w:id="5"/>
            </w:r>
            <w:r>
              <w:rPr>
                <w:rFonts w:ascii="Times New Roman" w:hAnsi="Times New Roman"/>
                <w:szCs w:val="24"/>
              </w:rPr>
              <w:t xml:space="preserve">.  </w:t>
            </w:r>
          </w:p>
          <w:p w:rsidR="00131F85" w:rsidRDefault="00131F85" w:rsidP="00131F85">
            <w:pPr>
              <w:pStyle w:val="EndnoteText"/>
              <w:tabs>
                <w:tab w:val="left" w:pos="-1440"/>
                <w:tab w:val="left" w:pos="-720"/>
                <w:tab w:val="left" w:pos="4050"/>
              </w:tabs>
              <w:suppressAutoHyphens/>
              <w:ind w:left="360"/>
              <w:rPr>
                <w:rFonts w:ascii="Times New Roman" w:hAnsi="Times New Roman"/>
                <w:szCs w:val="24"/>
              </w:rPr>
            </w:pPr>
          </w:p>
          <w:p w:rsidR="00131F85" w:rsidRDefault="00FD24D2" w:rsidP="00832A06">
            <w:pPr>
              <w:pStyle w:val="EndnoteText"/>
              <w:numPr>
                <w:ilvl w:val="0"/>
                <w:numId w:val="18"/>
              </w:num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Cost and benefits and scientific data and information. </w:t>
            </w:r>
            <w:r w:rsidR="00131F85">
              <w:rPr>
                <w:rFonts w:ascii="Times New Roman" w:hAnsi="Times New Roman"/>
                <w:szCs w:val="24"/>
              </w:rPr>
              <w:t>DEQ conducted an e</w:t>
            </w:r>
            <w:r>
              <w:rPr>
                <w:rFonts w:ascii="Times New Roman" w:hAnsi="Times New Roman"/>
                <w:szCs w:val="24"/>
              </w:rPr>
              <w:t xml:space="preserve">xtensive cost analysis. Used quantitative information where available, including SAIC report and information provided by stakeholder advisory </w:t>
            </w:r>
            <w:r>
              <w:rPr>
                <w:rFonts w:ascii="Times New Roman" w:hAnsi="Times New Roman"/>
                <w:szCs w:val="24"/>
              </w:rPr>
              <w:lastRenderedPageBreak/>
              <w:t xml:space="preserve">workgroup members during their review. </w:t>
            </w:r>
            <w:r w:rsidR="00131F85">
              <w:rPr>
                <w:rFonts w:ascii="Times New Roman" w:hAnsi="Times New Roman"/>
                <w:szCs w:val="24"/>
              </w:rPr>
              <w:t>Where quantitative information was not available, DEQ described the circumstances under which cost impacts may occur for sources and resource implications for DEQ staff.</w:t>
            </w:r>
            <w:r w:rsidR="00CC35D7">
              <w:rPr>
                <w:rFonts w:ascii="Times New Roman" w:hAnsi="Times New Roman"/>
                <w:szCs w:val="24"/>
              </w:rPr>
              <w:t xml:space="preserve"> These considerations were part of the discussions DEQ first had with the Fiscal Impact and Implementation Advisory Committee in 2008 and continued with the rulemaking advisory committees from 2008 through 2010.  DEQ sought throughout the process to develop proposed rules that establish the appropriate goals and have permit implementation tools available to use in appropriate situations.</w:t>
            </w:r>
            <w:r w:rsidR="00131F85">
              <w:rPr>
                <w:rFonts w:ascii="Times New Roman" w:hAnsi="Times New Roman"/>
                <w:szCs w:val="24"/>
              </w:rPr>
              <w:t xml:space="preserve"> </w:t>
            </w:r>
          </w:p>
          <w:p w:rsidR="00CC35D7" w:rsidRDefault="00CC35D7" w:rsidP="00131F85">
            <w:pPr>
              <w:pStyle w:val="EndnoteText"/>
              <w:tabs>
                <w:tab w:val="left" w:pos="-1440"/>
                <w:tab w:val="left" w:pos="-720"/>
                <w:tab w:val="left" w:pos="4050"/>
              </w:tabs>
              <w:suppressAutoHyphens/>
              <w:ind w:left="360"/>
              <w:rPr>
                <w:rFonts w:ascii="Times New Roman" w:hAnsi="Times New Roman"/>
                <w:szCs w:val="24"/>
              </w:rPr>
            </w:pPr>
          </w:p>
          <w:p w:rsidR="00FD24D2" w:rsidRDefault="00CC35D7" w:rsidP="003450D0">
            <w:pPr>
              <w:pStyle w:val="EndnoteText"/>
              <w:tabs>
                <w:tab w:val="left" w:pos="-1440"/>
                <w:tab w:val="left" w:pos="-720"/>
                <w:tab w:val="left" w:pos="4050"/>
              </w:tabs>
              <w:suppressAutoHyphens/>
              <w:ind w:left="720"/>
              <w:rPr>
                <w:rFonts w:ascii="Times New Roman" w:hAnsi="Times New Roman"/>
                <w:szCs w:val="24"/>
              </w:rPr>
            </w:pPr>
            <w:r>
              <w:rPr>
                <w:rFonts w:ascii="Times New Roman" w:hAnsi="Times New Roman"/>
                <w:szCs w:val="24"/>
              </w:rPr>
              <w:t>In addition, d</w:t>
            </w:r>
            <w:r w:rsidR="00E10495">
              <w:rPr>
                <w:rFonts w:ascii="Times New Roman" w:hAnsi="Times New Roman"/>
                <w:szCs w:val="24"/>
              </w:rPr>
              <w:t xml:space="preserve">uring the rule development process, workgroup advisory members identified three pollutants that frequently occur at high levels in Oregon waters naturally and that frequently present associated issues for </w:t>
            </w:r>
            <w:proofErr w:type="spellStart"/>
            <w:r w:rsidR="00131F85">
              <w:rPr>
                <w:rFonts w:ascii="Times New Roman" w:hAnsi="Times New Roman"/>
                <w:szCs w:val="24"/>
              </w:rPr>
              <w:t>permittees</w:t>
            </w:r>
            <w:proofErr w:type="spellEnd"/>
            <w:r w:rsidR="00131F85">
              <w:rPr>
                <w:rFonts w:ascii="Times New Roman" w:hAnsi="Times New Roman"/>
                <w:szCs w:val="24"/>
              </w:rPr>
              <w:t xml:space="preserve">. DEQ assessed the available scientific data and information and found that it would support less stringent criteria values for those pollutants. </w:t>
            </w:r>
            <w:r w:rsidR="00FD24D2">
              <w:rPr>
                <w:rFonts w:ascii="Times New Roman" w:hAnsi="Times New Roman"/>
                <w:szCs w:val="24"/>
              </w:rPr>
              <w:t xml:space="preserve">Based on the requests of stakeholders, DEQ also </w:t>
            </w:r>
            <w:r w:rsidR="00BD4E44">
              <w:rPr>
                <w:rFonts w:ascii="Times New Roman" w:hAnsi="Times New Roman"/>
                <w:szCs w:val="24"/>
              </w:rPr>
              <w:t xml:space="preserve">expedited </w:t>
            </w:r>
            <w:r w:rsidR="00FD24D2">
              <w:rPr>
                <w:rFonts w:ascii="Times New Roman" w:hAnsi="Times New Roman"/>
                <w:szCs w:val="24"/>
              </w:rPr>
              <w:t xml:space="preserve">criteria revisions for </w:t>
            </w:r>
            <w:r w:rsidR="00131F85">
              <w:rPr>
                <w:rFonts w:ascii="Times New Roman" w:hAnsi="Times New Roman"/>
                <w:szCs w:val="24"/>
              </w:rPr>
              <w:t xml:space="preserve">these </w:t>
            </w:r>
            <w:r w:rsidR="00FD24D2">
              <w:rPr>
                <w:rFonts w:ascii="Times New Roman" w:hAnsi="Times New Roman"/>
                <w:szCs w:val="24"/>
              </w:rPr>
              <w:t>three pollutant</w:t>
            </w:r>
            <w:r w:rsidR="00131F85">
              <w:rPr>
                <w:rFonts w:ascii="Times New Roman" w:hAnsi="Times New Roman"/>
                <w:szCs w:val="24"/>
              </w:rPr>
              <w:t>s. The c</w:t>
            </w:r>
            <w:r w:rsidR="00FD24D2">
              <w:rPr>
                <w:rFonts w:ascii="Times New Roman" w:hAnsi="Times New Roman"/>
                <w:szCs w:val="24"/>
              </w:rPr>
              <w:t>ommission adopted revisions for these criteria in December 2010 (iron and manganese) and in April 2011 (arsenic).</w:t>
            </w:r>
          </w:p>
          <w:p w:rsidR="00CC35D7" w:rsidRDefault="00CC35D7" w:rsidP="00131F85">
            <w:pPr>
              <w:pStyle w:val="EndnoteText"/>
              <w:tabs>
                <w:tab w:val="left" w:pos="-1440"/>
                <w:tab w:val="left" w:pos="-720"/>
                <w:tab w:val="left" w:pos="4050"/>
              </w:tabs>
              <w:suppressAutoHyphens/>
              <w:ind w:left="360"/>
              <w:rPr>
                <w:rFonts w:ascii="Times New Roman" w:hAnsi="Times New Roman"/>
                <w:szCs w:val="24"/>
              </w:rPr>
            </w:pPr>
          </w:p>
          <w:p w:rsidR="00E10495" w:rsidRDefault="003450D0" w:rsidP="003450D0">
            <w:pPr>
              <w:rPr>
                <w:rFonts w:ascii="Times New Roman" w:hAnsi="Times New Roman"/>
                <w:szCs w:val="24"/>
              </w:rPr>
            </w:pPr>
            <w:r>
              <w:rPr>
                <w:rFonts w:ascii="Times New Roman" w:hAnsi="Times New Roman"/>
              </w:rPr>
              <w:t>Lastly and importantly, o</w:t>
            </w:r>
            <w:r w:rsidRPr="00F7730B">
              <w:rPr>
                <w:rFonts w:cs="Arial"/>
                <w:iCs/>
                <w:szCs w:val="24"/>
              </w:rPr>
              <w:t xml:space="preserve">n June 1, 2010, EPA disapproved Oregon’s </w:t>
            </w:r>
            <w:r>
              <w:rPr>
                <w:rFonts w:cs="Arial"/>
                <w:iCs/>
                <w:szCs w:val="24"/>
              </w:rPr>
              <w:t xml:space="preserve">2004 </w:t>
            </w:r>
            <w:r w:rsidRPr="00F7730B">
              <w:rPr>
                <w:rFonts w:cs="Arial"/>
                <w:iCs/>
                <w:szCs w:val="24"/>
              </w:rPr>
              <w:t>human health toxics criteria that were based on a fish consumption rate of 17.5 grams per day.</w:t>
            </w:r>
            <w:r>
              <w:rPr>
                <w:rFonts w:cs="Arial"/>
                <w:iCs/>
                <w:szCs w:val="24"/>
              </w:rPr>
              <w:t xml:space="preserve"> EPA took action at that point in time </w:t>
            </w:r>
            <w:r>
              <w:rPr>
                <w:rFonts w:ascii="Times New Roman" w:hAnsi="Times New Roman"/>
              </w:rPr>
              <w:t xml:space="preserve">to meet timeframes established in a consent decree between EPA and plaintiffs. </w:t>
            </w:r>
            <w:r w:rsidRPr="00F7730B">
              <w:rPr>
                <w:rFonts w:cs="Arial"/>
                <w:iCs/>
                <w:szCs w:val="24"/>
              </w:rPr>
              <w:t xml:space="preserve">EPA disapproved the human health toxics criteria because the fish consumption rate used to calculate the criteria is not </w:t>
            </w:r>
            <w:r>
              <w:rPr>
                <w:rFonts w:cs="Arial"/>
                <w:iCs/>
                <w:szCs w:val="24"/>
              </w:rPr>
              <w:t xml:space="preserve">sufficiently </w:t>
            </w:r>
            <w:r w:rsidRPr="00F7730B">
              <w:rPr>
                <w:rFonts w:cs="Arial"/>
                <w:iCs/>
                <w:szCs w:val="24"/>
              </w:rPr>
              <w:t xml:space="preserve">protective of </w:t>
            </w:r>
            <w:r>
              <w:rPr>
                <w:rFonts w:cs="Arial"/>
                <w:iCs/>
                <w:szCs w:val="24"/>
              </w:rPr>
              <w:t xml:space="preserve">the fish consumption levels among </w:t>
            </w:r>
            <w:r w:rsidRPr="00F7730B">
              <w:rPr>
                <w:rFonts w:cs="Arial"/>
                <w:iCs/>
                <w:szCs w:val="24"/>
              </w:rPr>
              <w:t>Oregon</w:t>
            </w:r>
            <w:r>
              <w:rPr>
                <w:rFonts w:cs="Arial"/>
                <w:iCs/>
                <w:szCs w:val="24"/>
              </w:rPr>
              <w:t>’</w:t>
            </w:r>
            <w:r w:rsidRPr="00F7730B">
              <w:rPr>
                <w:rFonts w:cs="Arial"/>
                <w:iCs/>
                <w:szCs w:val="24"/>
              </w:rPr>
              <w:t xml:space="preserve">s </w:t>
            </w:r>
            <w:r>
              <w:rPr>
                <w:rFonts w:cs="Arial"/>
                <w:iCs/>
                <w:szCs w:val="24"/>
              </w:rPr>
              <w:t>population</w:t>
            </w:r>
            <w:r w:rsidRPr="00F7730B">
              <w:rPr>
                <w:rFonts w:cs="Arial"/>
                <w:iCs/>
                <w:szCs w:val="24"/>
              </w:rPr>
              <w:t>.</w:t>
            </w:r>
            <w:r>
              <w:rPr>
                <w:rFonts w:cs="Arial"/>
                <w:iCs/>
                <w:szCs w:val="24"/>
              </w:rPr>
              <w:t xml:space="preserve"> As a consequence of EPA’s disapproval, the majority of currently effective human health criteria have reverted back to criteria from the 1980s based on fish consumption of 6.5 grams per day. Using </w:t>
            </w:r>
            <w:r w:rsidRPr="00F7730B">
              <w:rPr>
                <w:rFonts w:cs="Arial"/>
                <w:iCs/>
                <w:szCs w:val="24"/>
              </w:rPr>
              <w:t xml:space="preserve">a higher, more protective fish consumption rate of 175 </w:t>
            </w:r>
            <w:r>
              <w:rPr>
                <w:rFonts w:cs="Arial"/>
                <w:iCs/>
                <w:szCs w:val="24"/>
              </w:rPr>
              <w:t>grams per day</w:t>
            </w:r>
            <w:r w:rsidRPr="00F7730B">
              <w:rPr>
                <w:rFonts w:cs="Arial"/>
                <w:iCs/>
                <w:szCs w:val="24"/>
              </w:rPr>
              <w:t xml:space="preserve"> in its calculation of human health toxics criteria</w:t>
            </w:r>
            <w:r>
              <w:rPr>
                <w:rFonts w:cs="Arial"/>
                <w:iCs/>
                <w:szCs w:val="24"/>
              </w:rPr>
              <w:t xml:space="preserve"> will address EPA’s disapproval</w:t>
            </w:r>
            <w:r w:rsidRPr="00F7730B">
              <w:rPr>
                <w:rFonts w:cs="Arial"/>
                <w:iCs/>
                <w:szCs w:val="24"/>
              </w:rPr>
              <w:t>.</w:t>
            </w:r>
            <w:r>
              <w:rPr>
                <w:rFonts w:cs="Arial"/>
                <w:iCs/>
                <w:szCs w:val="24"/>
              </w:rPr>
              <w:t xml:space="preserve"> </w:t>
            </w:r>
            <w:r w:rsidRPr="00F7730B">
              <w:rPr>
                <w:rFonts w:cs="Arial"/>
                <w:iCs/>
                <w:szCs w:val="24"/>
              </w:rPr>
              <w:t>If DEQ does not promulgate revised standards in a timely manner addressing EPA’s disapproval, EPA must conduct rulemaking to promulgate human health toxics criteria for Oregon.</w:t>
            </w:r>
            <w:r>
              <w:rPr>
                <w:rFonts w:cs="Arial"/>
                <w:iCs/>
                <w:szCs w:val="24"/>
              </w:rPr>
              <w:t xml:space="preserve"> </w:t>
            </w:r>
            <w:r>
              <w:t>The resultant</w:t>
            </w:r>
            <w:r w:rsidRPr="00876463">
              <w:rPr>
                <w:rFonts w:ascii="Times New Roman" w:hAnsi="Times New Roman"/>
                <w:color w:val="000000"/>
                <w:szCs w:val="24"/>
              </w:rPr>
              <w:t xml:space="preserve"> water quality standards</w:t>
            </w:r>
            <w:r>
              <w:rPr>
                <w:rFonts w:ascii="Times New Roman" w:hAnsi="Times New Roman"/>
                <w:color w:val="000000"/>
                <w:szCs w:val="24"/>
              </w:rPr>
              <w:t>, either set by DEQ or EPA,</w:t>
            </w:r>
            <w:r w:rsidRPr="00876463">
              <w:rPr>
                <w:rFonts w:ascii="Times New Roman" w:hAnsi="Times New Roman"/>
                <w:color w:val="000000"/>
                <w:szCs w:val="24"/>
              </w:rPr>
              <w:t xml:space="preserve"> are the basis of </w:t>
            </w:r>
            <w:r>
              <w:rPr>
                <w:rFonts w:ascii="Times New Roman" w:hAnsi="Times New Roman"/>
                <w:color w:val="000000"/>
                <w:szCs w:val="24"/>
              </w:rPr>
              <w:t xml:space="preserve">NPDES and other </w:t>
            </w:r>
            <w:r w:rsidRPr="00876463">
              <w:rPr>
                <w:rFonts w:ascii="Times New Roman" w:hAnsi="Times New Roman"/>
                <w:color w:val="000000"/>
                <w:szCs w:val="24"/>
              </w:rPr>
              <w:t>regulatory tools used by DEQ and EPA to prevent or reduce water pollution.</w:t>
            </w:r>
            <w:r>
              <w:rPr>
                <w:rFonts w:cs="Arial"/>
                <w:iCs/>
                <w:szCs w:val="24"/>
              </w:rPr>
              <w:t xml:space="preserve"> </w:t>
            </w:r>
            <w:r w:rsidRPr="00F7730B">
              <w:rPr>
                <w:rFonts w:cs="Arial"/>
                <w:iCs/>
                <w:szCs w:val="24"/>
              </w:rPr>
              <w:t xml:space="preserve"> </w:t>
            </w:r>
          </w:p>
          <w:p w:rsidR="007A305E" w:rsidRDefault="007A305E" w:rsidP="00F9139B">
            <w:pPr>
              <w:pStyle w:val="EndnoteText"/>
              <w:tabs>
                <w:tab w:val="left" w:pos="-1440"/>
                <w:tab w:val="left" w:pos="-720"/>
                <w:tab w:val="left" w:pos="4050"/>
              </w:tabs>
              <w:suppressAutoHyphens/>
              <w:rPr>
                <w:rFonts w:ascii="Times New Roman" w:hAnsi="Times New Roman"/>
                <w:szCs w:val="24"/>
              </w:rPr>
            </w:pPr>
          </w:p>
          <w:p w:rsidR="0055493C" w:rsidRPr="009E3AD9" w:rsidRDefault="0055493C" w:rsidP="00F9139B">
            <w:pPr>
              <w:pStyle w:val="EndnoteText"/>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191398" w:rsidRDefault="00191398" w:rsidP="00191398">
            <w:r>
              <w:t>DEQ is proposing revisions to its water quality standards regulation, as well as targeted changes to its NPDES permitting and TMDL regulations to address how these new standards would be implemented by sources. The proposed rules, if adopted, will be implemented alongside current regulations governing water quality standards and their implementation.</w:t>
            </w:r>
          </w:p>
          <w:p w:rsidR="00191398" w:rsidRDefault="00191398" w:rsidP="00191398"/>
          <w:p w:rsidR="00191398" w:rsidRDefault="00191398" w:rsidP="00191398">
            <w:r>
              <w:t>T</w:t>
            </w:r>
            <w:r w:rsidRPr="007A690D">
              <w:t xml:space="preserve">he </w:t>
            </w:r>
            <w:r>
              <w:t xml:space="preserve">proposed human health criteria </w:t>
            </w:r>
            <w:r w:rsidRPr="007A690D">
              <w:t xml:space="preserve">revisions </w:t>
            </w:r>
            <w:r>
              <w:t>based on a fish consumption rate of</w:t>
            </w:r>
            <w:r w:rsidRPr="007A690D">
              <w:t xml:space="preserve"> </w:t>
            </w:r>
            <w:r>
              <w:t>175 grams</w:t>
            </w:r>
            <w:r w:rsidRPr="007A690D">
              <w:t xml:space="preserve"> per day</w:t>
            </w:r>
            <w:r>
              <w:t xml:space="preserve"> constitute the </w:t>
            </w:r>
            <w:r w:rsidRPr="007A690D">
              <w:t xml:space="preserve">core of DEQ’s proposed rules. </w:t>
            </w:r>
            <w:r w:rsidR="007A305E">
              <w:t>[</w:t>
            </w:r>
            <w:r w:rsidR="007A305E" w:rsidRPr="007A305E">
              <w:rPr>
                <w:highlight w:val="yellow"/>
              </w:rPr>
              <w:t>x-ref page numbers in attachments</w:t>
            </w:r>
            <w:r w:rsidR="007A305E">
              <w:t xml:space="preserve">] </w:t>
            </w:r>
            <w:r w:rsidRPr="007A690D">
              <w:t xml:space="preserve">This revision will serve as the basis for NPDES permit </w:t>
            </w:r>
            <w:r w:rsidRPr="007A690D">
              <w:lastRenderedPageBreak/>
              <w:t xml:space="preserve">limits and other regulatory decisions. </w:t>
            </w:r>
            <w:r w:rsidR="007A305E">
              <w:t>R</w:t>
            </w:r>
            <w:r w:rsidRPr="007A690D">
              <w:t>evising the criteria will address EPA’s disapproval of DEQ’s 2004 criteria and obviate the need for EPA to put in place federal rules for Oregon.</w:t>
            </w:r>
          </w:p>
          <w:p w:rsidR="00191398" w:rsidRDefault="00191398" w:rsidP="00191398">
            <w:pPr>
              <w:tabs>
                <w:tab w:val="left" w:pos="-1440"/>
                <w:tab w:val="left" w:pos="-720"/>
                <w:tab w:val="left" w:pos="4050"/>
              </w:tabs>
              <w:suppressAutoHyphens/>
            </w:pPr>
          </w:p>
          <w:p w:rsidR="00987469" w:rsidRDefault="00191398" w:rsidP="00191398">
            <w:pPr>
              <w:pStyle w:val="ListParagraph"/>
              <w:ind w:left="0"/>
            </w:pPr>
            <w:r>
              <w:t>In addition to the proposed criteria revisions, DEQ is proposing new and revised rules addressing the implementation of these revised criteria</w:t>
            </w:r>
            <w:r w:rsidR="00987469">
              <w:t xml:space="preserve"> in NPDES permits</w:t>
            </w:r>
            <w:r w:rsidR="007A305E">
              <w:t xml:space="preserve"> [</w:t>
            </w:r>
            <w:r w:rsidR="007A305E" w:rsidRPr="007A305E">
              <w:rPr>
                <w:highlight w:val="yellow"/>
              </w:rPr>
              <w:t>x-ref page numbers in attachment</w:t>
            </w:r>
            <w:r w:rsidR="007A305E">
              <w:t>]</w:t>
            </w:r>
            <w:r>
              <w:t xml:space="preserve">. </w:t>
            </w:r>
          </w:p>
          <w:p w:rsidR="00987469" w:rsidRDefault="00191398" w:rsidP="00987469">
            <w:pPr>
              <w:pStyle w:val="ListParagraph"/>
              <w:numPr>
                <w:ilvl w:val="0"/>
                <w:numId w:val="8"/>
              </w:numPr>
            </w:pPr>
            <w:r>
              <w:t>A new rule for “i</w:t>
            </w:r>
            <w:r>
              <w:rPr>
                <w:bCs/>
              </w:rPr>
              <w:t xml:space="preserve">ntake credits” will </w:t>
            </w:r>
            <w:r w:rsidRPr="00DE7D0E">
              <w:t>account for background pollutants that are present in a discharger’s intake water</w:t>
            </w:r>
            <w:r>
              <w:t>.</w:t>
            </w:r>
            <w:r w:rsidRPr="00DE7D0E">
              <w:t xml:space="preserve">  </w:t>
            </w:r>
          </w:p>
          <w:p w:rsidR="00987469" w:rsidRDefault="00191398" w:rsidP="00987469">
            <w:pPr>
              <w:pStyle w:val="ListParagraph"/>
              <w:numPr>
                <w:ilvl w:val="0"/>
                <w:numId w:val="8"/>
              </w:numPr>
            </w:pPr>
            <w:r>
              <w:t xml:space="preserve">A new rule for </w:t>
            </w:r>
            <w:r>
              <w:rPr>
                <w:bCs/>
              </w:rPr>
              <w:t xml:space="preserve">a “background pollutant allowance” </w:t>
            </w:r>
            <w:r w:rsidRPr="00DE7D0E">
              <w:t>allows a certain amount of concentration increase in the discharge from the ambient concentration, as long as mass is not increased</w:t>
            </w:r>
            <w:r>
              <w:t xml:space="preserve"> and the ambient concentration does not exceed a 10</w:t>
            </w:r>
            <w:r>
              <w:rPr>
                <w:vertAlign w:val="superscript"/>
              </w:rPr>
              <w:t>-4</w:t>
            </w:r>
            <w:r>
              <w:t xml:space="preserve"> risk level value.  </w:t>
            </w:r>
          </w:p>
          <w:p w:rsidR="00191398" w:rsidRDefault="00191398" w:rsidP="00987469">
            <w:pPr>
              <w:pStyle w:val="ListParagraph"/>
              <w:numPr>
                <w:ilvl w:val="0"/>
                <w:numId w:val="8"/>
              </w:numPr>
            </w:pPr>
            <w:r>
              <w:t xml:space="preserve">Revisions to the rules for variances will continue to allow </w:t>
            </w:r>
            <w:r w:rsidRPr="00295625">
              <w:t>NPDES permitted facilities to seek a short-term exemption from meeting water quality standards-based limits for a spec</w:t>
            </w:r>
            <w:r>
              <w:t>ific pollutant(s). The revisions will allow the process to be synchronized with the NPDES permit issuance process and require pollutant minimization plans to ensure progress continue</w:t>
            </w:r>
            <w:r w:rsidR="00987469">
              <w:t>s toward meeting</w:t>
            </w:r>
            <w:r>
              <w:t xml:space="preserve"> water quality standards.</w:t>
            </w:r>
          </w:p>
          <w:p w:rsidR="00987469" w:rsidRDefault="00987469" w:rsidP="008970A1">
            <w:pPr>
              <w:pStyle w:val="ListParagraph"/>
              <w:ind w:left="0"/>
            </w:pPr>
          </w:p>
          <w:p w:rsidR="00987469" w:rsidRDefault="00987469" w:rsidP="008970A1">
            <w:pPr>
              <w:pStyle w:val="ListParagraph"/>
              <w:ind w:left="0"/>
            </w:pPr>
            <w:r>
              <w:t xml:space="preserve">These rule revisions would be used in the development and issuance of NPDES permits and would complement current rule provisions to address issues identified as presenting issues for </w:t>
            </w:r>
            <w:proofErr w:type="spellStart"/>
            <w:r>
              <w:t>permittees</w:t>
            </w:r>
            <w:proofErr w:type="spellEnd"/>
            <w:r>
              <w:t xml:space="preserve"> today in addition to issues that may arise in the future either due to more and better data or as the result of the revised human health criteria. Both intake credits and the revised variance provision could be used to implement both human health and aquatic life criteria, if the conditions specified in the rules are met.</w:t>
            </w:r>
          </w:p>
          <w:p w:rsidR="00987469" w:rsidRDefault="00987469" w:rsidP="008970A1">
            <w:pPr>
              <w:pStyle w:val="ListParagraph"/>
              <w:ind w:left="0"/>
            </w:pPr>
          </w:p>
          <w:p w:rsidR="008970A1" w:rsidRPr="005402A1" w:rsidRDefault="00987469" w:rsidP="008970A1">
            <w:pPr>
              <w:pStyle w:val="ListParagraph"/>
              <w:spacing w:after="200"/>
              <w:ind w:left="0"/>
              <w:rPr>
                <w:b/>
              </w:rPr>
            </w:pPr>
            <w:r>
              <w:t xml:space="preserve">DEQ is also proposing for adoption targeted revisions to the water quality standards and total maximum daily load regulations </w:t>
            </w:r>
            <w:r w:rsidR="007A305E">
              <w:t>[</w:t>
            </w:r>
            <w:r w:rsidR="00F76031">
              <w:rPr>
                <w:highlight w:val="yellow"/>
              </w:rPr>
              <w:t>x-ref pages in attach</w:t>
            </w:r>
            <w:r w:rsidR="007A305E" w:rsidRPr="007A305E">
              <w:rPr>
                <w:highlight w:val="yellow"/>
              </w:rPr>
              <w:t>ments</w:t>
            </w:r>
            <w:r w:rsidR="007A305E">
              <w:t xml:space="preserve">] </w:t>
            </w:r>
            <w:r>
              <w:t>to</w:t>
            </w:r>
            <w:r w:rsidRPr="00E902CE">
              <w:rPr>
                <w:szCs w:val="24"/>
              </w:rPr>
              <w:t xml:space="preserve"> </w:t>
            </w:r>
            <w:r>
              <w:rPr>
                <w:szCs w:val="24"/>
              </w:rPr>
              <w:t xml:space="preserve">explain how the mechanisms for forestry and agricultural nonpoint sources work to meet water quality standards and the TMDL load allocations under the Forest Practices Act and Agriculture Water Quality Management Act.  </w:t>
            </w:r>
            <w:r w:rsidR="00CF7A07">
              <w:t>Meeting conditions in the Agriculture Water Quality Management plans</w:t>
            </w:r>
            <w:r w:rsidR="008970A1">
              <w:t xml:space="preserve"> and practices in the F</w:t>
            </w:r>
            <w:r w:rsidR="00CF7A07">
              <w:t xml:space="preserve">orest </w:t>
            </w:r>
            <w:r w:rsidR="008970A1">
              <w:t>P</w:t>
            </w:r>
            <w:r w:rsidR="00CF7A07">
              <w:t xml:space="preserve">ractices </w:t>
            </w:r>
            <w:r w:rsidR="008970A1">
              <w:t>A</w:t>
            </w:r>
            <w:r w:rsidR="00CF7A07">
              <w:t>ct</w:t>
            </w:r>
            <w:r w:rsidR="008970A1">
              <w:t xml:space="preserve"> will result in meeting new standards. The Oregon Departments of Agriculture and Forestry remain the implementing agencies under the proposed rule revisions. The rule revisions do not create a different set of responsibilities or oversight.</w:t>
            </w:r>
          </w:p>
          <w:p w:rsidR="00987469" w:rsidRPr="00DE7D0E" w:rsidRDefault="00987469" w:rsidP="008970A1">
            <w:r>
              <w:rPr>
                <w:szCs w:val="24"/>
              </w:rPr>
              <w:t xml:space="preserve">In addition, </w:t>
            </w:r>
            <w:r>
              <w:t xml:space="preserve">DEQ proposes to adopt accompanying changes to the Total Maximum Daily Load regulations to </w:t>
            </w:r>
            <w:r>
              <w:rPr>
                <w:lang w:eastAsia="ja-JP"/>
              </w:rPr>
              <w:t xml:space="preserve">clarify </w:t>
            </w:r>
            <w:r>
              <w:rPr>
                <w:rFonts w:hint="eastAsia"/>
                <w:lang w:eastAsia="ja-JP"/>
              </w:rPr>
              <w:t>DEQ</w:t>
            </w:r>
            <w:r>
              <w:rPr>
                <w:lang w:eastAsia="ja-JP"/>
              </w:rPr>
              <w:t>’s authority</w:t>
            </w:r>
            <w:r>
              <w:rPr>
                <w:rFonts w:hint="eastAsia"/>
                <w:lang w:eastAsia="ja-JP"/>
              </w:rPr>
              <w:t xml:space="preserve"> to </w:t>
            </w:r>
            <w:r>
              <w:rPr>
                <w:lang w:eastAsia="ja-JP"/>
              </w:rPr>
              <w:t xml:space="preserve">identify and </w:t>
            </w:r>
            <w:r>
              <w:rPr>
                <w:rFonts w:hint="eastAsia"/>
                <w:lang w:eastAsia="ja-JP"/>
              </w:rPr>
              <w:t xml:space="preserve">assign </w:t>
            </w:r>
            <w:r>
              <w:t xml:space="preserve">individual load allocations </w:t>
            </w:r>
            <w:r>
              <w:rPr>
                <w:rFonts w:hint="eastAsia"/>
                <w:lang w:eastAsia="ja-JP"/>
              </w:rPr>
              <w:t>t</w:t>
            </w:r>
            <w:r>
              <w:t>o significant air and land sources in TMDLs.</w:t>
            </w:r>
          </w:p>
          <w:p w:rsidR="00987469" w:rsidRDefault="00987469" w:rsidP="00191398">
            <w:pPr>
              <w:tabs>
                <w:tab w:val="left" w:pos="-1440"/>
                <w:tab w:val="left" w:pos="-720"/>
                <w:tab w:val="left" w:pos="4050"/>
              </w:tabs>
              <w:suppressAutoHyphens/>
            </w:pPr>
          </w:p>
          <w:p w:rsidR="00191398" w:rsidRDefault="00191398" w:rsidP="00191398">
            <w:pPr>
              <w:tabs>
                <w:tab w:val="left" w:pos="-1440"/>
                <w:tab w:val="left" w:pos="-720"/>
                <w:tab w:val="left" w:pos="4050"/>
              </w:tabs>
              <w:suppressAutoHyphens/>
            </w:pPr>
          </w:p>
          <w:p w:rsidR="00191398" w:rsidRDefault="00191398" w:rsidP="00191398">
            <w:pPr>
              <w:tabs>
                <w:tab w:val="left" w:pos="-1440"/>
                <w:tab w:val="left" w:pos="-720"/>
                <w:tab w:val="left" w:pos="4050"/>
              </w:tabs>
              <w:suppressAutoHyphens/>
            </w:pPr>
          </w:p>
          <w:p w:rsidR="0055493C" w:rsidRPr="009E3AD9" w:rsidRDefault="0055493C" w:rsidP="00191398">
            <w:pPr>
              <w:tabs>
                <w:tab w:val="left" w:pos="-1440"/>
                <w:tab w:val="left" w:pos="-720"/>
                <w:tab w:val="left" w:pos="4050"/>
              </w:tabs>
              <w:suppressAutoHyphens/>
              <w:rPr>
                <w:rFonts w:ascii="Times New Roman" w:hAnsi="Times New Roman"/>
                <w:szCs w:val="24"/>
              </w:rPr>
            </w:pPr>
            <w:r w:rsidRPr="009E3AD9">
              <w:rPr>
                <w:rFonts w:ascii="Times New Roman" w:hAnsi="Times New Roman"/>
                <w:szCs w:val="24"/>
              </w:rPr>
              <w:t>[Summarize what the rule would do, and reference specific pages in Attachment A1 or A2, if applicable</w:t>
            </w:r>
            <w:r w:rsidRPr="009E3AD9">
              <w:rPr>
                <w:rFonts w:ascii="Times New Roman" w:hAnsi="Times New Roman"/>
                <w:i/>
                <w:szCs w:val="24"/>
              </w:rPr>
              <w:t>.</w:t>
            </w:r>
            <w:r w:rsidRPr="009E3AD9">
              <w:rPr>
                <w:rFonts w:ascii="Times New Roman" w:hAnsi="Times New Roman"/>
                <w:szCs w:val="24"/>
              </w:rPr>
              <w:t>]</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B0236D">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commentRangeStart w:id="6"/>
            <w:r w:rsidR="00B0236D">
              <w:t>ORS 468.020, 468B.010 and 468B.035</w:t>
            </w:r>
            <w:r w:rsidR="00B0236D" w:rsidRPr="009E3AD9">
              <w:rPr>
                <w:rFonts w:ascii="Times New Roman" w:hAnsi="Times New Roman"/>
                <w:szCs w:val="24"/>
              </w:rPr>
              <w:t>.</w:t>
            </w:r>
            <w:commentRangeEnd w:id="6"/>
            <w:r w:rsidR="00B0236D">
              <w:rPr>
                <w:rStyle w:val="CommentReference"/>
              </w:rPr>
              <w:commentReference w:id="6"/>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BB7C10" w:rsidRDefault="00BB7C10" w:rsidP="00C91993">
            <w:pPr>
              <w:autoSpaceDE w:val="0"/>
              <w:autoSpaceDN w:val="0"/>
              <w:adjustRightInd w:val="0"/>
            </w:pPr>
            <w:r>
              <w:t xml:space="preserve">In 2006, DEQ initiated work to relook at fish consumption information and any necessary rule revisions. From that time, DEQ’s effort to evaluate fish consumption information and to develop rules has involved many partners, interested stakeholders, and experts. Early in the process, DEQ formed a “Three Governments” partnership with EPA and the Confederated Tribes of the Umatilla Indian Reservation (CTUIR). During the first phase of this effort, the three governments co-hosted seven workshops around the state with the objectives of sharing information and discussing stakeholders’ views regarding an appropriate fish </w:t>
            </w:r>
            <w:r w:rsidRPr="00C91993">
              <w:t xml:space="preserve">consumption rate. </w:t>
            </w:r>
            <w:r w:rsidR="00C91993">
              <w:t>195 people attended the workshops</w:t>
            </w:r>
            <w:r w:rsidR="00C91993" w:rsidRPr="00C91993">
              <w:t xml:space="preserve"> representing 64 different organizations or groups</w:t>
            </w:r>
            <w:r>
              <w:t xml:space="preserve">. Simultaneously, DEQ convened a public health expert advisory workgroup and charged them providing input on key questions that would enable DEQ to evaluate the available and relevant fish consumption data and information.  DEQ also convened a Fiscal Impact and Implementation Advisory Committee and requested that the group provide input on the potential fiscal impacts associated with selecting a greater fish consumption rate and evaluate potential implementation approaches DEQ could consider when implementing any revised criteria. </w:t>
            </w:r>
          </w:p>
          <w:p w:rsidR="0033189C" w:rsidRDefault="0033189C" w:rsidP="00BB7C10"/>
          <w:p w:rsidR="00BB7C10" w:rsidRDefault="00BB7C10" w:rsidP="00BB7C10">
            <w:pPr>
              <w:tabs>
                <w:tab w:val="left" w:pos="-1440"/>
                <w:tab w:val="left" w:pos="-720"/>
                <w:tab w:val="left" w:pos="4050"/>
              </w:tabs>
              <w:suppressAutoHyphens/>
            </w:pPr>
            <w:r>
              <w:t xml:space="preserve">The workshops and input gathered through that process culminated in a joint three government recommendation to </w:t>
            </w:r>
            <w:r w:rsidR="0033189C">
              <w:t>the commission</w:t>
            </w:r>
            <w:r>
              <w:t xml:space="preserve"> </w:t>
            </w:r>
            <w:r w:rsidR="0033189C">
              <w:t>in October 2008</w:t>
            </w:r>
            <w:r w:rsidR="00BC3594">
              <w:t>. The commission</w:t>
            </w:r>
            <w:r w:rsidR="0033189C">
              <w:t xml:space="preserve"> subsequent</w:t>
            </w:r>
            <w:r w:rsidR="00BC3594">
              <w:t>ly directed</w:t>
            </w:r>
            <w:r w:rsidR="0033189C">
              <w:t xml:space="preserve"> DEQ to use 175 grams per day as the fish consumption rate in the calculation of the human health criteria for toxic pollutants.</w:t>
            </w:r>
          </w:p>
          <w:p w:rsidR="0055493C" w:rsidRDefault="00BB7C10" w:rsidP="00BB7C10">
            <w:pPr>
              <w:tabs>
                <w:tab w:val="left" w:pos="-1440"/>
                <w:tab w:val="left" w:pos="-720"/>
                <w:tab w:val="left" w:pos="4050"/>
              </w:tabs>
              <w:suppressAutoHyphens/>
              <w:rPr>
                <w:rFonts w:ascii="Times New Roman" w:hAnsi="Times New Roman"/>
                <w:spacing w:val="-3"/>
                <w:szCs w:val="24"/>
              </w:rPr>
            </w:pPr>
            <w:r>
              <w:rPr>
                <w:rFonts w:ascii="Times New Roman" w:hAnsi="Times New Roman"/>
                <w:spacing w:val="-3"/>
                <w:szCs w:val="24"/>
              </w:rPr>
              <w:t xml:space="preserve"> </w:t>
            </w:r>
          </w:p>
          <w:p w:rsidR="0033189C" w:rsidRDefault="0033189C" w:rsidP="0033189C">
            <w:pPr>
              <w:rPr>
                <w:color w:val="000000"/>
              </w:rPr>
            </w:pPr>
            <w:r w:rsidRPr="005F7757">
              <w:t>In December 2008, DEQ convened a stakeholder advisory Rulemaking Workgroup, comprised of eight members representing municipal and county governments, industry, and environmental organizations, in addition to representatives from EPA and the Confederated Tribes of the Umatilla Indian Reservation</w:t>
            </w:r>
            <w:r w:rsidR="003843CA">
              <w:t xml:space="preserve">. The members of this workgroup are listed </w:t>
            </w:r>
            <w:r>
              <w:t xml:space="preserve">in </w:t>
            </w:r>
            <w:r w:rsidRPr="0033189C">
              <w:rPr>
                <w:highlight w:val="yellow"/>
              </w:rPr>
              <w:t>Attachment C1</w:t>
            </w:r>
            <w:r w:rsidRPr="005F7757">
              <w:t xml:space="preserve">. DEQ charged </w:t>
            </w:r>
            <w:r>
              <w:t xml:space="preserve">the group to help </w:t>
            </w:r>
            <w:r w:rsidRPr="005F7757">
              <w:rPr>
                <w:color w:val="000000"/>
              </w:rPr>
              <w:t>DEQ develop innovative NPDES implementation options</w:t>
            </w:r>
            <w:r>
              <w:rPr>
                <w:color w:val="000000"/>
              </w:rPr>
              <w:t xml:space="preserve">, provide </w:t>
            </w:r>
            <w:r w:rsidRPr="005F7757">
              <w:rPr>
                <w:color w:val="000000"/>
              </w:rPr>
              <w:t>input on rule language development</w:t>
            </w:r>
            <w:r>
              <w:rPr>
                <w:color w:val="000000"/>
              </w:rPr>
              <w:t>, and i</w:t>
            </w:r>
            <w:r w:rsidRPr="005F7757">
              <w:rPr>
                <w:color w:val="000000"/>
              </w:rPr>
              <w:t>dentify</w:t>
            </w:r>
            <w:r>
              <w:rPr>
                <w:color w:val="000000"/>
              </w:rPr>
              <w:t xml:space="preserve"> issues </w:t>
            </w:r>
            <w:r w:rsidRPr="005F7757">
              <w:rPr>
                <w:color w:val="000000"/>
              </w:rPr>
              <w:t>beyond the scope of the rulemaking</w:t>
            </w:r>
            <w:r>
              <w:rPr>
                <w:color w:val="000000"/>
              </w:rPr>
              <w:t>.</w:t>
            </w:r>
          </w:p>
          <w:p w:rsidR="0033189C" w:rsidRPr="005F7757" w:rsidRDefault="0033189C" w:rsidP="0033189C">
            <w:pPr>
              <w:rPr>
                <w:color w:val="000000"/>
              </w:rPr>
            </w:pPr>
          </w:p>
          <w:p w:rsidR="0033189C" w:rsidRDefault="0033189C" w:rsidP="0033189C">
            <w:r>
              <w:t>Based on discussions occurring during that year and the interest of the group in discussing pollutant sources that do not receive an NPDES permit, DEQ expanded the workgroup to add five stakeholder advisory members representing nonpoint source interests, including the forestry and agricultural industry</w:t>
            </w:r>
            <w:r w:rsidR="000733D8">
              <w:t>, and charged the workgroup with considering potential rule revisions related to nonpoint sources. The</w:t>
            </w:r>
            <w:r>
              <w:t xml:space="preserve"> </w:t>
            </w:r>
            <w:r w:rsidRPr="00C900D5">
              <w:t>Oregon Departments of Agriculture and Forestry</w:t>
            </w:r>
            <w:r>
              <w:t xml:space="preserve"> also partici</w:t>
            </w:r>
            <w:r w:rsidR="003843CA">
              <w:t xml:space="preserve">pated in workgroup discussions. The members of this workgroup are listed in </w:t>
            </w:r>
            <w:r w:rsidR="003843CA">
              <w:rPr>
                <w:highlight w:val="yellow"/>
              </w:rPr>
              <w:t xml:space="preserve">Attachment </w:t>
            </w:r>
            <w:r w:rsidRPr="0033189C">
              <w:rPr>
                <w:highlight w:val="yellow"/>
              </w:rPr>
              <w:t>C2</w:t>
            </w:r>
            <w:r>
              <w:t>.</w:t>
            </w:r>
            <w:r w:rsidRPr="00B1314B">
              <w:rPr>
                <w:highlight w:val="green"/>
              </w:rPr>
              <w:t xml:space="preserve"> </w:t>
            </w:r>
          </w:p>
          <w:p w:rsidR="0033189C" w:rsidRDefault="0033189C" w:rsidP="0033189C"/>
          <w:p w:rsidR="0033189C" w:rsidRPr="009E3AD9" w:rsidRDefault="0033189C" w:rsidP="0033189C">
            <w:pPr>
              <w:tabs>
                <w:tab w:val="left" w:pos="-1440"/>
                <w:tab w:val="left" w:pos="-720"/>
                <w:tab w:val="left" w:pos="4050"/>
              </w:tabs>
              <w:suppressAutoHyphens/>
              <w:rPr>
                <w:rFonts w:ascii="Times New Roman" w:hAnsi="Times New Roman"/>
                <w:spacing w:val="-3"/>
                <w:szCs w:val="24"/>
              </w:rPr>
            </w:pPr>
            <w:r>
              <w:t xml:space="preserve">The stakeholder advisory workgroups met approximately once a month. Through </w:t>
            </w:r>
            <w:r>
              <w:lastRenderedPageBreak/>
              <w:t>these discussions, DEQ developed a series of issue papers containing DEQ’s recommended approach to addressing identified issues, DEQ’s accompanying analysis, and documenting the workgroup discussions and concerns, including any issues the stakeholders identified as significant. DEQ published these issue papers on its website as supporting information for the proposed rulemaking. In addition</w:t>
            </w:r>
            <w:r w:rsidR="00F76031">
              <w:t>,</w:t>
            </w:r>
            <w:r>
              <w:t xml:space="preserve"> the facilitator for both rulemaking workgroups developed a summary of this process </w:t>
            </w:r>
            <w:r w:rsidR="00F76031">
              <w:t>provided in an accompanying document to this staff report</w:t>
            </w:r>
            <w:r>
              <w:t>.</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E3AD9" w:rsidRDefault="0055493C" w:rsidP="009E3AD9">
            <w:pPr>
              <w:tabs>
                <w:tab w:val="left" w:pos="-1440"/>
                <w:tab w:val="left" w:pos="-720"/>
              </w:tabs>
              <w:suppressAutoHyphens/>
              <w:rPr>
                <w:rFonts w:ascii="Times New Roman" w:hAnsi="Times New Roman"/>
                <w:spacing w:val="-3"/>
                <w:szCs w:val="24"/>
              </w:rPr>
            </w:pPr>
            <w:r w:rsidRPr="009E3AD9">
              <w:rPr>
                <w:rFonts w:ascii="Times New Roman" w:hAnsi="Times New Roman"/>
                <w:szCs w:val="24"/>
              </w:rPr>
              <w:t xml:space="preserve">A public comment period extended from </w:t>
            </w:r>
            <w:r w:rsidR="00D52334">
              <w:rPr>
                <w:rFonts w:ascii="Times New Roman" w:hAnsi="Times New Roman"/>
                <w:szCs w:val="24"/>
              </w:rPr>
              <w:t xml:space="preserve">January 1, 2011, to March 21, 2011, </w:t>
            </w:r>
            <w:r w:rsidRPr="009E3AD9">
              <w:rPr>
                <w:rFonts w:ascii="Times New Roman" w:hAnsi="Times New Roman"/>
                <w:szCs w:val="24"/>
              </w:rPr>
              <w:t xml:space="preserve">and included public hearings in </w:t>
            </w:r>
            <w:r w:rsidR="00B0236D">
              <w:rPr>
                <w:rFonts w:ascii="Times New Roman" w:hAnsi="Times New Roman"/>
                <w:szCs w:val="24"/>
              </w:rPr>
              <w:t>Bend, Eugene, Medford, Coos Bay, Ontario, Pendleton, Portland, and Salem</w:t>
            </w:r>
            <w:r w:rsidRPr="009E3AD9">
              <w:rPr>
                <w:rFonts w:ascii="Times New Roman" w:hAnsi="Times New Roman"/>
                <w:szCs w:val="24"/>
              </w:rPr>
              <w:t xml:space="preserve">. </w:t>
            </w:r>
            <w:r w:rsidR="007A305E">
              <w:rPr>
                <w:rFonts w:ascii="Times New Roman" w:hAnsi="Times New Roman"/>
                <w:szCs w:val="24"/>
              </w:rPr>
              <w:t>DEQ held a</w:t>
            </w:r>
            <w:r w:rsidR="00666378">
              <w:rPr>
                <w:rFonts w:ascii="Times New Roman" w:hAnsi="Times New Roman"/>
                <w:szCs w:val="24"/>
              </w:rPr>
              <w:t xml:space="preserve">n additional public hearing in Portland </w:t>
            </w:r>
            <w:r w:rsidR="007A305E">
              <w:rPr>
                <w:rFonts w:ascii="Times New Roman" w:hAnsi="Times New Roman"/>
                <w:szCs w:val="24"/>
              </w:rPr>
              <w:t>with</w:t>
            </w:r>
            <w:r w:rsidR="00666378">
              <w:rPr>
                <w:rFonts w:ascii="Times New Roman" w:hAnsi="Times New Roman"/>
                <w:szCs w:val="24"/>
              </w:rPr>
              <w:t xml:space="preserve"> the commission. DEQ extended t</w:t>
            </w:r>
            <w:r w:rsidR="00322E9E">
              <w:rPr>
                <w:rFonts w:ascii="Times New Roman" w:hAnsi="Times New Roman"/>
                <w:szCs w:val="24"/>
              </w:rPr>
              <w:t xml:space="preserve">he public comment period from February 18 to March 21 </w:t>
            </w:r>
            <w:r w:rsidR="00666378">
              <w:rPr>
                <w:rFonts w:ascii="Times New Roman" w:hAnsi="Times New Roman"/>
                <w:szCs w:val="24"/>
              </w:rPr>
              <w:t xml:space="preserve">in response to </w:t>
            </w:r>
            <w:r w:rsidR="00322E9E">
              <w:rPr>
                <w:rFonts w:ascii="Times New Roman" w:hAnsi="Times New Roman"/>
                <w:szCs w:val="24"/>
              </w:rPr>
              <w:t>request</w:t>
            </w:r>
            <w:r w:rsidR="007A305E">
              <w:rPr>
                <w:rFonts w:ascii="Times New Roman" w:hAnsi="Times New Roman"/>
                <w:szCs w:val="24"/>
              </w:rPr>
              <w:t>s</w:t>
            </w:r>
            <w:r w:rsidR="00322E9E">
              <w:rPr>
                <w:rFonts w:ascii="Times New Roman" w:hAnsi="Times New Roman"/>
                <w:szCs w:val="24"/>
              </w:rPr>
              <w:t xml:space="preserve"> </w:t>
            </w:r>
            <w:r w:rsidR="00666378">
              <w:rPr>
                <w:rFonts w:ascii="Times New Roman" w:hAnsi="Times New Roman"/>
                <w:szCs w:val="24"/>
              </w:rPr>
              <w:t>from</w:t>
            </w:r>
            <w:r w:rsidR="00322E9E">
              <w:rPr>
                <w:rFonts w:ascii="Times New Roman" w:hAnsi="Times New Roman"/>
                <w:szCs w:val="24"/>
              </w:rPr>
              <w:t xml:space="preserve"> stakeholders and legislators. DEQ received comment from over 1</w:t>
            </w:r>
            <w:r w:rsidR="00F76031">
              <w:rPr>
                <w:rFonts w:ascii="Times New Roman" w:hAnsi="Times New Roman"/>
                <w:szCs w:val="24"/>
              </w:rPr>
              <w:t>1</w:t>
            </w:r>
            <w:r w:rsidR="00322E9E">
              <w:rPr>
                <w:rFonts w:ascii="Times New Roman" w:hAnsi="Times New Roman"/>
                <w:szCs w:val="24"/>
              </w:rPr>
              <w:t xml:space="preserve">00 individuals and organizations representing a variety of perspectives. Key issues arising from these comments as well as issues identified from the rulemaking process are summarized in the “Key Issues” section below. DEQ’s summary and response to comments is </w:t>
            </w:r>
            <w:r w:rsidRPr="009E3AD9">
              <w:rPr>
                <w:rFonts w:ascii="Times New Roman" w:hAnsi="Times New Roman"/>
                <w:szCs w:val="24"/>
              </w:rPr>
              <w:t xml:space="preserve">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B0236D" w:rsidRPr="00E904FF" w:rsidRDefault="00B0236D" w:rsidP="00B0236D">
            <w:pPr>
              <w:numPr>
                <w:ilvl w:val="0"/>
                <w:numId w:val="5"/>
              </w:numPr>
              <w:rPr>
                <w:b/>
              </w:rPr>
            </w:pPr>
            <w:r w:rsidRPr="00E904FF">
              <w:rPr>
                <w:b/>
              </w:rPr>
              <w:t>DEQ’s selection of a fish consumption rate to be used in criteria calculations</w:t>
            </w:r>
          </w:p>
          <w:p w:rsidR="00E904FF" w:rsidRDefault="00AF1CA4" w:rsidP="00322E9E">
            <w:pPr>
              <w:ind w:left="360"/>
            </w:pPr>
            <w:r>
              <w:t>The selection of the fish consumption rate has been r</w:t>
            </w:r>
            <w:r w:rsidR="00322E9E">
              <w:t xml:space="preserve">aised and discussed </w:t>
            </w:r>
            <w:r>
              <w:t>throughout this process, beginning in 2006 through the</w:t>
            </w:r>
            <w:r w:rsidR="00322E9E">
              <w:t xml:space="preserve"> </w:t>
            </w:r>
            <w:r>
              <w:t xml:space="preserve">seven </w:t>
            </w:r>
            <w:r w:rsidR="00322E9E">
              <w:t>public workshops</w:t>
            </w:r>
            <w:r>
              <w:t xml:space="preserve"> focused on this topic. Many </w:t>
            </w:r>
            <w:proofErr w:type="spellStart"/>
            <w:r>
              <w:t>commenters</w:t>
            </w:r>
            <w:proofErr w:type="spellEnd"/>
            <w:r>
              <w:t xml:space="preserve"> addressed this</w:t>
            </w:r>
            <w:r w:rsidR="00322E9E">
              <w:t xml:space="preserve"> through </w:t>
            </w:r>
            <w:r>
              <w:t>their</w:t>
            </w:r>
            <w:r w:rsidR="00322E9E">
              <w:t xml:space="preserve"> public comment. </w:t>
            </w:r>
            <w:r>
              <w:t>Comments raising concerns s</w:t>
            </w:r>
            <w:r w:rsidR="00322E9E">
              <w:t>pecifically</w:t>
            </w:r>
            <w:r>
              <w:t xml:space="preserve"> asserted that the</w:t>
            </w:r>
            <w:r w:rsidR="00322E9E">
              <w:t xml:space="preserve"> </w:t>
            </w:r>
            <w:r w:rsidR="00E904FF">
              <w:t xml:space="preserve">studies </w:t>
            </w:r>
            <w:r>
              <w:t>evaluated through this process are</w:t>
            </w:r>
            <w:r w:rsidR="00E904FF">
              <w:t xml:space="preserve"> flawed </w:t>
            </w:r>
            <w:r>
              <w:t>for one or more reasons: the studies a</w:t>
            </w:r>
            <w:r w:rsidR="00E904FF">
              <w:t xml:space="preserve">re </w:t>
            </w:r>
            <w:r>
              <w:t xml:space="preserve">outdated, the rate is </w:t>
            </w:r>
            <w:r w:rsidR="00322E9E">
              <w:t>not reflective o</w:t>
            </w:r>
            <w:r w:rsidR="00E904FF">
              <w:t>f</w:t>
            </w:r>
            <w:r w:rsidR="00322E9E">
              <w:t xml:space="preserve"> </w:t>
            </w:r>
            <w:r w:rsidR="00E904FF">
              <w:t xml:space="preserve">the amount of fish </w:t>
            </w:r>
            <w:r w:rsidR="00322E9E">
              <w:t>Oregonian</w:t>
            </w:r>
            <w:r w:rsidR="00E904FF">
              <w:t>s</w:t>
            </w:r>
            <w:r w:rsidR="00322E9E">
              <w:t xml:space="preserve"> consum</w:t>
            </w:r>
            <w:r w:rsidR="00E904FF">
              <w:t xml:space="preserve">e from Oregon waters, </w:t>
            </w:r>
            <w:r>
              <w:t xml:space="preserve">the rate </w:t>
            </w:r>
            <w:r w:rsidR="00E904FF">
              <w:t xml:space="preserve">should not include salmon, </w:t>
            </w:r>
            <w:r>
              <w:t xml:space="preserve">the rate </w:t>
            </w:r>
            <w:r w:rsidR="00E904FF">
              <w:t xml:space="preserve">results in unreasonable criteria values, </w:t>
            </w:r>
            <w:r>
              <w:t>a rate this high is unreasonable in light of a lack of</w:t>
            </w:r>
            <w:r w:rsidR="00E904FF">
              <w:t xml:space="preserve"> evidence of health effects from pollutants in fish.</w:t>
            </w:r>
          </w:p>
          <w:p w:rsidR="00322E9E" w:rsidRDefault="00322E9E" w:rsidP="00322E9E">
            <w:pPr>
              <w:ind w:left="360"/>
            </w:pPr>
            <w:r>
              <w:t xml:space="preserve"> </w:t>
            </w:r>
            <w:r w:rsidR="00AF1CA4">
              <w:t>DEQ also received many</w:t>
            </w:r>
            <w:r w:rsidR="00E904FF">
              <w:t xml:space="preserve"> comment</w:t>
            </w:r>
            <w:r w:rsidR="00AF1CA4">
              <w:t>s</w:t>
            </w:r>
            <w:r w:rsidR="00E904FF">
              <w:t xml:space="preserve"> supporting DEQ’s selection</w:t>
            </w:r>
            <w:r w:rsidR="00AF1CA4">
              <w:t xml:space="preserve"> of 175 grams per day, citing DEQ’s use of peer reviewed studies, noting th</w:t>
            </w:r>
            <w:r w:rsidR="003843CA">
              <w:t>at</w:t>
            </w:r>
            <w:r w:rsidR="00AF1CA4">
              <w:t xml:space="preserve"> it represents a significant improvement from the current fish consumption rate used, </w:t>
            </w:r>
            <w:r w:rsidR="00666378">
              <w:t>and appropriately protects the majority of Oregonians who consume fish</w:t>
            </w:r>
            <w:r w:rsidR="00E904FF">
              <w:t>.</w:t>
            </w:r>
          </w:p>
          <w:p w:rsidR="00E904FF" w:rsidRPr="00DD6248" w:rsidRDefault="00E904FF" w:rsidP="00DD6248">
            <w:pPr>
              <w:ind w:left="360"/>
              <w:rPr>
                <w:rFonts w:ascii="Times New Roman" w:hAnsi="Times New Roman"/>
              </w:rPr>
            </w:pPr>
          </w:p>
          <w:p w:rsidR="00DD6248" w:rsidRDefault="00A2755B" w:rsidP="00DD6248">
            <w:pPr>
              <w:ind w:left="360"/>
              <w:rPr>
                <w:rFonts w:ascii="Times New Roman" w:hAnsi="Times New Roman"/>
              </w:rPr>
            </w:pPr>
            <w:r w:rsidRPr="00DD6248">
              <w:rPr>
                <w:rFonts w:ascii="Times New Roman" w:hAnsi="Times New Roman"/>
              </w:rPr>
              <w:t>DEQ considered the input through its public workshops and re</w:t>
            </w:r>
            <w:r w:rsidR="00DD6248">
              <w:rPr>
                <w:rFonts w:ascii="Times New Roman" w:hAnsi="Times New Roman"/>
              </w:rPr>
              <w:t xml:space="preserve">viewed the comments it received as summarized below and provided in more detail in the </w:t>
            </w:r>
            <w:r w:rsidR="00DD6248" w:rsidRPr="00DD6248">
              <w:rPr>
                <w:rFonts w:ascii="Times New Roman" w:hAnsi="Times New Roman"/>
                <w:highlight w:val="yellow"/>
              </w:rPr>
              <w:t>Summary and Response to Comments document provided in Attachment XX</w:t>
            </w:r>
            <w:r w:rsidR="00DD6248">
              <w:rPr>
                <w:rFonts w:ascii="Times New Roman" w:hAnsi="Times New Roman"/>
              </w:rPr>
              <w:t>.</w:t>
            </w:r>
          </w:p>
          <w:p w:rsidR="00DD6248" w:rsidRDefault="00DD6248" w:rsidP="00DD6248">
            <w:pPr>
              <w:ind w:left="360"/>
              <w:rPr>
                <w:rFonts w:ascii="Times New Roman" w:hAnsi="Times New Roman"/>
              </w:rPr>
            </w:pPr>
          </w:p>
          <w:p w:rsidR="00DD6248" w:rsidRPr="00DD6248" w:rsidRDefault="00DD6248" w:rsidP="00DD6248">
            <w:pPr>
              <w:ind w:left="360"/>
              <w:rPr>
                <w:rFonts w:ascii="Times New Roman" w:hAnsi="Times New Roman"/>
                <w:b/>
                <w:i/>
              </w:rPr>
            </w:pPr>
            <w:r>
              <w:rPr>
                <w:rFonts w:ascii="Times New Roman" w:hAnsi="Times New Roman"/>
                <w:b/>
                <w:i/>
              </w:rPr>
              <w:t xml:space="preserve">DEQ’s consideration of </w:t>
            </w:r>
            <w:r w:rsidRPr="00DD6248">
              <w:rPr>
                <w:rFonts w:ascii="Times New Roman" w:hAnsi="Times New Roman"/>
                <w:b/>
                <w:i/>
              </w:rPr>
              <w:t>fish consumption studies</w:t>
            </w:r>
          </w:p>
          <w:p w:rsidR="00A2755B" w:rsidRDefault="003843CA" w:rsidP="00DD6248">
            <w:pPr>
              <w:ind w:left="360"/>
              <w:rPr>
                <w:rFonts w:ascii="Times New Roman" w:hAnsi="Times New Roman"/>
              </w:rPr>
            </w:pPr>
            <w:r w:rsidRPr="00DD6248">
              <w:rPr>
                <w:rFonts w:ascii="Times New Roman" w:hAnsi="Times New Roman"/>
              </w:rPr>
              <w:t xml:space="preserve">With regard to the fish consumption studies evaluated, </w:t>
            </w:r>
            <w:r w:rsidR="00DD6248">
              <w:rPr>
                <w:rFonts w:ascii="Times New Roman" w:hAnsi="Times New Roman"/>
              </w:rPr>
              <w:t>the Human Health Focus Group identified</w:t>
            </w:r>
            <w:r w:rsidR="00E904FF" w:rsidRPr="00DD6248">
              <w:rPr>
                <w:rFonts w:ascii="Times New Roman" w:hAnsi="Times New Roman"/>
              </w:rPr>
              <w:t xml:space="preserve"> </w:t>
            </w:r>
            <w:r w:rsidR="00A2755B" w:rsidRPr="00DD6248">
              <w:rPr>
                <w:rFonts w:ascii="Times New Roman" w:hAnsi="Times New Roman"/>
              </w:rPr>
              <w:t xml:space="preserve">five relevant studies considered to be scientifically defensible in developing a fish consumption rate for Oregon.  The five studies were published between 1994 and 2006. The CRTIFC fish consumption survey, published in 1994, remains relevant and reliable because it includes fish consumption data from two tribes that reside in Oregon—the Warm </w:t>
            </w:r>
            <w:r w:rsidR="00A2755B" w:rsidRPr="00DD6248">
              <w:rPr>
                <w:rFonts w:ascii="Times New Roman" w:hAnsi="Times New Roman"/>
              </w:rPr>
              <w:lastRenderedPageBreak/>
              <w:t xml:space="preserve">Springs Indian Reservation and the Confederated Tribes of the Umatilla Indian Reservation.  Although the survey was conducted in 1991 – 1992, it is still considered relevant for developing fish consumption rates in Oregon because it represents consumers who regularly eat fish and shellfish and are thus, more highly exposed to toxic pollutants than consumers who eat less. DEQ is not aware of any reason to conclude that the consumption patterns of the population surveyed have changed since that time. </w:t>
            </w:r>
          </w:p>
          <w:p w:rsidR="00DD6248" w:rsidRDefault="00DD6248" w:rsidP="00DD6248">
            <w:pPr>
              <w:ind w:left="360"/>
              <w:rPr>
                <w:rFonts w:ascii="Times New Roman" w:hAnsi="Times New Roman"/>
              </w:rPr>
            </w:pPr>
          </w:p>
          <w:p w:rsidR="00DD6248" w:rsidRPr="00DD6248" w:rsidRDefault="00A90633" w:rsidP="00DD6248">
            <w:pPr>
              <w:ind w:left="360"/>
              <w:rPr>
                <w:rFonts w:ascii="Times New Roman" w:hAnsi="Times New Roman"/>
              </w:rPr>
            </w:pPr>
            <w:r>
              <w:rPr>
                <w:rFonts w:ascii="Times New Roman" w:hAnsi="Times New Roman"/>
              </w:rPr>
              <w:t xml:space="preserve">DEQ establishes standards to </w:t>
            </w:r>
            <w:r>
              <w:t>ensure all Oregonians are protected from toxics when exposed to water and when eating fish. The 175 gram per day rate will accomplish this objective.</w:t>
            </w:r>
          </w:p>
          <w:p w:rsidR="00A2755B" w:rsidRPr="00DD6248" w:rsidRDefault="00A2755B" w:rsidP="00DD6248">
            <w:pPr>
              <w:ind w:left="360"/>
              <w:rPr>
                <w:rFonts w:ascii="Times New Roman" w:hAnsi="Times New Roman"/>
              </w:rPr>
            </w:pPr>
          </w:p>
          <w:p w:rsidR="00DD6248" w:rsidRPr="00DD6248" w:rsidRDefault="00DD6248" w:rsidP="00A2755B">
            <w:pPr>
              <w:ind w:left="360"/>
              <w:rPr>
                <w:rFonts w:ascii="Times New Roman" w:hAnsi="Times New Roman"/>
                <w:b/>
                <w:i/>
              </w:rPr>
            </w:pPr>
            <w:r>
              <w:rPr>
                <w:rFonts w:ascii="Times New Roman" w:hAnsi="Times New Roman"/>
                <w:b/>
                <w:i/>
              </w:rPr>
              <w:t>DEQ’s consideration of</w:t>
            </w:r>
            <w:r w:rsidRPr="00DD6248">
              <w:rPr>
                <w:rFonts w:ascii="Times New Roman" w:hAnsi="Times New Roman"/>
                <w:b/>
                <w:i/>
              </w:rPr>
              <w:t xml:space="preserve"> salmon</w:t>
            </w:r>
            <w:r>
              <w:rPr>
                <w:rFonts w:ascii="Times New Roman" w:hAnsi="Times New Roman"/>
                <w:b/>
                <w:i/>
              </w:rPr>
              <w:t xml:space="preserve"> being included</w:t>
            </w:r>
            <w:r w:rsidRPr="00DD6248">
              <w:rPr>
                <w:rFonts w:ascii="Times New Roman" w:hAnsi="Times New Roman"/>
                <w:b/>
                <w:i/>
              </w:rPr>
              <w:t xml:space="preserve"> in the fish consumption rate</w:t>
            </w:r>
          </w:p>
          <w:p w:rsidR="00A2755B" w:rsidRPr="00A2755B" w:rsidRDefault="003843CA" w:rsidP="00A2755B">
            <w:pPr>
              <w:ind w:left="360"/>
              <w:rPr>
                <w:rFonts w:ascii="Times New Roman" w:hAnsi="Times New Roman"/>
              </w:rPr>
            </w:pPr>
            <w:r w:rsidRPr="00A2755B">
              <w:rPr>
                <w:rFonts w:ascii="Times New Roman" w:hAnsi="Times New Roman"/>
              </w:rPr>
              <w:t>DEQ also carefully considered whether salmon should be incorporated as part of the fish consumption rate</w:t>
            </w:r>
            <w:r w:rsidR="00A2755B" w:rsidRPr="00A2755B">
              <w:rPr>
                <w:rFonts w:ascii="Times New Roman" w:hAnsi="Times New Roman"/>
              </w:rPr>
              <w:t>, including evaluating and discussing with the public and the Human Health Focus Group a number of approaches prior to arriving at the fish consumption rate approach used in its proposed rulemaking</w:t>
            </w:r>
            <w:r w:rsidRPr="00A2755B">
              <w:rPr>
                <w:rFonts w:ascii="Times New Roman" w:hAnsi="Times New Roman"/>
              </w:rPr>
              <w:t xml:space="preserve">. </w:t>
            </w:r>
            <w:r w:rsidR="00A2755B" w:rsidRPr="00A2755B">
              <w:rPr>
                <w:rFonts w:ascii="Times New Roman" w:hAnsi="Times New Roman"/>
              </w:rPr>
              <w:t xml:space="preserve">Some approaches included salmon in the consumption rate, and others did not include salmon and accounted for people’s exposure to pollutants in salmon through other means.  DEQ and the Human Health Focus Group ultimately recommended that salmon be included in the fish consumption rate for several reasons, including salmon is a large portion of the locally caught fish diet, the cultural significance of salmon, particularly for the tribes, salmon spend a portion of their lifecycle in Oregon fresh and coastal waters, and uncertainty about how much toxics accumulation occurs in salmon in fresh </w:t>
            </w:r>
            <w:r w:rsidR="00A2755B">
              <w:rPr>
                <w:rFonts w:ascii="Times New Roman" w:hAnsi="Times New Roman"/>
              </w:rPr>
              <w:t>waters versus estuarine or marine waters.</w:t>
            </w:r>
          </w:p>
          <w:p w:rsidR="00A2755B" w:rsidRPr="00A2755B" w:rsidRDefault="00A2755B" w:rsidP="00A2755B">
            <w:pPr>
              <w:ind w:left="360"/>
              <w:rPr>
                <w:rFonts w:ascii="Times New Roman" w:hAnsi="Times New Roman"/>
              </w:rPr>
            </w:pPr>
          </w:p>
          <w:p w:rsidR="003843CA" w:rsidRDefault="00A2755B" w:rsidP="00A2755B">
            <w:pPr>
              <w:ind w:left="360"/>
              <w:rPr>
                <w:rFonts w:ascii="Times New Roman" w:hAnsi="Times New Roman"/>
              </w:rPr>
            </w:pPr>
            <w:r w:rsidRPr="00A2755B">
              <w:rPr>
                <w:rFonts w:ascii="Times New Roman" w:hAnsi="Times New Roman"/>
              </w:rPr>
              <w:t>This approach is similar to states and tribes that use fish consumption rates that are higher than EPA’s 17.5 g/day value (including Maine, New York, the Warm Springs Tribe, and the Confederated Tribes of the Umatilla Indian Reservation), that have also included marine species to provide protection for a high percent of the population, to reflect consumption of species eaten by the general population and to be consistent with the species included in fish advisories.</w:t>
            </w:r>
          </w:p>
          <w:p w:rsidR="00A2755B" w:rsidRPr="00A2755B" w:rsidRDefault="00A2755B" w:rsidP="00A2755B">
            <w:pPr>
              <w:ind w:left="360"/>
              <w:rPr>
                <w:rFonts w:ascii="Times New Roman" w:hAnsi="Times New Roman"/>
              </w:rPr>
            </w:pPr>
          </w:p>
          <w:p w:rsidR="00DD6248" w:rsidRPr="00DD6248" w:rsidRDefault="00DD6248" w:rsidP="00A2755B">
            <w:pPr>
              <w:ind w:left="360"/>
              <w:rPr>
                <w:rFonts w:ascii="Times New Roman" w:hAnsi="Times New Roman"/>
                <w:b/>
                <w:i/>
              </w:rPr>
            </w:pPr>
            <w:r>
              <w:rPr>
                <w:rFonts w:ascii="Times New Roman" w:hAnsi="Times New Roman"/>
                <w:b/>
                <w:i/>
              </w:rPr>
              <w:t>DEQ’s consideration of</w:t>
            </w:r>
            <w:r w:rsidRPr="00DD6248">
              <w:rPr>
                <w:rFonts w:ascii="Times New Roman" w:hAnsi="Times New Roman"/>
                <w:b/>
                <w:i/>
              </w:rPr>
              <w:t xml:space="preserve"> known health effects associated with eating fish</w:t>
            </w:r>
          </w:p>
          <w:p w:rsidR="003843CA" w:rsidRPr="00A2755B" w:rsidRDefault="003843CA" w:rsidP="00A2755B">
            <w:pPr>
              <w:ind w:left="360"/>
              <w:rPr>
                <w:rFonts w:ascii="Times New Roman" w:hAnsi="Times New Roman"/>
              </w:rPr>
            </w:pPr>
            <w:r w:rsidRPr="00A2755B">
              <w:rPr>
                <w:rFonts w:ascii="Times New Roman" w:hAnsi="Times New Roman"/>
              </w:rPr>
              <w:t xml:space="preserve">With regard to the concerns raised regarding whether the consumption of fish results in health effects, the criteria incorporate information regarding the toxicological effects of the pollutants. This information has been extensively reviewed by EPA. Further, information exists </w:t>
            </w:r>
            <w:r w:rsidR="00A2755B">
              <w:rPr>
                <w:rFonts w:ascii="Times New Roman" w:hAnsi="Times New Roman"/>
              </w:rPr>
              <w:t xml:space="preserve">that </w:t>
            </w:r>
            <w:r w:rsidRPr="00A2755B">
              <w:rPr>
                <w:rFonts w:ascii="Times New Roman" w:hAnsi="Times New Roman"/>
              </w:rPr>
              <w:t>document</w:t>
            </w:r>
            <w:r w:rsidR="00A2755B">
              <w:rPr>
                <w:rFonts w:ascii="Times New Roman" w:hAnsi="Times New Roman"/>
              </w:rPr>
              <w:t>s</w:t>
            </w:r>
            <w:r w:rsidRPr="00A2755B">
              <w:rPr>
                <w:rFonts w:ascii="Times New Roman" w:hAnsi="Times New Roman"/>
              </w:rPr>
              <w:t xml:space="preserve"> direct health effects from eating fish contaminated with pollutants, such as mercury. The water quality</w:t>
            </w:r>
            <w:r w:rsidR="00A2755B" w:rsidRPr="00A2755B">
              <w:rPr>
                <w:rFonts w:ascii="Times New Roman" w:hAnsi="Times New Roman"/>
              </w:rPr>
              <w:t xml:space="preserve"> standards</w:t>
            </w:r>
            <w:r w:rsidRPr="00A2755B">
              <w:rPr>
                <w:rFonts w:ascii="Times New Roman" w:hAnsi="Times New Roman"/>
              </w:rPr>
              <w:t xml:space="preserve"> serve as both a guidepost </w:t>
            </w:r>
            <w:r w:rsidR="00A2755B" w:rsidRPr="00A2755B">
              <w:rPr>
                <w:rFonts w:ascii="Times New Roman" w:hAnsi="Times New Roman"/>
              </w:rPr>
              <w:t>for implementing actions to</w:t>
            </w:r>
            <w:r w:rsidRPr="00A2755B">
              <w:rPr>
                <w:rFonts w:ascii="Times New Roman" w:hAnsi="Times New Roman"/>
              </w:rPr>
              <w:t xml:space="preserve"> prevent these effects and a benchmark for pollutant reduction actions when data indicate these levels have been exceeded.  </w:t>
            </w:r>
          </w:p>
          <w:p w:rsidR="00E904FF" w:rsidRDefault="00E904FF" w:rsidP="00322E9E">
            <w:pPr>
              <w:ind w:left="360"/>
            </w:pPr>
          </w:p>
          <w:p w:rsidR="00B0236D" w:rsidRPr="00E904FF" w:rsidRDefault="00B0236D" w:rsidP="00B0236D">
            <w:pPr>
              <w:numPr>
                <w:ilvl w:val="0"/>
                <w:numId w:val="5"/>
              </w:numPr>
              <w:rPr>
                <w:b/>
              </w:rPr>
            </w:pPr>
            <w:r w:rsidRPr="00E904FF">
              <w:rPr>
                <w:b/>
              </w:rPr>
              <w:t xml:space="preserve">Adequacy of new and revised </w:t>
            </w:r>
            <w:r w:rsidR="007A305E">
              <w:rPr>
                <w:b/>
              </w:rPr>
              <w:t xml:space="preserve">NPDES </w:t>
            </w:r>
            <w:r w:rsidRPr="00E904FF">
              <w:rPr>
                <w:b/>
              </w:rPr>
              <w:t>permit implementation tools</w:t>
            </w:r>
          </w:p>
          <w:p w:rsidR="00E904FF" w:rsidRDefault="00666378" w:rsidP="00E904FF">
            <w:pPr>
              <w:ind w:left="360"/>
            </w:pPr>
            <w:r>
              <w:lastRenderedPageBreak/>
              <w:t xml:space="preserve">Stakeholders and </w:t>
            </w:r>
            <w:proofErr w:type="spellStart"/>
            <w:r>
              <w:t>commenters</w:t>
            </w:r>
            <w:proofErr w:type="spellEnd"/>
            <w:r>
              <w:t xml:space="preserve"> raised c</w:t>
            </w:r>
            <w:r w:rsidR="005363B0">
              <w:t xml:space="preserve">oncerns through </w:t>
            </w:r>
            <w:r>
              <w:t xml:space="preserve">the </w:t>
            </w:r>
            <w:r w:rsidR="005363B0">
              <w:t xml:space="preserve">advisory committee and through comments regarding the sufficiency of the proposed permit implementation tools. Stakeholders and </w:t>
            </w:r>
            <w:proofErr w:type="spellStart"/>
            <w:r w:rsidR="005363B0">
              <w:t>commenters</w:t>
            </w:r>
            <w:proofErr w:type="spellEnd"/>
            <w:r w:rsidR="005363B0">
              <w:t xml:space="preserve"> stated that the proposed to</w:t>
            </w:r>
            <w:r w:rsidR="00E904FF">
              <w:t xml:space="preserve">ols are not sufficient to address widespread permitting issues and did not meet EQC directive to </w:t>
            </w:r>
            <w:r w:rsidR="00E904FF" w:rsidRPr="00E904FF">
              <w:rPr>
                <w:highlight w:val="yellow"/>
              </w:rPr>
              <w:t>[  ],</w:t>
            </w:r>
            <w:r w:rsidR="00E904FF">
              <w:t xml:space="preserve"> </w:t>
            </w:r>
            <w:r w:rsidR="005363B0">
              <w:t xml:space="preserve">In addition, </w:t>
            </w:r>
            <w:r w:rsidR="00E904FF">
              <w:t xml:space="preserve">DEQ </w:t>
            </w:r>
            <w:r w:rsidR="005363B0">
              <w:t>received stakeholder input and subsequent comment that the proposed tools do</w:t>
            </w:r>
            <w:r w:rsidR="00E904FF">
              <w:t xml:space="preserve"> not include sufficient detail about how they would be used, </w:t>
            </w:r>
            <w:r w:rsidR="005363B0">
              <w:t xml:space="preserve">and </w:t>
            </w:r>
            <w:r w:rsidR="00E904FF">
              <w:t xml:space="preserve">in the case of background pollutant allowances and intake credits, </w:t>
            </w:r>
            <w:proofErr w:type="spellStart"/>
            <w:r w:rsidR="005363B0">
              <w:t>commenters</w:t>
            </w:r>
            <w:proofErr w:type="spellEnd"/>
            <w:r w:rsidR="005363B0">
              <w:t xml:space="preserve"> raised </w:t>
            </w:r>
            <w:r w:rsidR="00E904FF">
              <w:t>concern regarding their use</w:t>
            </w:r>
            <w:r w:rsidR="00C00834">
              <w:t xml:space="preserve"> for municipalities. DEQ needs a c</w:t>
            </w:r>
            <w:r w:rsidR="00E904FF">
              <w:t>omprehensive plan for how it’s going to address each category of pollutants. Tools or identified aspects of tools are not legal (e.g., the background pollutant allowance, aspects of the variance rule). Some comments acknowledging need for tools and supportive of tools as striking balance between achieving improved water quality and addressing potential permitting issues.</w:t>
            </w:r>
          </w:p>
          <w:p w:rsidR="00E904FF" w:rsidRDefault="00E904FF" w:rsidP="00E904FF">
            <w:pPr>
              <w:ind w:left="360"/>
            </w:pPr>
          </w:p>
          <w:p w:rsidR="005363B0" w:rsidRDefault="00E904FF" w:rsidP="005363B0">
            <w:pPr>
              <w:ind w:left="360"/>
            </w:pPr>
            <w:r>
              <w:t xml:space="preserve">DEQ </w:t>
            </w:r>
            <w:r w:rsidR="005363B0">
              <w:t>considered this input throughout the stakeholder advisory process and considered over a dozen approaches during this process. DEQ proposed tools</w:t>
            </w:r>
            <w:r w:rsidR="00427663">
              <w:t xml:space="preserve"> that</w:t>
            </w:r>
            <w:r w:rsidR="005363B0">
              <w:t xml:space="preserve"> represent those approaches it had some assurance could be useful for permitting situations identified and could be approved by EPA as legal under the Clean Water Act. In response to comments received, staff significantly revised the background pollutant allowance. Revised intake credits to provide additional clarification. In preparing final rules for presentation to EQC, DEQ further evaluated available data and information to better characterize potential permitting issues that will be encountered and developed a plan for approaching pollutant categories using existing approaches, tools, as well as proposed rules which will be presented as part of EQC agenda item.</w:t>
            </w:r>
          </w:p>
          <w:p w:rsidR="00E904FF" w:rsidRDefault="00E904FF" w:rsidP="00E904FF">
            <w:pPr>
              <w:ind w:left="360"/>
            </w:pPr>
          </w:p>
          <w:p w:rsidR="00322E9E" w:rsidRPr="00C94632" w:rsidRDefault="00666378" w:rsidP="00B0236D">
            <w:pPr>
              <w:numPr>
                <w:ilvl w:val="0"/>
                <w:numId w:val="5"/>
              </w:numPr>
              <w:rPr>
                <w:b/>
              </w:rPr>
            </w:pPr>
            <w:r w:rsidRPr="00C94632">
              <w:rPr>
                <w:b/>
              </w:rPr>
              <w:t>Detail and i</w:t>
            </w:r>
            <w:r w:rsidR="00322E9E" w:rsidRPr="00C94632">
              <w:rPr>
                <w:b/>
              </w:rPr>
              <w:t>mplementation of DEQ’s revised variance procedures</w:t>
            </w:r>
          </w:p>
          <w:p w:rsidR="00E904FF" w:rsidRDefault="000E4120" w:rsidP="00E904FF">
            <w:pPr>
              <w:ind w:left="360"/>
            </w:pPr>
            <w:r>
              <w:t xml:space="preserve">Variance provision </w:t>
            </w:r>
            <w:r w:rsidR="00F3200E">
              <w:t>has the potential to apply in</w:t>
            </w:r>
            <w:r>
              <w:t xml:space="preserve"> a variety of permitting situations where </w:t>
            </w:r>
            <w:r w:rsidR="00F3200E">
              <w:t>it’s</w:t>
            </w:r>
            <w:r>
              <w:t xml:space="preserve"> not feasible to meet </w:t>
            </w:r>
            <w:r w:rsidR="00F3200E">
              <w:t xml:space="preserve">the </w:t>
            </w:r>
            <w:r>
              <w:t xml:space="preserve">calculated limits. </w:t>
            </w:r>
            <w:r w:rsidR="00F3200E">
              <w:t xml:space="preserve">While the impetus for revising the existing provision is to address situations that are likely to arise due to the revised human health criteria, the existing provision can be used for both human health and aquatic life criteria. In the course of the discussions related to the development of the proposed rule, stakeholders raised questions and concerns regarding the level of detail that should be contained in the rule, </w:t>
            </w:r>
            <w:r w:rsidR="00C00834">
              <w:t>the applicability of the revisions to the aquatic life criteria</w:t>
            </w:r>
            <w:r w:rsidR="005363B0">
              <w:t xml:space="preserve">, </w:t>
            </w:r>
            <w:r w:rsidR="00F3200E">
              <w:t>and</w:t>
            </w:r>
            <w:r w:rsidR="00C00834">
              <w:t xml:space="preserve"> whether the revisions should also include a multiple discharger variance</w:t>
            </w:r>
            <w:r w:rsidR="00F3200E">
              <w:t>.</w:t>
            </w:r>
            <w:r w:rsidR="005363B0">
              <w:t xml:space="preserve"> </w:t>
            </w:r>
            <w:proofErr w:type="spellStart"/>
            <w:r w:rsidR="00F3200E">
              <w:t>Commenters</w:t>
            </w:r>
            <w:proofErr w:type="spellEnd"/>
            <w:r w:rsidR="00F3200E">
              <w:t xml:space="preserve"> raised similar issues. DEQ’s consideration of these issues is described below.</w:t>
            </w:r>
          </w:p>
          <w:p w:rsidR="00FD4A33" w:rsidRDefault="00FD4A33" w:rsidP="00E904FF">
            <w:pPr>
              <w:ind w:left="360"/>
            </w:pPr>
          </w:p>
          <w:p w:rsidR="00CF7A07" w:rsidRPr="00FD4A33" w:rsidRDefault="00FD4A33" w:rsidP="00E904FF">
            <w:pPr>
              <w:ind w:left="360"/>
              <w:rPr>
                <w:b/>
                <w:i/>
              </w:rPr>
            </w:pPr>
            <w:r w:rsidRPr="00FD4A33">
              <w:rPr>
                <w:b/>
                <w:i/>
              </w:rPr>
              <w:t>Level of detail contained in proposed rule</w:t>
            </w:r>
          </w:p>
          <w:p w:rsidR="00FD4A33" w:rsidRDefault="00F3200E" w:rsidP="00E904FF">
            <w:pPr>
              <w:ind w:left="360"/>
            </w:pPr>
            <w:r>
              <w:t xml:space="preserve">In the course of developing revisions to the variance rule, stakeholders had many questions regarding the details of its implementation, which were also raised by </w:t>
            </w:r>
            <w:proofErr w:type="spellStart"/>
            <w:r>
              <w:t>commenters</w:t>
            </w:r>
            <w:proofErr w:type="spellEnd"/>
            <w:r>
              <w:t>. Va</w:t>
            </w:r>
            <w:r w:rsidR="00001BB8">
              <w:t>r</w:t>
            </w:r>
            <w:r>
              <w:t xml:space="preserve">iances are going to be different among facilities and are likely to vary by pollutant. The level of needed data and analyses will likely vary among situations. Because there is not likely to be a “one size fits </w:t>
            </w:r>
            <w:r>
              <w:lastRenderedPageBreak/>
              <w:t xml:space="preserve">all “ approach, DEQ sought to include sufficient specificity in the rule to govern how the process would be implemented and provide additional specificity through the development of an Internal Management Directive and associated documents. DEQ released an outline of the IMD with the proposed rule revisions and has </w:t>
            </w:r>
            <w:r w:rsidR="00C00834">
              <w:t xml:space="preserve">published a draft IMD to accompany this final proposed rulemaking to highlight and provide additional details regarding DEQ’s approach to implementing variances. In addition, to respond to questions and concerns raised during the stakeholder advisory committee process, particularly the concerns about the lack of experience by both </w:t>
            </w:r>
            <w:proofErr w:type="spellStart"/>
            <w:r w:rsidR="00C00834">
              <w:t>permittees</w:t>
            </w:r>
            <w:proofErr w:type="spellEnd"/>
            <w:r w:rsidR="00C00834">
              <w:t xml:space="preserve"> and DEQ in implementing such a provision, DEQ held a workshop with DEQ and EPA Region 10 staff and selected states and EPA regions to share their experiences implementing variances. DEQ subsequently held a stakeholder seminar with those states and EPA Regions to share and learn from those experiences.</w:t>
            </w:r>
          </w:p>
          <w:p w:rsidR="00C00834" w:rsidRDefault="00C00834" w:rsidP="00E904FF">
            <w:pPr>
              <w:ind w:left="360"/>
            </w:pPr>
          </w:p>
          <w:p w:rsidR="00C00834" w:rsidRDefault="00C00834" w:rsidP="00E904FF">
            <w:pPr>
              <w:ind w:left="360"/>
            </w:pPr>
            <w:r>
              <w:t xml:space="preserve">DEQ reviewed the comments it received on this topic and clarified elements of the rule to better define the roles of DEQ and </w:t>
            </w:r>
            <w:proofErr w:type="spellStart"/>
            <w:r>
              <w:t>permittees</w:t>
            </w:r>
            <w:proofErr w:type="spellEnd"/>
            <w:r>
              <w:t xml:space="preserve"> in implementing the provision. Further, as described in the preceding paragraphs and in the [</w:t>
            </w:r>
            <w:r w:rsidRPr="00C00834">
              <w:rPr>
                <w:highlight w:val="yellow"/>
              </w:rPr>
              <w:t>Next Steps/Timeline</w:t>
            </w:r>
            <w:r>
              <w:t xml:space="preserve">], DEQ will complete the IMD following the commission’s adoption of the rule and develop related materials to facilitate the rule’s implementation. </w:t>
            </w:r>
          </w:p>
          <w:p w:rsidR="00C00834" w:rsidRPr="00FD4A33" w:rsidRDefault="00C00834" w:rsidP="00E904FF">
            <w:pPr>
              <w:ind w:left="360"/>
            </w:pPr>
          </w:p>
          <w:p w:rsidR="00CF7A07" w:rsidRPr="00CF7A07" w:rsidRDefault="00CF7A07" w:rsidP="00E904FF">
            <w:pPr>
              <w:ind w:left="360"/>
              <w:rPr>
                <w:b/>
                <w:i/>
              </w:rPr>
            </w:pPr>
            <w:r w:rsidRPr="00CF7A07">
              <w:rPr>
                <w:b/>
                <w:i/>
              </w:rPr>
              <w:t>Applicability of variances</w:t>
            </w:r>
          </w:p>
          <w:p w:rsidR="00CF7A07" w:rsidRPr="00C138EC" w:rsidRDefault="00C00834" w:rsidP="00C138EC">
            <w:pPr>
              <w:ind w:left="360"/>
            </w:pPr>
            <w:r w:rsidRPr="00C138EC">
              <w:t xml:space="preserve">As noted above, DEQ’s impetus to pursue revisions to its variance provision was due to concern about new or exacerbated issues that could arise in the implementation of the revised human health criteria. The current variance provision may be used for either </w:t>
            </w:r>
            <w:r w:rsidR="00404E61" w:rsidRPr="00C138EC">
              <w:t xml:space="preserve">the </w:t>
            </w:r>
            <w:r w:rsidRPr="00C138EC">
              <w:t xml:space="preserve">human health </w:t>
            </w:r>
            <w:r w:rsidR="00404E61" w:rsidRPr="00C138EC">
              <w:t>or the</w:t>
            </w:r>
            <w:r w:rsidRPr="00C138EC">
              <w:t xml:space="preserve"> aquatic life criteria where the specified conditions are met.</w:t>
            </w:r>
            <w:r w:rsidR="00404E61" w:rsidRPr="00C138EC">
              <w:t xml:space="preserve"> During the rule development process, some stakeholder requested DEQ limit its proposed variance provisions to the human health criteria, citing concerns regarding whether the revisions would sufficiently protect aquatic life endpoints. The proposed revisions allow variances to more closely align with the NPDES permit issuance process and add a requirement to develop and implement a pollutant reduction plan to ensure further progress toward achieving the water quality standards. DEQ does not view these revisions as diminishing water quality protections for aquatic life, and particularly with regard to the new requirement to develop and implem</w:t>
            </w:r>
            <w:r w:rsidR="00675BE7" w:rsidRPr="00C138EC">
              <w:t>ent a pollutant reduction plan, will provide for additional water quality improvements. For any variance addressing an aquatic life criterion, EPA must consult under the Endangered Species Act prior to approving the variance in order to ensure that the action does not jeopardize the existence of federally listed species or result in the adverse modification of designated critical</w:t>
            </w:r>
            <w:r w:rsidR="00C138EC" w:rsidRPr="00C138EC">
              <w:t xml:space="preserve"> </w:t>
            </w:r>
            <w:r w:rsidR="00675BE7" w:rsidRPr="00C138EC">
              <w:t>habitat of such species.</w:t>
            </w:r>
            <w:r w:rsidR="00C138EC">
              <w:t xml:space="preserve"> Based on these considerations, DEQ did not revise the variance rule to alter its applicability to the aquatic life criteria. </w:t>
            </w:r>
          </w:p>
          <w:p w:rsidR="00CF7A07" w:rsidRDefault="00CF7A07" w:rsidP="00E904FF">
            <w:pPr>
              <w:ind w:left="360"/>
            </w:pPr>
          </w:p>
          <w:p w:rsidR="00CF7A07" w:rsidRDefault="00CF7A07" w:rsidP="00E904FF">
            <w:pPr>
              <w:ind w:left="360"/>
              <w:rPr>
                <w:b/>
                <w:i/>
              </w:rPr>
            </w:pPr>
            <w:r>
              <w:rPr>
                <w:b/>
                <w:i/>
              </w:rPr>
              <w:t>Multiple discharger variances</w:t>
            </w:r>
          </w:p>
          <w:p w:rsidR="00CF7A07" w:rsidRPr="00CF7A07" w:rsidRDefault="00CF7A07" w:rsidP="00E904FF">
            <w:pPr>
              <w:ind w:left="360"/>
            </w:pPr>
            <w:r>
              <w:t>Some</w:t>
            </w:r>
            <w:r w:rsidRPr="00CF7A07">
              <w:t xml:space="preserve"> states have </w:t>
            </w:r>
            <w:r>
              <w:t>developed multiple discharger variances</w:t>
            </w:r>
            <w:r w:rsidRPr="00CF7A07">
              <w:t xml:space="preserve"> where</w:t>
            </w:r>
            <w:r w:rsidR="00FD4A33">
              <w:t xml:space="preserve"> a</w:t>
            </w:r>
            <w:r w:rsidRPr="00CF7A07">
              <w:t xml:space="preserve"> common </w:t>
            </w:r>
            <w:r w:rsidRPr="00CF7A07">
              <w:lastRenderedPageBreak/>
              <w:t xml:space="preserve">pollutant issue arose for a </w:t>
            </w:r>
            <w:r w:rsidR="00FD4A33">
              <w:t>specified</w:t>
            </w:r>
            <w:r w:rsidRPr="00CF7A07">
              <w:t xml:space="preserve"> point source sector. </w:t>
            </w:r>
            <w:r w:rsidR="00FD4A33">
              <w:t>State have found such an implementation tool useful since,</w:t>
            </w:r>
            <w:r w:rsidR="00FD4A33" w:rsidRPr="00CF7A07">
              <w:t xml:space="preserve"> once adopted </w:t>
            </w:r>
            <w:r w:rsidR="00FD4A33">
              <w:t>as a</w:t>
            </w:r>
            <w:r w:rsidR="00FD4A33" w:rsidRPr="00CF7A07">
              <w:t xml:space="preserve"> rule</w:t>
            </w:r>
            <w:r w:rsidR="00FD4A33">
              <w:t xml:space="preserve"> by DEQ and approved by EPA, coverage of individual facil</w:t>
            </w:r>
            <w:r w:rsidR="00123C8B">
              <w:t>i</w:t>
            </w:r>
            <w:r w:rsidR="00FD4A33">
              <w:t>ties seeking “coverage” under the multiple discharger variance do not require individual</w:t>
            </w:r>
            <w:r w:rsidR="00FD4A33" w:rsidRPr="00CF7A07">
              <w:t xml:space="preserve"> approvals by DEQ and EPA</w:t>
            </w:r>
            <w:r w:rsidR="00FD4A33">
              <w:t xml:space="preserve">. This fact distinguishes it </w:t>
            </w:r>
            <w:r w:rsidR="00FD4A33" w:rsidRPr="00CF7A07">
              <w:t xml:space="preserve">from the variance authorization </w:t>
            </w:r>
            <w:proofErr w:type="gramStart"/>
            <w:r w:rsidR="00FD4A33" w:rsidRPr="00CF7A07">
              <w:t>procedures,</w:t>
            </w:r>
            <w:proofErr w:type="gramEnd"/>
            <w:r w:rsidR="00FD4A33" w:rsidRPr="00CF7A07">
              <w:t xml:space="preserve"> </w:t>
            </w:r>
            <w:r w:rsidR="00FD4A33">
              <w:t xml:space="preserve">however, </w:t>
            </w:r>
            <w:r w:rsidR="00FD4A33" w:rsidRPr="00CF7A07">
              <w:t>sector- and pollutant-specific analyses must be conducted in conjunction with a specific rule</w:t>
            </w:r>
            <w:r w:rsidR="00FD4A33">
              <w:t xml:space="preserve"> to support its adoption.</w:t>
            </w:r>
            <w:r w:rsidR="00FD4A33" w:rsidRPr="00CF7A07">
              <w:t xml:space="preserve"> </w:t>
            </w:r>
            <w:r w:rsidRPr="00CF7A07">
              <w:t>DEQ discussed with</w:t>
            </w:r>
            <w:r w:rsidR="00FD4A33">
              <w:t xml:space="preserve"> the</w:t>
            </w:r>
            <w:r w:rsidRPr="00CF7A07">
              <w:t xml:space="preserve"> stakeholder advisory workgroup </w:t>
            </w:r>
            <w:r w:rsidR="00FD4A33">
              <w:t xml:space="preserve">during the development of proposed rules </w:t>
            </w:r>
            <w:r w:rsidRPr="00CF7A07">
              <w:t xml:space="preserve">whether sufficient information was currently available indicating </w:t>
            </w:r>
            <w:r w:rsidR="00FD4A33">
              <w:t>such a situation</w:t>
            </w:r>
            <w:r w:rsidRPr="00CF7A07">
              <w:t xml:space="preserve"> that would warrant inclusion of </w:t>
            </w:r>
            <w:r w:rsidR="00FD4A33">
              <w:t xml:space="preserve">an </w:t>
            </w:r>
            <w:r w:rsidRPr="00CF7A07">
              <w:t>additional rule provision. No such information was identified as part of that process. Through public comment, DEQ received several request</w:t>
            </w:r>
            <w:r w:rsidR="00FD4A33">
              <w:t>s</w:t>
            </w:r>
            <w:r w:rsidRPr="00CF7A07">
              <w:t xml:space="preserve"> to reconsider including </w:t>
            </w:r>
            <w:r w:rsidR="00FD4A33">
              <w:t xml:space="preserve">a </w:t>
            </w:r>
            <w:r w:rsidRPr="00CF7A07">
              <w:t>multiple discharger variance</w:t>
            </w:r>
            <w:r w:rsidR="00001BB8">
              <w:t>.</w:t>
            </w:r>
            <w:r w:rsidRPr="00CF7A07">
              <w:t xml:space="preserve"> At this time, this information has not been provided or developed by the department. As a result, DEQ </w:t>
            </w:r>
            <w:r w:rsidR="00FD4A33">
              <w:t>did not include</w:t>
            </w:r>
            <w:r w:rsidRPr="00CF7A07">
              <w:t xml:space="preserve"> a multiple discharger variance </w:t>
            </w:r>
            <w:r w:rsidR="00FD4A33">
              <w:t>in</w:t>
            </w:r>
            <w:r w:rsidRPr="00CF7A07">
              <w:t xml:space="preserve"> </w:t>
            </w:r>
            <w:r w:rsidR="00FD4A33">
              <w:t>the final proposed rules.</w:t>
            </w:r>
            <w:r w:rsidRPr="00CF7A07">
              <w:t xml:space="preserve"> DEQ will pursue such a rule in the future should information become available to support such an action.</w:t>
            </w:r>
          </w:p>
          <w:p w:rsidR="005363B0" w:rsidRDefault="005363B0" w:rsidP="00E904FF">
            <w:pPr>
              <w:ind w:left="360"/>
            </w:pPr>
          </w:p>
          <w:p w:rsidR="006A0BAE" w:rsidRDefault="00B0236D" w:rsidP="00AF1CA4">
            <w:pPr>
              <w:numPr>
                <w:ilvl w:val="0"/>
                <w:numId w:val="5"/>
              </w:numPr>
            </w:pPr>
            <w:r w:rsidRPr="00C94632">
              <w:rPr>
                <w:b/>
              </w:rPr>
              <w:t xml:space="preserve">DEQ’s intent and authority related to proposed water quality standards and total maximum daily load revisions addressing nonpoint </w:t>
            </w:r>
            <w:r w:rsidRPr="00AF1CA4">
              <w:rPr>
                <w:b/>
              </w:rPr>
              <w:t>sources</w:t>
            </w:r>
          </w:p>
          <w:p w:rsidR="006A0BAE" w:rsidRDefault="006A0BAE" w:rsidP="00AF1CA4">
            <w:pPr>
              <w:tabs>
                <w:tab w:val="left" w:pos="-1440"/>
                <w:tab w:val="left" w:pos="-720"/>
                <w:tab w:val="left" w:pos="4050"/>
              </w:tabs>
              <w:suppressAutoHyphens/>
              <w:ind w:left="360"/>
            </w:pPr>
            <w:r>
              <w:t xml:space="preserve">Concern </w:t>
            </w:r>
            <w:r w:rsidR="008F2901">
              <w:t xml:space="preserve">was </w:t>
            </w:r>
            <w:r>
              <w:t>raised that the proposed changes to OAR 340-041</w:t>
            </w:r>
            <w:r w:rsidR="008F2901">
              <w:t xml:space="preserve"> and -042</w:t>
            </w:r>
            <w:r>
              <w:t xml:space="preserve"> over reach DEQ’s statutory authority under the Agriculture Water Quality Management Act and the Forest Practices Act</w:t>
            </w:r>
            <w:r w:rsidR="008F2901">
              <w:t xml:space="preserve"> and </w:t>
            </w:r>
            <w:r w:rsidR="00AF1CA4">
              <w:t>expands</w:t>
            </w:r>
            <w:r>
              <w:t xml:space="preserve"> </w:t>
            </w:r>
            <w:r w:rsidR="008F2901">
              <w:t>DEQ</w:t>
            </w:r>
            <w:r>
              <w:t>s authority over nonpoint sources.  Other comments raised concern</w:t>
            </w:r>
            <w:r w:rsidR="00AF1CA4">
              <w:t>s</w:t>
            </w:r>
            <w:r>
              <w:t xml:space="preserve"> that proposed language </w:t>
            </w:r>
            <w:r w:rsidR="008F2901">
              <w:t xml:space="preserve">did not go far enough for control of nonpoint sources to meet the intent of the Clean Water Act.  </w:t>
            </w:r>
          </w:p>
          <w:p w:rsidR="008F2901" w:rsidRDefault="008F2901" w:rsidP="00AF1CA4">
            <w:pPr>
              <w:tabs>
                <w:tab w:val="left" w:pos="-1440"/>
                <w:tab w:val="left" w:pos="-720"/>
                <w:tab w:val="left" w:pos="4050"/>
              </w:tabs>
              <w:suppressAutoHyphens/>
              <w:ind w:left="360"/>
            </w:pPr>
          </w:p>
          <w:p w:rsidR="008F2901" w:rsidRDefault="008F2901" w:rsidP="00AF1CA4">
            <w:pPr>
              <w:tabs>
                <w:tab w:val="left" w:pos="-1440"/>
                <w:tab w:val="left" w:pos="-720"/>
                <w:tab w:val="left" w:pos="4050"/>
              </w:tabs>
              <w:suppressAutoHyphens/>
              <w:ind w:left="360"/>
            </w:pPr>
            <w:r>
              <w:t>DEQ considered the input but believes the proposed rule language is consistent with existing state statutes and the changes would be useful in clarifying DEQ</w:t>
            </w:r>
            <w:r w:rsidR="00AF1CA4">
              <w:t>’</w:t>
            </w:r>
            <w:r>
              <w:t>s role and responsibilities when working with nonpoint sources of pollutants.</w:t>
            </w:r>
          </w:p>
          <w:p w:rsidR="002A2597" w:rsidRDefault="002A2597" w:rsidP="00AF1CA4">
            <w:pPr>
              <w:tabs>
                <w:tab w:val="left" w:pos="-1440"/>
                <w:tab w:val="left" w:pos="-720"/>
                <w:tab w:val="left" w:pos="4050"/>
              </w:tabs>
              <w:suppressAutoHyphens/>
              <w:ind w:left="360"/>
            </w:pPr>
          </w:p>
          <w:p w:rsidR="002A2597" w:rsidRPr="002A2597" w:rsidRDefault="008E0C50" w:rsidP="002A2597">
            <w:pPr>
              <w:numPr>
                <w:ilvl w:val="0"/>
                <w:numId w:val="5"/>
              </w:numPr>
              <w:rPr>
                <w:b/>
              </w:rPr>
            </w:pPr>
            <w:r>
              <w:rPr>
                <w:b/>
              </w:rPr>
              <w:t>Economic impacts associated with the</w:t>
            </w:r>
            <w:r w:rsidR="002A2597" w:rsidRPr="002A2597">
              <w:rPr>
                <w:b/>
              </w:rPr>
              <w:t xml:space="preserve"> proposed</w:t>
            </w:r>
            <w:r>
              <w:rPr>
                <w:b/>
              </w:rPr>
              <w:t xml:space="preserve"> rulemaking</w:t>
            </w:r>
            <w:r w:rsidR="002A2597" w:rsidRPr="002A2597">
              <w:rPr>
                <w:b/>
              </w:rPr>
              <w:t>; DEQ</w:t>
            </w:r>
            <w:r>
              <w:rPr>
                <w:b/>
              </w:rPr>
              <w:t>’s evaluation</w:t>
            </w:r>
            <w:r w:rsidR="002A2597" w:rsidRPr="002A2597">
              <w:rPr>
                <w:b/>
              </w:rPr>
              <w:t xml:space="preserve"> </w:t>
            </w:r>
            <w:r>
              <w:rPr>
                <w:b/>
              </w:rPr>
              <w:t xml:space="preserve">of </w:t>
            </w:r>
            <w:r w:rsidR="002A2597" w:rsidRPr="002A2597">
              <w:rPr>
                <w:b/>
              </w:rPr>
              <w:t xml:space="preserve">the </w:t>
            </w:r>
            <w:r>
              <w:rPr>
                <w:b/>
              </w:rPr>
              <w:t>proposed rule’s cost</w:t>
            </w:r>
          </w:p>
          <w:p w:rsidR="00412D28" w:rsidRDefault="00412D28" w:rsidP="00412D28">
            <w:pPr>
              <w:ind w:left="360"/>
            </w:pPr>
            <w:r>
              <w:t>Stakeholders and interested parties have raised concerns with the potential economic impact associated with this rulemaking throughout the process. In 2008, DEQ formed the Fiscal Impact and Implementation Advisory Committee to discuss some of these concerns and to inform early discussions regarding the selection of a fish consumption rate and to initiate and inform identification of potential implementation approaches for NPDES permitted sources. DEQ continued related discussions with the rulemaking advisory committee members as rule options were identified, analyzed and discussed. These discussions and analyses informed DEQ’s proposed rule and were incorporated into the drafting of the Statement of Need and Fiscal and Economic Impact.</w:t>
            </w:r>
          </w:p>
          <w:p w:rsidR="00412D28" w:rsidRDefault="00412D28" w:rsidP="00412D28">
            <w:pPr>
              <w:ind w:left="360"/>
            </w:pPr>
          </w:p>
          <w:p w:rsidR="002A2597" w:rsidRPr="00B00BF6" w:rsidRDefault="00412D28" w:rsidP="00412D28">
            <w:pPr>
              <w:ind w:left="360"/>
              <w:rPr>
                <w:rFonts w:ascii="Times New Roman" w:hAnsi="Times New Roman"/>
              </w:rPr>
            </w:pPr>
            <w:r>
              <w:t xml:space="preserve">DEQ received additional comments on the proposed rule </w:t>
            </w:r>
            <w:r w:rsidR="002A2597">
              <w:t xml:space="preserve">regarding the </w:t>
            </w:r>
            <w:r w:rsidR="002A2597">
              <w:lastRenderedPageBreak/>
              <w:t xml:space="preserve">potential economic impact of the proposed rulemaking. Specifically, </w:t>
            </w:r>
            <w:proofErr w:type="spellStart"/>
            <w:r w:rsidR="002A2597">
              <w:t>commenters</w:t>
            </w:r>
            <w:proofErr w:type="spellEnd"/>
            <w:r w:rsidR="002A2597">
              <w:t xml:space="preserve"> </w:t>
            </w:r>
            <w:r w:rsidR="00B00BF6">
              <w:t>expressed</w:t>
            </w:r>
            <w:r w:rsidR="002A2597">
              <w:t xml:space="preserve"> </w:t>
            </w:r>
            <w:r w:rsidR="00B00BF6">
              <w:t>general concerns regarding DEQ’s assessment of potential costs described in the Statement of Need and Fiscal and Economic Impact (</w:t>
            </w:r>
            <w:r w:rsidR="00B00BF6" w:rsidRPr="00001BB8">
              <w:rPr>
                <w:highlight w:val="yellow"/>
              </w:rPr>
              <w:t>Attachment F</w:t>
            </w:r>
            <w:r w:rsidR="00B00BF6">
              <w:t xml:space="preserve">) and more specific </w:t>
            </w:r>
            <w:r w:rsidR="002A2597">
              <w:t>concerns regarding the economic consequence resulting from implementing criteria based on 175 grams per day fish consumption ra</w:t>
            </w:r>
            <w:r>
              <w:t>te, costs associated with treat</w:t>
            </w:r>
            <w:r w:rsidR="002A2597">
              <w:t xml:space="preserve">ment technologies to </w:t>
            </w:r>
            <w:r w:rsidR="002A2597" w:rsidRPr="00B00BF6">
              <w:rPr>
                <w:rFonts w:ascii="Times New Roman" w:hAnsi="Times New Roman"/>
              </w:rPr>
              <w:t xml:space="preserve">achievement the proposed standards, costs associated with applying for and implementing the revised variance rules, </w:t>
            </w:r>
            <w:r w:rsidR="00B00BF6" w:rsidRPr="00B00BF6">
              <w:rPr>
                <w:rFonts w:ascii="Times New Roman" w:hAnsi="Times New Roman"/>
              </w:rPr>
              <w:t xml:space="preserve">and </w:t>
            </w:r>
            <w:r w:rsidR="002A2597" w:rsidRPr="00B00BF6">
              <w:rPr>
                <w:rFonts w:ascii="Times New Roman" w:hAnsi="Times New Roman"/>
              </w:rPr>
              <w:t>the economic imp</w:t>
            </w:r>
            <w:r w:rsidR="00B00BF6" w:rsidRPr="00B00BF6">
              <w:rPr>
                <w:rFonts w:ascii="Times New Roman" w:hAnsi="Times New Roman"/>
              </w:rPr>
              <w:t>act to agricultural activities</w:t>
            </w:r>
            <w:r w:rsidRPr="00B00BF6">
              <w:rPr>
                <w:rFonts w:ascii="Times New Roman" w:hAnsi="Times New Roman"/>
              </w:rPr>
              <w:t xml:space="preserve">. </w:t>
            </w:r>
            <w:r w:rsidR="00B00BF6" w:rsidRPr="00B00BF6">
              <w:rPr>
                <w:rFonts w:ascii="Times New Roman" w:hAnsi="Times New Roman"/>
              </w:rPr>
              <w:t xml:space="preserve">DEQ considered the input through its public workshops and reviewed the comments it received as summarized below and provided in more detail in </w:t>
            </w:r>
            <w:r w:rsidR="00B00BF6" w:rsidRPr="00854BBC">
              <w:rPr>
                <w:rFonts w:ascii="Times New Roman" w:hAnsi="Times New Roman"/>
              </w:rPr>
              <w:t xml:space="preserve">the Summary and Response to Comments document provided in </w:t>
            </w:r>
            <w:r w:rsidRPr="00001BB8">
              <w:rPr>
                <w:rFonts w:ascii="Times New Roman" w:hAnsi="Times New Roman"/>
                <w:highlight w:val="yellow"/>
              </w:rPr>
              <w:t>Attachment B</w:t>
            </w:r>
            <w:r w:rsidRPr="00B00BF6">
              <w:rPr>
                <w:rFonts w:ascii="Times New Roman" w:hAnsi="Times New Roman"/>
              </w:rPr>
              <w:t>.</w:t>
            </w:r>
          </w:p>
          <w:p w:rsidR="00412D28" w:rsidRDefault="00412D28" w:rsidP="002A2597">
            <w:pPr>
              <w:ind w:left="360"/>
            </w:pPr>
          </w:p>
          <w:p w:rsidR="00851D92" w:rsidRDefault="00851D92" w:rsidP="00B00BF6">
            <w:pPr>
              <w:ind w:left="360"/>
              <w:rPr>
                <w:b/>
                <w:i/>
              </w:rPr>
            </w:pPr>
            <w:r>
              <w:rPr>
                <w:b/>
                <w:i/>
              </w:rPr>
              <w:t>Impact of rules on Oregon’s economy</w:t>
            </w:r>
          </w:p>
          <w:p w:rsidR="00B15605" w:rsidRDefault="00123C8B" w:rsidP="00B00BF6">
            <w:pPr>
              <w:ind w:left="360"/>
            </w:pPr>
            <w:r>
              <w:t xml:space="preserve">Stakeholders and </w:t>
            </w:r>
            <w:proofErr w:type="spellStart"/>
            <w:r>
              <w:t>commenters</w:t>
            </w:r>
            <w:proofErr w:type="spellEnd"/>
            <w:r>
              <w:t xml:space="preserve"> raised concerns through the advisory committee and through comments regarding the impact the proposed rules could have on Oregon’s economy. Members of the business community think they will have to install treatment technologies that will be very expensive or may cause businesses to close. </w:t>
            </w:r>
            <w:r w:rsidR="00B15605" w:rsidRPr="00C94632">
              <w:t xml:space="preserve">DEQ does not intend for facilities to put in place treatment technologies that result in unreasonable costs or that are unproven for the application in question. </w:t>
            </w:r>
            <w:r>
              <w:t>DEQ has considered this i</w:t>
            </w:r>
            <w:r w:rsidR="00B15605">
              <w:t xml:space="preserve">ssue throughout the process and has </w:t>
            </w:r>
            <w:r w:rsidR="00B15605" w:rsidRPr="00C94632">
              <w:t xml:space="preserve">spent </w:t>
            </w:r>
            <w:r w:rsidR="00B15605">
              <w:t xml:space="preserve">a </w:t>
            </w:r>
            <w:r w:rsidR="00B15605" w:rsidRPr="00C94632">
              <w:t xml:space="preserve">significant amount of time with the stakeholder advisory workgroups discussing and developing proposed rules for implementation approaches. </w:t>
            </w:r>
            <w:r w:rsidR="00B15605">
              <w:t>DEQ has developed a draft Internal Management Directive for Variances to accompany this staff report and will be finalizing this IMD along with others to provide additional detail regarding how DEQ plans to implement these approaches to achieve these objectives.</w:t>
            </w:r>
          </w:p>
          <w:p w:rsidR="00B15605" w:rsidRDefault="00B15605" w:rsidP="00B00BF6">
            <w:pPr>
              <w:ind w:left="360"/>
            </w:pPr>
          </w:p>
          <w:p w:rsidR="00123C8B" w:rsidRDefault="00123C8B" w:rsidP="00B00BF6">
            <w:pPr>
              <w:ind w:left="360"/>
            </w:pPr>
            <w:r>
              <w:t xml:space="preserve">Others </w:t>
            </w:r>
            <w:proofErr w:type="spellStart"/>
            <w:r w:rsidR="00B15605">
              <w:t>commenters</w:t>
            </w:r>
            <w:proofErr w:type="spellEnd"/>
            <w:r w:rsidR="00B15605">
              <w:t xml:space="preserve"> </w:t>
            </w:r>
            <w:r>
              <w:t xml:space="preserve">expressed </w:t>
            </w:r>
            <w:r w:rsidR="00B15605">
              <w:t xml:space="preserve">a similar </w:t>
            </w:r>
            <w:r>
              <w:t xml:space="preserve">concern </w:t>
            </w:r>
            <w:r w:rsidR="00B15605">
              <w:t xml:space="preserve">for Oregon’s economy </w:t>
            </w:r>
            <w:r>
              <w:t xml:space="preserve">based on </w:t>
            </w:r>
            <w:r w:rsidR="00B15605">
              <w:t xml:space="preserve">a </w:t>
            </w:r>
            <w:r>
              <w:t xml:space="preserve">perception that </w:t>
            </w:r>
            <w:r w:rsidR="00B15605">
              <w:t xml:space="preserve">the </w:t>
            </w:r>
            <w:r>
              <w:t xml:space="preserve">proposed rules create a new authority for DEQ to regulate nonpoint sources. </w:t>
            </w:r>
            <w:r w:rsidR="00B15605">
              <w:t xml:space="preserve">DEQ does not agree that the revisions related to nonpoint sources will result in an impact on the economy as described by many </w:t>
            </w:r>
            <w:proofErr w:type="spellStart"/>
            <w:r w:rsidR="00B15605">
              <w:t>commenters</w:t>
            </w:r>
            <w:proofErr w:type="spellEnd"/>
            <w:r w:rsidR="00B15605">
              <w:t xml:space="preserve">. DEQ’s materials accompanying the proposed rules, and its presentations at public hearings </w:t>
            </w:r>
            <w:commentRangeStart w:id="7"/>
            <w:r w:rsidR="00B15605" w:rsidRPr="00B15605">
              <w:rPr>
                <w:highlight w:val="yellow"/>
              </w:rPr>
              <w:t xml:space="preserve">have stated that </w:t>
            </w:r>
            <w:proofErr w:type="gramStart"/>
            <w:r w:rsidR="00B15605" w:rsidRPr="00B15605">
              <w:rPr>
                <w:highlight w:val="yellow"/>
              </w:rPr>
              <w:t>…</w:t>
            </w:r>
            <w:r w:rsidR="00B15605">
              <w:t xml:space="preserve"> </w:t>
            </w:r>
            <w:commentRangeEnd w:id="7"/>
            <w:proofErr w:type="gramEnd"/>
            <w:r w:rsidR="00B15605">
              <w:rPr>
                <w:rStyle w:val="CommentReference"/>
              </w:rPr>
              <w:commentReference w:id="7"/>
            </w:r>
            <w:r w:rsidR="00B15605">
              <w:t xml:space="preserve">. As such, DEQ continues to conclude that </w:t>
            </w:r>
            <w:proofErr w:type="gramStart"/>
            <w:r w:rsidR="00B15605">
              <w:t>its</w:t>
            </w:r>
            <w:proofErr w:type="gramEnd"/>
            <w:r w:rsidR="00B15605">
              <w:t xml:space="preserve"> Statement of Need and Fiscal and Economic Impact is accurate.</w:t>
            </w:r>
          </w:p>
          <w:p w:rsidR="00123C8B" w:rsidRPr="00123C8B" w:rsidRDefault="00123C8B" w:rsidP="00B00BF6">
            <w:pPr>
              <w:ind w:left="360"/>
            </w:pPr>
          </w:p>
          <w:p w:rsidR="00B00BF6" w:rsidRPr="00B00BF6" w:rsidRDefault="00B00BF6" w:rsidP="00B00BF6">
            <w:pPr>
              <w:ind w:left="360"/>
              <w:rPr>
                <w:b/>
                <w:i/>
              </w:rPr>
            </w:pPr>
            <w:r w:rsidRPr="00B00BF6">
              <w:rPr>
                <w:b/>
                <w:i/>
              </w:rPr>
              <w:t>Level and accuracy of DEQ’s analysis of potential costs</w:t>
            </w:r>
          </w:p>
          <w:p w:rsidR="00B00BF6" w:rsidRDefault="008E0C50" w:rsidP="00B00BF6">
            <w:pPr>
              <w:ind w:left="360"/>
            </w:pPr>
            <w:r>
              <w:t>DEQ consulted with the stakeholder advisory groups on its draft of the Statement of Need and Fiscal and Economic Impact, which included quantitative cost information developed by SAIC, an EPA contractor</w:t>
            </w:r>
            <w:r w:rsidR="0054258E">
              <w:t xml:space="preserve">. </w:t>
            </w:r>
            <w:r w:rsidR="00DD21AF">
              <w:t xml:space="preserve">Where quantitative information was not available, DEQ described the circumstances in which it anticipated costs could be incurred. </w:t>
            </w:r>
            <w:r w:rsidR="0054258E">
              <w:t>DEQ solicited and included</w:t>
            </w:r>
            <w:r>
              <w:t xml:space="preserve"> any additional information stakeholders were able to provide</w:t>
            </w:r>
            <w:r w:rsidR="0054258E">
              <w:t xml:space="preserve"> into its analysis</w:t>
            </w:r>
            <w:r>
              <w:t>.</w:t>
            </w:r>
            <w:r w:rsidR="00DD21AF">
              <w:t xml:space="preserve"> Some </w:t>
            </w:r>
            <w:proofErr w:type="spellStart"/>
            <w:r w:rsidR="00DD21AF">
              <w:t>commenters</w:t>
            </w:r>
            <w:proofErr w:type="spellEnd"/>
            <w:r w:rsidR="00DD21AF">
              <w:t xml:space="preserve"> questioned the accuracy of the information contained in DEQ’s analysis, but few provided specific information detailing alternative </w:t>
            </w:r>
            <w:r w:rsidR="00DD21AF">
              <w:lastRenderedPageBreak/>
              <w:t xml:space="preserve">analyses. Where </w:t>
            </w:r>
            <w:proofErr w:type="spellStart"/>
            <w:r w:rsidR="00DD21AF">
              <w:t>commenters</w:t>
            </w:r>
            <w:proofErr w:type="spellEnd"/>
            <w:r w:rsidR="00DD21AF">
              <w:t xml:space="preserve"> included cost information relevant to the proposed rules, DEQ evaluated the information and found that it was similar to the estimates included </w:t>
            </w:r>
            <w:r w:rsidR="00DD21AF" w:rsidRPr="00A5236D">
              <w:t xml:space="preserve">in the Statement of Need and Fiscal and Economic Impact. In response to requests for DEQ to develop additional quantitative cost analyses, </w:t>
            </w:r>
            <w:r w:rsidR="001C098A" w:rsidRPr="00A5236D">
              <w:t>While</w:t>
            </w:r>
            <w:r w:rsidR="00DD21AF" w:rsidRPr="00A5236D">
              <w:t xml:space="preserve"> the</w:t>
            </w:r>
            <w:r w:rsidR="0054258E" w:rsidRPr="00A5236D">
              <w:t xml:space="preserve"> estimates contained in the Statement of Need and Fiscal </w:t>
            </w:r>
            <w:r w:rsidR="00DD21AF" w:rsidRPr="00A5236D">
              <w:t xml:space="preserve">and Economic </w:t>
            </w:r>
            <w:r w:rsidR="0054258E" w:rsidRPr="00A5236D">
              <w:t>Impact</w:t>
            </w:r>
            <w:r w:rsidR="00DD21AF" w:rsidRPr="00A5236D">
              <w:t xml:space="preserve"> </w:t>
            </w:r>
            <w:r w:rsidR="001C098A" w:rsidRPr="00A5236D">
              <w:t>are uncertain, potential costs</w:t>
            </w:r>
            <w:r w:rsidR="0054258E" w:rsidRPr="00A5236D">
              <w:t xml:space="preserve"> </w:t>
            </w:r>
            <w:r w:rsidR="001C098A" w:rsidRPr="00A5236D">
              <w:t xml:space="preserve">associated with </w:t>
            </w:r>
            <w:r w:rsidR="0054258E" w:rsidRPr="00A5236D">
              <w:t xml:space="preserve">the implementation of these standards will vary on a facility by facility basis, </w:t>
            </w:r>
            <w:r w:rsidR="001C098A" w:rsidRPr="00A5236D">
              <w:t xml:space="preserve">and </w:t>
            </w:r>
            <w:r w:rsidR="0054258E" w:rsidRPr="00A5236D">
              <w:t>specific estimates are very difficult without knowing each and every situation.</w:t>
            </w:r>
            <w:r w:rsidRPr="00A5236D">
              <w:t xml:space="preserve"> </w:t>
            </w:r>
            <w:r w:rsidR="001C098A" w:rsidRPr="00A5236D">
              <w:t>DEQ’s approach to evaluating potential costs</w:t>
            </w:r>
            <w:r w:rsidR="001C098A">
              <w:t xml:space="preserve"> represents a thorough and reasonable approach, given the Agency’s resources and the amount of information available.</w:t>
            </w:r>
          </w:p>
          <w:p w:rsidR="008E0C50" w:rsidRDefault="008E0C50" w:rsidP="00B00BF6">
            <w:pPr>
              <w:ind w:left="360"/>
            </w:pPr>
          </w:p>
          <w:p w:rsidR="00ED4A1A" w:rsidRPr="00B00BF6" w:rsidRDefault="00ED4A1A" w:rsidP="002A2597">
            <w:pPr>
              <w:ind w:left="360"/>
              <w:rPr>
                <w:b/>
                <w:i/>
              </w:rPr>
            </w:pPr>
            <w:r w:rsidRPr="00B00BF6">
              <w:rPr>
                <w:b/>
                <w:i/>
              </w:rPr>
              <w:t>Human health criteria based on 175 grams per day are not achievable; treatment technologies, if available</w:t>
            </w:r>
            <w:r w:rsidR="00854BBC">
              <w:rPr>
                <w:b/>
                <w:i/>
              </w:rPr>
              <w:t>,</w:t>
            </w:r>
            <w:r w:rsidRPr="00B00BF6">
              <w:rPr>
                <w:b/>
                <w:i/>
              </w:rPr>
              <w:t xml:space="preserve"> are too expensive</w:t>
            </w:r>
          </w:p>
          <w:p w:rsidR="00FF2374" w:rsidRDefault="00A5236D" w:rsidP="00FF2374">
            <w:pPr>
              <w:ind w:left="360"/>
              <w:rPr>
                <w:color w:val="0070C0"/>
                <w:u w:val="single"/>
              </w:rPr>
            </w:pPr>
            <w:r>
              <w:t xml:space="preserve">Throughout this process, DEQ has discussed the viability of achieving criteria based on 175 grams per day with the public and </w:t>
            </w:r>
            <w:r w:rsidRPr="00C94632">
              <w:t>stakeholders</w:t>
            </w:r>
            <w:r w:rsidR="00FF2374" w:rsidRPr="00C94632">
              <w:t>. Most of the 114 pollutants included in the proposed rule have not previously been found at detectable levels in effluent, and DEQ does not expect that to change for the majority of pollutants addressed in this rulemaking. DEQ acknowledges that for some pollutants, the revised criteria may result in new or lower effluent  limits for NPDES permitted sources and spent significant time with the stakeholder advisory group discussing implementation approaches to address this circumstance. DEQ does not intend for facilities to put in place treatment technologies that result in unreasonable costs or that are unproven for the application in question. DEQ spent significant amount of time with the stakeholder advisory workgroups discussing and developing proposed rules for implementation approaches. DEQ’s Statement of Need and Fiscal and Economic Impact incorporate the use of these necessary implementation tools</w:t>
            </w:r>
            <w:r w:rsidR="00FF2374">
              <w:rPr>
                <w:color w:val="0070C0"/>
                <w:u w:val="single"/>
              </w:rPr>
              <w:t>.</w:t>
            </w:r>
          </w:p>
          <w:p w:rsidR="00ED4A1A" w:rsidRDefault="00ED4A1A" w:rsidP="00FF2374">
            <w:pPr>
              <w:ind w:left="360"/>
            </w:pPr>
          </w:p>
          <w:p w:rsidR="00A5236D" w:rsidRDefault="00A5236D" w:rsidP="002A2597">
            <w:pPr>
              <w:ind w:left="360"/>
            </w:pPr>
          </w:p>
          <w:p w:rsidR="00412D28" w:rsidRPr="00B00BF6" w:rsidRDefault="00ED4A1A" w:rsidP="002A2597">
            <w:pPr>
              <w:ind w:left="360"/>
              <w:rPr>
                <w:b/>
                <w:i/>
              </w:rPr>
            </w:pPr>
            <w:r w:rsidRPr="00B00BF6">
              <w:rPr>
                <w:b/>
                <w:i/>
              </w:rPr>
              <w:t>DEQ’s estimates regarding the costs to obtain and implement variances</w:t>
            </w:r>
          </w:p>
          <w:p w:rsidR="00ED4A1A" w:rsidRDefault="00052E08" w:rsidP="002A2597">
            <w:pPr>
              <w:ind w:left="360"/>
            </w:pPr>
            <w:r>
              <w:t xml:space="preserve">DEQ’s estimates regarding the cost to obtain and implement variances were based in part, on quantitative information developed in the report by SAIC, an EPA contractor. In addition DEQ estimated the resources needed within DEQ to evaluate and approve variances. Some stakeholders raised questions regarding DEQ’s estimates during the development of the Statement of Need and Fiscal and Economic Impact and several comments questions DEQ’s assessment of costs. The level of data, information and analysis involved in the development and approval of variances are likely to vary facility by facility and pollutant by pollutant. In addition, DEQ expects time and resources to develop and approve variances will decrease as the department and </w:t>
            </w:r>
            <w:proofErr w:type="spellStart"/>
            <w:r>
              <w:t>permittees</w:t>
            </w:r>
            <w:proofErr w:type="spellEnd"/>
            <w:r>
              <w:t xml:space="preserve"> become more experiences. </w:t>
            </w:r>
            <w:r w:rsidR="00DA0FB2">
              <w:t xml:space="preserve">As a result, DEQ providing a precise cost estimate is not a practicable exercise. </w:t>
            </w:r>
            <w:commentRangeStart w:id="8"/>
            <w:r w:rsidR="00DA0FB2">
              <w:t xml:space="preserve">Two </w:t>
            </w:r>
            <w:proofErr w:type="spellStart"/>
            <w:r w:rsidR="00DA0FB2">
              <w:t>commenters</w:t>
            </w:r>
            <w:commentRangeEnd w:id="8"/>
            <w:proofErr w:type="spellEnd"/>
            <w:r w:rsidR="00DA0FB2">
              <w:rPr>
                <w:rStyle w:val="CommentReference"/>
              </w:rPr>
              <w:commentReference w:id="8"/>
            </w:r>
            <w:r w:rsidR="00DA0FB2">
              <w:t xml:space="preserve"> provided cost estimates for obtaining a variance. In one case, the estimated dollar amounts were simply stated without an accompanying cite or information that would have enabled DEQ to understand how the dollar figures were calculated, therefore, DEQ </w:t>
            </w:r>
            <w:r w:rsidR="00DA0FB2">
              <w:lastRenderedPageBreak/>
              <w:t xml:space="preserve">was unable to verify whether the dollar figures represented a better estimate of costs than included in the Statement of Need and Fiscal and Economic Impact. In the other case, executive summary of a cost analysis was provided related to developing a pollutant reduction plan for four pollutants: arsenic, cadmium, </w:t>
            </w:r>
            <w:proofErr w:type="spellStart"/>
            <w:r w:rsidR="00DA0FB2">
              <w:t>methylmercury</w:t>
            </w:r>
            <w:proofErr w:type="spellEnd"/>
            <w:r w:rsidR="00DA0FB2">
              <w:t xml:space="preserve">, and PCBs. DEQ </w:t>
            </w:r>
            <w:proofErr w:type="gramStart"/>
            <w:r w:rsidR="00DA0FB2">
              <w:t>doesn’t</w:t>
            </w:r>
            <w:proofErr w:type="gramEnd"/>
            <w:r w:rsidR="00DA0FB2">
              <w:t xml:space="preserve"> expect NPDES permitted sources to need variances for first three pollutants.</w:t>
            </w:r>
            <w:r w:rsidR="00DA0FB2">
              <w:rPr>
                <w:rStyle w:val="FootnoteReference"/>
              </w:rPr>
              <w:footnoteReference w:id="1"/>
            </w:r>
            <w:r w:rsidR="00DA0FB2">
              <w:t xml:space="preserve"> In addition, the summary noted that the estimates represented an “order of magnitude” estimate. As a result, without some of the underlying data and analyses, DEQ is unable ascertain the extent to which these estimates are significantly different than the information developed in conjunction with the proposed rule.</w:t>
            </w:r>
          </w:p>
          <w:p w:rsidR="00ED4A1A" w:rsidRDefault="00ED4A1A" w:rsidP="002A2597">
            <w:pPr>
              <w:ind w:left="360"/>
            </w:pPr>
          </w:p>
          <w:p w:rsidR="00ED4A1A" w:rsidRPr="00B00BF6" w:rsidRDefault="00ED4A1A" w:rsidP="002A2597">
            <w:pPr>
              <w:ind w:left="360"/>
              <w:rPr>
                <w:b/>
                <w:i/>
              </w:rPr>
            </w:pPr>
            <w:commentRangeStart w:id="9"/>
            <w:r w:rsidRPr="00B00BF6">
              <w:rPr>
                <w:b/>
                <w:i/>
              </w:rPr>
              <w:t xml:space="preserve">DEQ’s </w:t>
            </w:r>
            <w:r w:rsidR="00854BBC">
              <w:rPr>
                <w:b/>
                <w:i/>
              </w:rPr>
              <w:t>analysis</w:t>
            </w:r>
            <w:r w:rsidRPr="00B00BF6">
              <w:rPr>
                <w:b/>
                <w:i/>
              </w:rPr>
              <w:t xml:space="preserve"> of</w:t>
            </w:r>
            <w:r w:rsidR="00854BBC">
              <w:rPr>
                <w:b/>
                <w:i/>
              </w:rPr>
              <w:t xml:space="preserve"> the proposed rule’s</w:t>
            </w:r>
            <w:r w:rsidRPr="00B00BF6">
              <w:rPr>
                <w:b/>
                <w:i/>
              </w:rPr>
              <w:t xml:space="preserve"> effect on landowners</w:t>
            </w:r>
            <w:commentRangeEnd w:id="9"/>
            <w:r w:rsidR="00A5236D">
              <w:rPr>
                <w:rStyle w:val="CommentReference"/>
              </w:rPr>
              <w:commentReference w:id="9"/>
            </w:r>
          </w:p>
          <w:p w:rsidR="00ED4A1A" w:rsidRDefault="00ED4A1A" w:rsidP="002A2597">
            <w:pPr>
              <w:ind w:left="360"/>
            </w:pPr>
            <w:r>
              <w:t xml:space="preserve">Will ruin business; </w:t>
            </w:r>
            <w:commentRangeStart w:id="10"/>
            <w:r>
              <w:t>will have no effect</w:t>
            </w:r>
            <w:commentRangeEnd w:id="10"/>
            <w:r w:rsidR="00B00BF6">
              <w:rPr>
                <w:rStyle w:val="CommentReference"/>
              </w:rPr>
              <w:commentReference w:id="10"/>
            </w:r>
          </w:p>
          <w:p w:rsidR="00B00BF6" w:rsidRDefault="00B00BF6" w:rsidP="002A2597">
            <w:pPr>
              <w:ind w:left="360"/>
            </w:pPr>
          </w:p>
          <w:p w:rsidR="00ED4A1A" w:rsidRDefault="00ED4A1A" w:rsidP="002A2597">
            <w:pPr>
              <w:ind w:left="360"/>
            </w:pPr>
          </w:p>
          <w:p w:rsidR="00ED4A1A" w:rsidRDefault="00ED4A1A" w:rsidP="00ED4A1A">
            <w:pPr>
              <w:numPr>
                <w:ilvl w:val="0"/>
                <w:numId w:val="5"/>
              </w:numPr>
              <w:rPr>
                <w:b/>
              </w:rPr>
            </w:pPr>
            <w:r>
              <w:rPr>
                <w:b/>
              </w:rPr>
              <w:t>Environmental effect of the proposed rules</w:t>
            </w:r>
          </w:p>
          <w:p w:rsidR="00427663" w:rsidRDefault="00B05CB6" w:rsidP="00427663">
            <w:pPr>
              <w:ind w:left="360"/>
            </w:pPr>
            <w:r>
              <w:t xml:space="preserve">DEQ initiated the process in 2005 to relook at water quality standards rules based upon concerns raised by EPA and Oregon tribes that the water quality standards adopted in 2004 would not be adequate to protect people from exposure to pollutants associated with the consumption of fish. </w:t>
            </w:r>
            <w:proofErr w:type="spellStart"/>
            <w:r>
              <w:t>Commenters</w:t>
            </w:r>
            <w:proofErr w:type="spellEnd"/>
            <w:r>
              <w:t xml:space="preserve"> have further questioned whether the proposed rules will result in a measurable or </w:t>
            </w:r>
            <w:r w:rsidR="00ED4A1A">
              <w:t>demonstrated environmental effect.</w:t>
            </w:r>
            <w:r w:rsidR="00427663">
              <w:t xml:space="preserve"> Stakeholder and </w:t>
            </w:r>
            <w:proofErr w:type="spellStart"/>
            <w:r w:rsidR="00427663">
              <w:t>commenters</w:t>
            </w:r>
            <w:proofErr w:type="spellEnd"/>
            <w:r w:rsidR="00427663">
              <w:t xml:space="preserve"> expressed these concerns in a couple of different ways. Some </w:t>
            </w:r>
            <w:proofErr w:type="spellStart"/>
            <w:r w:rsidR="00427663">
              <w:t>commenters</w:t>
            </w:r>
            <w:proofErr w:type="spellEnd"/>
            <w:r w:rsidR="00427663">
              <w:t xml:space="preserve"> asserted that DEQ did not adequate</w:t>
            </w:r>
            <w:r w:rsidR="006516DB">
              <w:t>ly</w:t>
            </w:r>
            <w:r w:rsidR="00427663">
              <w:t xml:space="preserve"> describe the environmental issue the rule is intended to address; others asserted that DEQ’s proposed rules were insufficient to address the broad ranges of sources of toxic pollutants. Some </w:t>
            </w:r>
            <w:proofErr w:type="spellStart"/>
            <w:r w:rsidR="00427663">
              <w:t>commenters</w:t>
            </w:r>
            <w:proofErr w:type="spellEnd"/>
            <w:r w:rsidR="00427663">
              <w:t xml:space="preserve"> requested that DEQ develop pollutant specific watershed-based strategies to accomplish this latter objective.</w:t>
            </w:r>
          </w:p>
          <w:p w:rsidR="006516DB" w:rsidRDefault="006516DB" w:rsidP="00427663">
            <w:pPr>
              <w:ind w:left="360"/>
            </w:pPr>
          </w:p>
          <w:p w:rsidR="006516DB" w:rsidRPr="006516DB" w:rsidRDefault="006516DB" w:rsidP="00427663">
            <w:pPr>
              <w:ind w:left="360"/>
              <w:rPr>
                <w:b/>
                <w:i/>
              </w:rPr>
            </w:pPr>
            <w:r>
              <w:rPr>
                <w:b/>
                <w:i/>
              </w:rPr>
              <w:t>Environmental objective achieved by proposed rules</w:t>
            </w:r>
          </w:p>
          <w:p w:rsidR="00427663" w:rsidRPr="00C138EC" w:rsidRDefault="00B05CB6" w:rsidP="00ED4A1A">
            <w:pPr>
              <w:ind w:left="360"/>
            </w:pPr>
            <w:r w:rsidRPr="00C138EC">
              <w:t xml:space="preserve">Some </w:t>
            </w:r>
            <w:proofErr w:type="spellStart"/>
            <w:r w:rsidRPr="00C138EC">
              <w:t>commenters</w:t>
            </w:r>
            <w:proofErr w:type="spellEnd"/>
            <w:r w:rsidRPr="00C138EC">
              <w:t xml:space="preserve"> suggested that DEQ failed to identify the environmental problem these proposed standards will address.  DEQ explained in the materials accompanying the proposed rules that water quality standards</w:t>
            </w:r>
            <w:r w:rsidR="000E4120" w:rsidRPr="00C138EC">
              <w:t xml:space="preserve"> serve multiple purposes, including </w:t>
            </w:r>
            <w:r w:rsidRPr="00C138EC">
              <w:t>ser</w:t>
            </w:r>
            <w:r w:rsidR="000E4120" w:rsidRPr="00C138EC">
              <w:t>ving as</w:t>
            </w:r>
            <w:r w:rsidRPr="00C138EC">
              <w:t xml:space="preserve"> the baseline for implementing Clean Water Act programs </w:t>
            </w:r>
            <w:r w:rsidR="000E4120" w:rsidRPr="00C138EC">
              <w:t>that serve to prevent</w:t>
            </w:r>
            <w:r w:rsidRPr="00C138EC">
              <w:t xml:space="preserve"> pollution from occurring at undesirable levels. </w:t>
            </w:r>
            <w:r w:rsidR="000E4120" w:rsidRPr="00C138EC">
              <w:t>They also serve as benchmarks for implementing restorative actions, including the development and implementation of Total Maximum Daily Loads w</w:t>
            </w:r>
            <w:r w:rsidRPr="00C138EC">
              <w:t xml:space="preserve">hen these levels are found to be exceeded. DEQ </w:t>
            </w:r>
            <w:r w:rsidR="000E4120" w:rsidRPr="00C138EC">
              <w:t xml:space="preserve">explained in response to these comments that it </w:t>
            </w:r>
            <w:r w:rsidRPr="00C138EC">
              <w:t xml:space="preserve">does not believe that standards should only be established in reaction to excessive pollutant levels, and that establishing appropriate standards serve an important function in preventing </w:t>
            </w:r>
            <w:r w:rsidRPr="00C138EC">
              <w:lastRenderedPageBreak/>
              <w:t>pollution as well. Preventing pollution from occurring is ultimately more cost-effective than attempting to clean up pollution from Oregon’s water bodies.</w:t>
            </w:r>
          </w:p>
          <w:p w:rsidR="000E4120" w:rsidRPr="00C138EC" w:rsidRDefault="000E4120" w:rsidP="00ED4A1A">
            <w:pPr>
              <w:ind w:left="360"/>
            </w:pPr>
          </w:p>
          <w:p w:rsidR="000E4120" w:rsidRPr="00C138EC" w:rsidRDefault="000E4120" w:rsidP="00ED4A1A">
            <w:pPr>
              <w:ind w:left="360"/>
            </w:pPr>
            <w:r w:rsidRPr="00C138EC">
              <w:t xml:space="preserve">Other </w:t>
            </w:r>
            <w:proofErr w:type="spellStart"/>
            <w:r w:rsidRPr="00C138EC">
              <w:t>commenters</w:t>
            </w:r>
            <w:proofErr w:type="spellEnd"/>
            <w:r w:rsidRPr="00C138EC">
              <w:t xml:space="preserve"> expressed concern with the extent to which the proposed rules would be sufficient to address known environmental issues and asserted that the proposed rules do not reach broadly enough to reduce levels of pollution. Throughout the development of the proposed rules, DEQ discussed with members of the stakeholder advisory group many different regulatory and non-regulatory options. DEQ proposed revised criteria and implementation approaches that it concluded would address the known environmental issues, would build upon existing regulatory and non-regulatory programs, and that would be found to be legal by EPA under the Clean Water Act. DEQ further evaluated comments received on this point, but did conclude that additional regulatory provision would be appropriate to include at this time. As described in the [</w:t>
            </w:r>
            <w:r w:rsidRPr="00C138EC">
              <w:rPr>
                <w:highlight w:val="yellow"/>
              </w:rPr>
              <w:t>Next step/Timeline</w:t>
            </w:r>
            <w:r w:rsidRPr="00C138EC">
              <w:t>], DEQ has a number of actions and activities underway that will continue its efforts to further prevent and reduce toxic pollutants’ release into Oregon’s waters.</w:t>
            </w:r>
          </w:p>
          <w:p w:rsidR="006516DB" w:rsidRDefault="006516DB" w:rsidP="00ED4A1A">
            <w:pPr>
              <w:ind w:left="360"/>
            </w:pPr>
          </w:p>
          <w:p w:rsidR="006516DB" w:rsidRPr="006516DB" w:rsidRDefault="006516DB" w:rsidP="00ED4A1A">
            <w:pPr>
              <w:ind w:left="360"/>
              <w:rPr>
                <w:b/>
                <w:i/>
              </w:rPr>
            </w:pPr>
            <w:r w:rsidRPr="006516DB">
              <w:rPr>
                <w:b/>
                <w:i/>
              </w:rPr>
              <w:t>Implementation strategy for pollutant categories</w:t>
            </w:r>
          </w:p>
          <w:p w:rsidR="00ED4A1A" w:rsidRDefault="006516DB" w:rsidP="002A2597">
            <w:pPr>
              <w:ind w:left="360"/>
            </w:pPr>
            <w:r w:rsidRPr="00A07D5B">
              <w:rPr>
                <w:highlight w:val="yellow"/>
              </w:rPr>
              <w:t xml:space="preserve">Some </w:t>
            </w:r>
            <w:proofErr w:type="spellStart"/>
            <w:r w:rsidRPr="00A07D5B">
              <w:rPr>
                <w:highlight w:val="yellow"/>
              </w:rPr>
              <w:t>commenters</w:t>
            </w:r>
            <w:proofErr w:type="spellEnd"/>
            <w:r w:rsidRPr="00A07D5B">
              <w:rPr>
                <w:highlight w:val="yellow"/>
              </w:rPr>
              <w:t xml:space="preserve"> requested DEQ</w:t>
            </w:r>
            <w:r w:rsidR="00C94632" w:rsidRPr="00A07D5B">
              <w:rPr>
                <w:highlight w:val="yellow"/>
              </w:rPr>
              <w:t xml:space="preserve"> develop an implementation strategy addressing</w:t>
            </w:r>
            <w:r w:rsidRPr="00A07D5B">
              <w:rPr>
                <w:highlight w:val="yellow"/>
              </w:rPr>
              <w:t xml:space="preserve"> categor</w:t>
            </w:r>
            <w:r w:rsidR="00C94632" w:rsidRPr="00A07D5B">
              <w:rPr>
                <w:highlight w:val="yellow"/>
              </w:rPr>
              <w:t>ies of toxic pollutants based o</w:t>
            </w:r>
            <w:r w:rsidRPr="00A07D5B">
              <w:rPr>
                <w:highlight w:val="yellow"/>
              </w:rPr>
              <w:t>n a watershed approach</w:t>
            </w:r>
            <w:r w:rsidR="00C94632" w:rsidRPr="00A07D5B">
              <w:rPr>
                <w:highlight w:val="yellow"/>
              </w:rPr>
              <w:t xml:space="preserve"> that </w:t>
            </w:r>
            <w:r w:rsidRPr="00A07D5B">
              <w:rPr>
                <w:highlight w:val="yellow"/>
              </w:rPr>
              <w:t xml:space="preserve">involve all pollutant </w:t>
            </w:r>
            <w:commentRangeStart w:id="11"/>
            <w:r w:rsidRPr="00A07D5B">
              <w:rPr>
                <w:highlight w:val="yellow"/>
              </w:rPr>
              <w:t>sources</w:t>
            </w:r>
            <w:commentRangeEnd w:id="11"/>
            <w:r w:rsidR="00A07D5B">
              <w:rPr>
                <w:rStyle w:val="CommentReference"/>
              </w:rPr>
              <w:commentReference w:id="11"/>
            </w:r>
            <w:r w:rsidR="00C94632" w:rsidRPr="00A07D5B">
              <w:rPr>
                <w:highlight w:val="yellow"/>
              </w:rPr>
              <w:t>.</w:t>
            </w:r>
          </w:p>
          <w:p w:rsidR="002A2597" w:rsidRDefault="002A2597" w:rsidP="002A2597">
            <w:pPr>
              <w:tabs>
                <w:tab w:val="left" w:pos="-1440"/>
                <w:tab w:val="left" w:pos="-720"/>
                <w:tab w:val="left" w:pos="4050"/>
              </w:tabs>
              <w:suppressAutoHyphens/>
            </w:pPr>
          </w:p>
          <w:p w:rsidR="006A0BAE" w:rsidRPr="00010164" w:rsidRDefault="006A0BAE" w:rsidP="009E3AD9">
            <w:pPr>
              <w:tabs>
                <w:tab w:val="left" w:pos="-1440"/>
                <w:tab w:val="left" w:pos="-720"/>
                <w:tab w:val="left" w:pos="4050"/>
              </w:tabs>
              <w:suppressAutoHyphens/>
            </w:pPr>
          </w:p>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lastRenderedPageBreak/>
              <w:t>Next Steps</w:t>
            </w:r>
          </w:p>
        </w:tc>
        <w:tc>
          <w:tcPr>
            <w:tcW w:w="8376" w:type="dxa"/>
          </w:tcPr>
          <w:p w:rsidR="00353914" w:rsidRDefault="00353914" w:rsidP="00353914">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If adopted by the commission, the rule amendments will be filed with the Secretary of State and submitted to EPA for approval. </w:t>
            </w:r>
          </w:p>
          <w:p w:rsidR="00353914" w:rsidRDefault="00353914" w:rsidP="00353914">
            <w:pPr>
              <w:tabs>
                <w:tab w:val="left" w:pos="-1440"/>
                <w:tab w:val="left" w:pos="-720"/>
                <w:tab w:val="left" w:pos="4050"/>
              </w:tabs>
              <w:suppressAutoHyphens/>
              <w:rPr>
                <w:rFonts w:ascii="Times New Roman" w:hAnsi="Times New Roman"/>
                <w:szCs w:val="24"/>
              </w:rPr>
            </w:pPr>
          </w:p>
          <w:p w:rsidR="00353914" w:rsidRDefault="00353914" w:rsidP="00353914">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proposes that the revisions to the human health criteria and the implementing provisions contained in OAR 340-041, OAR 340-042, and OAR 340-045 become applicable under state law only after the revisions considered to be water quality standards are approved by EPA and become effective under the federal Clean Water Act. DEQ has included language in OAR 340-041 and Table 40 to this effect. Once EPA approves the water quality standards, DEQ will post updated Tables 20, 33A, 33B and Table 40 on DEQ’s website where they will be available to the public and affected </w:t>
            </w:r>
            <w:proofErr w:type="spellStart"/>
            <w:r>
              <w:rPr>
                <w:rFonts w:ascii="Times New Roman" w:hAnsi="Times New Roman"/>
                <w:szCs w:val="24"/>
              </w:rPr>
              <w:t>permittees</w:t>
            </w:r>
            <w:proofErr w:type="spellEnd"/>
            <w:r>
              <w:rPr>
                <w:rFonts w:ascii="Times New Roman" w:hAnsi="Times New Roman"/>
                <w:szCs w:val="24"/>
              </w:rPr>
              <w:t>. Any needed changes to effluent limits in NPDES permits, Oregon’s list of impaired waters, and any other Clean Water Act implementation of the revised rules will be evaluated on their current schedules (e</w:t>
            </w:r>
            <w:r w:rsidR="00666378">
              <w:rPr>
                <w:rFonts w:ascii="Times New Roman" w:hAnsi="Times New Roman"/>
                <w:szCs w:val="24"/>
              </w:rPr>
              <w:t>.g., as permits are renewed</w:t>
            </w:r>
            <w:r w:rsidR="008A752E">
              <w:rPr>
                <w:rFonts w:ascii="Times New Roman" w:hAnsi="Times New Roman"/>
                <w:szCs w:val="24"/>
              </w:rPr>
              <w:t>).</w:t>
            </w:r>
            <w:r>
              <w:rPr>
                <w:rFonts w:ascii="Times New Roman" w:hAnsi="Times New Roman"/>
                <w:szCs w:val="24"/>
              </w:rPr>
              <w:t xml:space="preserve"> In addition, water quality program staff will notify all DEQ staff and managers that implement water quality standards of the rule changes. </w:t>
            </w:r>
          </w:p>
          <w:p w:rsidR="00353914" w:rsidRDefault="00353914" w:rsidP="00353914">
            <w:pPr>
              <w:tabs>
                <w:tab w:val="left" w:pos="-1440"/>
                <w:tab w:val="left" w:pos="-720"/>
                <w:tab w:val="left" w:pos="4050"/>
              </w:tabs>
              <w:suppressAutoHyphens/>
              <w:rPr>
                <w:rFonts w:ascii="Times New Roman" w:hAnsi="Times New Roman"/>
                <w:szCs w:val="24"/>
              </w:rPr>
            </w:pPr>
          </w:p>
          <w:p w:rsidR="008A752E" w:rsidRDefault="008A752E" w:rsidP="00353914">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DEQ will also notify </w:t>
            </w:r>
            <w:r w:rsidR="001F4973">
              <w:rPr>
                <w:rFonts w:ascii="Times New Roman" w:hAnsi="Times New Roman"/>
                <w:szCs w:val="24"/>
                <w:highlight w:val="yellow"/>
              </w:rPr>
              <w:t>the members of DEQ’s stakeholder advisory committees, points of contact from the Departments of Agriculture and Forestry, individuals who commented on the rulemaking, points of contact at EPA Region 10, [</w:t>
            </w:r>
            <w:commentRangeStart w:id="12"/>
            <w:r w:rsidR="001F4973" w:rsidRPr="001F4973">
              <w:rPr>
                <w:rFonts w:ascii="Times New Roman" w:hAnsi="Times New Roman"/>
                <w:szCs w:val="24"/>
                <w:highlight w:val="yellow"/>
              </w:rPr>
              <w:t>who</w:t>
            </w:r>
            <w:commentRangeEnd w:id="12"/>
            <w:r w:rsidR="001F4973">
              <w:rPr>
                <w:rFonts w:ascii="Times New Roman" w:hAnsi="Times New Roman"/>
                <w:szCs w:val="24"/>
              </w:rPr>
              <w:t xml:space="preserve"> else</w:t>
            </w:r>
            <w:r w:rsidR="001F4973">
              <w:rPr>
                <w:rStyle w:val="CommentReference"/>
              </w:rPr>
              <w:commentReference w:id="12"/>
            </w:r>
            <w:r w:rsidR="001F4973">
              <w:rPr>
                <w:rFonts w:ascii="Times New Roman" w:hAnsi="Times New Roman"/>
                <w:szCs w:val="24"/>
              </w:rPr>
              <w:t>?]</w:t>
            </w:r>
            <w:r>
              <w:rPr>
                <w:rFonts w:ascii="Times New Roman" w:hAnsi="Times New Roman"/>
                <w:szCs w:val="24"/>
              </w:rPr>
              <w:t xml:space="preserve"> </w:t>
            </w:r>
            <w:r w:rsidR="001F4973">
              <w:rPr>
                <w:rFonts w:ascii="Times New Roman" w:hAnsi="Times New Roman"/>
                <w:szCs w:val="24"/>
              </w:rPr>
              <w:t>of the adoption of the rule, DEQ’s planned implementation of the rule, and next steps as described below.</w:t>
            </w:r>
          </w:p>
          <w:p w:rsidR="008A752E" w:rsidRDefault="008A752E" w:rsidP="00353914">
            <w:pPr>
              <w:tabs>
                <w:tab w:val="left" w:pos="-1440"/>
                <w:tab w:val="left" w:pos="-720"/>
                <w:tab w:val="left" w:pos="4050"/>
              </w:tabs>
              <w:suppressAutoHyphens/>
              <w:rPr>
                <w:rFonts w:ascii="Times New Roman" w:hAnsi="Times New Roman"/>
                <w:szCs w:val="24"/>
              </w:rPr>
            </w:pPr>
          </w:p>
          <w:p w:rsidR="008A752E" w:rsidRDefault="008A752E" w:rsidP="00353914">
            <w:pPr>
              <w:tabs>
                <w:tab w:val="left" w:pos="-1440"/>
                <w:tab w:val="left" w:pos="-720"/>
                <w:tab w:val="left" w:pos="4050"/>
              </w:tabs>
              <w:suppressAutoHyphens/>
              <w:rPr>
                <w:rFonts w:ascii="Times New Roman" w:hAnsi="Times New Roman"/>
                <w:szCs w:val="24"/>
              </w:rPr>
            </w:pPr>
            <w:r>
              <w:rPr>
                <w:rFonts w:ascii="Times New Roman" w:hAnsi="Times New Roman"/>
                <w:szCs w:val="24"/>
              </w:rPr>
              <w:t>A draft Internal Management Directive for variances based upon the proposed rule and a draft Internal Management Directive for total maximum daily loads have been made available in conjunction with this staff report. Upon the co</w:t>
            </w:r>
            <w:r w:rsidR="00BD4E44">
              <w:rPr>
                <w:rFonts w:ascii="Times New Roman" w:hAnsi="Times New Roman"/>
                <w:szCs w:val="24"/>
              </w:rPr>
              <w:t>m</w:t>
            </w:r>
            <w:r>
              <w:rPr>
                <w:rFonts w:ascii="Times New Roman" w:hAnsi="Times New Roman"/>
                <w:szCs w:val="24"/>
              </w:rPr>
              <w:t xml:space="preserve">mission’s adoption of these rules, </w:t>
            </w:r>
            <w:r w:rsidR="00353914">
              <w:rPr>
                <w:rFonts w:ascii="Times New Roman" w:hAnsi="Times New Roman"/>
                <w:szCs w:val="24"/>
              </w:rPr>
              <w:t>DEQ will develop final Internal Management Directives</w:t>
            </w:r>
            <w:r>
              <w:rPr>
                <w:rFonts w:ascii="Times New Roman" w:hAnsi="Times New Roman"/>
                <w:szCs w:val="24"/>
              </w:rPr>
              <w:t xml:space="preserve"> addressing (1) variances; (2) intake credits; (3) background pollutant allowances; and (4) total m</w:t>
            </w:r>
            <w:r w:rsidR="00353914">
              <w:rPr>
                <w:rFonts w:ascii="Times New Roman" w:hAnsi="Times New Roman"/>
                <w:szCs w:val="24"/>
              </w:rPr>
              <w:t xml:space="preserve">aximum </w:t>
            </w:r>
            <w:r>
              <w:rPr>
                <w:rFonts w:ascii="Times New Roman" w:hAnsi="Times New Roman"/>
                <w:szCs w:val="24"/>
              </w:rPr>
              <w:t>daily l</w:t>
            </w:r>
            <w:r w:rsidR="00353914">
              <w:rPr>
                <w:rFonts w:ascii="Times New Roman" w:hAnsi="Times New Roman"/>
                <w:szCs w:val="24"/>
              </w:rPr>
              <w:t>oad development</w:t>
            </w:r>
            <w:r>
              <w:rPr>
                <w:rFonts w:ascii="Times New Roman" w:hAnsi="Times New Roman"/>
                <w:szCs w:val="24"/>
              </w:rPr>
              <w:t xml:space="preserve"> based on the final adopted rules</w:t>
            </w:r>
            <w:r w:rsidR="00353914">
              <w:rPr>
                <w:rFonts w:ascii="Times New Roman" w:hAnsi="Times New Roman"/>
                <w:szCs w:val="24"/>
              </w:rPr>
              <w:t>. DEQ water quality staff will conduct internal training for program staff responsible for implementing the various rules.</w:t>
            </w:r>
          </w:p>
          <w:p w:rsidR="008A752E" w:rsidRDefault="008A752E" w:rsidP="00353914">
            <w:pPr>
              <w:tabs>
                <w:tab w:val="left" w:pos="-1440"/>
                <w:tab w:val="left" w:pos="-720"/>
                <w:tab w:val="left" w:pos="4050"/>
              </w:tabs>
              <w:suppressAutoHyphens/>
              <w:rPr>
                <w:rFonts w:ascii="Times New Roman" w:hAnsi="Times New Roman"/>
                <w:szCs w:val="24"/>
              </w:rPr>
            </w:pPr>
          </w:p>
          <w:p w:rsidR="008A752E" w:rsidRDefault="008A752E" w:rsidP="00353914">
            <w:pPr>
              <w:tabs>
                <w:tab w:val="left" w:pos="-1440"/>
                <w:tab w:val="left" w:pos="-720"/>
                <w:tab w:val="left" w:pos="4050"/>
              </w:tabs>
              <w:suppressAutoHyphens/>
              <w:rPr>
                <w:rFonts w:ascii="Times New Roman" w:hAnsi="Times New Roman"/>
                <w:szCs w:val="24"/>
              </w:rPr>
            </w:pPr>
            <w:commentRangeStart w:id="13"/>
            <w:r>
              <w:rPr>
                <w:rFonts w:ascii="Times New Roman" w:hAnsi="Times New Roman"/>
                <w:szCs w:val="24"/>
              </w:rPr>
              <w:t>In addition, DEQ will develop templates for variances to be used for municipal and industrial</w:t>
            </w:r>
            <w:r w:rsidR="00353914">
              <w:rPr>
                <w:rFonts w:ascii="Times New Roman" w:hAnsi="Times New Roman"/>
                <w:szCs w:val="24"/>
              </w:rPr>
              <w:t xml:space="preserve"> </w:t>
            </w:r>
            <w:r>
              <w:rPr>
                <w:rFonts w:ascii="Times New Roman" w:hAnsi="Times New Roman"/>
                <w:szCs w:val="24"/>
              </w:rPr>
              <w:t>sources. DEQ expects to develop these templates within 18 months following the commission’s adoption of final rules. In addition, following that effort, DEQ will determine whether a multiple discharger variance is needed for a pollutant a particular sector or sectors. If DEQ determines that there is such a need, rulemaking to adopt a multiple discharger variance would begin. DEQ expects that such an effort would take approximately two years.</w:t>
            </w:r>
            <w:commentRangeEnd w:id="13"/>
            <w:r w:rsidR="003871DE">
              <w:rPr>
                <w:rStyle w:val="CommentReference"/>
              </w:rPr>
              <w:commentReference w:id="13"/>
            </w:r>
          </w:p>
          <w:p w:rsidR="008A752E" w:rsidRDefault="008A752E" w:rsidP="00353914">
            <w:pPr>
              <w:tabs>
                <w:tab w:val="left" w:pos="-1440"/>
                <w:tab w:val="left" w:pos="-720"/>
                <w:tab w:val="left" w:pos="4050"/>
              </w:tabs>
              <w:suppressAutoHyphens/>
              <w:rPr>
                <w:rFonts w:ascii="Times New Roman" w:hAnsi="Times New Roman"/>
                <w:szCs w:val="24"/>
              </w:rPr>
            </w:pPr>
          </w:p>
          <w:p w:rsidR="00353914" w:rsidRPr="009E3AD9" w:rsidRDefault="00353914" w:rsidP="00353914">
            <w:pPr>
              <w:tabs>
                <w:tab w:val="left" w:pos="-1440"/>
                <w:tab w:val="left" w:pos="-720"/>
                <w:tab w:val="left" w:pos="4050"/>
              </w:tabs>
              <w:suppressAutoHyphens/>
              <w:rPr>
                <w:rFonts w:ascii="Times New Roman" w:hAnsi="Times New Roman"/>
                <w:szCs w:val="24"/>
              </w:rPr>
            </w:pPr>
            <w:commentRangeStart w:id="14"/>
            <w:r>
              <w:rPr>
                <w:rFonts w:ascii="Times New Roman" w:hAnsi="Times New Roman"/>
                <w:szCs w:val="24"/>
              </w:rPr>
              <w:t>[</w:t>
            </w:r>
            <w:r w:rsidR="0058119C">
              <w:rPr>
                <w:rFonts w:ascii="Times New Roman" w:hAnsi="Times New Roman"/>
                <w:szCs w:val="24"/>
              </w:rPr>
              <w:t>Other items to include</w:t>
            </w:r>
            <w:r>
              <w:rPr>
                <w:rFonts w:ascii="Times New Roman" w:hAnsi="Times New Roman"/>
                <w:szCs w:val="24"/>
              </w:rPr>
              <w:t xml:space="preserve"> </w:t>
            </w:r>
            <w:commentRangeEnd w:id="14"/>
            <w:r>
              <w:rPr>
                <w:rStyle w:val="CommentReference"/>
              </w:rPr>
              <w:commentReference w:id="14"/>
            </w:r>
          </w:p>
          <w:p w:rsidR="00010164" w:rsidRPr="009E3AD9" w:rsidRDefault="00010164" w:rsidP="00353914">
            <w:pPr>
              <w:tabs>
                <w:tab w:val="left" w:pos="-1440"/>
                <w:tab w:val="left" w:pos="-720"/>
                <w:tab w:val="left" w:pos="4050"/>
              </w:tabs>
              <w:suppressAutoHyphens/>
              <w:rPr>
                <w:rFonts w:ascii="Times New Roman" w:hAnsi="Times New Roman"/>
                <w:szCs w:val="24"/>
              </w:rPr>
            </w:pPr>
          </w:p>
          <w:p w:rsidR="00010164" w:rsidRPr="009E3AD9" w:rsidRDefault="00010164" w:rsidP="009E3AD9">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lastRenderedPageBreak/>
              <w:t>Attachments</w:t>
            </w:r>
          </w:p>
        </w:tc>
        <w:tc>
          <w:tcPr>
            <w:tcW w:w="8376" w:type="dxa"/>
          </w:tcPr>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p>
          <w:p w:rsidR="00010164" w:rsidRPr="009E3AD9" w:rsidRDefault="00010164" w:rsidP="009E3AD9">
            <w:pPr>
              <w:keepNext/>
              <w:keepLines/>
              <w:numPr>
                <w:ilvl w:val="0"/>
                <w:numId w:val="4"/>
              </w:numPr>
              <w:tabs>
                <w:tab w:val="left" w:pos="-1440"/>
                <w:tab w:val="left" w:pos="-720"/>
                <w:tab w:val="left" w:pos="0"/>
              </w:tabs>
              <w:suppressAutoHyphens/>
              <w:ind w:left="1350" w:hanging="630"/>
              <w:rPr>
                <w:rFonts w:ascii="Times New Roman" w:hAnsi="Times New Roman"/>
                <w:szCs w:val="24"/>
              </w:rPr>
            </w:pPr>
            <w:r w:rsidRPr="009E3AD9">
              <w:rPr>
                <w:rFonts w:ascii="Times New Roman" w:hAnsi="Times New Roman"/>
                <w:szCs w:val="24"/>
              </w:rPr>
              <w:t xml:space="preserve">Summary of Rule Revisions </w:t>
            </w:r>
          </w:p>
          <w:p w:rsidR="00010164" w:rsidRDefault="00010164" w:rsidP="009E3AD9">
            <w:pPr>
              <w:keepNext/>
              <w:keepLines/>
              <w:numPr>
                <w:ilvl w:val="0"/>
                <w:numId w:val="4"/>
              </w:numPr>
              <w:tabs>
                <w:tab w:val="left" w:pos="-1440"/>
                <w:tab w:val="left" w:pos="-720"/>
                <w:tab w:val="left" w:pos="0"/>
              </w:tabs>
              <w:suppressAutoHyphens/>
              <w:ind w:left="1350" w:hanging="630"/>
              <w:rPr>
                <w:rFonts w:ascii="Times New Roman" w:hAnsi="Times New Roman"/>
                <w:szCs w:val="24"/>
              </w:rPr>
            </w:pPr>
            <w:r w:rsidRPr="009E3AD9">
              <w:rPr>
                <w:rFonts w:ascii="Times New Roman" w:hAnsi="Times New Roman"/>
                <w:szCs w:val="24"/>
              </w:rPr>
              <w:t>Proposed Rule Revisions {redlined version}</w:t>
            </w:r>
          </w:p>
          <w:p w:rsidR="00B0236D" w:rsidRPr="009E3AD9" w:rsidRDefault="00B0236D" w:rsidP="009E3AD9">
            <w:pPr>
              <w:keepNext/>
              <w:keepLines/>
              <w:numPr>
                <w:ilvl w:val="0"/>
                <w:numId w:val="4"/>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Proposed Revisions to Tables 20, 33A, 33B, and new Table 40</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BB7C10"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Advisory Committee Membership</w:t>
            </w:r>
            <w:r w:rsidR="00BB7C10">
              <w:rPr>
                <w:rFonts w:ascii="Times New Roman" w:hAnsi="Times New Roman"/>
                <w:szCs w:val="24"/>
              </w:rPr>
              <w:t>s</w:t>
            </w:r>
          </w:p>
          <w:p w:rsidR="00BB7C10" w:rsidRDefault="00BB7C10" w:rsidP="00BB7C10">
            <w:pPr>
              <w:keepNext/>
              <w:keepLines/>
              <w:numPr>
                <w:ilvl w:val="0"/>
                <w:numId w:val="6"/>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Rulemaking Workgroup</w:t>
            </w:r>
          </w:p>
          <w:p w:rsidR="00BB7C10" w:rsidRDefault="00BB7C10" w:rsidP="00BB7C10">
            <w:pPr>
              <w:keepNext/>
              <w:keepLines/>
              <w:numPr>
                <w:ilvl w:val="0"/>
                <w:numId w:val="6"/>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Non-NPDES Workgroup</w:t>
            </w:r>
          </w:p>
          <w:p w:rsidR="00BB7C10" w:rsidRDefault="00BB7C10" w:rsidP="00BB7C10">
            <w:pPr>
              <w:keepNext/>
              <w:keepLines/>
              <w:numPr>
                <w:ilvl w:val="0"/>
                <w:numId w:val="6"/>
              </w:numPr>
              <w:tabs>
                <w:tab w:val="left" w:pos="-1440"/>
                <w:tab w:val="left" w:pos="-720"/>
                <w:tab w:val="left" w:pos="0"/>
              </w:tabs>
              <w:suppressAutoHyphens/>
              <w:ind w:left="1350" w:hanging="630"/>
              <w:rPr>
                <w:rFonts w:ascii="Times New Roman" w:hAnsi="Times New Roman"/>
                <w:szCs w:val="24"/>
              </w:rPr>
            </w:pPr>
            <w:commentRangeStart w:id="15"/>
            <w:r>
              <w:rPr>
                <w:rFonts w:ascii="Times New Roman" w:hAnsi="Times New Roman"/>
                <w:szCs w:val="24"/>
              </w:rPr>
              <w:t>Fiscal Impact and Implementation Advisory Workgroup</w:t>
            </w:r>
            <w:commentRangeEnd w:id="15"/>
            <w:r>
              <w:rPr>
                <w:rStyle w:val="CommentReference"/>
              </w:rPr>
              <w:commentReference w:id="15"/>
            </w:r>
          </w:p>
          <w:p w:rsidR="00BB7C10" w:rsidRPr="009E3AD9" w:rsidRDefault="00BB7C10" w:rsidP="00BB7C10">
            <w:pPr>
              <w:keepNext/>
              <w:keepLines/>
              <w:numPr>
                <w:ilvl w:val="0"/>
                <w:numId w:val="6"/>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Human Health Focus Group</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Officer’s Report</w:t>
            </w:r>
            <w:r w:rsidR="00B0236D">
              <w:rPr>
                <w:rFonts w:ascii="Times New Roman" w:hAnsi="Times New Roman"/>
                <w:szCs w:val="24"/>
              </w:rPr>
              <w:t>s</w:t>
            </w:r>
            <w:r w:rsidRPr="009E3AD9">
              <w:rPr>
                <w:rFonts w:ascii="Times New Roman" w:hAnsi="Times New Roman"/>
                <w:szCs w:val="24"/>
              </w:rPr>
              <w:t xml:space="preserve"> on Public Hearings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Pr="009E3AD9" w:rsidRDefault="00010164" w:rsidP="00412D28">
            <w:pPr>
              <w:keepNext/>
              <w:keepLines/>
              <w:tabs>
                <w:tab w:val="left" w:pos="-1440"/>
                <w:tab w:val="left" w:pos="-720"/>
                <w:tab w:val="left" w:pos="0"/>
              </w:tabs>
              <w:suppressAutoHyphens/>
              <w:ind w:left="720"/>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010164" w:rsidRPr="009E3AD9" w:rsidRDefault="00010164" w:rsidP="009E3AD9">
            <w:p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{Note: Attachments A through G must be attached to staff report. Use your discretion to list and attach documents below only if needed to explain key issues </w:t>
            </w:r>
            <w:proofErr w:type="gramStart"/>
            <w:r w:rsidRPr="009E3AD9">
              <w:rPr>
                <w:rFonts w:ascii="Times New Roman" w:hAnsi="Times New Roman"/>
                <w:szCs w:val="24"/>
              </w:rPr>
              <w:t>raised</w:t>
            </w:r>
            <w:proofErr w:type="gramEnd"/>
            <w:r w:rsidRPr="009E3AD9">
              <w:rPr>
                <w:rFonts w:ascii="Times New Roman" w:hAnsi="Times New Roman"/>
                <w:szCs w:val="24"/>
              </w:rPr>
              <w:t xml:space="preserve"> in report.}</w:t>
            </w:r>
          </w:p>
          <w:p w:rsidR="00B0236D" w:rsidRDefault="00B0236D"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Issue Paper</w:t>
            </w:r>
            <w:r w:rsidR="00C138EC">
              <w:rPr>
                <w:rFonts w:ascii="Times New Roman" w:hAnsi="Times New Roman"/>
                <w:szCs w:val="24"/>
              </w:rPr>
              <w:t>: Human Health Toxics Criteria</w:t>
            </w:r>
          </w:p>
          <w:p w:rsidR="00C138EC" w:rsidRDefault="00C138EC"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Issue Paper: Implementing Water Quality Standards for Toxic Pollutants in NPDES Permits </w:t>
            </w:r>
          </w:p>
          <w:p w:rsidR="00C138EC" w:rsidRDefault="00C138EC"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Issue Paper: Revisions to the Water Quality Standards and TMDL Rules (Divisions 41 and 42)</w:t>
            </w:r>
          </w:p>
          <w:p w:rsidR="00412D28" w:rsidRDefault="00412D28"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Facilitator’s Report</w:t>
            </w:r>
          </w:p>
          <w:p w:rsidR="004358EC" w:rsidRPr="009E3AD9" w:rsidRDefault="004358EC" w:rsidP="004358EC">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9E3AD9">
              <w:rPr>
                <w:rFonts w:ascii="Times New Roman" w:hAnsi="Times New Roman"/>
                <w:szCs w:val="24"/>
              </w:rPr>
              <w:t xml:space="preserve">Written Comment Received </w:t>
            </w:r>
          </w:p>
          <w:p w:rsidR="00412D28" w:rsidRDefault="00412D28"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lastRenderedPageBreak/>
              <w:t xml:space="preserve">Draft Internal Management Directive: </w:t>
            </w:r>
            <w:r w:rsidR="00C138EC">
              <w:rPr>
                <w:rFonts w:ascii="Times New Roman" w:hAnsi="Times New Roman"/>
                <w:szCs w:val="24"/>
              </w:rPr>
              <w:t xml:space="preserve">Implementing Water Quality Standards Variances for NPDES </w:t>
            </w:r>
            <w:proofErr w:type="spellStart"/>
            <w:r w:rsidR="00C138EC">
              <w:rPr>
                <w:rFonts w:ascii="Times New Roman" w:hAnsi="Times New Roman"/>
                <w:szCs w:val="24"/>
              </w:rPr>
              <w:t>Permittees</w:t>
            </w:r>
            <w:proofErr w:type="spellEnd"/>
          </w:p>
          <w:p w:rsidR="00412D28" w:rsidRDefault="00412D28"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Draft Internal Management Directive: </w:t>
            </w:r>
            <w:commentRangeStart w:id="16"/>
            <w:r>
              <w:rPr>
                <w:rFonts w:ascii="Times New Roman" w:hAnsi="Times New Roman"/>
                <w:szCs w:val="24"/>
              </w:rPr>
              <w:t>Total Maximum Daily Loads</w:t>
            </w:r>
            <w:commentRangeEnd w:id="16"/>
            <w:r w:rsidR="00E57A6C">
              <w:rPr>
                <w:rStyle w:val="CommentReference"/>
              </w:rPr>
              <w:commentReference w:id="16"/>
            </w:r>
          </w:p>
          <w:p w:rsidR="00412D28" w:rsidRDefault="00412D28"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Memo regarding development of </w:t>
            </w:r>
            <w:r w:rsidR="004358EC">
              <w:rPr>
                <w:rFonts w:ascii="Times New Roman" w:hAnsi="Times New Roman"/>
                <w:szCs w:val="24"/>
              </w:rPr>
              <w:t>MOU between DEQ and the Department of Agriculture and MOA between DEQ and the Department of Forestry</w:t>
            </w:r>
          </w:p>
          <w:p w:rsidR="00010164" w:rsidRPr="009E3AD9" w:rsidRDefault="00010164"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commentRangeStart w:id="17"/>
            <w:r w:rsidRPr="009E3AD9">
              <w:rPr>
                <w:rFonts w:ascii="Times New Roman" w:hAnsi="Times New Roman"/>
                <w:szCs w:val="24"/>
              </w:rPr>
              <w:t>Rule Implementation Plan</w:t>
            </w:r>
            <w:commentRangeEnd w:id="17"/>
            <w:r w:rsidR="004358EC">
              <w:rPr>
                <w:rStyle w:val="CommentReference"/>
              </w:rPr>
              <w:commentReference w:id="17"/>
            </w:r>
          </w:p>
          <w:p w:rsidR="00010164" w:rsidRPr="009E3AD9" w:rsidRDefault="00C138EC" w:rsidP="00C138EC">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Timeline for Next Steps</w:t>
            </w: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8A752E"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t xml:space="preserve">Jennifer </w:t>
      </w:r>
      <w:proofErr w:type="spellStart"/>
      <w:r>
        <w:rPr>
          <w:rFonts w:ascii="Times New Roman" w:hAnsi="Times New Roman"/>
        </w:rPr>
        <w:t>Wigal</w:t>
      </w:r>
      <w:proofErr w:type="spellEnd"/>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8A752E"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503-229-5323</w:t>
      </w:r>
    </w:p>
    <w:sectPr w:rsidR="002953D9" w:rsidSect="003B08E7">
      <w:footerReference w:type="default" r:id="rId12"/>
      <w:headerReference w:type="first" r:id="rId13"/>
      <w:footerReference w:type="first" r:id="rId14"/>
      <w:endnotePr>
        <w:numFmt w:val="decimal"/>
      </w:endnotePr>
      <w:pgSz w:w="12240" w:h="15840" w:code="1"/>
      <w:pgMar w:top="1440" w:right="1440" w:bottom="1440" w:left="1440" w:header="1440" w:footer="720" w:gutter="0"/>
      <w:cols w:space="720"/>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oanie Stevens-Schwenger" w:date="2011-05-19T11:41:00Z" w:initials="JSS">
    <w:p w:rsidR="00615FBD" w:rsidRDefault="00615FBD">
      <w:pPr>
        <w:pStyle w:val="CommentText"/>
      </w:pPr>
      <w:r>
        <w:rPr>
          <w:rStyle w:val="CommentReference"/>
        </w:rPr>
        <w:annotationRef/>
      </w:r>
      <w:r>
        <w:t xml:space="preserve">General style picky things: except for EPA, EQC and DEQ, avoid acronyms, especially if you mention something only one time. Total daily maximum load is not capitalized, nor is commission. Andrea, this 1000000000 page project is an amazing feat! </w:t>
      </w:r>
    </w:p>
  </w:comment>
  <w:comment w:id="2" w:author="Jennifer Wigal" w:date="2011-04-13T11:46:00Z" w:initials="jw">
    <w:p w:rsidR="003450D0" w:rsidRDefault="003450D0">
      <w:pPr>
        <w:pStyle w:val="CommentText"/>
      </w:pPr>
      <w:r>
        <w:rPr>
          <w:rStyle w:val="CommentReference"/>
        </w:rPr>
        <w:annotationRef/>
      </w:r>
      <w:r>
        <w:t>Have Larry K check this statement.</w:t>
      </w:r>
    </w:p>
  </w:comment>
  <w:comment w:id="3" w:author="Jennifer Wigal" w:date="2011-04-13T11:46:00Z" w:initials="jw">
    <w:p w:rsidR="003450D0" w:rsidRDefault="003450D0">
      <w:pPr>
        <w:pStyle w:val="CommentText"/>
      </w:pPr>
      <w:r>
        <w:rPr>
          <w:rStyle w:val="CommentReference"/>
        </w:rPr>
        <w:annotationRef/>
      </w:r>
      <w:r>
        <w:t>Double-check</w:t>
      </w:r>
    </w:p>
  </w:comment>
  <w:comment w:id="4" w:author="Jennifer Wigal" w:date="2011-04-26T08:22:00Z" w:initials="jw">
    <w:p w:rsidR="003450D0" w:rsidRDefault="003450D0">
      <w:pPr>
        <w:pStyle w:val="CommentText"/>
      </w:pPr>
      <w:r>
        <w:rPr>
          <w:rStyle w:val="CommentReference"/>
        </w:rPr>
        <w:annotationRef/>
      </w:r>
      <w:r>
        <w:t>Any conclusions we’ll be able to highlight in advance?</w:t>
      </w:r>
    </w:p>
  </w:comment>
  <w:comment w:id="5" w:author="Jennifer Wigal" w:date="2011-04-26T08:14:00Z" w:initials="jw">
    <w:p w:rsidR="003450D0" w:rsidRDefault="003450D0">
      <w:pPr>
        <w:pStyle w:val="CommentText"/>
      </w:pPr>
      <w:r>
        <w:rPr>
          <w:rStyle w:val="CommentReference"/>
        </w:rPr>
        <w:annotationRef/>
      </w:r>
      <w:r>
        <w:t>Gene/Koto, what else would you want to include here to summarize our approach to meeting the EQC directive?</w:t>
      </w:r>
    </w:p>
  </w:comment>
  <w:comment w:id="6" w:author="Jennifer Wigal" w:date="2011-04-13T11:39:00Z" w:initials="jw">
    <w:p w:rsidR="003450D0" w:rsidRDefault="003450D0">
      <w:pPr>
        <w:pStyle w:val="CommentText"/>
      </w:pPr>
      <w:r>
        <w:rPr>
          <w:rStyle w:val="CommentReference"/>
        </w:rPr>
        <w:annotationRef/>
      </w:r>
      <w:r>
        <w:t>Gene—any other authorities need to cite for TMDL rule revisions?</w:t>
      </w:r>
    </w:p>
    <w:p w:rsidR="003450D0" w:rsidRDefault="003450D0">
      <w:pPr>
        <w:pStyle w:val="CommentText"/>
      </w:pPr>
      <w:r>
        <w:t>Annette—ditto for the NPDES rule revisions?</w:t>
      </w:r>
    </w:p>
  </w:comment>
  <w:comment w:id="7" w:author="Jennifer Wigal" w:date="2011-04-22T12:29:00Z" w:initials="jw">
    <w:p w:rsidR="003450D0" w:rsidRDefault="003450D0">
      <w:pPr>
        <w:pStyle w:val="CommentText"/>
      </w:pPr>
      <w:r>
        <w:rPr>
          <w:rStyle w:val="CommentReference"/>
        </w:rPr>
        <w:annotationRef/>
      </w:r>
      <w:r>
        <w:t>Gene fill in</w:t>
      </w:r>
    </w:p>
  </w:comment>
  <w:comment w:id="8" w:author="Jennifer Wigal" w:date="2011-04-22T12:39:00Z" w:initials="jw">
    <w:p w:rsidR="003450D0" w:rsidRDefault="003450D0">
      <w:pPr>
        <w:pStyle w:val="CommentText"/>
      </w:pPr>
      <w:r>
        <w:rPr>
          <w:rStyle w:val="CommentReference"/>
        </w:rPr>
        <w:annotationRef/>
      </w:r>
      <w:r>
        <w:t>Check whether anyone else other ACWA, NWPPA provided $$ amounts.</w:t>
      </w:r>
    </w:p>
  </w:comment>
  <w:comment w:id="9" w:author="JWigal &amp; KMadalinski" w:date="2011-04-21T20:57:00Z" w:initials="jw">
    <w:p w:rsidR="003450D0" w:rsidRDefault="003450D0">
      <w:pPr>
        <w:pStyle w:val="CommentText"/>
      </w:pPr>
      <w:r>
        <w:rPr>
          <w:rStyle w:val="CommentReference"/>
        </w:rPr>
        <w:annotationRef/>
      </w:r>
      <w:r>
        <w:t>Gene and Koto fill in</w:t>
      </w:r>
    </w:p>
  </w:comment>
  <w:comment w:id="10" w:author="Jennifer Wigal" w:date="2011-04-21T16:06:00Z" w:initials="jw">
    <w:p w:rsidR="003450D0" w:rsidRDefault="003450D0">
      <w:pPr>
        <w:pStyle w:val="CommentText"/>
      </w:pPr>
      <w:r>
        <w:rPr>
          <w:rStyle w:val="CommentReference"/>
        </w:rPr>
        <w:annotationRef/>
      </w:r>
      <w:r>
        <w:t>Check and see whether we really received this comment in this context…</w:t>
      </w:r>
    </w:p>
  </w:comment>
  <w:comment w:id="11" w:author="Jennifer Wigal" w:date="2011-04-22T12:50:00Z" w:initials="jw">
    <w:p w:rsidR="003450D0" w:rsidRDefault="003450D0">
      <w:pPr>
        <w:pStyle w:val="CommentText"/>
      </w:pPr>
      <w:r>
        <w:rPr>
          <w:rStyle w:val="CommentReference"/>
        </w:rPr>
        <w:annotationRef/>
      </w:r>
      <w:r>
        <w:t>Need to fill in based on what we expect from Sonia’s work on implementation strategies.</w:t>
      </w:r>
    </w:p>
  </w:comment>
  <w:comment w:id="12" w:author="Jennifer Wigal" w:date="2011-04-21T15:32:00Z" w:initials="jw">
    <w:p w:rsidR="003450D0" w:rsidRDefault="003450D0">
      <w:pPr>
        <w:pStyle w:val="CommentText"/>
      </w:pPr>
      <w:r>
        <w:rPr>
          <w:rStyle w:val="CommentReference"/>
        </w:rPr>
        <w:annotationRef/>
      </w:r>
      <w:r>
        <w:t>Who all do we need to include here?</w:t>
      </w:r>
    </w:p>
  </w:comment>
  <w:comment w:id="13" w:author="Jennifer Wigal" w:date="2011-04-26T12:37:00Z" w:initials="jw">
    <w:p w:rsidR="003450D0" w:rsidRDefault="003450D0">
      <w:pPr>
        <w:pStyle w:val="CommentText"/>
      </w:pPr>
      <w:r>
        <w:rPr>
          <w:rStyle w:val="CommentReference"/>
        </w:rPr>
        <w:annotationRef/>
      </w:r>
      <w:r>
        <w:t>Anything else the permit analysis/</w:t>
      </w:r>
      <w:proofErr w:type="spellStart"/>
      <w:r>
        <w:t>permtting</w:t>
      </w:r>
      <w:proofErr w:type="spellEnd"/>
      <w:r>
        <w:t xml:space="preserve"> imp strategies tell us that we should be doing that we would note here?</w:t>
      </w:r>
    </w:p>
  </w:comment>
  <w:comment w:id="14" w:author="Jennifer Wigal" w:date="2011-04-21T15:34:00Z" w:initials="jw">
    <w:p w:rsidR="003450D0" w:rsidRDefault="003450D0">
      <w:pPr>
        <w:pStyle w:val="CommentText"/>
      </w:pPr>
      <w:r>
        <w:rPr>
          <w:rStyle w:val="CommentReference"/>
        </w:rPr>
        <w:annotationRef/>
      </w:r>
      <w:r>
        <w:t>Template suggests we address external outreach, whether additional resources needed to implement the rule. Anything else here that we need to include on this topic.</w:t>
      </w:r>
    </w:p>
  </w:comment>
  <w:comment w:id="15" w:author="Jennifer Wigal" w:date="2011-04-18T10:30:00Z" w:initials="jw">
    <w:p w:rsidR="003450D0" w:rsidRDefault="003450D0">
      <w:pPr>
        <w:pStyle w:val="CommentText"/>
      </w:pPr>
      <w:r>
        <w:rPr>
          <w:rStyle w:val="CommentReference"/>
        </w:rPr>
        <w:annotationRef/>
      </w:r>
      <w:r>
        <w:t>Put this here or “Available Upon Request?”</w:t>
      </w:r>
    </w:p>
  </w:comment>
  <w:comment w:id="16" w:author="Jennifer Wigal" w:date="2011-04-26T09:53:00Z" w:initials="jw">
    <w:p w:rsidR="003450D0" w:rsidRDefault="003450D0">
      <w:pPr>
        <w:pStyle w:val="CommentText"/>
      </w:pPr>
      <w:r>
        <w:rPr>
          <w:rStyle w:val="CommentReference"/>
        </w:rPr>
        <w:annotationRef/>
      </w:r>
      <w:r>
        <w:t>Gene/Koto, accurate title?</w:t>
      </w:r>
    </w:p>
  </w:comment>
  <w:comment w:id="17" w:author="Jennifer Wigal" w:date="2011-04-21T15:53:00Z" w:initials="jw">
    <w:p w:rsidR="003450D0" w:rsidRDefault="003450D0">
      <w:pPr>
        <w:pStyle w:val="CommentText"/>
      </w:pPr>
      <w:r>
        <w:rPr>
          <w:rStyle w:val="CommentReference"/>
        </w:rPr>
        <w:annotationRef/>
      </w:r>
      <w:r>
        <w:t>List the “Implementation Strategy”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0D0" w:rsidRDefault="003450D0">
      <w:r>
        <w:separator/>
      </w:r>
    </w:p>
  </w:endnote>
  <w:endnote w:type="continuationSeparator" w:id="0">
    <w:p w:rsidR="003450D0" w:rsidRDefault="00345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D0" w:rsidRPr="007F07B3" w:rsidRDefault="003450D0" w:rsidP="00763F26">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smartTag w:uri="urn:schemas-microsoft-com:office:smarttags" w:element="date">
      <w:smartTagPr>
        <w:attr w:name="Month" w:val="7"/>
        <w:attr w:name="Day" w:val="23"/>
        <w:attr w:name="Year" w:val="2008"/>
      </w:smartTagPr>
      <w:r>
        <w:rPr>
          <w:rFonts w:ascii="Arial" w:hAnsi="Arial"/>
          <w:color w:val="808080"/>
          <w:sz w:val="18"/>
          <w:szCs w:val="18"/>
        </w:rPr>
        <w:t>7-23-08</w:t>
      </w:r>
    </w:smartTag>
    <w:r w:rsidRPr="007F07B3">
      <w:rPr>
        <w:rFonts w:ascii="Arial" w:hAnsi="Arial"/>
        <w:color w:val="808080"/>
        <w:sz w:val="18"/>
        <w:szCs w:val="18"/>
      </w:rPr>
      <w:t>)</w:t>
    </w:r>
  </w:p>
  <w:p w:rsidR="003450D0" w:rsidRDefault="003450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D0" w:rsidRPr="007F07B3" w:rsidRDefault="003450D0" w:rsidP="00EE4188">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0D0" w:rsidRDefault="003450D0">
      <w:r>
        <w:separator/>
      </w:r>
    </w:p>
  </w:footnote>
  <w:footnote w:type="continuationSeparator" w:id="0">
    <w:p w:rsidR="003450D0" w:rsidRDefault="003450D0">
      <w:r>
        <w:continuationSeparator/>
      </w:r>
    </w:p>
  </w:footnote>
  <w:footnote w:id="1">
    <w:p w:rsidR="003450D0" w:rsidRDefault="003450D0">
      <w:pPr>
        <w:pStyle w:val="FootnoteText"/>
      </w:pPr>
      <w:r>
        <w:rPr>
          <w:rStyle w:val="FootnoteReference"/>
        </w:rPr>
        <w:footnoteRef/>
      </w:r>
      <w:r>
        <w:t xml:space="preserve"> The commission adopted revisions to the human health arsenic criteria in April 2011, resulting in a significantly less stringent value. EPA approved DEQ’s removal of the human health criteria for cadmium in June 2010. Aquatic life criteria for cadmium remain, but the analysis did not specify whether the cost estimate was based on the cadmium aquatic life criteria. DEQ states in the Summary and Response to Comments that it intends to use EPA’s </w:t>
      </w:r>
      <w:proofErr w:type="spellStart"/>
      <w:r>
        <w:t>Methylmercury</w:t>
      </w:r>
      <w:proofErr w:type="spellEnd"/>
      <w:r>
        <w:t xml:space="preserve"> Implementation Guidance which should not result in the need for variances for that pollutant.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D0" w:rsidRDefault="003450D0"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Revised Water Quality Standards for Human Health and Revised Water Quality Standards Implementation Policies</w:t>
    </w:r>
    <w:r>
      <w:rPr>
        <w:rFonts w:ascii="Times New Roman" w:hAnsi="Times New Roman"/>
      </w:rPr>
      <w:tab/>
      <w:t xml:space="preserve">       </w:t>
    </w:r>
  </w:p>
  <w:p w:rsidR="003450D0" w:rsidRDefault="003450D0" w:rsidP="0082206B">
    <w:pPr>
      <w:tabs>
        <w:tab w:val="left" w:pos="-1440"/>
        <w:tab w:val="left" w:pos="-720"/>
      </w:tabs>
      <w:suppressAutoHyphens/>
      <w:rPr>
        <w:rFonts w:ascii="Times New Roman" w:hAnsi="Times New Roman"/>
      </w:rPr>
    </w:pPr>
    <w:r>
      <w:rPr>
        <w:rFonts w:ascii="Times New Roman" w:hAnsi="Times New Roman"/>
      </w:rPr>
      <w:t>June 16-17, 2011 EQC Meeting</w:t>
    </w:r>
  </w:p>
  <w:p w:rsidR="003450D0" w:rsidRDefault="003450D0" w:rsidP="0082206B">
    <w:pPr>
      <w:tabs>
        <w:tab w:val="left" w:pos="-1440"/>
        <w:tab w:val="left" w:pos="-720"/>
      </w:tabs>
      <w:suppressAutoHyphens/>
      <w:rPr>
        <w:rFonts w:ascii="Times New Roman" w:hAnsi="Times New Roman"/>
      </w:rPr>
    </w:pPr>
    <w:r>
      <w:rPr>
        <w:rFonts w:ascii="Times New Roman" w:hAnsi="Times New Roman"/>
      </w:rPr>
      <w:t xml:space="preserve">Page </w:t>
    </w:r>
    <w:r w:rsidR="00BC0887">
      <w:rPr>
        <w:rStyle w:val="PageNumber"/>
      </w:rPr>
      <w:fldChar w:fldCharType="begin"/>
    </w:r>
    <w:r>
      <w:rPr>
        <w:rStyle w:val="PageNumber"/>
      </w:rPr>
      <w:instrText xml:space="preserve"> PAGE </w:instrText>
    </w:r>
    <w:r w:rsidR="00BC0887">
      <w:rPr>
        <w:rStyle w:val="PageNumber"/>
      </w:rPr>
      <w:fldChar w:fldCharType="separate"/>
    </w:r>
    <w:r w:rsidR="00615FBD">
      <w:rPr>
        <w:rStyle w:val="PageNumber"/>
        <w:noProof/>
      </w:rPr>
      <w:t>1</w:t>
    </w:r>
    <w:r w:rsidR="00BC0887">
      <w:rPr>
        <w:rStyle w:val="PageNumber"/>
      </w:rPr>
      <w:fldChar w:fldCharType="end"/>
    </w:r>
    <w:r>
      <w:rPr>
        <w:rFonts w:ascii="Times New Roman" w:hAnsi="Times New Roman"/>
      </w:rPr>
      <w:t xml:space="preserve"> of [number of pages]</w:t>
    </w:r>
  </w:p>
  <w:p w:rsidR="003450D0" w:rsidRDefault="003450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768FF8"/>
    <w:multiLevelType w:val="hybridMultilevel"/>
    <w:tmpl w:val="DDA1A7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C57B79"/>
    <w:multiLevelType w:val="hybridMultilevel"/>
    <w:tmpl w:val="4DDC88E2"/>
    <w:lvl w:ilvl="0" w:tplc="2190F92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3">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4">
    <w:nsid w:val="2318766E"/>
    <w:multiLevelType w:val="hybridMultilevel"/>
    <w:tmpl w:val="3F24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E6A0A"/>
    <w:multiLevelType w:val="hybridMultilevel"/>
    <w:tmpl w:val="ADAA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574E4"/>
    <w:multiLevelType w:val="hybridMultilevel"/>
    <w:tmpl w:val="265E6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5E22C2"/>
    <w:multiLevelType w:val="hybridMultilevel"/>
    <w:tmpl w:val="30C44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292AD3"/>
    <w:multiLevelType w:val="hybridMultilevel"/>
    <w:tmpl w:val="1D48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10">
    <w:nsid w:val="34821B5A"/>
    <w:multiLevelType w:val="hybridMultilevel"/>
    <w:tmpl w:val="1A822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4073F"/>
    <w:multiLevelType w:val="hybridMultilevel"/>
    <w:tmpl w:val="673A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FA43A"/>
    <w:multiLevelType w:val="hybridMultilevel"/>
    <w:tmpl w:val="13EE83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4472317"/>
    <w:multiLevelType w:val="hybridMultilevel"/>
    <w:tmpl w:val="D4647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E65A4"/>
    <w:multiLevelType w:val="singleLevel"/>
    <w:tmpl w:val="0409000F"/>
    <w:lvl w:ilvl="0">
      <w:start w:val="1"/>
      <w:numFmt w:val="decimal"/>
      <w:lvlText w:val="%1."/>
      <w:lvlJc w:val="left"/>
      <w:pPr>
        <w:tabs>
          <w:tab w:val="num" w:pos="360"/>
        </w:tabs>
        <w:ind w:left="360" w:hanging="360"/>
      </w:pPr>
    </w:lvl>
  </w:abstractNum>
  <w:abstractNum w:abstractNumId="15">
    <w:nsid w:val="55BB24B5"/>
    <w:multiLevelType w:val="hybridMultilevel"/>
    <w:tmpl w:val="56AED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527238"/>
    <w:multiLevelType w:val="hybridMultilevel"/>
    <w:tmpl w:val="447E1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151ECC"/>
    <w:multiLevelType w:val="hybridMultilevel"/>
    <w:tmpl w:val="69E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2"/>
  </w:num>
  <w:num w:numId="4">
    <w:abstractNumId w:val="3"/>
  </w:num>
  <w:num w:numId="5">
    <w:abstractNumId w:val="16"/>
  </w:num>
  <w:num w:numId="6">
    <w:abstractNumId w:val="1"/>
  </w:num>
  <w:num w:numId="7">
    <w:abstractNumId w:val="17"/>
  </w:num>
  <w:num w:numId="8">
    <w:abstractNumId w:val="5"/>
  </w:num>
  <w:num w:numId="9">
    <w:abstractNumId w:val="4"/>
  </w:num>
  <w:num w:numId="10">
    <w:abstractNumId w:val="11"/>
  </w:num>
  <w:num w:numId="11">
    <w:abstractNumId w:val="7"/>
  </w:num>
  <w:num w:numId="12">
    <w:abstractNumId w:val="6"/>
  </w:num>
  <w:num w:numId="13">
    <w:abstractNumId w:val="0"/>
  </w:num>
  <w:num w:numId="14">
    <w:abstractNumId w:val="8"/>
  </w:num>
  <w:num w:numId="15">
    <w:abstractNumId w:val="12"/>
  </w:num>
  <w:num w:numId="16">
    <w:abstractNumId w:val="13"/>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stylePaneFormatFilter w:val="3F01"/>
  <w:defaultTabStop w:val="720"/>
  <w:noPunctuationKerning/>
  <w:characterSpacingControl w:val="doNotCompress"/>
  <w:footnotePr>
    <w:footnote w:id="-1"/>
    <w:footnote w:id="0"/>
  </w:footnotePr>
  <w:endnotePr>
    <w:numFmt w:val="decimal"/>
    <w:endnote w:id="-1"/>
    <w:endnote w:id="0"/>
  </w:endnotePr>
  <w:compat/>
  <w:rsids>
    <w:rsidRoot w:val="005B469C"/>
    <w:rsid w:val="00001BB8"/>
    <w:rsid w:val="00010164"/>
    <w:rsid w:val="00052586"/>
    <w:rsid w:val="00052E08"/>
    <w:rsid w:val="000733D8"/>
    <w:rsid w:val="000B2FD1"/>
    <w:rsid w:val="000C7A06"/>
    <w:rsid w:val="000E4120"/>
    <w:rsid w:val="00123C8B"/>
    <w:rsid w:val="00131F85"/>
    <w:rsid w:val="00191398"/>
    <w:rsid w:val="001C098A"/>
    <w:rsid w:val="001C6502"/>
    <w:rsid w:val="001C6CA5"/>
    <w:rsid w:val="001F4973"/>
    <w:rsid w:val="00226FBE"/>
    <w:rsid w:val="00235066"/>
    <w:rsid w:val="00241EA6"/>
    <w:rsid w:val="002546DC"/>
    <w:rsid w:val="002953D9"/>
    <w:rsid w:val="002A2597"/>
    <w:rsid w:val="002D1925"/>
    <w:rsid w:val="00300352"/>
    <w:rsid w:val="00322E9E"/>
    <w:rsid w:val="0033189C"/>
    <w:rsid w:val="003450D0"/>
    <w:rsid w:val="00353914"/>
    <w:rsid w:val="003843CA"/>
    <w:rsid w:val="003871DE"/>
    <w:rsid w:val="003A0EB7"/>
    <w:rsid w:val="003B08E7"/>
    <w:rsid w:val="00404E61"/>
    <w:rsid w:val="00412D28"/>
    <w:rsid w:val="00427663"/>
    <w:rsid w:val="004358EC"/>
    <w:rsid w:val="00441297"/>
    <w:rsid w:val="00456A37"/>
    <w:rsid w:val="004656BD"/>
    <w:rsid w:val="004F0040"/>
    <w:rsid w:val="00503058"/>
    <w:rsid w:val="005363B0"/>
    <w:rsid w:val="0054258E"/>
    <w:rsid w:val="0055493C"/>
    <w:rsid w:val="00567CDD"/>
    <w:rsid w:val="0058119C"/>
    <w:rsid w:val="005B469C"/>
    <w:rsid w:val="005D701D"/>
    <w:rsid w:val="00607AC5"/>
    <w:rsid w:val="00615FBD"/>
    <w:rsid w:val="006516DB"/>
    <w:rsid w:val="00666378"/>
    <w:rsid w:val="00673B1A"/>
    <w:rsid w:val="00675BE7"/>
    <w:rsid w:val="0069005E"/>
    <w:rsid w:val="006A0BAE"/>
    <w:rsid w:val="006C1299"/>
    <w:rsid w:val="006E4B47"/>
    <w:rsid w:val="00703460"/>
    <w:rsid w:val="00712041"/>
    <w:rsid w:val="00754057"/>
    <w:rsid w:val="00763F26"/>
    <w:rsid w:val="007A305E"/>
    <w:rsid w:val="007B3040"/>
    <w:rsid w:val="007F07B3"/>
    <w:rsid w:val="0082206B"/>
    <w:rsid w:val="00822586"/>
    <w:rsid w:val="00832A06"/>
    <w:rsid w:val="00851D92"/>
    <w:rsid w:val="00854BBC"/>
    <w:rsid w:val="00880AF5"/>
    <w:rsid w:val="008970A1"/>
    <w:rsid w:val="008A752E"/>
    <w:rsid w:val="008E0C50"/>
    <w:rsid w:val="008F18FD"/>
    <w:rsid w:val="008F2901"/>
    <w:rsid w:val="009266B8"/>
    <w:rsid w:val="00987469"/>
    <w:rsid w:val="009B702E"/>
    <w:rsid w:val="009E3AD9"/>
    <w:rsid w:val="009E75A3"/>
    <w:rsid w:val="00A07D5B"/>
    <w:rsid w:val="00A25F78"/>
    <w:rsid w:val="00A2755B"/>
    <w:rsid w:val="00A5236D"/>
    <w:rsid w:val="00A90633"/>
    <w:rsid w:val="00A90926"/>
    <w:rsid w:val="00AA1742"/>
    <w:rsid w:val="00AA77DD"/>
    <w:rsid w:val="00AC55D3"/>
    <w:rsid w:val="00AE62E9"/>
    <w:rsid w:val="00AF1CA4"/>
    <w:rsid w:val="00B00BF6"/>
    <w:rsid w:val="00B0236D"/>
    <w:rsid w:val="00B05CB6"/>
    <w:rsid w:val="00B15605"/>
    <w:rsid w:val="00B95EAD"/>
    <w:rsid w:val="00BA6375"/>
    <w:rsid w:val="00BB7C10"/>
    <w:rsid w:val="00BC0887"/>
    <w:rsid w:val="00BC3594"/>
    <w:rsid w:val="00BD4E44"/>
    <w:rsid w:val="00BE1A8B"/>
    <w:rsid w:val="00BF7C0A"/>
    <w:rsid w:val="00C00834"/>
    <w:rsid w:val="00C138EC"/>
    <w:rsid w:val="00C91993"/>
    <w:rsid w:val="00C94632"/>
    <w:rsid w:val="00CC35D7"/>
    <w:rsid w:val="00CF7A07"/>
    <w:rsid w:val="00D44922"/>
    <w:rsid w:val="00D52334"/>
    <w:rsid w:val="00DA0FB2"/>
    <w:rsid w:val="00DD21AF"/>
    <w:rsid w:val="00DD6248"/>
    <w:rsid w:val="00E10495"/>
    <w:rsid w:val="00E549AC"/>
    <w:rsid w:val="00E57A6C"/>
    <w:rsid w:val="00E80BBF"/>
    <w:rsid w:val="00E904FF"/>
    <w:rsid w:val="00EC149D"/>
    <w:rsid w:val="00ED4A1A"/>
    <w:rsid w:val="00EE4188"/>
    <w:rsid w:val="00F3200E"/>
    <w:rsid w:val="00F76031"/>
    <w:rsid w:val="00F82A91"/>
    <w:rsid w:val="00F82FEC"/>
    <w:rsid w:val="00F9139B"/>
    <w:rsid w:val="00FA5E06"/>
    <w:rsid w:val="00FD24D2"/>
    <w:rsid w:val="00FD4A33"/>
    <w:rsid w:val="00FF2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character" w:styleId="CommentReference">
    <w:name w:val="annotation reference"/>
    <w:basedOn w:val="DefaultParagraphFont"/>
    <w:uiPriority w:val="99"/>
    <w:semiHidden/>
    <w:unhideWhenUsed/>
    <w:rsid w:val="00B0236D"/>
    <w:rPr>
      <w:sz w:val="16"/>
      <w:szCs w:val="16"/>
    </w:rPr>
  </w:style>
  <w:style w:type="paragraph" w:styleId="CommentText">
    <w:name w:val="annotation text"/>
    <w:basedOn w:val="Normal"/>
    <w:link w:val="CommentTextChar"/>
    <w:uiPriority w:val="99"/>
    <w:semiHidden/>
    <w:unhideWhenUsed/>
    <w:rsid w:val="00B0236D"/>
    <w:rPr>
      <w:sz w:val="20"/>
    </w:rPr>
  </w:style>
  <w:style w:type="character" w:customStyle="1" w:styleId="CommentTextChar">
    <w:name w:val="Comment Text Char"/>
    <w:basedOn w:val="DefaultParagraphFont"/>
    <w:link w:val="CommentText"/>
    <w:uiPriority w:val="99"/>
    <w:semiHidden/>
    <w:rsid w:val="00B0236D"/>
    <w:rPr>
      <w:rFonts w:ascii="CG Times" w:hAnsi="CG Times"/>
    </w:rPr>
  </w:style>
  <w:style w:type="paragraph" w:styleId="CommentSubject">
    <w:name w:val="annotation subject"/>
    <w:basedOn w:val="CommentText"/>
    <w:next w:val="CommentText"/>
    <w:link w:val="CommentSubjectChar"/>
    <w:uiPriority w:val="99"/>
    <w:semiHidden/>
    <w:unhideWhenUsed/>
    <w:rsid w:val="00B0236D"/>
    <w:rPr>
      <w:b/>
      <w:bCs/>
    </w:rPr>
  </w:style>
  <w:style w:type="character" w:customStyle="1" w:styleId="CommentSubjectChar">
    <w:name w:val="Comment Subject Char"/>
    <w:basedOn w:val="CommentTextChar"/>
    <w:link w:val="CommentSubject"/>
    <w:uiPriority w:val="99"/>
    <w:semiHidden/>
    <w:rsid w:val="00B0236D"/>
    <w:rPr>
      <w:b/>
      <w:bCs/>
    </w:rPr>
  </w:style>
  <w:style w:type="paragraph" w:styleId="BalloonText">
    <w:name w:val="Balloon Text"/>
    <w:basedOn w:val="Normal"/>
    <w:link w:val="BalloonTextChar"/>
    <w:uiPriority w:val="99"/>
    <w:semiHidden/>
    <w:unhideWhenUsed/>
    <w:rsid w:val="00B0236D"/>
    <w:rPr>
      <w:rFonts w:ascii="Tahoma" w:hAnsi="Tahoma" w:cs="Tahoma"/>
      <w:sz w:val="16"/>
      <w:szCs w:val="16"/>
    </w:rPr>
  </w:style>
  <w:style w:type="character" w:customStyle="1" w:styleId="BalloonTextChar">
    <w:name w:val="Balloon Text Char"/>
    <w:basedOn w:val="DefaultParagraphFont"/>
    <w:link w:val="BalloonText"/>
    <w:uiPriority w:val="99"/>
    <w:semiHidden/>
    <w:rsid w:val="00B0236D"/>
    <w:rPr>
      <w:rFonts w:ascii="Tahoma" w:hAnsi="Tahoma" w:cs="Tahoma"/>
      <w:sz w:val="16"/>
      <w:szCs w:val="16"/>
    </w:rPr>
  </w:style>
  <w:style w:type="paragraph" w:styleId="ListParagraph">
    <w:name w:val="List Paragraph"/>
    <w:basedOn w:val="Normal"/>
    <w:uiPriority w:val="34"/>
    <w:qFormat/>
    <w:rsid w:val="00191398"/>
    <w:pPr>
      <w:ind w:left="720"/>
      <w:contextualSpacing/>
    </w:pPr>
  </w:style>
  <w:style w:type="paragraph" w:customStyle="1" w:styleId="Default">
    <w:name w:val="Default"/>
    <w:rsid w:val="00A90926"/>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A2755B"/>
    <w:rPr>
      <w:rFonts w:ascii="Consolas" w:eastAsia="Calibri" w:hAnsi="Consolas"/>
      <w:sz w:val="21"/>
      <w:szCs w:val="21"/>
    </w:rPr>
  </w:style>
  <w:style w:type="character" w:customStyle="1" w:styleId="PlainTextChar">
    <w:name w:val="Plain Text Char"/>
    <w:basedOn w:val="DefaultParagraphFont"/>
    <w:link w:val="PlainText"/>
    <w:uiPriority w:val="99"/>
    <w:semiHidden/>
    <w:rsid w:val="00A2755B"/>
    <w:rPr>
      <w:rFonts w:ascii="Consolas" w:eastAsia="Calibri" w:hAnsi="Consolas"/>
      <w:sz w:val="21"/>
      <w:szCs w:val="21"/>
    </w:rPr>
  </w:style>
  <w:style w:type="paragraph" w:styleId="FootnoteText">
    <w:name w:val="footnote text"/>
    <w:basedOn w:val="Normal"/>
    <w:link w:val="FootnoteTextChar"/>
    <w:uiPriority w:val="99"/>
    <w:semiHidden/>
    <w:unhideWhenUsed/>
    <w:rsid w:val="00DA0FB2"/>
    <w:rPr>
      <w:sz w:val="20"/>
    </w:rPr>
  </w:style>
  <w:style w:type="character" w:customStyle="1" w:styleId="FootnoteTextChar">
    <w:name w:val="Footnote Text Char"/>
    <w:basedOn w:val="DefaultParagraphFont"/>
    <w:link w:val="FootnoteText"/>
    <w:uiPriority w:val="99"/>
    <w:semiHidden/>
    <w:rsid w:val="00DA0FB2"/>
    <w:rPr>
      <w:rFonts w:ascii="CG Times" w:hAnsi="CG Times"/>
    </w:rPr>
  </w:style>
</w:styles>
</file>

<file path=word/webSettings.xml><?xml version="1.0" encoding="utf-8"?>
<w:webSettings xmlns:r="http://schemas.openxmlformats.org/officeDocument/2006/relationships" xmlns:w="http://schemas.openxmlformats.org/wordprocessingml/2006/main">
  <w:divs>
    <w:div w:id="32965443">
      <w:bodyDiv w:val="1"/>
      <w:marLeft w:val="0"/>
      <w:marRight w:val="0"/>
      <w:marTop w:val="0"/>
      <w:marBottom w:val="0"/>
      <w:divBdr>
        <w:top w:val="none" w:sz="0" w:space="0" w:color="auto"/>
        <w:left w:val="none" w:sz="0" w:space="0" w:color="auto"/>
        <w:bottom w:val="none" w:sz="0" w:space="0" w:color="auto"/>
        <w:right w:val="none" w:sz="0" w:space="0" w:color="auto"/>
      </w:divBdr>
    </w:div>
    <w:div w:id="52470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ategory xmlns="ad9aa276-7b0f-4038-ae2b-df4413790567">Rulemaking Package for IRT May 2011 Review</Category>
    <Subcategory xmlns="ad9aa276-7b0f-4038-ae2b-df44137905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4EFE3-4484-4945-AE2B-16CA0F7F5424}"/>
</file>

<file path=customXml/itemProps2.xml><?xml version="1.0" encoding="utf-8"?>
<ds:datastoreItem xmlns:ds="http://schemas.openxmlformats.org/officeDocument/2006/customXml" ds:itemID="{BE5B9819-363D-4D45-8CB6-B5FB72C9E050}"/>
</file>

<file path=customXml/itemProps3.xml><?xml version="1.0" encoding="utf-8"?>
<ds:datastoreItem xmlns:ds="http://schemas.openxmlformats.org/officeDocument/2006/customXml" ds:itemID="{BAE0CAB1-9A38-43A7-B18E-2A79584DFA9B}"/>
</file>

<file path=customXml/itemProps4.xml><?xml version="1.0" encoding="utf-8"?>
<ds:datastoreItem xmlns:ds="http://schemas.openxmlformats.org/officeDocument/2006/customXml" ds:itemID="{505A38AA-0C5E-436C-B712-CB81BA0897F1}"/>
</file>

<file path=docProps/app.xml><?xml version="1.0" encoding="utf-8"?>
<Properties xmlns="http://schemas.openxmlformats.org/officeDocument/2006/extended-properties" xmlns:vt="http://schemas.openxmlformats.org/officeDocument/2006/docPropsVTypes">
  <Template>EQCStaffReportRuleAdoption.dot</Template>
  <TotalTime>0</TotalTime>
  <Pages>1</Pages>
  <Words>6805</Words>
  <Characters>38793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45507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cp:lastModifiedBy>Joanie Stevens-Schwenger</cp:lastModifiedBy>
  <cp:revision>2</cp:revision>
  <cp:lastPrinted>2011-04-18T22:10:00Z</cp:lastPrinted>
  <dcterms:created xsi:type="dcterms:W3CDTF">2011-05-19T18:42:00Z</dcterms:created>
  <dcterms:modified xsi:type="dcterms:W3CDTF">2011-05-19T18:42:00Z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