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DIVISION 216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OAR 340-216-0020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AIR CONTAMINANT DISCHARGE PERMITS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Table 1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Part A: Activities and Sources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following commercial and industrial sources must obtain a Basic ACDP under the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procedures</w:t>
      </w:r>
      <w:proofErr w:type="gramEnd"/>
      <w:r>
        <w:rPr>
          <w:rFonts w:ascii="Verdana" w:hAnsi="Verdana" w:cs="Verdana"/>
          <w:sz w:val="20"/>
          <w:szCs w:val="20"/>
        </w:rPr>
        <w:t xml:space="preserve"> set forth in 340-216-0056 unless the source is required to obtain a different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form</w:t>
      </w:r>
      <w:proofErr w:type="gramEnd"/>
      <w:r>
        <w:rPr>
          <w:rFonts w:ascii="Verdana" w:hAnsi="Verdana" w:cs="Verdana"/>
          <w:sz w:val="20"/>
          <w:szCs w:val="20"/>
        </w:rPr>
        <w:t xml:space="preserve"> of ACDP by Part B or C hereof: (Production and emission parameters are based on the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latest</w:t>
      </w:r>
      <w:proofErr w:type="gramEnd"/>
      <w:r>
        <w:rPr>
          <w:rFonts w:ascii="Verdana" w:hAnsi="Verdana" w:cs="Verdana"/>
          <w:sz w:val="20"/>
          <w:szCs w:val="20"/>
        </w:rPr>
        <w:t xml:space="preserve"> consecutive 12 month period, or future projected operation, whichever is higher.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Emission cutoffs are based on actual emissions.)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1. ** </w:t>
      </w:r>
      <w:proofErr w:type="spellStart"/>
      <w:r>
        <w:rPr>
          <w:rFonts w:ascii="Verdana" w:hAnsi="Verdana" w:cs="Verdana"/>
          <w:sz w:val="20"/>
          <w:szCs w:val="20"/>
        </w:rPr>
        <w:t>Autobody</w:t>
      </w:r>
      <w:proofErr w:type="spellEnd"/>
      <w:r>
        <w:rPr>
          <w:rFonts w:ascii="Verdana" w:hAnsi="Verdana" w:cs="Verdana"/>
          <w:sz w:val="20"/>
          <w:szCs w:val="20"/>
        </w:rPr>
        <w:t xml:space="preserve"> Repair or Painting Shops painting more than 25 automobiles in a year.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2. Concrete Manufacturing including </w:t>
      </w:r>
      <w:proofErr w:type="spellStart"/>
      <w:r>
        <w:rPr>
          <w:rFonts w:ascii="Verdana" w:hAnsi="Verdana" w:cs="Verdana"/>
          <w:sz w:val="20"/>
          <w:szCs w:val="20"/>
        </w:rPr>
        <w:t>Redimix</w:t>
      </w:r>
      <w:proofErr w:type="spellEnd"/>
      <w:r>
        <w:rPr>
          <w:rFonts w:ascii="Verdana" w:hAnsi="Verdana" w:cs="Verdana"/>
          <w:sz w:val="20"/>
          <w:szCs w:val="20"/>
        </w:rPr>
        <w:t xml:space="preserve"> and CTB more than 5,000 but less than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25,000 cubic yards per year output.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Crematory and Pathological Waste Incinerators with less than 20 tons/yr. material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input</w:t>
      </w:r>
      <w:proofErr w:type="gramEnd"/>
      <w:r>
        <w:rPr>
          <w:rFonts w:ascii="Verdana" w:hAnsi="Verdana" w:cs="Verdana"/>
          <w:sz w:val="20"/>
          <w:szCs w:val="20"/>
        </w:rPr>
        <w:t>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Natural gas and propane fired boilers (with or without #2 diesel oil back-up****) of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10 or more MMBTU but less than 30 MMBTU/hr heat input constructed after June 9,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1989.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5. Prepared feeds for animals and fowl and associated grain elevators more than 1,000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but less than 10,000 tons per year throughput.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6. Rock, Concrete or Asphalt Crushing both portable and stationary more than 5,000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but less than 25,000 tons/yr. crushed.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7. Surface coating operations whose actual or expected usage of coating materials is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greater</w:t>
      </w:r>
      <w:proofErr w:type="gramEnd"/>
      <w:r>
        <w:rPr>
          <w:rFonts w:ascii="Verdana" w:hAnsi="Verdana" w:cs="Verdana"/>
          <w:sz w:val="20"/>
          <w:szCs w:val="20"/>
        </w:rPr>
        <w:t xml:space="preserve"> than 250 gallons per month, excluding sources that exclusively use non-VOC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and</w:t>
      </w:r>
      <w:proofErr w:type="gramEnd"/>
      <w:r>
        <w:rPr>
          <w:rFonts w:ascii="Verdana" w:hAnsi="Verdana" w:cs="Verdana"/>
          <w:sz w:val="20"/>
          <w:szCs w:val="20"/>
        </w:rPr>
        <w:t xml:space="preserve"> non-HAP containing coatings (e.g. powder coating operations).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Part B Activities and Sources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following commercial and industrial sources must obtain either: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General ACDP, if one is available for the source classification and the source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qualifies</w:t>
      </w:r>
      <w:proofErr w:type="gramEnd"/>
      <w:r>
        <w:rPr>
          <w:rFonts w:ascii="Verdana" w:hAnsi="Verdana" w:cs="Verdana"/>
          <w:sz w:val="20"/>
          <w:szCs w:val="20"/>
        </w:rPr>
        <w:t xml:space="preserve"> for a General ACDP under the procedures set forth in 340-216-0060;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Simple ACDP under the procedures set forth in 340-216-0064; or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Standard ACDP under the procedures set forth in 340-216-0066 if the source fits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one</w:t>
      </w:r>
      <w:proofErr w:type="gramEnd"/>
      <w:r>
        <w:rPr>
          <w:rFonts w:ascii="Verdana" w:hAnsi="Verdana" w:cs="Verdana"/>
          <w:sz w:val="20"/>
          <w:szCs w:val="20"/>
        </w:rPr>
        <w:t xml:space="preserve"> of the criteria of Part C hereof.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Aerospace or Aerospace Parts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 Aluminum, Copper, and Other Nonferrous Foundries subject to an Area Source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Aluminum Production - Primary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Ammonia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5. Animal Rendering and Animal Reduction Facilities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6. Asphalt Blowing Plants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7. Asphalt Felts or Coating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8. Asphaltic Concrete Paving Plants both stationary and portable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9. Bakeries, Commercial over 10 tons of VOC emissions per year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10. Battery Separator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11. Battery Manufacturing and Re-manufacturing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12. Beet Sugar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13. Boilers and other Fuel Burning Equipment over 10 MMBTU/hr. heat input, except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exclusively</w:t>
      </w:r>
      <w:proofErr w:type="gramEnd"/>
      <w:r>
        <w:rPr>
          <w:rFonts w:ascii="Verdana" w:hAnsi="Verdana" w:cs="Verdana"/>
          <w:sz w:val="20"/>
          <w:szCs w:val="20"/>
        </w:rPr>
        <w:t xml:space="preserve"> Natural Gas and Propane fired units (with or without #2 diesel backup)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under</w:t>
      </w:r>
      <w:proofErr w:type="gramEnd"/>
      <w:r>
        <w:rPr>
          <w:rFonts w:ascii="Verdana" w:hAnsi="Verdana" w:cs="Verdana"/>
          <w:sz w:val="20"/>
          <w:szCs w:val="20"/>
        </w:rPr>
        <w:t xml:space="preserve"> 30 MMBTU/hr. heat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14. Building paper and </w:t>
      </w:r>
      <w:proofErr w:type="spellStart"/>
      <w:r>
        <w:rPr>
          <w:rFonts w:ascii="Verdana" w:hAnsi="Verdana" w:cs="Verdana"/>
          <w:sz w:val="20"/>
          <w:szCs w:val="20"/>
        </w:rPr>
        <w:t>Buildingboard</w:t>
      </w:r>
      <w:proofErr w:type="spellEnd"/>
      <w:r>
        <w:rPr>
          <w:rFonts w:ascii="Verdana" w:hAnsi="Verdana" w:cs="Verdana"/>
          <w:sz w:val="20"/>
          <w:szCs w:val="20"/>
        </w:rPr>
        <w:t xml:space="preserve"> Mills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15. Calcium Carbide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16. *** Can or Drum Coating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17. Cement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18. * Cereal Preparations and Associated Grain Elevators 10,000 or more tons/yr.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throughput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19. Charcoal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20. Chlorine and </w:t>
      </w:r>
      <w:proofErr w:type="spellStart"/>
      <w:r>
        <w:rPr>
          <w:rFonts w:ascii="Verdana" w:hAnsi="Verdana" w:cs="Verdana"/>
          <w:sz w:val="20"/>
          <w:szCs w:val="20"/>
        </w:rPr>
        <w:t>Alkalies</w:t>
      </w:r>
      <w:proofErr w:type="spellEnd"/>
      <w:r>
        <w:rPr>
          <w:rFonts w:ascii="Verdana" w:hAnsi="Verdana" w:cs="Verdana"/>
          <w:sz w:val="20"/>
          <w:szCs w:val="20"/>
        </w:rPr>
        <w:t xml:space="preserve">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21. Chrome Plating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22. Clay Ceramics Manufacturing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23. Coffee Roasting (roasting 30 or more tons per year)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24. Concrete Manufacturing including </w:t>
      </w:r>
      <w:proofErr w:type="spellStart"/>
      <w:r>
        <w:rPr>
          <w:rFonts w:ascii="Verdana" w:hAnsi="Verdana" w:cs="Verdana"/>
          <w:sz w:val="20"/>
          <w:szCs w:val="20"/>
        </w:rPr>
        <w:t>Redimix</w:t>
      </w:r>
      <w:proofErr w:type="spellEnd"/>
      <w:r>
        <w:rPr>
          <w:rFonts w:ascii="Verdana" w:hAnsi="Verdana" w:cs="Verdana"/>
          <w:sz w:val="20"/>
          <w:szCs w:val="20"/>
        </w:rPr>
        <w:t xml:space="preserve"> and CTB 25,000 or more cubic yards per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year</w:t>
      </w:r>
      <w:proofErr w:type="gramEnd"/>
      <w:r>
        <w:rPr>
          <w:rFonts w:ascii="Verdana" w:hAnsi="Verdana" w:cs="Verdana"/>
          <w:sz w:val="20"/>
          <w:szCs w:val="20"/>
        </w:rPr>
        <w:t xml:space="preserve"> output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25. Crematory and Pathological Waste Incinerators 20 or more tons/yr. material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26. Degreasers (halogenated solvents subject to a NESHAP)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27. Electrical Power Generation from combustion (excluding units used exclusively as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emergency</w:t>
      </w:r>
      <w:proofErr w:type="gramEnd"/>
      <w:r>
        <w:rPr>
          <w:rFonts w:ascii="Verdana" w:hAnsi="Verdana" w:cs="Verdana"/>
          <w:sz w:val="20"/>
          <w:szCs w:val="20"/>
        </w:rPr>
        <w:t xml:space="preserve"> generators and units less than 500 kW)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28. Ethylene Oxide Sterilization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29. Ferroalloy Production Facilities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30. *** </w:t>
      </w:r>
      <w:proofErr w:type="spellStart"/>
      <w:r>
        <w:rPr>
          <w:rFonts w:ascii="Verdana" w:hAnsi="Verdana" w:cs="Verdana"/>
          <w:sz w:val="20"/>
          <w:szCs w:val="20"/>
        </w:rPr>
        <w:t>Flatwood</w:t>
      </w:r>
      <w:proofErr w:type="spellEnd"/>
      <w:r>
        <w:rPr>
          <w:rFonts w:ascii="Verdana" w:hAnsi="Verdana" w:cs="Verdana"/>
          <w:sz w:val="20"/>
          <w:szCs w:val="20"/>
        </w:rPr>
        <w:t xml:space="preserve"> Coating regulated by Division 232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31. *** Flexographic or Rotogravure Printing subject to RACT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32. * Flour, Blended and/or Prepared and Associated Grain Elevators 10,000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33. Galvanizing and Pipe Coating (except galvanizing operations that use less than 100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</w:t>
      </w:r>
      <w:proofErr w:type="gramEnd"/>
      <w:r>
        <w:rPr>
          <w:rFonts w:ascii="Verdana" w:hAnsi="Verdana" w:cs="Verdana"/>
          <w:sz w:val="20"/>
          <w:szCs w:val="20"/>
        </w:rPr>
        <w:t xml:space="preserve"> of zinc/yr.)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34. Gasoline Bulk Plants, Bulk Terminals, and Pipeline Facilities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35. Gasoline dispensing facilities, excluding gasoline dispensing facilities with exclusively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aboveground</w:t>
      </w:r>
      <w:proofErr w:type="gramEnd"/>
      <w:r>
        <w:rPr>
          <w:rFonts w:ascii="Verdana" w:hAnsi="Verdana" w:cs="Verdana"/>
          <w:sz w:val="20"/>
          <w:szCs w:val="20"/>
        </w:rPr>
        <w:t xml:space="preserve"> tanks, provided the gasoline dispensing facility has monthly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of</w:t>
      </w:r>
      <w:proofErr w:type="gramEnd"/>
      <w:r>
        <w:rPr>
          <w:rFonts w:ascii="Verdana" w:hAnsi="Verdana" w:cs="Verdana"/>
          <w:sz w:val="20"/>
          <w:szCs w:val="20"/>
        </w:rPr>
        <w:t xml:space="preserve"> less than 10,000 gallons of gasoline per month and does not sell gasoline for use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in</w:t>
      </w:r>
      <w:proofErr w:type="gramEnd"/>
      <w:r>
        <w:rPr>
          <w:rFonts w:ascii="Verdana" w:hAnsi="Verdana" w:cs="Verdana"/>
          <w:sz w:val="20"/>
          <w:szCs w:val="20"/>
        </w:rPr>
        <w:t xml:space="preserve"> motor vehicles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36. Glass and Glass Container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37. * Grain Elevators used for intermediate storage 10,000 or more tons/yr.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38. Grain terminal elevators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39. Gray iron and steel foundries, malleable iron foundries, steel investment foundries,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steel</w:t>
      </w:r>
      <w:proofErr w:type="gramEnd"/>
      <w:r>
        <w:rPr>
          <w:rFonts w:ascii="Verdana" w:hAnsi="Verdana" w:cs="Verdana"/>
          <w:sz w:val="20"/>
          <w:szCs w:val="20"/>
        </w:rPr>
        <w:t xml:space="preserve"> foundries 100 or more tons/yr. metal charged (not elsewhere identified)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40. Gypsum Products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41. Hardboard Manufacturing (including fiberboard)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42. Hospital sterilization operations subject to an Area Source NESHAP.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43. Incinerators with two or more ton per day capacity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44. Lime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45. *** Liquid Storage Tanks subject to OAR Division 232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46. Magnetic Tape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47. Manufactured and Mobile Home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48. Marine Vessel Petroleum Loading and Unloading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49. Metal Fabrication and Finishing Operations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50. Millwork (including kitchen cabinets and structural wood members) 25,000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bd. ft</w:t>
      </w:r>
      <w:proofErr w:type="gramStart"/>
      <w:r>
        <w:rPr>
          <w:rFonts w:ascii="Verdana" w:hAnsi="Verdana" w:cs="Verdana"/>
          <w:sz w:val="20"/>
          <w:szCs w:val="20"/>
        </w:rPr>
        <w:t>./</w:t>
      </w:r>
      <w:proofErr w:type="gramEnd"/>
      <w:r>
        <w:rPr>
          <w:rFonts w:ascii="Verdana" w:hAnsi="Verdana" w:cs="Verdana"/>
          <w:sz w:val="20"/>
          <w:szCs w:val="20"/>
        </w:rPr>
        <w:t>maximum 8 hr.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51. Molded Container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52. Motor Coach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53. Motor Vehicle and Mobile Equipment Surface Coating Operations subject to an Area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Source NESHAP, excluding motor vehicle surface coating operations painting less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than</w:t>
      </w:r>
      <w:proofErr w:type="gramEnd"/>
      <w:r>
        <w:rPr>
          <w:rFonts w:ascii="Verdana" w:hAnsi="Verdana" w:cs="Verdana"/>
          <w:sz w:val="20"/>
          <w:szCs w:val="20"/>
        </w:rPr>
        <w:t xml:space="preserve"> 10 vehicles per year or using less than 20 gallons of coating per year and motor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vehicle</w:t>
      </w:r>
      <w:proofErr w:type="gramEnd"/>
      <w:r>
        <w:rPr>
          <w:rFonts w:ascii="Verdana" w:hAnsi="Verdana" w:cs="Verdana"/>
          <w:sz w:val="20"/>
          <w:szCs w:val="20"/>
        </w:rPr>
        <w:t xml:space="preserve"> surface coating operations registered pursuant to OAR 340-210-0100(2)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54. Natural Gas and Oil Production and Processing and associated fuel burning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equipment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55. Nitric Acid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56. Non-Ferrous Metal Foundries 100 or more tons/yr. of metal charged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57. Organic or Inorganic Chemical Manufacturing and Distribution with ½ or more tons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per</w:t>
      </w:r>
      <w:proofErr w:type="gramEnd"/>
      <w:r>
        <w:rPr>
          <w:rFonts w:ascii="Verdana" w:hAnsi="Verdana" w:cs="Verdana"/>
          <w:sz w:val="20"/>
          <w:szCs w:val="20"/>
        </w:rPr>
        <w:t xml:space="preserve"> year emissions of any one criteria pollutant (sources in this category with less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than</w:t>
      </w:r>
      <w:proofErr w:type="gramEnd"/>
      <w:r>
        <w:rPr>
          <w:rFonts w:ascii="Verdana" w:hAnsi="Verdana" w:cs="Verdana"/>
          <w:sz w:val="20"/>
          <w:szCs w:val="20"/>
        </w:rPr>
        <w:t xml:space="preserve"> ½ ton/yr. of each criteria pollutant are not required to have an ACDP)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58. Paint Stripping and Miscellaneous Surface Coating Operations subject to an Area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59. *** Paper or other Substrate Coating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60. Particleboard Manufacturing (including </w:t>
      </w:r>
      <w:proofErr w:type="spellStart"/>
      <w:r>
        <w:rPr>
          <w:rFonts w:ascii="Verdana" w:hAnsi="Verdana" w:cs="Verdana"/>
          <w:sz w:val="20"/>
          <w:szCs w:val="20"/>
        </w:rPr>
        <w:t>strandboard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flakeboard</w:t>
      </w:r>
      <w:proofErr w:type="spellEnd"/>
      <w:r>
        <w:rPr>
          <w:rFonts w:ascii="Verdana" w:hAnsi="Verdana" w:cs="Verdana"/>
          <w:sz w:val="20"/>
          <w:szCs w:val="20"/>
        </w:rPr>
        <w:t xml:space="preserve">, and </w:t>
      </w:r>
      <w:proofErr w:type="spellStart"/>
      <w:r>
        <w:rPr>
          <w:rFonts w:ascii="Verdana" w:hAnsi="Verdana" w:cs="Verdana"/>
          <w:sz w:val="20"/>
          <w:szCs w:val="20"/>
        </w:rPr>
        <w:t>waferboard</w:t>
      </w:r>
      <w:proofErr w:type="spellEnd"/>
      <w:r>
        <w:rPr>
          <w:rFonts w:ascii="Verdana" w:hAnsi="Verdana" w:cs="Verdana"/>
          <w:sz w:val="20"/>
          <w:szCs w:val="20"/>
        </w:rPr>
        <w:t>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61. </w:t>
      </w:r>
      <w:proofErr w:type="spellStart"/>
      <w:r>
        <w:rPr>
          <w:rFonts w:ascii="Verdana" w:hAnsi="Verdana" w:cs="Verdana"/>
          <w:sz w:val="20"/>
          <w:szCs w:val="20"/>
        </w:rPr>
        <w:t>Perchloroethylene</w:t>
      </w:r>
      <w:proofErr w:type="spellEnd"/>
      <w:r>
        <w:rPr>
          <w:rFonts w:ascii="Verdana" w:hAnsi="Verdana" w:cs="Verdana"/>
          <w:sz w:val="20"/>
          <w:szCs w:val="20"/>
        </w:rPr>
        <w:t xml:space="preserve"> Dry Cleaning Operations subject to an Area Source NESHAP,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excluding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perchloroethylene</w:t>
      </w:r>
      <w:proofErr w:type="spellEnd"/>
      <w:r>
        <w:rPr>
          <w:rFonts w:ascii="Verdana" w:hAnsi="Verdana" w:cs="Verdana"/>
          <w:sz w:val="20"/>
          <w:szCs w:val="20"/>
        </w:rPr>
        <w:t xml:space="preserve"> dry cleaning operations registered pursuant to OAR 340-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210-0100(2)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62. Pesticide Manufacturing 5,000 or more tons/yr. annual production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63. Petroleum Refining and Re-refining of Lubricating Oils and Greases including Asphalt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Production by Distillation and the reprocessing of oils and/or solvents for fuels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64. Plating and Polishing Operations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65. Plywood Manufacturing and/or Veneer Drying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66. Prepared feeds for animals and fowl and associated grain elevators 10,000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</w:t>
      </w:r>
      <w:proofErr w:type="gramEnd"/>
      <w:r>
        <w:rPr>
          <w:rFonts w:ascii="Verdana" w:hAnsi="Verdana" w:cs="Verdana"/>
          <w:sz w:val="20"/>
          <w:szCs w:val="20"/>
        </w:rPr>
        <w:t xml:space="preserve"> per year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67. Primary Smelting and/or Refining of Ferrous and Non-Ferrous Metals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68. Pulp, Paper and Paperboard Mills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69. Rock, Concrete or Asphalt Crushing both portable and stationary 25,000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crushed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70. Sawmills and/or </w:t>
      </w:r>
      <w:proofErr w:type="spellStart"/>
      <w:r>
        <w:rPr>
          <w:rFonts w:ascii="Verdana" w:hAnsi="Verdana" w:cs="Verdana"/>
          <w:sz w:val="20"/>
          <w:szCs w:val="20"/>
        </w:rPr>
        <w:t>Planing</w:t>
      </w:r>
      <w:proofErr w:type="spellEnd"/>
      <w:r>
        <w:rPr>
          <w:rFonts w:ascii="Verdana" w:hAnsi="Verdana" w:cs="Verdana"/>
          <w:sz w:val="20"/>
          <w:szCs w:val="20"/>
        </w:rPr>
        <w:t xml:space="preserve"> Mills 25,000 or more bd. ft</w:t>
      </w:r>
      <w:proofErr w:type="gramStart"/>
      <w:r>
        <w:rPr>
          <w:rFonts w:ascii="Verdana" w:hAnsi="Verdana" w:cs="Verdana"/>
          <w:sz w:val="20"/>
          <w:szCs w:val="20"/>
        </w:rPr>
        <w:t>./</w:t>
      </w:r>
      <w:proofErr w:type="gramEnd"/>
      <w:r>
        <w:rPr>
          <w:rFonts w:ascii="Verdana" w:hAnsi="Verdana" w:cs="Verdana"/>
          <w:sz w:val="20"/>
          <w:szCs w:val="20"/>
        </w:rPr>
        <w:t>maximum 8 hr. finished product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71. Secondary Nonferrous Metals Processing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72. Secondary Smelting and/or Refining of Ferrous and Non-Ferrous Metals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73. * Seed Cleaning and Associated Grain Elevators 5,000 or more tons/yr.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74. Sewage Treatment Facilities employing internal combustion for digester gasses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75. Soil Remediation Facilities stationary or portable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76. Steel Works, Rolling and Finishing Mills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77. *** Surface Coating in Manufacturing subject to RACT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78. Surface Coating Operations with actual emissions of VOCs before add on controls of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10 or more tons/yr.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79. Synthetic Resin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80. Tire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81. Wood Furniture and Fixtures 25,000 or more bd. ft</w:t>
      </w:r>
      <w:proofErr w:type="gramStart"/>
      <w:r>
        <w:rPr>
          <w:rFonts w:ascii="Verdana" w:hAnsi="Verdana" w:cs="Verdana"/>
          <w:sz w:val="20"/>
          <w:szCs w:val="20"/>
        </w:rPr>
        <w:t>./</w:t>
      </w:r>
      <w:proofErr w:type="gramEnd"/>
      <w:r>
        <w:rPr>
          <w:rFonts w:ascii="Verdana" w:hAnsi="Verdana" w:cs="Verdana"/>
          <w:sz w:val="20"/>
          <w:szCs w:val="20"/>
        </w:rPr>
        <w:t>maximum 8 hr.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82. Wood Preserving (excluding waterborne)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83. All Other Sources not listed herein that the Department determines an air quality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concern</w:t>
      </w:r>
      <w:proofErr w:type="gramEnd"/>
      <w:r>
        <w:rPr>
          <w:rFonts w:ascii="Verdana" w:hAnsi="Verdana" w:cs="Verdana"/>
          <w:sz w:val="20"/>
          <w:szCs w:val="20"/>
        </w:rPr>
        <w:t xml:space="preserve"> exists or one which would emit significant malodorous emissions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84. All Other Sources not listed herein which would have actual emissions, if the source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were</w:t>
      </w:r>
      <w:proofErr w:type="gramEnd"/>
      <w:r>
        <w:rPr>
          <w:rFonts w:ascii="Verdana" w:hAnsi="Verdana" w:cs="Verdana"/>
          <w:sz w:val="20"/>
          <w:szCs w:val="20"/>
        </w:rPr>
        <w:t xml:space="preserve"> to operate uncontrolled, of 5 or more tons a year of direct PM2.5 or PM10 if located in a PM2.5 or PM10</w:t>
      </w:r>
      <w:r w:rsidR="002B290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non-attainment or maintenance area, or 10 or more tons of any single criteria</w:t>
      </w:r>
      <w:r w:rsidR="004F6F62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pollutant in any part of the state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Part C: Activities and Sources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following sources must obtain a Standard ACDP under the procedures set forth in 340-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216-0066: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Incinerators for PCBs and / or other hazardous wastes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 All Sources that the Department determines have emissions that constitute a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nuisance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All Sources electing to maintain the source’s baseline emission rate, or netting basis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All Sources subject to a RACT, BACT, LAER, NESHAP adopted in OAR 340-244-0220,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NSPS, State MACT, or other significant Air Quality regulation(s), except: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a. Source categories for which a General ACDP has been issued.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b. Sources with less than 10 tons/yr. actual emissions that are subject to RACT,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 xml:space="preserve">NSPS or a NESHAP adopted in OAR 340-244-0220 which </w:t>
      </w:r>
      <w:proofErr w:type="gramStart"/>
      <w:r>
        <w:rPr>
          <w:rFonts w:ascii="Verdana" w:hAnsi="Verdana" w:cs="Verdana"/>
          <w:sz w:val="20"/>
          <w:szCs w:val="20"/>
        </w:rPr>
        <w:t>qualify</w:t>
      </w:r>
      <w:proofErr w:type="gramEnd"/>
      <w:r>
        <w:rPr>
          <w:rFonts w:ascii="Verdana" w:hAnsi="Verdana" w:cs="Verdana"/>
          <w:sz w:val="20"/>
          <w:szCs w:val="20"/>
        </w:rPr>
        <w:t xml:space="preserve"> for a Simple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ACDP.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c. Sources registered pursuant to OAR 340-210-0100(2).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d. Electrical power generation units used exclusively as emergency generators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and</w:t>
      </w:r>
      <w:proofErr w:type="gramEnd"/>
      <w:r>
        <w:rPr>
          <w:rFonts w:ascii="Verdana" w:hAnsi="Verdana" w:cs="Verdana"/>
          <w:sz w:val="20"/>
          <w:szCs w:val="20"/>
        </w:rPr>
        <w:t xml:space="preserve"> units less than 500 kW.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e. Gasoline dispensing facilities with exclusively above ground tanks, provided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the</w:t>
      </w:r>
      <w:proofErr w:type="gramEnd"/>
      <w:r>
        <w:rPr>
          <w:rFonts w:ascii="Verdana" w:hAnsi="Verdana" w:cs="Verdana"/>
          <w:sz w:val="20"/>
          <w:szCs w:val="20"/>
        </w:rPr>
        <w:t xml:space="preserve"> gasoline dispensing facility has monthly throughput of less than 10,000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gallons</w:t>
      </w:r>
      <w:proofErr w:type="gramEnd"/>
      <w:r>
        <w:rPr>
          <w:rFonts w:ascii="Verdana" w:hAnsi="Verdana" w:cs="Verdana"/>
          <w:sz w:val="20"/>
          <w:szCs w:val="20"/>
        </w:rPr>
        <w:t xml:space="preserve"> of gasoline per month and does not sell gasoline for use in motor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vehicles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f. Motor vehicle surface coating operations painting less than 10 vehicles per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year</w:t>
      </w:r>
      <w:proofErr w:type="gramEnd"/>
      <w:r>
        <w:rPr>
          <w:rFonts w:ascii="Verdana" w:hAnsi="Verdana" w:cs="Verdana"/>
          <w:sz w:val="20"/>
          <w:szCs w:val="20"/>
        </w:rPr>
        <w:t xml:space="preserve"> or using less than 20 gallons of coating per year.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345BAB">
        <w:rPr>
          <w:rFonts w:ascii="Verdana" w:hAnsi="Verdana" w:cs="Times New Roman"/>
          <w:color w:val="000000"/>
          <w:sz w:val="20"/>
          <w:szCs w:val="20"/>
        </w:rPr>
        <w:t xml:space="preserve">5. All sources having the potential to emit more than </w:t>
      </w:r>
      <w:proofErr w:type="gramStart"/>
      <w:r w:rsidRPr="00345BAB">
        <w:rPr>
          <w:rFonts w:ascii="Verdana" w:hAnsi="Verdana" w:cs="Times New Roman"/>
          <w:color w:val="000000"/>
          <w:sz w:val="20"/>
          <w:szCs w:val="20"/>
        </w:rPr>
        <w:t>100,000  short</w:t>
      </w:r>
      <w:proofErr w:type="gramEnd"/>
      <w:r w:rsidRPr="00345BAB">
        <w:rPr>
          <w:rFonts w:ascii="Verdana" w:hAnsi="Verdana" w:cs="Times New Roman"/>
          <w:color w:val="000000"/>
          <w:sz w:val="20"/>
          <w:szCs w:val="20"/>
        </w:rPr>
        <w:t xml:space="preserve"> tons of GHG emissions in a year.</w:t>
      </w:r>
      <w:r>
        <w:rPr>
          <w:rFonts w:ascii="Verdana" w:hAnsi="Verdana" w:cs="Verdana"/>
          <w:sz w:val="20"/>
          <w:szCs w:val="20"/>
        </w:rPr>
        <w:t xml:space="preserve">6. All Sources having the Potential to </w:t>
      </w:r>
      <w:proofErr w:type="gramStart"/>
      <w:r>
        <w:rPr>
          <w:rFonts w:ascii="Verdana" w:hAnsi="Verdana" w:cs="Verdana"/>
          <w:sz w:val="20"/>
          <w:szCs w:val="20"/>
        </w:rPr>
        <w:t>Emit</w:t>
      </w:r>
      <w:proofErr w:type="gramEnd"/>
      <w:r>
        <w:rPr>
          <w:rFonts w:ascii="Verdana" w:hAnsi="Verdana" w:cs="Verdana"/>
          <w:sz w:val="20"/>
          <w:szCs w:val="20"/>
        </w:rPr>
        <w:t xml:space="preserve"> more than 100 tons of any regulated air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contaminant</w:t>
      </w:r>
      <w:proofErr w:type="gramEnd"/>
      <w:r>
        <w:rPr>
          <w:rFonts w:ascii="Verdana" w:hAnsi="Verdana" w:cs="Verdana"/>
          <w:sz w:val="20"/>
          <w:szCs w:val="20"/>
        </w:rPr>
        <w:t xml:space="preserve"> in a year, other than GHG and HAPs.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7. All Sources having the Potential to </w:t>
      </w:r>
      <w:proofErr w:type="gramStart"/>
      <w:r>
        <w:rPr>
          <w:rFonts w:ascii="Verdana" w:hAnsi="Verdana" w:cs="Verdana"/>
          <w:sz w:val="20"/>
          <w:szCs w:val="20"/>
        </w:rPr>
        <w:t>Emit</w:t>
      </w:r>
      <w:proofErr w:type="gramEnd"/>
      <w:r>
        <w:rPr>
          <w:rFonts w:ascii="Verdana" w:hAnsi="Verdana" w:cs="Verdana"/>
          <w:sz w:val="20"/>
          <w:szCs w:val="20"/>
        </w:rPr>
        <w:t xml:space="preserve"> more than 10 tons of a single hazardous air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pollutant</w:t>
      </w:r>
      <w:proofErr w:type="gramEnd"/>
      <w:r>
        <w:rPr>
          <w:rFonts w:ascii="Verdana" w:hAnsi="Verdana" w:cs="Verdana"/>
          <w:sz w:val="20"/>
          <w:szCs w:val="20"/>
        </w:rPr>
        <w:t xml:space="preserve"> in a year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8. All Sources having the Potential to </w:t>
      </w:r>
      <w:proofErr w:type="gramStart"/>
      <w:r>
        <w:rPr>
          <w:rFonts w:ascii="Verdana" w:hAnsi="Verdana" w:cs="Verdana"/>
          <w:sz w:val="20"/>
          <w:szCs w:val="20"/>
        </w:rPr>
        <w:t>Emit</w:t>
      </w:r>
      <w:proofErr w:type="gramEnd"/>
      <w:r>
        <w:rPr>
          <w:rFonts w:ascii="Verdana" w:hAnsi="Verdana" w:cs="Verdana"/>
          <w:sz w:val="20"/>
          <w:szCs w:val="20"/>
        </w:rPr>
        <w:t xml:space="preserve"> more than 25 tons of all hazardous air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pollutants</w:t>
      </w:r>
      <w:proofErr w:type="gramEnd"/>
      <w:r>
        <w:rPr>
          <w:rFonts w:ascii="Verdana" w:hAnsi="Verdana" w:cs="Verdana"/>
          <w:sz w:val="20"/>
          <w:szCs w:val="20"/>
        </w:rPr>
        <w:t xml:space="preserve"> combined in a year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Notes: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 Applies only to Special Control Areas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** Portland AQMA only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*** Portland AQMA, Medford-Ashland AQMA or Salem SKATS only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**** “back-up” means less than 10,000 gallons of fuel per year</w:t>
      </w:r>
    </w:p>
    <w:p w:rsidR="00C54954" w:rsidRDefault="00C54954" w:rsidP="00345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4B1F" w:rsidRDefault="00554B1F">
      <w:pPr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br w:type="page"/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lastRenderedPageBreak/>
        <w:t>Table 2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1.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Initial Permitting Application Fees: (in addition to first annual fee)</w:t>
      </w:r>
    </w:p>
    <w:tbl>
      <w:tblPr>
        <w:tblStyle w:val="TableGrid"/>
        <w:tblW w:w="0" w:type="auto"/>
        <w:tblLook w:val="04A0"/>
      </w:tblPr>
      <w:tblGrid>
        <w:gridCol w:w="7398"/>
        <w:gridCol w:w="2178"/>
      </w:tblGrid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a. Short Term Activity ACDP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$3,000.00</w:t>
            </w:r>
          </w:p>
        </w:tc>
      </w:tr>
      <w:tr w:rsidR="005611CE" w:rsidTr="005611CE">
        <w:tc>
          <w:tcPr>
            <w:tcW w:w="7398" w:type="dxa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b. Basic ACDP</w:t>
            </w:r>
          </w:p>
        </w:tc>
        <w:tc>
          <w:tcPr>
            <w:tcW w:w="2178" w:type="dxa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$120.00</w:t>
            </w:r>
          </w:p>
        </w:tc>
      </w:tr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c. Assignment to General ACDP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$1,200.00*</w:t>
            </w:r>
          </w:p>
        </w:tc>
      </w:tr>
      <w:tr w:rsidR="005611CE" w:rsidTr="005611CE">
        <w:tc>
          <w:tcPr>
            <w:tcW w:w="7398" w:type="dxa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d. Simple ACDP</w:t>
            </w:r>
          </w:p>
        </w:tc>
        <w:tc>
          <w:tcPr>
            <w:tcW w:w="2178" w:type="dxa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e. Construction ACDP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$9,600.00</w:t>
            </w:r>
          </w:p>
        </w:tc>
      </w:tr>
      <w:tr w:rsidR="005611CE" w:rsidTr="005611CE">
        <w:tc>
          <w:tcPr>
            <w:tcW w:w="7398" w:type="dxa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f. Standard ACDP</w:t>
            </w:r>
          </w:p>
        </w:tc>
        <w:tc>
          <w:tcPr>
            <w:tcW w:w="2178" w:type="dxa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$12,000.00</w:t>
            </w:r>
          </w:p>
        </w:tc>
      </w:tr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g. Standard ACDP (PSD/NSR)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$42,000.00</w:t>
            </w:r>
          </w:p>
        </w:tc>
      </w:tr>
    </w:tbl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*DEQ may waive the assignment fee for an existing source requesting to be assigned to a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General ACDP because the source is subject to a newly adopted area source NESHAP as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long</w:t>
      </w:r>
      <w:proofErr w:type="gramEnd"/>
      <w:r>
        <w:rPr>
          <w:rFonts w:ascii="Verdana" w:hAnsi="Verdana" w:cs="Verdana"/>
          <w:sz w:val="20"/>
          <w:szCs w:val="20"/>
        </w:rPr>
        <w:t xml:space="preserve"> as the existing source requests assignment within 90 days of notification by DEQ.</w:t>
      </w:r>
    </w:p>
    <w:p w:rsidR="005611CE" w:rsidRDefault="005611CE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611CE" w:rsidRDefault="005611CE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2.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Annual Fees: (Due 12/1* for 1/1 to 12/31 of the following year)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5611CE" w:rsidTr="00DE5798">
        <w:tc>
          <w:tcPr>
            <w:tcW w:w="3192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a. Short Term Activity</w:t>
            </w:r>
          </w:p>
          <w:p w:rsidR="005611CE" w:rsidRPr="004227BA" w:rsidRDefault="005611CE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ACDP</w:t>
            </w:r>
          </w:p>
        </w:tc>
        <w:tc>
          <w:tcPr>
            <w:tcW w:w="3192" w:type="dxa"/>
            <w:shd w:val="clear" w:color="auto" w:fill="EEECE1" w:themeFill="background2"/>
          </w:tcPr>
          <w:p w:rsidR="005611CE" w:rsidRDefault="005611CE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5611CE" w:rsidRPr="004227BA" w:rsidRDefault="005611CE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$NA</w:t>
            </w:r>
          </w:p>
        </w:tc>
      </w:tr>
      <w:tr w:rsidR="005611CE" w:rsidTr="005611CE">
        <w:tc>
          <w:tcPr>
            <w:tcW w:w="3192" w:type="dxa"/>
          </w:tcPr>
          <w:p w:rsidR="005611CE" w:rsidRDefault="005611CE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b. Basic ACDP</w:t>
            </w:r>
          </w:p>
        </w:tc>
        <w:tc>
          <w:tcPr>
            <w:tcW w:w="3192" w:type="dxa"/>
          </w:tcPr>
          <w:p w:rsidR="005611CE" w:rsidRDefault="005611CE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</w:tcPr>
          <w:p w:rsidR="005611CE" w:rsidRPr="004227BA" w:rsidRDefault="005611CE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DE5798" w:rsidTr="00DE5798">
        <w:tc>
          <w:tcPr>
            <w:tcW w:w="3192" w:type="dxa"/>
            <w:vMerge w:val="restart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c. General ACDP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(A) Fee Class One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$720.00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(B) Fee Class Two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$1,296.00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(C) Fee Class Three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$1,872.00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(D) Fee Class Four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(E) Fee Class Five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$120.00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(F) Fee Class Six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$240.00</w:t>
            </w:r>
          </w:p>
        </w:tc>
      </w:tr>
      <w:tr w:rsidR="00DE5798" w:rsidTr="005611CE">
        <w:tc>
          <w:tcPr>
            <w:tcW w:w="3192" w:type="dxa"/>
            <w:vMerge w:val="restart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d. Simple ACDP</w:t>
            </w:r>
          </w:p>
        </w:tc>
        <w:tc>
          <w:tcPr>
            <w:tcW w:w="3192" w:type="dxa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(A) Low Fee</w:t>
            </w:r>
          </w:p>
        </w:tc>
        <w:tc>
          <w:tcPr>
            <w:tcW w:w="3192" w:type="dxa"/>
          </w:tcPr>
          <w:p w:rsid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$1,920.00</w:t>
            </w:r>
          </w:p>
        </w:tc>
      </w:tr>
      <w:tr w:rsidR="00DE5798" w:rsidTr="005611CE">
        <w:tc>
          <w:tcPr>
            <w:tcW w:w="3192" w:type="dxa"/>
            <w:vMerge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(B) High Fee</w:t>
            </w:r>
          </w:p>
        </w:tc>
        <w:tc>
          <w:tcPr>
            <w:tcW w:w="3192" w:type="dxa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$3,840.00</w:t>
            </w:r>
          </w:p>
        </w:tc>
      </w:tr>
      <w:tr w:rsidR="00E360A5" w:rsidTr="00DE5798">
        <w:tc>
          <w:tcPr>
            <w:tcW w:w="3192" w:type="dxa"/>
            <w:shd w:val="clear" w:color="auto" w:fill="EEECE1" w:themeFill="background2"/>
          </w:tcPr>
          <w:p w:rsidR="00E360A5" w:rsidRDefault="00E360A5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e. Standard ACDP</w:t>
            </w:r>
          </w:p>
        </w:tc>
        <w:tc>
          <w:tcPr>
            <w:tcW w:w="3192" w:type="dxa"/>
            <w:shd w:val="clear" w:color="auto" w:fill="EEECE1" w:themeFill="background2"/>
          </w:tcPr>
          <w:p w:rsidR="00E360A5" w:rsidRDefault="00E360A5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E360A5" w:rsidRDefault="00E360A5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$7,680.00</w:t>
            </w:r>
          </w:p>
        </w:tc>
      </w:tr>
    </w:tbl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*</w:t>
      </w:r>
      <w:r>
        <w:rPr>
          <w:rFonts w:ascii="Verdana" w:hAnsi="Verdana" w:cs="Verdana"/>
          <w:sz w:val="20"/>
          <w:szCs w:val="20"/>
        </w:rPr>
        <w:t>If the Department issues an invoice for Dry Cleaners or Gasoline Dispensing Facilities that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combines</w:t>
      </w:r>
      <w:proofErr w:type="gramEnd"/>
      <w:r>
        <w:rPr>
          <w:rFonts w:ascii="Verdana" w:hAnsi="Verdana" w:cs="Verdana"/>
          <w:sz w:val="20"/>
          <w:szCs w:val="20"/>
        </w:rPr>
        <w:t xml:space="preserve"> fees from other Divisions on a single invoice the payment due may be extended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by</w:t>
      </w:r>
      <w:proofErr w:type="gramEnd"/>
      <w:r>
        <w:rPr>
          <w:rFonts w:ascii="Verdana" w:hAnsi="Verdana" w:cs="Verdana"/>
          <w:sz w:val="20"/>
          <w:szCs w:val="20"/>
        </w:rPr>
        <w:t xml:space="preserve"> the Department until March 1st.</w:t>
      </w:r>
    </w:p>
    <w:p w:rsidR="00DE5798" w:rsidRDefault="00DE5798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DE5798" w:rsidRDefault="00DE5798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3.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Specific Activity Fees:</w:t>
      </w:r>
    </w:p>
    <w:tbl>
      <w:tblPr>
        <w:tblStyle w:val="TableGrid"/>
        <w:tblW w:w="0" w:type="auto"/>
        <w:tblLook w:val="04A0"/>
      </w:tblPr>
      <w:tblGrid>
        <w:gridCol w:w="6948"/>
        <w:gridCol w:w="2628"/>
      </w:tblGrid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a. Non-Technical Permit Modification (1)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b. Non-PSD/NSR Basic Technical Permit Modification (2)</w:t>
            </w:r>
          </w:p>
        </w:tc>
        <w:tc>
          <w:tcPr>
            <w:tcW w:w="2628" w:type="dxa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c. Non-PSD/NSR Simple Technical Permit Modification(3)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$1,200.00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d. Non-PSD/NSR Moderate Technical Permit Modification (4)</w:t>
            </w:r>
          </w:p>
        </w:tc>
        <w:tc>
          <w:tcPr>
            <w:tcW w:w="2628" w:type="dxa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e. Non-PSD/NSR Complex Technical Permit Modification (5)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$12,000.00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f. PSD/NSR Modification</w:t>
            </w:r>
          </w:p>
        </w:tc>
        <w:tc>
          <w:tcPr>
            <w:tcW w:w="2628" w:type="dxa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$42,000.00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g. Modeling Review (outside PSD/NSR)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h. Public Hearing at Source's Request</w:t>
            </w:r>
          </w:p>
        </w:tc>
        <w:tc>
          <w:tcPr>
            <w:tcW w:w="2628" w:type="dxa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$2,400.00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i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>. State MACT Determination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j. Compliance Order Monitoring (6)</w:t>
            </w:r>
          </w:p>
        </w:tc>
        <w:tc>
          <w:tcPr>
            <w:tcW w:w="2628" w:type="dxa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$120.00/month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k. Greenhouse Gas Reporting, as required by OAR 340-215-0050(2), due in Calendar Year 2010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15% of the applicable annual fee in Part 2</w:t>
            </w:r>
          </w:p>
        </w:tc>
      </w:tr>
    </w:tbl>
    <w:p w:rsidR="00A13752" w:rsidRDefault="00A13752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4.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Late Fees for annual fees and greenhouse gas reporting fees: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a. 8</w:t>
      </w:r>
      <w:proofErr w:type="gramEnd"/>
      <w:r>
        <w:rPr>
          <w:rFonts w:ascii="Verdana" w:hAnsi="Verdana" w:cs="Verdana"/>
          <w:sz w:val="20"/>
          <w:szCs w:val="20"/>
        </w:rPr>
        <w:t>-30 days late 5%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lastRenderedPageBreak/>
        <w:t>b. 31</w:t>
      </w:r>
      <w:proofErr w:type="gramEnd"/>
      <w:r>
        <w:rPr>
          <w:rFonts w:ascii="Verdana" w:hAnsi="Verdana" w:cs="Verdana"/>
          <w:sz w:val="20"/>
          <w:szCs w:val="20"/>
        </w:rPr>
        <w:t>-60 days late 10%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c. 61 or more days late 20%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Non-Technical modifications include, but are not limited to name changes, change of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ownership</w:t>
      </w:r>
      <w:proofErr w:type="gramEnd"/>
      <w:r>
        <w:rPr>
          <w:rFonts w:ascii="Verdana" w:hAnsi="Verdana" w:cs="Verdana"/>
          <w:sz w:val="20"/>
          <w:szCs w:val="20"/>
        </w:rPr>
        <w:t xml:space="preserve"> and similar administrative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 Basic Technical Modifications include, but are not limited to corrections of emission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factors</w:t>
      </w:r>
      <w:proofErr w:type="gramEnd"/>
      <w:r>
        <w:rPr>
          <w:rFonts w:ascii="Verdana" w:hAnsi="Verdana" w:cs="Verdana"/>
          <w:sz w:val="20"/>
          <w:szCs w:val="20"/>
        </w:rPr>
        <w:t xml:space="preserve"> in compliance methods, changing source test dates for extenuating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circumstances</w:t>
      </w:r>
      <w:proofErr w:type="gramEnd"/>
      <w:r>
        <w:rPr>
          <w:rFonts w:ascii="Verdana" w:hAnsi="Verdana" w:cs="Verdana"/>
          <w:sz w:val="20"/>
          <w:szCs w:val="20"/>
        </w:rPr>
        <w:t>, and similar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Simple Technical Modifications include, but are not limited to, incorporating a PSEL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compliance</w:t>
      </w:r>
      <w:proofErr w:type="gramEnd"/>
      <w:r>
        <w:rPr>
          <w:rFonts w:ascii="Verdana" w:hAnsi="Verdana" w:cs="Verdana"/>
          <w:sz w:val="20"/>
          <w:szCs w:val="20"/>
        </w:rPr>
        <w:t xml:space="preserve"> method from a review report into an ACDP, modifying a compliance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method</w:t>
      </w:r>
      <w:proofErr w:type="gramEnd"/>
      <w:r>
        <w:rPr>
          <w:rFonts w:ascii="Verdana" w:hAnsi="Verdana" w:cs="Verdana"/>
          <w:sz w:val="20"/>
          <w:szCs w:val="20"/>
        </w:rPr>
        <w:t xml:space="preserve"> to use different emission factors or process parameter, changing source test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dates</w:t>
      </w:r>
      <w:proofErr w:type="gramEnd"/>
      <w:r>
        <w:rPr>
          <w:rFonts w:ascii="Verdana" w:hAnsi="Verdana" w:cs="Verdana"/>
          <w:sz w:val="20"/>
          <w:szCs w:val="20"/>
        </w:rPr>
        <w:t xml:space="preserve"> for extenuating circumstances, changing reporting frequency, incorporating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NSPS and NESHAP requirements that do not require judgment, and similar changes.</w:t>
      </w:r>
      <w:proofErr w:type="gramEnd"/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Moderate Technical Modifications include, but are not limited to incorporating a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relatively</w:t>
      </w:r>
      <w:proofErr w:type="gramEnd"/>
      <w:r>
        <w:rPr>
          <w:rFonts w:ascii="Verdana" w:hAnsi="Verdana" w:cs="Verdana"/>
          <w:sz w:val="20"/>
          <w:szCs w:val="20"/>
        </w:rPr>
        <w:t xml:space="preserve"> simple new compliance method into a permit, adding a relatively simple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compliance</w:t>
      </w:r>
      <w:proofErr w:type="gramEnd"/>
      <w:r>
        <w:rPr>
          <w:rFonts w:ascii="Verdana" w:hAnsi="Verdana" w:cs="Verdana"/>
          <w:sz w:val="20"/>
          <w:szCs w:val="20"/>
        </w:rPr>
        <w:t xml:space="preserve"> method or monitoring for an emission point or control device not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previously</w:t>
      </w:r>
      <w:proofErr w:type="gramEnd"/>
      <w:r>
        <w:rPr>
          <w:rFonts w:ascii="Verdana" w:hAnsi="Verdana" w:cs="Verdana"/>
          <w:sz w:val="20"/>
          <w:szCs w:val="20"/>
        </w:rPr>
        <w:t xml:space="preserve"> addressed in a permit, revising monitoring and reporting requirements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other</w:t>
      </w:r>
      <w:proofErr w:type="gramEnd"/>
      <w:r>
        <w:rPr>
          <w:rFonts w:ascii="Verdana" w:hAnsi="Verdana" w:cs="Verdana"/>
          <w:sz w:val="20"/>
          <w:szCs w:val="20"/>
        </w:rPr>
        <w:t xml:space="preserve"> than dates and frequency, adding a new applicable requirement into a permit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due</w:t>
      </w:r>
      <w:proofErr w:type="gramEnd"/>
      <w:r>
        <w:rPr>
          <w:rFonts w:ascii="Verdana" w:hAnsi="Verdana" w:cs="Verdana"/>
          <w:sz w:val="20"/>
          <w:szCs w:val="20"/>
        </w:rPr>
        <w:t xml:space="preserve"> to a change in process or change in rules and that does not require judgment by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the</w:t>
      </w:r>
      <w:proofErr w:type="gramEnd"/>
      <w:r>
        <w:rPr>
          <w:rFonts w:ascii="Verdana" w:hAnsi="Verdana" w:cs="Verdana"/>
          <w:sz w:val="20"/>
          <w:szCs w:val="20"/>
        </w:rPr>
        <w:t xml:space="preserve"> Department, incorporating NSPS and NESHAP requirements that do not require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judgment</w:t>
      </w:r>
      <w:proofErr w:type="gramEnd"/>
      <w:r>
        <w:rPr>
          <w:rFonts w:ascii="Verdana" w:hAnsi="Verdana" w:cs="Verdana"/>
          <w:sz w:val="20"/>
          <w:szCs w:val="20"/>
        </w:rPr>
        <w:t>, and similar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5. Complex Technical Modifications include, but are not limited to incorporating a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relatively</w:t>
      </w:r>
      <w:proofErr w:type="gramEnd"/>
      <w:r>
        <w:rPr>
          <w:rFonts w:ascii="Verdana" w:hAnsi="Verdana" w:cs="Verdana"/>
          <w:sz w:val="20"/>
          <w:szCs w:val="20"/>
        </w:rPr>
        <w:t xml:space="preserve"> complex new compliance method into a permit, adding a relatively complex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compliance</w:t>
      </w:r>
      <w:proofErr w:type="gramEnd"/>
      <w:r>
        <w:rPr>
          <w:rFonts w:ascii="Verdana" w:hAnsi="Verdana" w:cs="Verdana"/>
          <w:sz w:val="20"/>
          <w:szCs w:val="20"/>
        </w:rPr>
        <w:t xml:space="preserve"> method or monitoring for an emission point or control devise not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previously</w:t>
      </w:r>
      <w:proofErr w:type="gramEnd"/>
      <w:r>
        <w:rPr>
          <w:rFonts w:ascii="Verdana" w:hAnsi="Verdana" w:cs="Verdana"/>
          <w:sz w:val="20"/>
          <w:szCs w:val="20"/>
        </w:rPr>
        <w:t xml:space="preserve"> addressed in a permit, adding a relatively complex new applicable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requirement</w:t>
      </w:r>
      <w:proofErr w:type="gramEnd"/>
      <w:r>
        <w:rPr>
          <w:rFonts w:ascii="Verdana" w:hAnsi="Verdana" w:cs="Verdana"/>
          <w:sz w:val="20"/>
          <w:szCs w:val="20"/>
        </w:rPr>
        <w:t xml:space="preserve"> into a permit due to a change in process or change in rules and that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requires</w:t>
      </w:r>
      <w:proofErr w:type="gramEnd"/>
      <w:r>
        <w:rPr>
          <w:rFonts w:ascii="Verdana" w:hAnsi="Verdana" w:cs="Verdana"/>
          <w:sz w:val="20"/>
          <w:szCs w:val="20"/>
        </w:rPr>
        <w:t xml:space="preserve"> judgment by the Department, and similar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6. This is a </w:t>
      </w:r>
      <w:proofErr w:type="spellStart"/>
      <w:r>
        <w:rPr>
          <w:rFonts w:ascii="Verdana" w:hAnsi="Verdana" w:cs="Verdana"/>
          <w:sz w:val="20"/>
          <w:szCs w:val="20"/>
        </w:rPr>
        <w:t>one time</w:t>
      </w:r>
      <w:proofErr w:type="spellEnd"/>
      <w:r>
        <w:rPr>
          <w:rFonts w:ascii="Verdana" w:hAnsi="Verdana" w:cs="Verdana"/>
          <w:sz w:val="20"/>
          <w:szCs w:val="20"/>
        </w:rPr>
        <w:t xml:space="preserve"> fee payable when a Compliance Order is established in a Permit or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Department Order containing a compliance schedule becomes a Final Order of the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Department and is based on the number of months the Department will have to</w:t>
      </w:r>
    </w:p>
    <w:p w:rsidR="00554B1F" w:rsidRPr="00A0464C" w:rsidRDefault="00554B1F" w:rsidP="00554B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oversee</w:t>
      </w:r>
      <w:proofErr w:type="gramEnd"/>
      <w:r>
        <w:rPr>
          <w:rFonts w:ascii="Verdana" w:hAnsi="Verdana" w:cs="Verdana"/>
          <w:sz w:val="20"/>
          <w:szCs w:val="20"/>
        </w:rPr>
        <w:t xml:space="preserve"> the Order.</w:t>
      </w:r>
    </w:p>
    <w:sectPr w:rsidR="00554B1F" w:rsidRPr="00A0464C" w:rsidSect="00C54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8E46A9"/>
    <w:multiLevelType w:val="hybridMultilevel"/>
    <w:tmpl w:val="3D3F98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A0464C"/>
    <w:rsid w:val="00013482"/>
    <w:rsid w:val="00022577"/>
    <w:rsid w:val="00044131"/>
    <w:rsid w:val="0004506A"/>
    <w:rsid w:val="000575C1"/>
    <w:rsid w:val="00082070"/>
    <w:rsid w:val="00083ACB"/>
    <w:rsid w:val="000A788E"/>
    <w:rsid w:val="000B0960"/>
    <w:rsid w:val="000B495D"/>
    <w:rsid w:val="000C3AD3"/>
    <w:rsid w:val="000E3352"/>
    <w:rsid w:val="000E7D83"/>
    <w:rsid w:val="000F00F5"/>
    <w:rsid w:val="000F0704"/>
    <w:rsid w:val="000F55C0"/>
    <w:rsid w:val="001211FB"/>
    <w:rsid w:val="00155123"/>
    <w:rsid w:val="00156078"/>
    <w:rsid w:val="001658BA"/>
    <w:rsid w:val="00180BB0"/>
    <w:rsid w:val="001859FD"/>
    <w:rsid w:val="001B03CB"/>
    <w:rsid w:val="001B2B0B"/>
    <w:rsid w:val="001B5BF5"/>
    <w:rsid w:val="001C2C86"/>
    <w:rsid w:val="001C5A31"/>
    <w:rsid w:val="001F2941"/>
    <w:rsid w:val="001F5090"/>
    <w:rsid w:val="001F5413"/>
    <w:rsid w:val="001F5471"/>
    <w:rsid w:val="0020477A"/>
    <w:rsid w:val="002224E1"/>
    <w:rsid w:val="002277B3"/>
    <w:rsid w:val="00227ED1"/>
    <w:rsid w:val="00256FA8"/>
    <w:rsid w:val="0026261E"/>
    <w:rsid w:val="00262782"/>
    <w:rsid w:val="00267084"/>
    <w:rsid w:val="002778D7"/>
    <w:rsid w:val="00281EEC"/>
    <w:rsid w:val="0028212D"/>
    <w:rsid w:val="00297841"/>
    <w:rsid w:val="002B2903"/>
    <w:rsid w:val="002D3700"/>
    <w:rsid w:val="002D3A34"/>
    <w:rsid w:val="002D4704"/>
    <w:rsid w:val="002E323F"/>
    <w:rsid w:val="0033406F"/>
    <w:rsid w:val="00335149"/>
    <w:rsid w:val="00345BAB"/>
    <w:rsid w:val="003540EF"/>
    <w:rsid w:val="00354970"/>
    <w:rsid w:val="00363876"/>
    <w:rsid w:val="00370F06"/>
    <w:rsid w:val="003726A5"/>
    <w:rsid w:val="00392CA5"/>
    <w:rsid w:val="003A0372"/>
    <w:rsid w:val="003A5F54"/>
    <w:rsid w:val="003C327D"/>
    <w:rsid w:val="003C3C4A"/>
    <w:rsid w:val="003E34FC"/>
    <w:rsid w:val="003F6A50"/>
    <w:rsid w:val="004019B9"/>
    <w:rsid w:val="00414F23"/>
    <w:rsid w:val="004227BA"/>
    <w:rsid w:val="00437B8A"/>
    <w:rsid w:val="00444381"/>
    <w:rsid w:val="00473079"/>
    <w:rsid w:val="00475DE4"/>
    <w:rsid w:val="004810B5"/>
    <w:rsid w:val="004861E3"/>
    <w:rsid w:val="004862CB"/>
    <w:rsid w:val="00493998"/>
    <w:rsid w:val="004E393E"/>
    <w:rsid w:val="004E72FA"/>
    <w:rsid w:val="004F6F62"/>
    <w:rsid w:val="00506850"/>
    <w:rsid w:val="0052770A"/>
    <w:rsid w:val="00554B1F"/>
    <w:rsid w:val="005606C5"/>
    <w:rsid w:val="005611CE"/>
    <w:rsid w:val="00571E81"/>
    <w:rsid w:val="00575B61"/>
    <w:rsid w:val="00585735"/>
    <w:rsid w:val="005918C9"/>
    <w:rsid w:val="00592708"/>
    <w:rsid w:val="005A313F"/>
    <w:rsid w:val="005A3C4D"/>
    <w:rsid w:val="005E24D5"/>
    <w:rsid w:val="005F665E"/>
    <w:rsid w:val="006074F9"/>
    <w:rsid w:val="006119B8"/>
    <w:rsid w:val="00625276"/>
    <w:rsid w:val="00641C98"/>
    <w:rsid w:val="00651AAB"/>
    <w:rsid w:val="006531BD"/>
    <w:rsid w:val="006613BA"/>
    <w:rsid w:val="0066667F"/>
    <w:rsid w:val="0066749B"/>
    <w:rsid w:val="00670831"/>
    <w:rsid w:val="00672D2F"/>
    <w:rsid w:val="00682ECC"/>
    <w:rsid w:val="006871F0"/>
    <w:rsid w:val="006C1D25"/>
    <w:rsid w:val="006C6026"/>
    <w:rsid w:val="006D2E66"/>
    <w:rsid w:val="006D69B1"/>
    <w:rsid w:val="006E45B0"/>
    <w:rsid w:val="00713127"/>
    <w:rsid w:val="0071549E"/>
    <w:rsid w:val="00715C65"/>
    <w:rsid w:val="007177CD"/>
    <w:rsid w:val="00722872"/>
    <w:rsid w:val="00736F03"/>
    <w:rsid w:val="007522BF"/>
    <w:rsid w:val="00756286"/>
    <w:rsid w:val="007669BF"/>
    <w:rsid w:val="00787C1E"/>
    <w:rsid w:val="007A3EBC"/>
    <w:rsid w:val="007A6758"/>
    <w:rsid w:val="007B627C"/>
    <w:rsid w:val="007C31F4"/>
    <w:rsid w:val="007D09F4"/>
    <w:rsid w:val="007D2802"/>
    <w:rsid w:val="007E5A6C"/>
    <w:rsid w:val="00810A0B"/>
    <w:rsid w:val="008113F7"/>
    <w:rsid w:val="008269BF"/>
    <w:rsid w:val="00842B06"/>
    <w:rsid w:val="00844A1B"/>
    <w:rsid w:val="00857907"/>
    <w:rsid w:val="00873ED3"/>
    <w:rsid w:val="00875FBB"/>
    <w:rsid w:val="00891DBB"/>
    <w:rsid w:val="008929FE"/>
    <w:rsid w:val="008A75BF"/>
    <w:rsid w:val="008B4411"/>
    <w:rsid w:val="008B7798"/>
    <w:rsid w:val="008C570A"/>
    <w:rsid w:val="008D26EB"/>
    <w:rsid w:val="008E5600"/>
    <w:rsid w:val="008E586C"/>
    <w:rsid w:val="008F15EB"/>
    <w:rsid w:val="00903F04"/>
    <w:rsid w:val="009042FE"/>
    <w:rsid w:val="00905754"/>
    <w:rsid w:val="00913B73"/>
    <w:rsid w:val="00917290"/>
    <w:rsid w:val="00925804"/>
    <w:rsid w:val="00932FFD"/>
    <w:rsid w:val="00941DF9"/>
    <w:rsid w:val="00971173"/>
    <w:rsid w:val="00972F4A"/>
    <w:rsid w:val="00991AD6"/>
    <w:rsid w:val="00992717"/>
    <w:rsid w:val="009B6578"/>
    <w:rsid w:val="009C1CD7"/>
    <w:rsid w:val="009C1E5A"/>
    <w:rsid w:val="00A0464C"/>
    <w:rsid w:val="00A13752"/>
    <w:rsid w:val="00A17AA8"/>
    <w:rsid w:val="00A2044E"/>
    <w:rsid w:val="00A20741"/>
    <w:rsid w:val="00A54225"/>
    <w:rsid w:val="00A62A8B"/>
    <w:rsid w:val="00A727B4"/>
    <w:rsid w:val="00AA6C20"/>
    <w:rsid w:val="00AA7117"/>
    <w:rsid w:val="00AC2CE1"/>
    <w:rsid w:val="00AC3923"/>
    <w:rsid w:val="00AD19FE"/>
    <w:rsid w:val="00AE2957"/>
    <w:rsid w:val="00AF2568"/>
    <w:rsid w:val="00AF5DE5"/>
    <w:rsid w:val="00AF6E8D"/>
    <w:rsid w:val="00B1033A"/>
    <w:rsid w:val="00B105EA"/>
    <w:rsid w:val="00B37F0B"/>
    <w:rsid w:val="00B543A8"/>
    <w:rsid w:val="00B63FFF"/>
    <w:rsid w:val="00B74729"/>
    <w:rsid w:val="00B90359"/>
    <w:rsid w:val="00B945F2"/>
    <w:rsid w:val="00BA5942"/>
    <w:rsid w:val="00BC10FA"/>
    <w:rsid w:val="00BC602E"/>
    <w:rsid w:val="00BD0D1F"/>
    <w:rsid w:val="00BD41FD"/>
    <w:rsid w:val="00BD4207"/>
    <w:rsid w:val="00BE2792"/>
    <w:rsid w:val="00BF0CEB"/>
    <w:rsid w:val="00BF7390"/>
    <w:rsid w:val="00C00572"/>
    <w:rsid w:val="00C27889"/>
    <w:rsid w:val="00C36B2E"/>
    <w:rsid w:val="00C54954"/>
    <w:rsid w:val="00C56C37"/>
    <w:rsid w:val="00C608BB"/>
    <w:rsid w:val="00C6276C"/>
    <w:rsid w:val="00C63452"/>
    <w:rsid w:val="00CA394C"/>
    <w:rsid w:val="00CA3AEF"/>
    <w:rsid w:val="00CA7973"/>
    <w:rsid w:val="00CB6991"/>
    <w:rsid w:val="00CC3CBD"/>
    <w:rsid w:val="00CD765B"/>
    <w:rsid w:val="00CE261A"/>
    <w:rsid w:val="00D01A1A"/>
    <w:rsid w:val="00D01AC0"/>
    <w:rsid w:val="00D03D47"/>
    <w:rsid w:val="00D04AA6"/>
    <w:rsid w:val="00D053FB"/>
    <w:rsid w:val="00D373CE"/>
    <w:rsid w:val="00D61F0B"/>
    <w:rsid w:val="00D63245"/>
    <w:rsid w:val="00D63BE7"/>
    <w:rsid w:val="00D73F2F"/>
    <w:rsid w:val="00D77F5F"/>
    <w:rsid w:val="00D97796"/>
    <w:rsid w:val="00DA11BB"/>
    <w:rsid w:val="00DB0670"/>
    <w:rsid w:val="00DC3831"/>
    <w:rsid w:val="00DD1DC4"/>
    <w:rsid w:val="00DD49C5"/>
    <w:rsid w:val="00DE5798"/>
    <w:rsid w:val="00DF68A3"/>
    <w:rsid w:val="00E173E4"/>
    <w:rsid w:val="00E360A5"/>
    <w:rsid w:val="00E404F0"/>
    <w:rsid w:val="00E40AF0"/>
    <w:rsid w:val="00E44B0E"/>
    <w:rsid w:val="00E61CAE"/>
    <w:rsid w:val="00E62EDF"/>
    <w:rsid w:val="00E66910"/>
    <w:rsid w:val="00EA090D"/>
    <w:rsid w:val="00EA7BA1"/>
    <w:rsid w:val="00EB5018"/>
    <w:rsid w:val="00EC6DA7"/>
    <w:rsid w:val="00EF49E0"/>
    <w:rsid w:val="00F250D1"/>
    <w:rsid w:val="00F343EC"/>
    <w:rsid w:val="00F3705E"/>
    <w:rsid w:val="00F4383A"/>
    <w:rsid w:val="00F45400"/>
    <w:rsid w:val="00F614EE"/>
    <w:rsid w:val="00F71CC3"/>
    <w:rsid w:val="00F73CB4"/>
    <w:rsid w:val="00F81FFF"/>
    <w:rsid w:val="00F96CF7"/>
    <w:rsid w:val="00FC22AE"/>
    <w:rsid w:val="00FD4B7A"/>
    <w:rsid w:val="00FE6188"/>
    <w:rsid w:val="00FF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954"/>
  </w:style>
  <w:style w:type="paragraph" w:styleId="Heading3">
    <w:name w:val="heading 3"/>
    <w:basedOn w:val="Default"/>
    <w:next w:val="Default"/>
    <w:link w:val="Heading3Char"/>
    <w:uiPriority w:val="99"/>
    <w:qFormat/>
    <w:rsid w:val="00A0464C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A0464C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046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Default"/>
    <w:next w:val="Default"/>
    <w:uiPriority w:val="99"/>
    <w:rsid w:val="00A0464C"/>
    <w:rPr>
      <w:color w:val="auto"/>
    </w:rPr>
  </w:style>
  <w:style w:type="paragraph" w:styleId="Header">
    <w:name w:val="header"/>
    <w:basedOn w:val="Default"/>
    <w:next w:val="Default"/>
    <w:link w:val="HeaderChar"/>
    <w:uiPriority w:val="99"/>
    <w:rsid w:val="00A0464C"/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A0464C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62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E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E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ED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E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11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D39E8A551944DBD9D1666A914F441" ma:contentTypeVersion="0" ma:contentTypeDescription="Create a new document." ma:contentTypeScope="" ma:versionID="f546e7b243ecf335ec54d6be5bdf9c5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5EFF6-FD93-444D-B6CD-2FFCAAECDBC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5E25331-7A7D-46BC-9545-E3FABD5AD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EB7F314-F7A8-4F20-B857-229388BE0A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2151</Words>
  <Characters>12266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Fisher</dc:creator>
  <cp:keywords/>
  <dc:description/>
  <cp:lastModifiedBy>Jill Inahara</cp:lastModifiedBy>
  <cp:revision>2</cp:revision>
  <cp:lastPrinted>2010-10-12T16:39:00Z</cp:lastPrinted>
  <dcterms:created xsi:type="dcterms:W3CDTF">2010-10-14T19:00:00Z</dcterms:created>
  <dcterms:modified xsi:type="dcterms:W3CDTF">2010-10-14T19:00:00Z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0x010100BC7D39E8A551944DBD9D1666A914F441</vt:lpwstr>
  </property>
</Properties>
</file>