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BC6" w:rsidRDefault="001E4BC6" w:rsidP="001E4BC6">
      <w:pPr>
        <w:spacing w:after="0"/>
        <w:jc w:val="right"/>
        <w:rPr>
          <w:rFonts w:ascii="Times New Roman" w:hAnsi="Times New Roman" w:cs="Times New Roman"/>
          <w:b/>
          <w:sz w:val="24"/>
          <w:szCs w:val="24"/>
        </w:rPr>
      </w:pPr>
      <w:r w:rsidRPr="001E4BC6">
        <w:rPr>
          <w:rFonts w:ascii="Times New Roman" w:hAnsi="Times New Roman" w:cs="Times New Roman"/>
          <w:b/>
          <w:noProof/>
          <w:sz w:val="24"/>
          <w:szCs w:val="24"/>
        </w:rPr>
        <w:drawing>
          <wp:anchor distT="0" distB="0" distL="114300" distR="114300" simplePos="0" relativeHeight="251658240" behindDoc="1" locked="0" layoutInCell="1" allowOverlap="1">
            <wp:simplePos x="0" y="0"/>
            <wp:positionH relativeFrom="column">
              <wp:posOffset>7934325</wp:posOffset>
            </wp:positionH>
            <wp:positionV relativeFrom="paragraph">
              <wp:posOffset>-3175</wp:posOffset>
            </wp:positionV>
            <wp:extent cx="752475" cy="1724025"/>
            <wp:effectExtent l="19050" t="0" r="9525" b="0"/>
            <wp:wrapTight wrapText="bothSides">
              <wp:wrapPolygon edited="0">
                <wp:start x="-547" y="0"/>
                <wp:lineTo x="-547" y="21481"/>
                <wp:lineTo x="21873" y="21481"/>
                <wp:lineTo x="21873" y="0"/>
                <wp:lineTo x="-547" y="0"/>
              </wp:wrapPolygon>
            </wp:wrapTight>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cstate="print"/>
                    <a:srcRect/>
                    <a:stretch>
                      <a:fillRect/>
                    </a:stretch>
                  </pic:blipFill>
                  <pic:spPr bwMode="auto">
                    <a:xfrm>
                      <a:off x="0" y="0"/>
                      <a:ext cx="752475" cy="1724025"/>
                    </a:xfrm>
                    <a:prstGeom prst="rect">
                      <a:avLst/>
                    </a:prstGeom>
                    <a:noFill/>
                    <a:ln w="9525">
                      <a:noFill/>
                      <a:miter lim="800000"/>
                      <a:headEnd/>
                      <a:tailEnd/>
                    </a:ln>
                  </pic:spPr>
                </pic:pic>
              </a:graphicData>
            </a:graphic>
          </wp:anchor>
        </w:drawing>
      </w:r>
    </w:p>
    <w:p w:rsidR="00766B25" w:rsidRPr="00AC2074" w:rsidRDefault="00766B25" w:rsidP="00766B25">
      <w:pPr>
        <w:spacing w:after="0"/>
        <w:jc w:val="center"/>
        <w:rPr>
          <w:rFonts w:ascii="Times New Roman" w:hAnsi="Times New Roman" w:cs="Times New Roman"/>
          <w:b/>
          <w:sz w:val="24"/>
          <w:szCs w:val="24"/>
        </w:rPr>
      </w:pPr>
      <w:r>
        <w:rPr>
          <w:rFonts w:ascii="Times New Roman" w:hAnsi="Times New Roman" w:cs="Times New Roman"/>
          <w:b/>
          <w:sz w:val="24"/>
          <w:szCs w:val="24"/>
        </w:rPr>
        <w:t>ALTERNATIVE RULE OPTIONS</w:t>
      </w:r>
    </w:p>
    <w:p w:rsidR="00461556" w:rsidRDefault="00A239CC" w:rsidP="00AC2074">
      <w:pPr>
        <w:spacing w:after="0"/>
        <w:jc w:val="center"/>
        <w:rPr>
          <w:rFonts w:ascii="Times New Roman" w:hAnsi="Times New Roman" w:cs="Times New Roman"/>
          <w:b/>
          <w:sz w:val="24"/>
          <w:szCs w:val="24"/>
        </w:rPr>
      </w:pPr>
      <w:r>
        <w:rPr>
          <w:rFonts w:ascii="Times New Roman" w:hAnsi="Times New Roman" w:cs="Times New Roman"/>
          <w:b/>
          <w:sz w:val="24"/>
          <w:szCs w:val="24"/>
        </w:rPr>
        <w:t>New Source Review, particulate matter and greenhouse gas permitting requirements and other permitting rule u</w:t>
      </w:r>
      <w:r w:rsidR="00461556">
        <w:rPr>
          <w:rFonts w:ascii="Times New Roman" w:hAnsi="Times New Roman" w:cs="Times New Roman"/>
          <w:b/>
          <w:sz w:val="24"/>
          <w:szCs w:val="24"/>
        </w:rPr>
        <w:t>pdates</w:t>
      </w:r>
    </w:p>
    <w:p w:rsidR="00AC2074" w:rsidRDefault="00AC2074" w:rsidP="006B3E6F">
      <w:pPr>
        <w:spacing w:after="0"/>
        <w:rPr>
          <w:rFonts w:ascii="Times New Roman" w:hAnsi="Times New Roman" w:cs="Times New Roman"/>
          <w:sz w:val="24"/>
          <w:szCs w:val="24"/>
        </w:rPr>
      </w:pPr>
    </w:p>
    <w:p w:rsidR="00E65FEE" w:rsidRDefault="00AC2074" w:rsidP="006B3E6F">
      <w:pPr>
        <w:spacing w:after="0"/>
        <w:rPr>
          <w:rFonts w:ascii="Times New Roman" w:hAnsi="Times New Roman" w:cs="Times New Roman"/>
          <w:sz w:val="24"/>
          <w:szCs w:val="24"/>
        </w:rPr>
      </w:pPr>
      <w:r w:rsidRPr="00655321">
        <w:rPr>
          <w:rFonts w:ascii="Times New Roman" w:hAnsi="Times New Roman" w:cs="Times New Roman"/>
          <w:sz w:val="24"/>
          <w:szCs w:val="24"/>
        </w:rPr>
        <w:t xml:space="preserve">In this rulemaking DEQ </w:t>
      </w:r>
      <w:r w:rsidR="00A82784">
        <w:rPr>
          <w:rFonts w:ascii="Times New Roman" w:hAnsi="Times New Roman" w:cs="Times New Roman"/>
          <w:sz w:val="24"/>
          <w:szCs w:val="24"/>
        </w:rPr>
        <w:t xml:space="preserve">is </w:t>
      </w:r>
      <w:r w:rsidR="00E65FEE">
        <w:rPr>
          <w:rFonts w:ascii="Times New Roman" w:hAnsi="Times New Roman" w:cs="Times New Roman"/>
          <w:sz w:val="24"/>
          <w:szCs w:val="24"/>
        </w:rPr>
        <w:t xml:space="preserve">proposing to </w:t>
      </w:r>
      <w:r w:rsidR="00E65FEE" w:rsidRPr="00E65FEE">
        <w:rPr>
          <w:rFonts w:ascii="Times New Roman" w:hAnsi="Times New Roman" w:cs="Times New Roman"/>
          <w:sz w:val="24"/>
          <w:szCs w:val="24"/>
        </w:rPr>
        <w:t>incorporate federal standards for PM</w:t>
      </w:r>
      <w:r w:rsidR="00E65FEE" w:rsidRPr="00E65FEE">
        <w:rPr>
          <w:rFonts w:ascii="Times New Roman" w:hAnsi="Times New Roman" w:cs="Times New Roman"/>
          <w:sz w:val="24"/>
          <w:szCs w:val="24"/>
          <w:vertAlign w:val="subscript"/>
        </w:rPr>
        <w:t>2.5</w:t>
      </w:r>
      <w:r w:rsidR="00E65FEE" w:rsidRPr="00E65FEE">
        <w:rPr>
          <w:rFonts w:ascii="Times New Roman" w:hAnsi="Times New Roman" w:cs="Times New Roman"/>
          <w:sz w:val="24"/>
          <w:szCs w:val="24"/>
        </w:rPr>
        <w:t xml:space="preserve"> and greenhouse gases</w:t>
      </w:r>
      <w:r w:rsidR="00E65FEE">
        <w:rPr>
          <w:rFonts w:ascii="Times New Roman" w:hAnsi="Times New Roman" w:cs="Times New Roman"/>
          <w:sz w:val="24"/>
          <w:szCs w:val="24"/>
        </w:rPr>
        <w:t xml:space="preserve"> </w:t>
      </w:r>
      <w:r w:rsidR="00E65FEE" w:rsidRPr="00E65FEE">
        <w:rPr>
          <w:rFonts w:ascii="Times New Roman" w:hAnsi="Times New Roman" w:cs="Times New Roman"/>
          <w:sz w:val="24"/>
          <w:szCs w:val="24"/>
        </w:rPr>
        <w:t xml:space="preserve">into Oregon’s </w:t>
      </w:r>
      <w:r w:rsidR="00986610">
        <w:rPr>
          <w:rFonts w:ascii="Times New Roman" w:hAnsi="Times New Roman" w:cs="Times New Roman"/>
          <w:sz w:val="24"/>
          <w:szCs w:val="24"/>
        </w:rPr>
        <w:t>New Source Review and</w:t>
      </w:r>
      <w:r w:rsidR="00E65FEE">
        <w:rPr>
          <w:rFonts w:ascii="Times New Roman" w:hAnsi="Times New Roman" w:cs="Times New Roman"/>
          <w:sz w:val="24"/>
          <w:szCs w:val="24"/>
        </w:rPr>
        <w:t xml:space="preserve"> Prevention of Significant Deterioration </w:t>
      </w:r>
      <w:r w:rsidR="00834F82">
        <w:rPr>
          <w:rFonts w:ascii="Times New Roman" w:hAnsi="Times New Roman" w:cs="Times New Roman"/>
          <w:sz w:val="24"/>
          <w:szCs w:val="24"/>
        </w:rPr>
        <w:t>P</w:t>
      </w:r>
      <w:r w:rsidR="00E65FEE" w:rsidRPr="00E65FEE">
        <w:rPr>
          <w:rFonts w:ascii="Times New Roman" w:hAnsi="Times New Roman" w:cs="Times New Roman"/>
          <w:sz w:val="24"/>
          <w:szCs w:val="24"/>
        </w:rPr>
        <w:t>rogram</w:t>
      </w:r>
      <w:r w:rsidR="00007240">
        <w:rPr>
          <w:rFonts w:ascii="Times New Roman" w:hAnsi="Times New Roman" w:cs="Times New Roman"/>
          <w:sz w:val="24"/>
          <w:szCs w:val="24"/>
        </w:rPr>
        <w:t xml:space="preserve"> rules. </w:t>
      </w:r>
      <w:r w:rsidR="00E65FEE">
        <w:rPr>
          <w:rFonts w:ascii="Times New Roman" w:hAnsi="Times New Roman" w:cs="Times New Roman"/>
          <w:sz w:val="24"/>
          <w:szCs w:val="24"/>
        </w:rPr>
        <w:t xml:space="preserve">Since Oregon’s rules for the NSR/PSD program differ from the </w:t>
      </w:r>
      <w:r w:rsidR="008D3BC5">
        <w:rPr>
          <w:rFonts w:ascii="Times New Roman" w:hAnsi="Times New Roman" w:cs="Times New Roman"/>
          <w:sz w:val="24"/>
          <w:szCs w:val="24"/>
        </w:rPr>
        <w:t xml:space="preserve">default </w:t>
      </w:r>
      <w:r w:rsidR="00E65FEE">
        <w:rPr>
          <w:rFonts w:ascii="Times New Roman" w:hAnsi="Times New Roman" w:cs="Times New Roman"/>
          <w:sz w:val="24"/>
          <w:szCs w:val="24"/>
        </w:rPr>
        <w:t>federal program</w:t>
      </w:r>
      <w:r w:rsidR="008D3BC5">
        <w:rPr>
          <w:rFonts w:ascii="Times New Roman" w:hAnsi="Times New Roman" w:cs="Times New Roman"/>
          <w:sz w:val="24"/>
          <w:szCs w:val="24"/>
        </w:rPr>
        <w:t>,</w:t>
      </w:r>
      <w:r w:rsidR="00E65FEE">
        <w:rPr>
          <w:rFonts w:ascii="Times New Roman" w:hAnsi="Times New Roman" w:cs="Times New Roman"/>
          <w:sz w:val="24"/>
          <w:szCs w:val="24"/>
        </w:rPr>
        <w:t xml:space="preserve"> Oregon is looking at different ways to implement the program while maintaining stringency</w:t>
      </w:r>
      <w:r w:rsidR="00007240">
        <w:rPr>
          <w:rFonts w:ascii="Times New Roman" w:hAnsi="Times New Roman" w:cs="Times New Roman"/>
          <w:sz w:val="24"/>
          <w:szCs w:val="24"/>
        </w:rPr>
        <w:t xml:space="preserve"> equal to the federal program. </w:t>
      </w:r>
      <w:r w:rsidR="00E65FEE">
        <w:rPr>
          <w:rFonts w:ascii="Times New Roman" w:hAnsi="Times New Roman" w:cs="Times New Roman"/>
          <w:sz w:val="24"/>
          <w:szCs w:val="24"/>
        </w:rPr>
        <w:t xml:space="preserve">The main difference between the programs is </w:t>
      </w:r>
      <w:r w:rsidR="00A82784">
        <w:rPr>
          <w:rFonts w:ascii="Times New Roman" w:hAnsi="Times New Roman" w:cs="Times New Roman"/>
          <w:sz w:val="24"/>
          <w:szCs w:val="24"/>
        </w:rPr>
        <w:t xml:space="preserve">the </w:t>
      </w:r>
      <w:r w:rsidR="00E65FEE">
        <w:rPr>
          <w:rFonts w:ascii="Times New Roman" w:hAnsi="Times New Roman" w:cs="Times New Roman"/>
          <w:sz w:val="24"/>
          <w:szCs w:val="24"/>
        </w:rPr>
        <w:t>process for determin</w:t>
      </w:r>
      <w:r w:rsidR="008D3BC5">
        <w:rPr>
          <w:rFonts w:ascii="Times New Roman" w:hAnsi="Times New Roman" w:cs="Times New Roman"/>
          <w:sz w:val="24"/>
          <w:szCs w:val="24"/>
        </w:rPr>
        <w:t>ing</w:t>
      </w:r>
      <w:r w:rsidR="00E65FEE">
        <w:rPr>
          <w:rFonts w:ascii="Times New Roman" w:hAnsi="Times New Roman" w:cs="Times New Roman"/>
          <w:sz w:val="24"/>
          <w:szCs w:val="24"/>
        </w:rPr>
        <w:t xml:space="preserve"> </w:t>
      </w:r>
      <w:r w:rsidR="00A82784">
        <w:rPr>
          <w:rFonts w:ascii="Times New Roman" w:hAnsi="Times New Roman" w:cs="Times New Roman"/>
          <w:sz w:val="24"/>
          <w:szCs w:val="24"/>
        </w:rPr>
        <w:t>when NSR/PSD is triggered.</w:t>
      </w:r>
      <w:r w:rsidR="00007240">
        <w:rPr>
          <w:rFonts w:ascii="Times New Roman" w:hAnsi="Times New Roman" w:cs="Times New Roman"/>
          <w:sz w:val="24"/>
          <w:szCs w:val="24"/>
        </w:rPr>
        <w:t xml:space="preserve"> </w:t>
      </w:r>
    </w:p>
    <w:p w:rsidR="00E65FEE" w:rsidRDefault="00E65FEE" w:rsidP="006B3E6F">
      <w:pPr>
        <w:spacing w:after="0"/>
        <w:rPr>
          <w:rFonts w:ascii="Times New Roman" w:hAnsi="Times New Roman" w:cs="Times New Roman"/>
          <w:sz w:val="24"/>
          <w:szCs w:val="24"/>
        </w:rPr>
      </w:pPr>
    </w:p>
    <w:p w:rsidR="006667B0" w:rsidRPr="006667B0" w:rsidRDefault="00833841">
      <w:pPr>
        <w:rPr>
          <w:rFonts w:ascii="Times New Roman" w:hAnsi="Times New Roman" w:cs="Times New Roman"/>
          <w:sz w:val="24"/>
          <w:szCs w:val="24"/>
          <w:vertAlign w:val="subscript"/>
        </w:rPr>
      </w:pPr>
      <w:r w:rsidRPr="006667B0">
        <w:rPr>
          <w:rFonts w:ascii="Times New Roman" w:hAnsi="Times New Roman" w:cs="Times New Roman"/>
          <w:sz w:val="24"/>
          <w:szCs w:val="24"/>
        </w:rPr>
        <w:t>DEQ is</w:t>
      </w:r>
      <w:r w:rsidR="00E65FEE" w:rsidRPr="006667B0">
        <w:rPr>
          <w:rFonts w:ascii="Times New Roman" w:hAnsi="Times New Roman" w:cs="Times New Roman"/>
          <w:sz w:val="24"/>
          <w:szCs w:val="24"/>
        </w:rPr>
        <w:t xml:space="preserve"> </w:t>
      </w:r>
      <w:r w:rsidRPr="006667B0">
        <w:rPr>
          <w:rFonts w:ascii="Times New Roman" w:hAnsi="Times New Roman" w:cs="Times New Roman"/>
          <w:sz w:val="24"/>
          <w:szCs w:val="24"/>
        </w:rPr>
        <w:t>proposing</w:t>
      </w:r>
      <w:r w:rsidR="00AC2074" w:rsidRPr="006667B0">
        <w:rPr>
          <w:rFonts w:ascii="Times New Roman" w:hAnsi="Times New Roman" w:cs="Times New Roman"/>
          <w:sz w:val="24"/>
          <w:szCs w:val="24"/>
        </w:rPr>
        <w:t xml:space="preserve"> </w:t>
      </w:r>
      <w:r w:rsidR="00655321" w:rsidRPr="006667B0">
        <w:rPr>
          <w:rFonts w:ascii="Times New Roman" w:hAnsi="Times New Roman" w:cs="Times New Roman"/>
          <w:sz w:val="24"/>
          <w:szCs w:val="24"/>
        </w:rPr>
        <w:t xml:space="preserve">to </w:t>
      </w:r>
      <w:r w:rsidR="00E44F96" w:rsidRPr="006667B0">
        <w:rPr>
          <w:rFonts w:ascii="Times New Roman" w:hAnsi="Times New Roman" w:cs="Times New Roman"/>
          <w:sz w:val="24"/>
          <w:szCs w:val="24"/>
        </w:rPr>
        <w:t>trigger NSR/PSD in the same manner in which it is triggered for other pollutants in Oregon.</w:t>
      </w:r>
      <w:r w:rsidR="00007240">
        <w:rPr>
          <w:rFonts w:ascii="Times New Roman" w:hAnsi="Times New Roman" w:cs="Times New Roman"/>
          <w:sz w:val="24"/>
          <w:szCs w:val="24"/>
        </w:rPr>
        <w:t xml:space="preserve"> </w:t>
      </w:r>
      <w:r w:rsidR="00E44F96" w:rsidRPr="006667B0">
        <w:rPr>
          <w:rFonts w:ascii="Times New Roman" w:hAnsi="Times New Roman" w:cs="Times New Roman"/>
          <w:sz w:val="24"/>
          <w:szCs w:val="24"/>
        </w:rPr>
        <w:t xml:space="preserve">To do this, DEQ proposes to </w:t>
      </w:r>
      <w:r w:rsidR="00655321" w:rsidRPr="006667B0">
        <w:rPr>
          <w:rFonts w:ascii="Times New Roman" w:hAnsi="Times New Roman" w:cs="Times New Roman"/>
          <w:sz w:val="24"/>
          <w:szCs w:val="24"/>
        </w:rPr>
        <w:t xml:space="preserve">establish a source's </w:t>
      </w:r>
      <w:r w:rsidR="008D3BC5" w:rsidRPr="006667B0">
        <w:rPr>
          <w:rFonts w:ascii="Times New Roman" w:hAnsi="Times New Roman"/>
          <w:sz w:val="24"/>
          <w:szCs w:val="24"/>
        </w:rPr>
        <w:t xml:space="preserve">netting basis for </w:t>
      </w:r>
      <w:r w:rsidR="00A239CC">
        <w:rPr>
          <w:rFonts w:ascii="Times New Roman" w:hAnsi="Times New Roman"/>
          <w:sz w:val="24"/>
          <w:szCs w:val="24"/>
        </w:rPr>
        <w:t>greenhouse gas</w:t>
      </w:r>
      <w:r w:rsidR="008D3BC5" w:rsidRPr="006667B0">
        <w:rPr>
          <w:rFonts w:ascii="Times New Roman" w:hAnsi="Times New Roman"/>
          <w:sz w:val="24"/>
          <w:szCs w:val="24"/>
        </w:rPr>
        <w:t xml:space="preserve"> and PM</w:t>
      </w:r>
      <w:r w:rsidR="008D3BC5" w:rsidRPr="006667B0">
        <w:rPr>
          <w:rFonts w:ascii="Times New Roman" w:hAnsi="Times New Roman"/>
          <w:sz w:val="24"/>
          <w:szCs w:val="24"/>
          <w:vertAlign w:val="subscript"/>
        </w:rPr>
        <w:t>2.5</w:t>
      </w:r>
      <w:r w:rsidR="008D3BC5" w:rsidRPr="006667B0">
        <w:rPr>
          <w:rFonts w:ascii="Times New Roman" w:hAnsi="Times New Roman"/>
          <w:sz w:val="24"/>
          <w:szCs w:val="24"/>
        </w:rPr>
        <w:t xml:space="preserve"> proportional to its current netting basis for other pollutants.</w:t>
      </w:r>
      <w:r w:rsidR="00007240">
        <w:rPr>
          <w:rFonts w:ascii="Times New Roman" w:hAnsi="Times New Roman"/>
          <w:sz w:val="24"/>
          <w:szCs w:val="24"/>
        </w:rPr>
        <w:t xml:space="preserve"> </w:t>
      </w:r>
      <w:r w:rsidR="008D3BC5" w:rsidRPr="006667B0">
        <w:rPr>
          <w:rFonts w:ascii="Times New Roman" w:hAnsi="Times New Roman"/>
          <w:sz w:val="24"/>
          <w:szCs w:val="24"/>
        </w:rPr>
        <w:t>The netting basis is the emission level in a defined baseline year, adjusted by any required decreases and approved increases of emissions.</w:t>
      </w:r>
      <w:r w:rsidR="00007240">
        <w:rPr>
          <w:rFonts w:ascii="Times New Roman" w:hAnsi="Times New Roman"/>
          <w:sz w:val="24"/>
          <w:szCs w:val="24"/>
        </w:rPr>
        <w:t xml:space="preserve"> </w:t>
      </w:r>
      <w:r w:rsidR="008D3BC5" w:rsidRPr="006667B0">
        <w:rPr>
          <w:rFonts w:ascii="Times New Roman" w:hAnsi="Times New Roman"/>
          <w:sz w:val="24"/>
          <w:szCs w:val="24"/>
        </w:rPr>
        <w:t>In Oregon’s program, the netting basis is the level from which all other emissions increases and decreases are tracked in determining whether a source triggers NSR/PSD and other regulatory requirements to protect air quality.</w:t>
      </w:r>
      <w:r w:rsidR="00007240">
        <w:rPr>
          <w:rFonts w:ascii="Times New Roman" w:hAnsi="Times New Roman"/>
          <w:sz w:val="24"/>
          <w:szCs w:val="24"/>
        </w:rPr>
        <w:t xml:space="preserve"> </w:t>
      </w:r>
      <w:r w:rsidR="008D3BC5" w:rsidRPr="006667B0">
        <w:rPr>
          <w:rFonts w:ascii="Times New Roman" w:hAnsi="Times New Roman"/>
          <w:sz w:val="24"/>
          <w:szCs w:val="24"/>
        </w:rPr>
        <w:t>By setting the netting basis for PM</w:t>
      </w:r>
      <w:r w:rsidR="008D3BC5" w:rsidRPr="006667B0">
        <w:rPr>
          <w:rFonts w:ascii="Times New Roman" w:hAnsi="Times New Roman"/>
          <w:sz w:val="24"/>
          <w:szCs w:val="24"/>
          <w:vertAlign w:val="subscript"/>
        </w:rPr>
        <w:t>2.5</w:t>
      </w:r>
      <w:r w:rsidR="008D3BC5" w:rsidRPr="006667B0">
        <w:rPr>
          <w:rFonts w:ascii="Times New Roman" w:hAnsi="Times New Roman"/>
          <w:sz w:val="24"/>
          <w:szCs w:val="24"/>
        </w:rPr>
        <w:t xml:space="preserve"> and </w:t>
      </w:r>
      <w:r w:rsidR="00A239CC">
        <w:rPr>
          <w:rFonts w:ascii="Times New Roman" w:hAnsi="Times New Roman"/>
          <w:sz w:val="24"/>
          <w:szCs w:val="24"/>
        </w:rPr>
        <w:t>greenhouse gas</w:t>
      </w:r>
      <w:r w:rsidR="008D3BC5" w:rsidRPr="006667B0">
        <w:rPr>
          <w:rFonts w:ascii="Times New Roman" w:hAnsi="Times New Roman"/>
          <w:sz w:val="24"/>
          <w:szCs w:val="24"/>
        </w:rPr>
        <w:t xml:space="preserve"> proportional to the netting basis for the other pollutants, the new pollutants would be integrated into the NSR</w:t>
      </w:r>
      <w:r w:rsidR="009C0BC1">
        <w:rPr>
          <w:rFonts w:ascii="Times New Roman" w:hAnsi="Times New Roman"/>
          <w:sz w:val="24"/>
          <w:szCs w:val="24"/>
        </w:rPr>
        <w:t>/PSD</w:t>
      </w:r>
      <w:r w:rsidR="008D3BC5" w:rsidRPr="006667B0">
        <w:rPr>
          <w:rFonts w:ascii="Times New Roman" w:hAnsi="Times New Roman"/>
          <w:sz w:val="24"/>
          <w:szCs w:val="24"/>
        </w:rPr>
        <w:t xml:space="preserve"> program without changing the regulatory effect of the program on past increases or decreases of the other pollutants. </w:t>
      </w:r>
    </w:p>
    <w:p w:rsidR="006667B0" w:rsidRDefault="00833841">
      <w:pPr>
        <w:rPr>
          <w:rFonts w:ascii="Times New Roman" w:hAnsi="Times New Roman" w:cs="Times New Roman"/>
          <w:sz w:val="24"/>
          <w:szCs w:val="24"/>
        </w:rPr>
      </w:pPr>
      <w:r>
        <w:rPr>
          <w:rFonts w:ascii="Times New Roman" w:hAnsi="Times New Roman" w:cs="Times New Roman"/>
          <w:sz w:val="24"/>
          <w:szCs w:val="24"/>
        </w:rPr>
        <w:t>The approach</w:t>
      </w:r>
      <w:r w:rsidR="00E44F96">
        <w:rPr>
          <w:rFonts w:ascii="Times New Roman" w:hAnsi="Times New Roman" w:cs="Times New Roman"/>
          <w:sz w:val="24"/>
          <w:szCs w:val="24"/>
        </w:rPr>
        <w:t>es</w:t>
      </w:r>
      <w:r>
        <w:rPr>
          <w:rFonts w:ascii="Times New Roman" w:hAnsi="Times New Roman" w:cs="Times New Roman"/>
          <w:sz w:val="24"/>
          <w:szCs w:val="24"/>
        </w:rPr>
        <w:t xml:space="preserve"> </w:t>
      </w:r>
      <w:r w:rsidR="008D3BC5">
        <w:rPr>
          <w:rFonts w:ascii="Times New Roman" w:hAnsi="Times New Roman" w:cs="Times New Roman"/>
          <w:sz w:val="24"/>
          <w:szCs w:val="24"/>
        </w:rPr>
        <w:t xml:space="preserve">proposed </w:t>
      </w:r>
      <w:r w:rsidR="00E44F96">
        <w:rPr>
          <w:rFonts w:ascii="Times New Roman" w:hAnsi="Times New Roman" w:cs="Times New Roman"/>
          <w:sz w:val="24"/>
          <w:szCs w:val="24"/>
        </w:rPr>
        <w:t xml:space="preserve">to establish the netting basis </w:t>
      </w:r>
      <w:r>
        <w:rPr>
          <w:rFonts w:ascii="Times New Roman" w:hAnsi="Times New Roman" w:cs="Times New Roman"/>
          <w:sz w:val="24"/>
          <w:szCs w:val="24"/>
        </w:rPr>
        <w:t xml:space="preserve">for </w:t>
      </w:r>
      <w:r w:rsidR="00E44F96">
        <w:rPr>
          <w:rFonts w:ascii="Times New Roman" w:hAnsi="Times New Roman" w:cs="Times New Roman"/>
          <w:sz w:val="24"/>
          <w:szCs w:val="24"/>
        </w:rPr>
        <w:t>PM</w:t>
      </w:r>
      <w:r w:rsidR="00D47C4C" w:rsidRPr="00D47C4C">
        <w:rPr>
          <w:rFonts w:ascii="Times New Roman" w:hAnsi="Times New Roman" w:cs="Times New Roman"/>
          <w:sz w:val="24"/>
          <w:szCs w:val="24"/>
          <w:vertAlign w:val="subscript"/>
        </w:rPr>
        <w:t>2.5</w:t>
      </w:r>
      <w:r w:rsidR="00E44F96">
        <w:rPr>
          <w:rFonts w:ascii="Times New Roman" w:hAnsi="Times New Roman" w:cs="Times New Roman"/>
          <w:sz w:val="24"/>
          <w:szCs w:val="24"/>
        </w:rPr>
        <w:t xml:space="preserve"> and </w:t>
      </w:r>
      <w:r w:rsidR="00A239CC">
        <w:rPr>
          <w:rFonts w:ascii="Times New Roman" w:hAnsi="Times New Roman" w:cs="Times New Roman"/>
          <w:sz w:val="24"/>
          <w:szCs w:val="24"/>
        </w:rPr>
        <w:t>greenhouse gas</w:t>
      </w:r>
      <w:r w:rsidR="00E44F96">
        <w:rPr>
          <w:rFonts w:ascii="Times New Roman" w:hAnsi="Times New Roman" w:cs="Times New Roman"/>
          <w:sz w:val="24"/>
          <w:szCs w:val="24"/>
        </w:rPr>
        <w:t xml:space="preserve"> are</w:t>
      </w:r>
      <w:r w:rsidR="008D3BC5">
        <w:rPr>
          <w:rFonts w:ascii="Times New Roman" w:hAnsi="Times New Roman" w:cs="Times New Roman"/>
          <w:sz w:val="24"/>
          <w:szCs w:val="24"/>
        </w:rPr>
        <w:t>:</w:t>
      </w:r>
    </w:p>
    <w:p w:rsidR="00833841" w:rsidRDefault="00833841" w:rsidP="006B3E6F">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Fine </w:t>
      </w:r>
      <w:r w:rsidR="00A239CC">
        <w:rPr>
          <w:rFonts w:ascii="Times New Roman" w:hAnsi="Times New Roman" w:cs="Times New Roman"/>
          <w:sz w:val="24"/>
          <w:szCs w:val="24"/>
          <w:u w:val="single"/>
        </w:rPr>
        <w:t xml:space="preserve">particulates: </w:t>
      </w:r>
      <w:r w:rsidRPr="009C0BC1">
        <w:rPr>
          <w:rFonts w:ascii="Times New Roman" w:hAnsi="Times New Roman" w:cs="Times New Roman"/>
          <w:sz w:val="24"/>
          <w:szCs w:val="24"/>
          <w:u w:val="single"/>
        </w:rPr>
        <w:t>PM</w:t>
      </w:r>
      <w:r w:rsidRPr="009C0BC1">
        <w:rPr>
          <w:rFonts w:ascii="Times New Roman" w:hAnsi="Times New Roman" w:cs="Times New Roman"/>
          <w:sz w:val="24"/>
          <w:szCs w:val="24"/>
          <w:u w:val="single"/>
          <w:vertAlign w:val="subscript"/>
        </w:rPr>
        <w:t>2.5</w:t>
      </w:r>
    </w:p>
    <w:p w:rsidR="00833841" w:rsidRDefault="00833841" w:rsidP="006B3E6F">
      <w:pPr>
        <w:spacing w:after="0"/>
        <w:rPr>
          <w:rFonts w:ascii="Times New Roman" w:eastAsia="Times New Roman" w:hAnsi="Times New Roman" w:cs="Times New Roman"/>
          <w:sz w:val="24"/>
          <w:szCs w:val="24"/>
        </w:rPr>
      </w:pPr>
      <w:r>
        <w:rPr>
          <w:rFonts w:ascii="Times New Roman" w:hAnsi="Times New Roman" w:cs="Times New Roman"/>
          <w:sz w:val="24"/>
          <w:szCs w:val="24"/>
        </w:rPr>
        <w:t xml:space="preserve">In the </w:t>
      </w:r>
      <w:r w:rsidR="000010DA">
        <w:rPr>
          <w:rFonts w:ascii="Times New Roman" w:hAnsi="Times New Roman" w:cs="Times New Roman"/>
          <w:sz w:val="24"/>
          <w:szCs w:val="24"/>
        </w:rPr>
        <w:t>proposed rule</w:t>
      </w:r>
      <w:r w:rsidR="00E44F96">
        <w:rPr>
          <w:rFonts w:ascii="Times New Roman" w:hAnsi="Times New Roman" w:cs="Times New Roman"/>
          <w:sz w:val="24"/>
          <w:szCs w:val="24"/>
        </w:rPr>
        <w:t>,</w:t>
      </w:r>
      <w:r w:rsidR="000010DA">
        <w:rPr>
          <w:rFonts w:ascii="Times New Roman" w:hAnsi="Times New Roman" w:cs="Times New Roman"/>
          <w:sz w:val="24"/>
          <w:szCs w:val="24"/>
        </w:rPr>
        <w:t xml:space="preserve"> a source would need to establish a ratio between </w:t>
      </w:r>
      <w:r w:rsidR="00E44F96">
        <w:rPr>
          <w:rFonts w:ascii="Times New Roman" w:hAnsi="Times New Roman" w:cs="Times New Roman"/>
          <w:sz w:val="24"/>
          <w:szCs w:val="24"/>
        </w:rPr>
        <w:t>its</w:t>
      </w:r>
      <w:r w:rsidR="000010DA">
        <w:rPr>
          <w:rFonts w:ascii="Times New Roman" w:hAnsi="Times New Roman" w:cs="Times New Roman"/>
          <w:sz w:val="24"/>
          <w:szCs w:val="24"/>
        </w:rPr>
        <w:t xml:space="preserve"> </w:t>
      </w:r>
      <w:r w:rsidR="00E5425B">
        <w:rPr>
          <w:rFonts w:ascii="Times New Roman" w:hAnsi="Times New Roman" w:cs="Times New Roman"/>
          <w:sz w:val="24"/>
          <w:szCs w:val="24"/>
        </w:rPr>
        <w:t>PM</w:t>
      </w:r>
      <w:r w:rsidR="00E5425B" w:rsidRPr="00E5425B">
        <w:rPr>
          <w:rFonts w:ascii="Times New Roman" w:hAnsi="Times New Roman" w:cs="Times New Roman"/>
          <w:sz w:val="24"/>
          <w:szCs w:val="24"/>
          <w:vertAlign w:val="subscript"/>
        </w:rPr>
        <w:t>2.5</w:t>
      </w:r>
      <w:r w:rsidR="00E5425B">
        <w:rPr>
          <w:rFonts w:ascii="Times New Roman" w:hAnsi="Times New Roman" w:cs="Times New Roman"/>
          <w:sz w:val="24"/>
          <w:szCs w:val="24"/>
        </w:rPr>
        <w:t xml:space="preserve"> </w:t>
      </w:r>
      <w:r w:rsidR="000010DA">
        <w:rPr>
          <w:rFonts w:ascii="Times New Roman" w:hAnsi="Times New Roman" w:cs="Times New Roman"/>
          <w:sz w:val="24"/>
          <w:szCs w:val="24"/>
        </w:rPr>
        <w:t xml:space="preserve">and </w:t>
      </w:r>
      <w:r w:rsidR="008066F4">
        <w:rPr>
          <w:rFonts w:ascii="Times New Roman" w:hAnsi="Times New Roman" w:cs="Times New Roman"/>
          <w:sz w:val="24"/>
          <w:szCs w:val="24"/>
        </w:rPr>
        <w:t>PM</w:t>
      </w:r>
      <w:r w:rsidR="008066F4" w:rsidRPr="00E5425B">
        <w:rPr>
          <w:rFonts w:ascii="Times New Roman" w:hAnsi="Times New Roman" w:cs="Times New Roman"/>
          <w:sz w:val="24"/>
          <w:szCs w:val="24"/>
          <w:vertAlign w:val="subscript"/>
        </w:rPr>
        <w:t>10</w:t>
      </w:r>
      <w:r w:rsidR="008066F4">
        <w:rPr>
          <w:rFonts w:ascii="Times New Roman" w:hAnsi="Times New Roman" w:cs="Times New Roman"/>
          <w:sz w:val="24"/>
          <w:szCs w:val="24"/>
        </w:rPr>
        <w:t xml:space="preserve"> emissions</w:t>
      </w:r>
      <w:r w:rsidR="000010DA">
        <w:rPr>
          <w:rFonts w:ascii="Times New Roman" w:hAnsi="Times New Roman" w:cs="Times New Roman"/>
          <w:sz w:val="24"/>
          <w:szCs w:val="24"/>
        </w:rPr>
        <w:t>.</w:t>
      </w:r>
      <w:r w:rsidR="00007240">
        <w:rPr>
          <w:rFonts w:ascii="Times New Roman" w:hAnsi="Times New Roman" w:cs="Times New Roman"/>
          <w:sz w:val="24"/>
          <w:szCs w:val="24"/>
        </w:rPr>
        <w:t xml:space="preserve"> </w:t>
      </w:r>
      <w:r w:rsidR="000010DA">
        <w:rPr>
          <w:rFonts w:ascii="Times New Roman" w:hAnsi="Times New Roman" w:cs="Times New Roman"/>
          <w:sz w:val="24"/>
          <w:szCs w:val="24"/>
        </w:rPr>
        <w:t>Once established, the ratio would be applied to a source</w:t>
      </w:r>
      <w:r w:rsidR="00F02A51">
        <w:rPr>
          <w:rFonts w:ascii="Times New Roman" w:hAnsi="Times New Roman" w:cs="Times New Roman"/>
          <w:sz w:val="24"/>
          <w:szCs w:val="24"/>
        </w:rPr>
        <w:t>’</w:t>
      </w:r>
      <w:r w:rsidR="000010DA">
        <w:rPr>
          <w:rFonts w:ascii="Times New Roman" w:hAnsi="Times New Roman" w:cs="Times New Roman"/>
          <w:sz w:val="24"/>
          <w:szCs w:val="24"/>
        </w:rPr>
        <w:t>s current PM</w:t>
      </w:r>
      <w:r w:rsidR="000010DA" w:rsidRPr="00E5425B">
        <w:rPr>
          <w:rFonts w:ascii="Times New Roman" w:hAnsi="Times New Roman" w:cs="Times New Roman"/>
          <w:sz w:val="24"/>
          <w:szCs w:val="24"/>
          <w:vertAlign w:val="subscript"/>
        </w:rPr>
        <w:t>10</w:t>
      </w:r>
      <w:r w:rsidR="000010DA">
        <w:rPr>
          <w:rFonts w:ascii="Times New Roman" w:hAnsi="Times New Roman" w:cs="Times New Roman"/>
          <w:sz w:val="24"/>
          <w:szCs w:val="24"/>
          <w:vertAlign w:val="subscript"/>
        </w:rPr>
        <w:t xml:space="preserve"> </w:t>
      </w:r>
      <w:r w:rsidR="000010DA">
        <w:rPr>
          <w:rFonts w:ascii="Times New Roman" w:hAnsi="Times New Roman" w:cs="Times New Roman"/>
          <w:sz w:val="24"/>
          <w:szCs w:val="24"/>
        </w:rPr>
        <w:t>netting basis to calculate a source’s PM</w:t>
      </w:r>
      <w:r w:rsidR="000010DA" w:rsidRPr="00E5425B">
        <w:rPr>
          <w:rFonts w:ascii="Times New Roman" w:hAnsi="Times New Roman" w:cs="Times New Roman"/>
          <w:sz w:val="24"/>
          <w:szCs w:val="24"/>
          <w:vertAlign w:val="subscript"/>
        </w:rPr>
        <w:t>2.5</w:t>
      </w:r>
      <w:r w:rsidR="000010DA">
        <w:rPr>
          <w:rFonts w:ascii="Times New Roman" w:hAnsi="Times New Roman" w:cs="Times New Roman"/>
          <w:sz w:val="24"/>
          <w:szCs w:val="24"/>
        </w:rPr>
        <w:t xml:space="preserve"> netting basis.</w:t>
      </w:r>
      <w:r w:rsidR="00007240">
        <w:rPr>
          <w:rFonts w:ascii="Times New Roman" w:hAnsi="Times New Roman" w:cs="Times New Roman"/>
          <w:sz w:val="24"/>
          <w:szCs w:val="24"/>
        </w:rPr>
        <w:t xml:space="preserve"> </w:t>
      </w:r>
      <w:r w:rsidR="000010DA">
        <w:rPr>
          <w:rFonts w:ascii="Times New Roman" w:hAnsi="Times New Roman" w:cs="Times New Roman"/>
          <w:sz w:val="24"/>
          <w:szCs w:val="24"/>
        </w:rPr>
        <w:t xml:space="preserve">However, </w:t>
      </w:r>
      <w:r w:rsidR="006B3E6F">
        <w:rPr>
          <w:rFonts w:ascii="Times New Roman" w:hAnsi="Times New Roman" w:cs="Times New Roman"/>
          <w:sz w:val="24"/>
          <w:szCs w:val="24"/>
        </w:rPr>
        <w:t xml:space="preserve">sources would </w:t>
      </w:r>
      <w:r w:rsidR="000010DA">
        <w:rPr>
          <w:rFonts w:ascii="Times New Roman" w:hAnsi="Times New Roman" w:cs="Times New Roman"/>
          <w:sz w:val="24"/>
          <w:szCs w:val="24"/>
        </w:rPr>
        <w:t xml:space="preserve">also </w:t>
      </w:r>
      <w:r w:rsidR="006B3E6F">
        <w:rPr>
          <w:rFonts w:ascii="Times New Roman" w:hAnsi="Times New Roman" w:cs="Times New Roman"/>
          <w:sz w:val="24"/>
          <w:szCs w:val="24"/>
        </w:rPr>
        <w:t xml:space="preserve">have the option of defaulting to </w:t>
      </w:r>
      <w:r w:rsidR="006667B0">
        <w:rPr>
          <w:rFonts w:ascii="Times New Roman" w:hAnsi="Times New Roman" w:cs="Times New Roman"/>
          <w:sz w:val="24"/>
          <w:szCs w:val="24"/>
        </w:rPr>
        <w:t xml:space="preserve">the </w:t>
      </w:r>
      <w:r w:rsidR="00115F10">
        <w:rPr>
          <w:rFonts w:ascii="Times New Roman" w:hAnsi="Times New Roman" w:cs="Times New Roman"/>
          <w:sz w:val="24"/>
          <w:szCs w:val="24"/>
        </w:rPr>
        <w:t>us</w:t>
      </w:r>
      <w:r w:rsidR="006667B0">
        <w:rPr>
          <w:rFonts w:ascii="Times New Roman" w:hAnsi="Times New Roman" w:cs="Times New Roman"/>
          <w:sz w:val="24"/>
          <w:szCs w:val="24"/>
        </w:rPr>
        <w:t>e of</w:t>
      </w:r>
      <w:r w:rsidR="00115F10">
        <w:rPr>
          <w:rFonts w:ascii="Times New Roman" w:hAnsi="Times New Roman" w:cs="Times New Roman"/>
          <w:sz w:val="24"/>
          <w:szCs w:val="24"/>
        </w:rPr>
        <w:t xml:space="preserve"> their </w:t>
      </w:r>
      <w:r w:rsidR="00E5425B">
        <w:rPr>
          <w:rFonts w:ascii="Times New Roman" w:hAnsi="Times New Roman" w:cs="Times New Roman"/>
          <w:sz w:val="24"/>
          <w:szCs w:val="24"/>
        </w:rPr>
        <w:t>PM</w:t>
      </w:r>
      <w:r w:rsidR="00E5425B" w:rsidRPr="00E5425B">
        <w:rPr>
          <w:rFonts w:ascii="Times New Roman" w:hAnsi="Times New Roman" w:cs="Times New Roman"/>
          <w:sz w:val="24"/>
          <w:szCs w:val="24"/>
          <w:vertAlign w:val="subscript"/>
        </w:rPr>
        <w:t>10</w:t>
      </w:r>
      <w:r w:rsidR="006B3E6F">
        <w:rPr>
          <w:rFonts w:ascii="Times New Roman" w:hAnsi="Times New Roman" w:cs="Times New Roman"/>
          <w:sz w:val="24"/>
          <w:szCs w:val="24"/>
        </w:rPr>
        <w:t xml:space="preserve"> or </w:t>
      </w:r>
      <w:r w:rsidR="00A239CC">
        <w:rPr>
          <w:rFonts w:ascii="Times New Roman" w:hAnsi="Times New Roman" w:cs="Times New Roman"/>
          <w:sz w:val="24"/>
          <w:szCs w:val="24"/>
        </w:rPr>
        <w:t>particulate matter</w:t>
      </w:r>
      <w:r w:rsidR="006B3E6F">
        <w:rPr>
          <w:rFonts w:ascii="Times New Roman" w:hAnsi="Times New Roman" w:cs="Times New Roman"/>
          <w:sz w:val="24"/>
          <w:szCs w:val="24"/>
        </w:rPr>
        <w:t xml:space="preserve"> emissions</w:t>
      </w:r>
      <w:r w:rsidR="00125CCA">
        <w:rPr>
          <w:rFonts w:ascii="Times New Roman" w:hAnsi="Times New Roman" w:cs="Times New Roman"/>
          <w:sz w:val="24"/>
          <w:szCs w:val="24"/>
        </w:rPr>
        <w:t xml:space="preserve"> </w:t>
      </w:r>
      <w:r w:rsidR="00115F10">
        <w:rPr>
          <w:rFonts w:ascii="Times New Roman" w:hAnsi="Times New Roman" w:cs="Times New Roman"/>
          <w:sz w:val="24"/>
          <w:szCs w:val="24"/>
        </w:rPr>
        <w:t xml:space="preserve">to establish their netting basis </w:t>
      </w:r>
      <w:r w:rsidR="00125CCA">
        <w:rPr>
          <w:rFonts w:ascii="Times New Roman" w:hAnsi="Times New Roman" w:cs="Times New Roman"/>
          <w:sz w:val="24"/>
          <w:szCs w:val="24"/>
        </w:rPr>
        <w:t xml:space="preserve">if they did not want to differentiate </w:t>
      </w:r>
      <w:r w:rsidR="00E5425B">
        <w:rPr>
          <w:rFonts w:ascii="Times New Roman" w:hAnsi="Times New Roman" w:cs="Times New Roman"/>
          <w:sz w:val="24"/>
          <w:szCs w:val="24"/>
        </w:rPr>
        <w:t>PM</w:t>
      </w:r>
      <w:r w:rsidR="00E5425B" w:rsidRPr="00E5425B">
        <w:rPr>
          <w:rFonts w:ascii="Times New Roman" w:hAnsi="Times New Roman" w:cs="Times New Roman"/>
          <w:sz w:val="24"/>
          <w:szCs w:val="24"/>
          <w:vertAlign w:val="subscript"/>
        </w:rPr>
        <w:t>2.5</w:t>
      </w:r>
      <w:r w:rsidR="00E5425B">
        <w:rPr>
          <w:rFonts w:ascii="Times New Roman" w:hAnsi="Times New Roman" w:cs="Times New Roman"/>
          <w:sz w:val="24"/>
          <w:szCs w:val="24"/>
        </w:rPr>
        <w:t xml:space="preserve"> </w:t>
      </w:r>
      <w:r w:rsidR="00F17D88">
        <w:rPr>
          <w:rFonts w:ascii="Times New Roman" w:hAnsi="Times New Roman" w:cs="Times New Roman"/>
          <w:sz w:val="24"/>
          <w:szCs w:val="24"/>
        </w:rPr>
        <w:t>emission</w:t>
      </w:r>
      <w:r w:rsidR="00115F10">
        <w:rPr>
          <w:rFonts w:ascii="Times New Roman" w:hAnsi="Times New Roman" w:cs="Times New Roman"/>
          <w:sz w:val="24"/>
          <w:szCs w:val="24"/>
        </w:rPr>
        <w:t xml:space="preserve"> and establish a ratio</w:t>
      </w:r>
      <w:r w:rsidR="006B3E6F">
        <w:rPr>
          <w:rFonts w:ascii="Times New Roman" w:hAnsi="Times New Roman" w:cs="Times New Roman"/>
          <w:sz w:val="24"/>
          <w:szCs w:val="24"/>
        </w:rPr>
        <w:t>.</w:t>
      </w:r>
      <w:r w:rsidR="00007240">
        <w:rPr>
          <w:rFonts w:ascii="Times New Roman" w:hAnsi="Times New Roman" w:cs="Times New Roman"/>
          <w:sz w:val="24"/>
          <w:szCs w:val="24"/>
        </w:rPr>
        <w:t xml:space="preserve"> </w:t>
      </w:r>
      <w:r w:rsidR="000010DA">
        <w:rPr>
          <w:rFonts w:ascii="Times New Roman" w:hAnsi="Times New Roman" w:cs="Times New Roman"/>
          <w:sz w:val="24"/>
          <w:szCs w:val="24"/>
        </w:rPr>
        <w:t xml:space="preserve">This would allow a source to make an assumption that all of their </w:t>
      </w:r>
      <w:r w:rsidR="00A239CC">
        <w:rPr>
          <w:rFonts w:ascii="Times New Roman" w:hAnsi="Times New Roman" w:cs="Times New Roman"/>
          <w:sz w:val="24"/>
          <w:szCs w:val="24"/>
        </w:rPr>
        <w:t>particulate matter</w:t>
      </w:r>
      <w:r w:rsidR="000010DA">
        <w:rPr>
          <w:rFonts w:ascii="Times New Roman" w:hAnsi="Times New Roman" w:cs="Times New Roman"/>
          <w:sz w:val="24"/>
          <w:szCs w:val="24"/>
        </w:rPr>
        <w:t xml:space="preserve"> or </w:t>
      </w:r>
      <w:r w:rsidR="00396CEE">
        <w:rPr>
          <w:rFonts w:ascii="Times New Roman" w:hAnsi="Times New Roman" w:cs="Times New Roman"/>
          <w:sz w:val="24"/>
          <w:szCs w:val="24"/>
        </w:rPr>
        <w:t>PM</w:t>
      </w:r>
      <w:r w:rsidR="00396CEE">
        <w:rPr>
          <w:rFonts w:ascii="Times New Roman" w:hAnsi="Times New Roman" w:cs="Times New Roman"/>
          <w:sz w:val="24"/>
          <w:szCs w:val="24"/>
          <w:vertAlign w:val="subscript"/>
        </w:rPr>
        <w:t>10</w:t>
      </w:r>
      <w:r w:rsidR="00396CEE">
        <w:rPr>
          <w:rFonts w:ascii="Times New Roman" w:hAnsi="Times New Roman" w:cs="Times New Roman"/>
          <w:sz w:val="24"/>
          <w:szCs w:val="24"/>
        </w:rPr>
        <w:t xml:space="preserve"> </w:t>
      </w:r>
      <w:r w:rsidR="000010DA">
        <w:rPr>
          <w:rFonts w:ascii="Times New Roman" w:hAnsi="Times New Roman" w:cs="Times New Roman"/>
          <w:sz w:val="24"/>
          <w:szCs w:val="24"/>
        </w:rPr>
        <w:t>emissions are PM</w:t>
      </w:r>
      <w:r w:rsidR="000010DA" w:rsidRPr="00E5425B">
        <w:rPr>
          <w:rFonts w:ascii="Times New Roman" w:hAnsi="Times New Roman" w:cs="Times New Roman"/>
          <w:sz w:val="24"/>
          <w:szCs w:val="24"/>
          <w:vertAlign w:val="subscript"/>
        </w:rPr>
        <w:t>2.5</w:t>
      </w:r>
      <w:r w:rsidR="000010DA">
        <w:rPr>
          <w:rFonts w:ascii="Times New Roman" w:hAnsi="Times New Roman" w:cs="Times New Roman"/>
          <w:sz w:val="24"/>
          <w:szCs w:val="24"/>
          <w:vertAlign w:val="subscript"/>
        </w:rPr>
        <w:t>.</w:t>
      </w:r>
      <w:r w:rsidR="00007240">
        <w:rPr>
          <w:rFonts w:ascii="Times New Roman" w:hAnsi="Times New Roman" w:cs="Times New Roman"/>
          <w:sz w:val="24"/>
          <w:szCs w:val="24"/>
          <w:vertAlign w:val="subscript"/>
        </w:rPr>
        <w:t xml:space="preserve"> </w:t>
      </w:r>
      <w:r w:rsidR="000010DA">
        <w:rPr>
          <w:rFonts w:ascii="Times New Roman" w:hAnsi="Times New Roman" w:cs="Times New Roman"/>
          <w:sz w:val="24"/>
          <w:szCs w:val="24"/>
        </w:rPr>
        <w:t xml:space="preserve"> </w:t>
      </w:r>
      <w:r w:rsidR="00E44F96">
        <w:rPr>
          <w:rFonts w:ascii="Times New Roman" w:hAnsi="Times New Roman" w:cs="Times New Roman"/>
          <w:sz w:val="24"/>
          <w:szCs w:val="24"/>
        </w:rPr>
        <w:t>In this case, w</w:t>
      </w:r>
      <w:r w:rsidR="00396CEE">
        <w:rPr>
          <w:rFonts w:ascii="Times New Roman" w:hAnsi="Times New Roman" w:cs="Times New Roman"/>
          <w:sz w:val="24"/>
          <w:szCs w:val="24"/>
        </w:rPr>
        <w:t>henever there is an increase in particulate emissions</w:t>
      </w:r>
      <w:r w:rsidR="00E44F96">
        <w:rPr>
          <w:rFonts w:ascii="Times New Roman" w:hAnsi="Times New Roman" w:cs="Times New Roman"/>
          <w:sz w:val="24"/>
          <w:szCs w:val="24"/>
        </w:rPr>
        <w:t>,</w:t>
      </w:r>
      <w:r w:rsidR="00396CEE">
        <w:rPr>
          <w:rFonts w:ascii="Times New Roman" w:hAnsi="Times New Roman" w:cs="Times New Roman"/>
          <w:sz w:val="24"/>
          <w:szCs w:val="24"/>
        </w:rPr>
        <w:t xml:space="preserve"> the source would </w:t>
      </w:r>
      <w:r w:rsidR="00E44F96">
        <w:rPr>
          <w:rFonts w:ascii="Times New Roman" w:hAnsi="Times New Roman" w:cs="Times New Roman"/>
          <w:sz w:val="24"/>
          <w:szCs w:val="24"/>
        </w:rPr>
        <w:t xml:space="preserve">be required to </w:t>
      </w:r>
      <w:r w:rsidR="00396CEE">
        <w:rPr>
          <w:rFonts w:ascii="Times New Roman" w:hAnsi="Times New Roman" w:cs="Times New Roman"/>
          <w:sz w:val="24"/>
          <w:szCs w:val="24"/>
        </w:rPr>
        <w:t xml:space="preserve">assume </w:t>
      </w:r>
      <w:r w:rsidR="00E44F96">
        <w:rPr>
          <w:rFonts w:ascii="Times New Roman" w:hAnsi="Times New Roman" w:cs="Times New Roman"/>
          <w:sz w:val="24"/>
          <w:szCs w:val="24"/>
        </w:rPr>
        <w:t xml:space="preserve">all of </w:t>
      </w:r>
      <w:r w:rsidR="00396CEE">
        <w:rPr>
          <w:rFonts w:ascii="Times New Roman" w:hAnsi="Times New Roman" w:cs="Times New Roman"/>
          <w:sz w:val="24"/>
          <w:szCs w:val="24"/>
        </w:rPr>
        <w:t xml:space="preserve">those emissions are </w:t>
      </w:r>
      <w:r w:rsidR="00E44F96">
        <w:rPr>
          <w:rFonts w:ascii="Times New Roman" w:hAnsi="Times New Roman" w:cs="Times New Roman"/>
          <w:sz w:val="24"/>
          <w:szCs w:val="24"/>
        </w:rPr>
        <w:t xml:space="preserve">also </w:t>
      </w:r>
      <w:r w:rsidR="00396CEE">
        <w:rPr>
          <w:rFonts w:ascii="Times New Roman" w:hAnsi="Times New Roman" w:cs="Times New Roman"/>
          <w:sz w:val="24"/>
          <w:szCs w:val="24"/>
        </w:rPr>
        <w:t>PM</w:t>
      </w:r>
      <w:r w:rsidR="00396CEE" w:rsidRPr="00E5425B">
        <w:rPr>
          <w:rFonts w:ascii="Times New Roman" w:hAnsi="Times New Roman" w:cs="Times New Roman"/>
          <w:sz w:val="24"/>
          <w:szCs w:val="24"/>
          <w:vertAlign w:val="subscript"/>
        </w:rPr>
        <w:t>2.5</w:t>
      </w:r>
      <w:r w:rsidR="00396CEE">
        <w:rPr>
          <w:rFonts w:ascii="Times New Roman" w:hAnsi="Times New Roman" w:cs="Times New Roman"/>
          <w:sz w:val="24"/>
          <w:szCs w:val="24"/>
        </w:rPr>
        <w:t xml:space="preserve"> and subject to the lower </w:t>
      </w:r>
      <w:r w:rsidR="000010DA">
        <w:rPr>
          <w:rFonts w:ascii="Times New Roman" w:hAnsi="Times New Roman" w:cs="Times New Roman"/>
          <w:sz w:val="24"/>
          <w:szCs w:val="24"/>
        </w:rPr>
        <w:t>PM</w:t>
      </w:r>
      <w:r w:rsidR="000010DA" w:rsidRPr="00E5425B">
        <w:rPr>
          <w:rFonts w:ascii="Times New Roman" w:hAnsi="Times New Roman" w:cs="Times New Roman"/>
          <w:sz w:val="24"/>
          <w:szCs w:val="24"/>
          <w:vertAlign w:val="subscript"/>
        </w:rPr>
        <w:t>2.5</w:t>
      </w:r>
      <w:r w:rsidR="00396CEE">
        <w:rPr>
          <w:rFonts w:ascii="Times New Roman" w:hAnsi="Times New Roman" w:cs="Times New Roman"/>
          <w:sz w:val="24"/>
          <w:szCs w:val="24"/>
        </w:rPr>
        <w:t xml:space="preserve"> </w:t>
      </w:r>
      <w:r w:rsidR="000010DA">
        <w:rPr>
          <w:rFonts w:ascii="Times New Roman" w:hAnsi="Times New Roman" w:cs="Times New Roman"/>
          <w:sz w:val="24"/>
          <w:szCs w:val="24"/>
        </w:rPr>
        <w:t xml:space="preserve">trigger </w:t>
      </w:r>
      <w:r w:rsidR="00396CEE">
        <w:rPr>
          <w:rFonts w:ascii="Times New Roman" w:hAnsi="Times New Roman" w:cs="Times New Roman"/>
          <w:sz w:val="24"/>
          <w:szCs w:val="24"/>
        </w:rPr>
        <w:t>level for</w:t>
      </w:r>
      <w:r w:rsidR="00A82784">
        <w:rPr>
          <w:rFonts w:ascii="Times New Roman" w:hAnsi="Times New Roman" w:cs="Times New Roman"/>
          <w:sz w:val="24"/>
          <w:szCs w:val="24"/>
        </w:rPr>
        <w:t xml:space="preserve"> NSR/PSD</w:t>
      </w:r>
      <w:r w:rsidR="000010DA">
        <w:rPr>
          <w:rFonts w:ascii="Times New Roman" w:hAnsi="Times New Roman" w:cs="Times New Roman"/>
          <w:sz w:val="24"/>
          <w:szCs w:val="24"/>
        </w:rPr>
        <w:t>.</w:t>
      </w:r>
      <w:r w:rsidR="00007240">
        <w:rPr>
          <w:rFonts w:ascii="Times New Roman" w:hAnsi="Times New Roman" w:cs="Times New Roman"/>
          <w:sz w:val="24"/>
          <w:szCs w:val="24"/>
        </w:rPr>
        <w:t xml:space="preserve"> </w:t>
      </w:r>
      <w:r w:rsidRPr="00655321">
        <w:rPr>
          <w:rFonts w:ascii="Times New Roman" w:hAnsi="Times New Roman" w:cs="Times New Roman"/>
          <w:sz w:val="24"/>
          <w:szCs w:val="24"/>
        </w:rPr>
        <w:t xml:space="preserve">This approach to establishing a baseline </w:t>
      </w:r>
      <w:r>
        <w:rPr>
          <w:rFonts w:ascii="Times New Roman" w:hAnsi="Times New Roman" w:cs="Times New Roman"/>
          <w:sz w:val="24"/>
          <w:szCs w:val="24"/>
        </w:rPr>
        <w:t>and netting basis for PM</w:t>
      </w:r>
      <w:r w:rsidRPr="00E5425B">
        <w:rPr>
          <w:rFonts w:ascii="Times New Roman" w:hAnsi="Times New Roman" w:cs="Times New Roman"/>
          <w:sz w:val="24"/>
          <w:szCs w:val="24"/>
          <w:vertAlign w:val="subscript"/>
        </w:rPr>
        <w:t>2.5</w:t>
      </w:r>
      <w:r>
        <w:rPr>
          <w:rFonts w:ascii="Times New Roman" w:hAnsi="Times New Roman" w:cs="Times New Roman"/>
          <w:sz w:val="24"/>
          <w:szCs w:val="24"/>
        </w:rPr>
        <w:t xml:space="preserve"> </w:t>
      </w:r>
      <w:r w:rsidRPr="00655321">
        <w:rPr>
          <w:rFonts w:ascii="Times New Roman" w:hAnsi="Times New Roman" w:cs="Times New Roman"/>
          <w:sz w:val="24"/>
          <w:szCs w:val="24"/>
        </w:rPr>
        <w:t xml:space="preserve">is considered to be </w:t>
      </w:r>
      <w:r>
        <w:rPr>
          <w:rFonts w:ascii="Times New Roman" w:hAnsi="Times New Roman" w:cs="Times New Roman"/>
          <w:sz w:val="24"/>
          <w:szCs w:val="24"/>
        </w:rPr>
        <w:t>O</w:t>
      </w:r>
      <w:r w:rsidRPr="00655321">
        <w:rPr>
          <w:rFonts w:ascii="Times New Roman" w:hAnsi="Times New Roman" w:cs="Times New Roman"/>
          <w:sz w:val="24"/>
          <w:szCs w:val="24"/>
        </w:rPr>
        <w:t>ption 1.</w:t>
      </w:r>
      <w:r w:rsidR="0000724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E3DAA" w:rsidRDefault="00FE3DAA" w:rsidP="006B3E6F">
      <w:pPr>
        <w:spacing w:after="0"/>
        <w:rPr>
          <w:rFonts w:ascii="Times New Roman" w:hAnsi="Times New Roman" w:cs="Times New Roman"/>
          <w:sz w:val="24"/>
          <w:szCs w:val="24"/>
          <w:u w:val="single"/>
        </w:rPr>
      </w:pPr>
    </w:p>
    <w:p w:rsidR="00E65FEE" w:rsidRPr="00833841" w:rsidRDefault="00A239CC" w:rsidP="006B3E6F">
      <w:pPr>
        <w:spacing w:after="0"/>
        <w:rPr>
          <w:rFonts w:ascii="Times New Roman" w:hAnsi="Times New Roman" w:cs="Times New Roman"/>
          <w:sz w:val="24"/>
          <w:szCs w:val="24"/>
          <w:u w:val="single"/>
        </w:rPr>
      </w:pPr>
      <w:r>
        <w:rPr>
          <w:rFonts w:ascii="Times New Roman" w:hAnsi="Times New Roman" w:cs="Times New Roman"/>
          <w:sz w:val="24"/>
          <w:szCs w:val="24"/>
          <w:u w:val="single"/>
        </w:rPr>
        <w:t>Greenhouse g</w:t>
      </w:r>
      <w:r w:rsidR="00833841" w:rsidRPr="00833841">
        <w:rPr>
          <w:rFonts w:ascii="Times New Roman" w:hAnsi="Times New Roman" w:cs="Times New Roman"/>
          <w:sz w:val="24"/>
          <w:szCs w:val="24"/>
          <w:u w:val="single"/>
        </w:rPr>
        <w:t>ases</w:t>
      </w:r>
    </w:p>
    <w:p w:rsidR="00885540" w:rsidRPr="00F02A51" w:rsidRDefault="006B3E6F" w:rsidP="006B3E6F">
      <w:pPr>
        <w:spacing w:after="0"/>
        <w:rPr>
          <w:rFonts w:ascii="Times New Roman" w:eastAsia="Times New Roman" w:hAnsi="Times New Roman" w:cs="Times New Roman"/>
          <w:sz w:val="24"/>
          <w:szCs w:val="24"/>
        </w:rPr>
      </w:pPr>
      <w:r>
        <w:rPr>
          <w:rFonts w:ascii="Times New Roman" w:hAnsi="Times New Roman" w:cs="Times New Roman"/>
          <w:sz w:val="24"/>
          <w:szCs w:val="24"/>
        </w:rPr>
        <w:t xml:space="preserve">For </w:t>
      </w:r>
      <w:r w:rsidR="00F02A51">
        <w:rPr>
          <w:rFonts w:ascii="Times New Roman" w:hAnsi="Times New Roman" w:cs="Times New Roman"/>
          <w:sz w:val="24"/>
          <w:szCs w:val="24"/>
        </w:rPr>
        <w:t xml:space="preserve">sources with </w:t>
      </w:r>
      <w:r w:rsidR="00A239CC">
        <w:rPr>
          <w:rFonts w:ascii="Times New Roman" w:hAnsi="Times New Roman" w:cs="Times New Roman"/>
          <w:sz w:val="24"/>
          <w:szCs w:val="24"/>
        </w:rPr>
        <w:t>greenhouse gas</w:t>
      </w:r>
      <w:r>
        <w:rPr>
          <w:rFonts w:ascii="Times New Roman" w:hAnsi="Times New Roman" w:cs="Times New Roman"/>
          <w:sz w:val="24"/>
          <w:szCs w:val="24"/>
        </w:rPr>
        <w:t xml:space="preserve"> emissions</w:t>
      </w:r>
      <w:r w:rsidR="00F02A51">
        <w:rPr>
          <w:rFonts w:ascii="Times New Roman" w:hAnsi="Times New Roman" w:cs="Times New Roman"/>
          <w:sz w:val="24"/>
          <w:szCs w:val="24"/>
        </w:rPr>
        <w:t xml:space="preserve"> resulting from fuel combustion</w:t>
      </w:r>
      <w:r>
        <w:rPr>
          <w:rFonts w:ascii="Times New Roman" w:hAnsi="Times New Roman" w:cs="Times New Roman"/>
          <w:sz w:val="24"/>
          <w:szCs w:val="24"/>
        </w:rPr>
        <w:t xml:space="preserve">, the production rate used to establish the netting basis would also be used to establish </w:t>
      </w:r>
      <w:r w:rsidR="00A239CC">
        <w:rPr>
          <w:rFonts w:ascii="Times New Roman" w:hAnsi="Times New Roman" w:cs="Times New Roman"/>
          <w:sz w:val="24"/>
          <w:szCs w:val="24"/>
        </w:rPr>
        <w:t>greenhouse gas</w:t>
      </w:r>
      <w:r>
        <w:rPr>
          <w:rFonts w:ascii="Times New Roman" w:hAnsi="Times New Roman" w:cs="Times New Roman"/>
          <w:sz w:val="24"/>
          <w:szCs w:val="24"/>
        </w:rPr>
        <w:t xml:space="preserve"> emissions.</w:t>
      </w:r>
      <w:r w:rsidR="00007240">
        <w:rPr>
          <w:rFonts w:ascii="Times New Roman" w:hAnsi="Times New Roman" w:cs="Times New Roman"/>
          <w:sz w:val="24"/>
          <w:szCs w:val="24"/>
        </w:rPr>
        <w:t xml:space="preserve"> </w:t>
      </w:r>
      <w:r w:rsidR="00050855" w:rsidRPr="005F7C8A">
        <w:rPr>
          <w:rFonts w:ascii="Times New Roman" w:eastAsia="Times New Roman" w:hAnsi="Times New Roman" w:cs="Times New Roman"/>
          <w:sz w:val="24"/>
          <w:szCs w:val="24"/>
        </w:rPr>
        <w:t xml:space="preserve">For </w:t>
      </w:r>
      <w:r w:rsidR="00F02A51">
        <w:rPr>
          <w:rFonts w:ascii="Times New Roman" w:eastAsia="Times New Roman" w:hAnsi="Times New Roman" w:cs="Times New Roman"/>
          <w:sz w:val="24"/>
          <w:szCs w:val="24"/>
        </w:rPr>
        <w:t xml:space="preserve">sources whose </w:t>
      </w:r>
      <w:r w:rsidR="00A239CC">
        <w:rPr>
          <w:rFonts w:ascii="Times New Roman" w:eastAsia="Times New Roman" w:hAnsi="Times New Roman" w:cs="Times New Roman"/>
          <w:sz w:val="24"/>
          <w:szCs w:val="24"/>
        </w:rPr>
        <w:t>greenhouse gas</w:t>
      </w:r>
      <w:r w:rsidR="00F02A51">
        <w:rPr>
          <w:rFonts w:ascii="Times New Roman" w:eastAsia="Times New Roman" w:hAnsi="Times New Roman" w:cs="Times New Roman"/>
          <w:sz w:val="24"/>
          <w:szCs w:val="24"/>
        </w:rPr>
        <w:t xml:space="preserve"> emissions do not result from fuel combustion</w:t>
      </w:r>
      <w:r w:rsidR="00C92D1E">
        <w:rPr>
          <w:rFonts w:ascii="Times New Roman" w:eastAsia="Times New Roman" w:hAnsi="Times New Roman" w:cs="Times New Roman"/>
          <w:sz w:val="24"/>
          <w:szCs w:val="24"/>
        </w:rPr>
        <w:t>,</w:t>
      </w:r>
      <w:r w:rsidR="00F02A51">
        <w:rPr>
          <w:rFonts w:ascii="Times New Roman" w:eastAsia="Times New Roman" w:hAnsi="Times New Roman" w:cs="Times New Roman"/>
          <w:sz w:val="24"/>
          <w:szCs w:val="24"/>
        </w:rPr>
        <w:t xml:space="preserve"> a different </w:t>
      </w:r>
      <w:r w:rsidR="00F02A51">
        <w:rPr>
          <w:rFonts w:ascii="Times New Roman" w:eastAsia="Times New Roman" w:hAnsi="Times New Roman" w:cs="Times New Roman"/>
          <w:sz w:val="24"/>
          <w:szCs w:val="24"/>
        </w:rPr>
        <w:lastRenderedPageBreak/>
        <w:t xml:space="preserve">approach </w:t>
      </w:r>
      <w:r w:rsidR="00115F10">
        <w:rPr>
          <w:rFonts w:ascii="Times New Roman" w:eastAsia="Times New Roman" w:hAnsi="Times New Roman" w:cs="Times New Roman"/>
          <w:sz w:val="24"/>
          <w:szCs w:val="24"/>
        </w:rPr>
        <w:t xml:space="preserve">would </w:t>
      </w:r>
      <w:r w:rsidR="00F02A51">
        <w:rPr>
          <w:rFonts w:ascii="Times New Roman" w:eastAsia="Times New Roman" w:hAnsi="Times New Roman" w:cs="Times New Roman"/>
          <w:sz w:val="24"/>
          <w:szCs w:val="24"/>
        </w:rPr>
        <w:t>be used.</w:t>
      </w:r>
      <w:r w:rsidR="00007240">
        <w:rPr>
          <w:rFonts w:ascii="Times New Roman" w:eastAsia="Times New Roman" w:hAnsi="Times New Roman" w:cs="Times New Roman"/>
          <w:sz w:val="24"/>
          <w:szCs w:val="24"/>
        </w:rPr>
        <w:t xml:space="preserve"> </w:t>
      </w:r>
      <w:r w:rsidR="00F02A51">
        <w:rPr>
          <w:rFonts w:ascii="Times New Roman" w:eastAsia="Times New Roman" w:hAnsi="Times New Roman" w:cs="Times New Roman"/>
          <w:sz w:val="24"/>
          <w:szCs w:val="24"/>
        </w:rPr>
        <w:t>I</w:t>
      </w:r>
      <w:r w:rsidR="00050855" w:rsidRPr="005F7C8A">
        <w:rPr>
          <w:rFonts w:ascii="Times New Roman" w:eastAsia="Times New Roman" w:hAnsi="Times New Roman" w:cs="Times New Roman"/>
          <w:sz w:val="24"/>
          <w:szCs w:val="24"/>
        </w:rPr>
        <w:t xml:space="preserve">f </w:t>
      </w:r>
      <w:r w:rsidR="00F02A51">
        <w:rPr>
          <w:rFonts w:ascii="Times New Roman" w:eastAsia="Times New Roman" w:hAnsi="Times New Roman" w:cs="Times New Roman"/>
          <w:sz w:val="24"/>
          <w:szCs w:val="24"/>
        </w:rPr>
        <w:t xml:space="preserve">these non-combustion </w:t>
      </w:r>
      <w:r w:rsidR="00A239CC">
        <w:rPr>
          <w:rFonts w:ascii="Times New Roman" w:eastAsia="Times New Roman" w:hAnsi="Times New Roman" w:cs="Times New Roman"/>
          <w:sz w:val="24"/>
          <w:szCs w:val="24"/>
        </w:rPr>
        <w:t>greenhouse gas</w:t>
      </w:r>
      <w:r w:rsidR="00050855" w:rsidRPr="005F7C8A">
        <w:rPr>
          <w:rFonts w:ascii="Times New Roman" w:eastAsia="Times New Roman" w:hAnsi="Times New Roman" w:cs="Times New Roman"/>
          <w:sz w:val="24"/>
          <w:szCs w:val="24"/>
        </w:rPr>
        <w:t xml:space="preserve"> emissions are related to the production parameters used to establish the </w:t>
      </w:r>
      <w:r w:rsidR="00115F10">
        <w:rPr>
          <w:rFonts w:ascii="Times New Roman" w:eastAsia="Times New Roman" w:hAnsi="Times New Roman" w:cs="Times New Roman"/>
          <w:sz w:val="24"/>
          <w:szCs w:val="24"/>
        </w:rPr>
        <w:t>source</w:t>
      </w:r>
      <w:r w:rsidR="009C0BC1">
        <w:rPr>
          <w:rFonts w:ascii="Times New Roman" w:eastAsia="Times New Roman" w:hAnsi="Times New Roman" w:cs="Times New Roman"/>
          <w:sz w:val="24"/>
          <w:szCs w:val="24"/>
        </w:rPr>
        <w:t>’</w:t>
      </w:r>
      <w:r w:rsidR="00115F10">
        <w:rPr>
          <w:rFonts w:ascii="Times New Roman" w:eastAsia="Times New Roman" w:hAnsi="Times New Roman" w:cs="Times New Roman"/>
          <w:sz w:val="24"/>
          <w:szCs w:val="24"/>
        </w:rPr>
        <w:t xml:space="preserve">s </w:t>
      </w:r>
      <w:r w:rsidR="00050855" w:rsidRPr="005F7C8A">
        <w:rPr>
          <w:rFonts w:ascii="Times New Roman" w:eastAsia="Times New Roman" w:hAnsi="Times New Roman" w:cs="Times New Roman"/>
          <w:sz w:val="24"/>
          <w:szCs w:val="24"/>
        </w:rPr>
        <w:t xml:space="preserve">netting basis, the </w:t>
      </w:r>
      <w:r w:rsidR="00A239CC">
        <w:rPr>
          <w:rFonts w:ascii="Times New Roman" w:eastAsia="Times New Roman" w:hAnsi="Times New Roman" w:cs="Times New Roman"/>
          <w:sz w:val="24"/>
          <w:szCs w:val="24"/>
        </w:rPr>
        <w:t>greenhouse gas</w:t>
      </w:r>
      <w:r w:rsidR="00050855" w:rsidRPr="005F7C8A">
        <w:rPr>
          <w:rFonts w:ascii="Times New Roman" w:eastAsia="Times New Roman" w:hAnsi="Times New Roman" w:cs="Times New Roman"/>
          <w:sz w:val="24"/>
          <w:szCs w:val="24"/>
        </w:rPr>
        <w:t xml:space="preserve"> baseline emission rate </w:t>
      </w:r>
      <w:r w:rsidR="00C92D1E">
        <w:rPr>
          <w:rFonts w:ascii="Times New Roman" w:eastAsia="Times New Roman" w:hAnsi="Times New Roman" w:cs="Times New Roman"/>
          <w:sz w:val="24"/>
          <w:szCs w:val="24"/>
        </w:rPr>
        <w:t>would</w:t>
      </w:r>
      <w:r w:rsidR="00050855" w:rsidRPr="005F7C8A">
        <w:rPr>
          <w:rFonts w:ascii="Times New Roman" w:eastAsia="Times New Roman" w:hAnsi="Times New Roman" w:cs="Times New Roman"/>
          <w:sz w:val="24"/>
          <w:szCs w:val="24"/>
        </w:rPr>
        <w:t xml:space="preserve"> be calculated using the relationship between </w:t>
      </w:r>
      <w:r w:rsidR="00A239CC">
        <w:rPr>
          <w:rFonts w:ascii="Times New Roman" w:eastAsia="Times New Roman" w:hAnsi="Times New Roman" w:cs="Times New Roman"/>
          <w:sz w:val="24"/>
          <w:szCs w:val="24"/>
        </w:rPr>
        <w:t>greenhouse gas</w:t>
      </w:r>
      <w:r w:rsidR="00050855" w:rsidRPr="005F7C8A">
        <w:rPr>
          <w:rFonts w:ascii="Times New Roman" w:eastAsia="Times New Roman" w:hAnsi="Times New Roman" w:cs="Times New Roman"/>
          <w:sz w:val="24"/>
          <w:szCs w:val="24"/>
        </w:rPr>
        <w:t xml:space="preserve"> emissions and </w:t>
      </w:r>
      <w:r w:rsidR="00050855">
        <w:rPr>
          <w:rFonts w:ascii="Times New Roman" w:eastAsia="Times New Roman" w:hAnsi="Times New Roman" w:cs="Times New Roman"/>
          <w:sz w:val="24"/>
          <w:szCs w:val="24"/>
        </w:rPr>
        <w:t>the same pr</w:t>
      </w:r>
      <w:r w:rsidR="00EE19F8">
        <w:rPr>
          <w:rFonts w:ascii="Times New Roman" w:eastAsia="Times New Roman" w:hAnsi="Times New Roman" w:cs="Times New Roman"/>
          <w:sz w:val="24"/>
          <w:szCs w:val="24"/>
        </w:rPr>
        <w:t>oductio</w:t>
      </w:r>
      <w:r w:rsidR="00050855">
        <w:rPr>
          <w:rFonts w:ascii="Times New Roman" w:eastAsia="Times New Roman" w:hAnsi="Times New Roman" w:cs="Times New Roman"/>
          <w:sz w:val="24"/>
          <w:szCs w:val="24"/>
        </w:rPr>
        <w:t>n parameters.</w:t>
      </w:r>
      <w:r w:rsidR="00007240">
        <w:rPr>
          <w:rFonts w:ascii="Times New Roman" w:eastAsia="Times New Roman" w:hAnsi="Times New Roman" w:cs="Times New Roman"/>
          <w:sz w:val="24"/>
          <w:szCs w:val="24"/>
        </w:rPr>
        <w:t xml:space="preserve"> </w:t>
      </w:r>
      <w:r w:rsidR="00050855">
        <w:rPr>
          <w:rFonts w:ascii="Times New Roman" w:eastAsia="Times New Roman" w:hAnsi="Times New Roman" w:cs="Times New Roman"/>
          <w:sz w:val="24"/>
          <w:szCs w:val="24"/>
        </w:rPr>
        <w:t>If</w:t>
      </w:r>
      <w:r>
        <w:rPr>
          <w:rFonts w:ascii="Times New Roman" w:hAnsi="Times New Roman" w:cs="Times New Roman"/>
          <w:sz w:val="24"/>
          <w:szCs w:val="24"/>
        </w:rPr>
        <w:t xml:space="preserve"> a source</w:t>
      </w:r>
      <w:r w:rsidR="00396CEE">
        <w:rPr>
          <w:rFonts w:ascii="Times New Roman" w:hAnsi="Times New Roman" w:cs="Times New Roman"/>
          <w:sz w:val="24"/>
          <w:szCs w:val="24"/>
        </w:rPr>
        <w:t>’s</w:t>
      </w:r>
      <w:r>
        <w:rPr>
          <w:rFonts w:ascii="Times New Roman" w:hAnsi="Times New Roman" w:cs="Times New Roman"/>
          <w:sz w:val="24"/>
          <w:szCs w:val="24"/>
        </w:rPr>
        <w:t xml:space="preserve"> </w:t>
      </w:r>
      <w:r w:rsidR="00396CEE">
        <w:rPr>
          <w:rFonts w:ascii="Times New Roman" w:hAnsi="Times New Roman" w:cs="Times New Roman"/>
          <w:sz w:val="24"/>
          <w:szCs w:val="24"/>
        </w:rPr>
        <w:t>production parameters do not correspond to their greenhouse gas emissions</w:t>
      </w:r>
      <w:r w:rsidR="00F02A51">
        <w:rPr>
          <w:rFonts w:ascii="Times New Roman" w:hAnsi="Times New Roman" w:cs="Times New Roman"/>
          <w:sz w:val="24"/>
          <w:szCs w:val="24"/>
        </w:rPr>
        <w:t xml:space="preserve"> or if a source </w:t>
      </w:r>
      <w:r>
        <w:rPr>
          <w:rFonts w:ascii="Times New Roman" w:hAnsi="Times New Roman" w:cs="Times New Roman"/>
          <w:sz w:val="24"/>
          <w:szCs w:val="24"/>
        </w:rPr>
        <w:t xml:space="preserve">did not have a netting basis, baseline emissions would then be set at actual emissions </w:t>
      </w:r>
      <w:r w:rsidR="00655321" w:rsidRPr="00655321">
        <w:rPr>
          <w:rFonts w:ascii="Times New Roman" w:hAnsi="Times New Roman" w:cs="Times New Roman"/>
          <w:sz w:val="24"/>
          <w:szCs w:val="24"/>
        </w:rPr>
        <w:t xml:space="preserve">during their highest emission year between 2000 and 2010. This approach to establishing a baseline </w:t>
      </w:r>
      <w:r w:rsidR="00833841">
        <w:rPr>
          <w:rFonts w:ascii="Times New Roman" w:hAnsi="Times New Roman" w:cs="Times New Roman"/>
          <w:sz w:val="24"/>
          <w:szCs w:val="24"/>
        </w:rPr>
        <w:t>and netting basis for</w:t>
      </w:r>
      <w:r w:rsidR="00833841" w:rsidRPr="00655321">
        <w:rPr>
          <w:rFonts w:ascii="Times New Roman" w:hAnsi="Times New Roman" w:cs="Times New Roman"/>
          <w:sz w:val="24"/>
          <w:szCs w:val="24"/>
        </w:rPr>
        <w:t xml:space="preserve"> </w:t>
      </w:r>
      <w:r w:rsidR="00A239CC">
        <w:rPr>
          <w:rFonts w:ascii="Times New Roman" w:hAnsi="Times New Roman" w:cs="Times New Roman"/>
          <w:sz w:val="24"/>
          <w:szCs w:val="24"/>
        </w:rPr>
        <w:t>greenhouse gases</w:t>
      </w:r>
      <w:r w:rsidR="00833841">
        <w:rPr>
          <w:rFonts w:ascii="Times New Roman" w:hAnsi="Times New Roman" w:cs="Times New Roman"/>
          <w:sz w:val="24"/>
          <w:szCs w:val="24"/>
        </w:rPr>
        <w:t xml:space="preserve"> </w:t>
      </w:r>
      <w:r w:rsidR="00655321" w:rsidRPr="00655321">
        <w:rPr>
          <w:rFonts w:ascii="Times New Roman" w:hAnsi="Times New Roman" w:cs="Times New Roman"/>
          <w:sz w:val="24"/>
          <w:szCs w:val="24"/>
        </w:rPr>
        <w:t xml:space="preserve">is considered to be </w:t>
      </w:r>
      <w:r w:rsidR="00F02A51">
        <w:rPr>
          <w:rFonts w:ascii="Times New Roman" w:hAnsi="Times New Roman" w:cs="Times New Roman"/>
          <w:sz w:val="24"/>
          <w:szCs w:val="24"/>
        </w:rPr>
        <w:t>O</w:t>
      </w:r>
      <w:r w:rsidR="00655321" w:rsidRPr="00655321">
        <w:rPr>
          <w:rFonts w:ascii="Times New Roman" w:hAnsi="Times New Roman" w:cs="Times New Roman"/>
          <w:sz w:val="24"/>
          <w:szCs w:val="24"/>
        </w:rPr>
        <w:t>ption 1.</w:t>
      </w:r>
      <w:r w:rsidR="00007240">
        <w:rPr>
          <w:rFonts w:ascii="Times New Roman" w:hAnsi="Times New Roman" w:cs="Times New Roman"/>
          <w:sz w:val="24"/>
          <w:szCs w:val="24"/>
        </w:rPr>
        <w:t xml:space="preserve"> </w:t>
      </w:r>
      <w:r w:rsidR="007B7DF8">
        <w:rPr>
          <w:rFonts w:ascii="Times New Roman" w:hAnsi="Times New Roman" w:cs="Times New Roman"/>
          <w:sz w:val="24"/>
          <w:szCs w:val="24"/>
        </w:rPr>
        <w:t xml:space="preserve"> </w:t>
      </w:r>
    </w:p>
    <w:p w:rsidR="005B14D2" w:rsidRDefault="005B14D2" w:rsidP="006B3E6F">
      <w:pPr>
        <w:spacing w:after="0"/>
        <w:rPr>
          <w:rFonts w:ascii="Times New Roman" w:hAnsi="Times New Roman" w:cs="Times New Roman"/>
          <w:sz w:val="24"/>
          <w:szCs w:val="24"/>
        </w:rPr>
      </w:pPr>
    </w:p>
    <w:p w:rsidR="00FA0DFE" w:rsidRDefault="00655321" w:rsidP="006B3E6F">
      <w:pPr>
        <w:spacing w:after="0"/>
        <w:rPr>
          <w:rFonts w:ascii="Times New Roman" w:hAnsi="Times New Roman" w:cs="Times New Roman"/>
          <w:sz w:val="24"/>
          <w:szCs w:val="24"/>
        </w:rPr>
      </w:pPr>
      <w:r w:rsidRPr="00655321">
        <w:rPr>
          <w:rFonts w:ascii="Times New Roman" w:hAnsi="Times New Roman" w:cs="Times New Roman"/>
          <w:sz w:val="24"/>
          <w:szCs w:val="24"/>
        </w:rPr>
        <w:t>DEQ is also considering and would like comment on</w:t>
      </w:r>
      <w:r w:rsidR="002024F8">
        <w:rPr>
          <w:rFonts w:ascii="Times New Roman" w:hAnsi="Times New Roman" w:cs="Times New Roman"/>
          <w:sz w:val="24"/>
          <w:szCs w:val="24"/>
        </w:rPr>
        <w:t xml:space="preserve"> other options described below.</w:t>
      </w:r>
      <w:r w:rsidRPr="00655321">
        <w:rPr>
          <w:rFonts w:ascii="Times New Roman" w:hAnsi="Times New Roman" w:cs="Times New Roman"/>
          <w:sz w:val="24"/>
          <w:szCs w:val="24"/>
        </w:rPr>
        <w:br/>
      </w:r>
      <w:r w:rsidRPr="00655321">
        <w:rPr>
          <w:rFonts w:ascii="Times New Roman" w:hAnsi="Times New Roman" w:cs="Times New Roman"/>
          <w:sz w:val="24"/>
          <w:szCs w:val="24"/>
        </w:rPr>
        <w:br/>
      </w:r>
      <w:r w:rsidR="00DB30B0" w:rsidRPr="00A239CC">
        <w:rPr>
          <w:rFonts w:ascii="Times New Roman" w:hAnsi="Times New Roman" w:cs="Times New Roman"/>
          <w:sz w:val="24"/>
          <w:szCs w:val="24"/>
          <w:u w:val="single"/>
        </w:rPr>
        <w:t>Option 2</w:t>
      </w:r>
    </w:p>
    <w:p w:rsidR="00FD6A67" w:rsidRDefault="00FA0DFE" w:rsidP="000406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Set</w:t>
      </w:r>
      <w:r w:rsidR="00423005">
        <w:rPr>
          <w:rFonts w:ascii="Times New Roman" w:hAnsi="Times New Roman" w:cs="Times New Roman"/>
          <w:sz w:val="24"/>
          <w:szCs w:val="24"/>
        </w:rPr>
        <w:t xml:space="preserve"> the</w:t>
      </w:r>
      <w:r>
        <w:rPr>
          <w:rFonts w:ascii="Times New Roman" w:hAnsi="Times New Roman" w:cs="Times New Roman"/>
          <w:sz w:val="24"/>
          <w:szCs w:val="24"/>
        </w:rPr>
        <w:t xml:space="preserve"> baseline </w:t>
      </w:r>
      <w:r w:rsidR="00C92D1E">
        <w:rPr>
          <w:rFonts w:ascii="Times New Roman" w:hAnsi="Times New Roman" w:cs="Times New Roman"/>
          <w:sz w:val="24"/>
          <w:szCs w:val="24"/>
        </w:rPr>
        <w:t xml:space="preserve">emission </w:t>
      </w:r>
      <w:r>
        <w:rPr>
          <w:rFonts w:ascii="Times New Roman" w:hAnsi="Times New Roman" w:cs="Times New Roman"/>
          <w:sz w:val="24"/>
          <w:szCs w:val="24"/>
        </w:rPr>
        <w:t>level according to emissions in the year 1977 or 1978</w:t>
      </w:r>
      <w:r w:rsidR="00181300">
        <w:rPr>
          <w:rFonts w:ascii="Times New Roman" w:hAnsi="Times New Roman" w:cs="Times New Roman"/>
          <w:sz w:val="24"/>
          <w:szCs w:val="24"/>
        </w:rPr>
        <w:t>,</w:t>
      </w:r>
      <w:r>
        <w:rPr>
          <w:rFonts w:ascii="Times New Roman" w:hAnsi="Times New Roman" w:cs="Times New Roman"/>
          <w:sz w:val="24"/>
          <w:szCs w:val="24"/>
        </w:rPr>
        <w:t xml:space="preserve"> </w:t>
      </w:r>
      <w:r w:rsidRPr="00655321">
        <w:rPr>
          <w:rFonts w:ascii="Times New Roman" w:hAnsi="Times New Roman" w:cs="Times New Roman"/>
          <w:sz w:val="24"/>
          <w:szCs w:val="24"/>
        </w:rPr>
        <w:t>or a prior time period if it</w:t>
      </w:r>
      <w:r w:rsidR="00A239CC">
        <w:rPr>
          <w:rFonts w:ascii="Times New Roman" w:hAnsi="Times New Roman" w:cs="Times New Roman"/>
          <w:sz w:val="24"/>
          <w:szCs w:val="24"/>
        </w:rPr>
        <w:t xml:space="preserve"> is</w:t>
      </w:r>
      <w:r w:rsidRPr="00655321">
        <w:rPr>
          <w:rFonts w:ascii="Times New Roman" w:hAnsi="Times New Roman" w:cs="Times New Roman"/>
          <w:sz w:val="24"/>
          <w:szCs w:val="24"/>
        </w:rPr>
        <w:t xml:space="preserve"> more representative of normal operation</w:t>
      </w:r>
      <w:r w:rsidR="00181300">
        <w:rPr>
          <w:rFonts w:ascii="Times New Roman" w:hAnsi="Times New Roman" w:cs="Times New Roman"/>
          <w:sz w:val="24"/>
          <w:szCs w:val="24"/>
        </w:rPr>
        <w:t>, and calculate the netting basis by adjusting for any required decreases or approved increases since th</w:t>
      </w:r>
      <w:r w:rsidR="005A1EE7">
        <w:rPr>
          <w:rFonts w:ascii="Times New Roman" w:hAnsi="Times New Roman" w:cs="Times New Roman"/>
          <w:sz w:val="24"/>
          <w:szCs w:val="24"/>
        </w:rPr>
        <w:t>at time</w:t>
      </w:r>
      <w:r w:rsidRPr="00655321">
        <w:rPr>
          <w:rFonts w:ascii="Times New Roman" w:hAnsi="Times New Roman" w:cs="Times New Roman"/>
          <w:sz w:val="24"/>
          <w:szCs w:val="24"/>
        </w:rPr>
        <w:t xml:space="preserve">. </w:t>
      </w:r>
      <w:r w:rsidR="00FD6A67" w:rsidRPr="00655321">
        <w:rPr>
          <w:rFonts w:ascii="Times New Roman" w:hAnsi="Times New Roman" w:cs="Times New Roman"/>
          <w:sz w:val="24"/>
          <w:szCs w:val="24"/>
        </w:rPr>
        <w:t xml:space="preserve">DEQ is considering this period for both </w:t>
      </w:r>
      <w:r w:rsidR="00FD6A67">
        <w:rPr>
          <w:rFonts w:ascii="Times New Roman" w:hAnsi="Times New Roman" w:cs="Times New Roman"/>
          <w:sz w:val="24"/>
          <w:szCs w:val="24"/>
        </w:rPr>
        <w:t>PM</w:t>
      </w:r>
      <w:r w:rsidR="00FD6A67" w:rsidRPr="00E5425B">
        <w:rPr>
          <w:rFonts w:ascii="Times New Roman" w:hAnsi="Times New Roman" w:cs="Times New Roman"/>
          <w:sz w:val="24"/>
          <w:szCs w:val="24"/>
          <w:vertAlign w:val="subscript"/>
        </w:rPr>
        <w:t>2.5</w:t>
      </w:r>
      <w:r w:rsidR="00FD6A67">
        <w:rPr>
          <w:rFonts w:ascii="Times New Roman" w:hAnsi="Times New Roman" w:cs="Times New Roman"/>
          <w:sz w:val="24"/>
          <w:szCs w:val="24"/>
        </w:rPr>
        <w:t xml:space="preserve"> </w:t>
      </w:r>
      <w:r w:rsidR="00FD6A67" w:rsidRPr="00655321">
        <w:rPr>
          <w:rFonts w:ascii="Times New Roman" w:hAnsi="Times New Roman" w:cs="Times New Roman"/>
          <w:sz w:val="24"/>
          <w:szCs w:val="24"/>
        </w:rPr>
        <w:t xml:space="preserve">and </w:t>
      </w:r>
      <w:r w:rsidR="00A239CC">
        <w:rPr>
          <w:rFonts w:ascii="Times New Roman" w:hAnsi="Times New Roman" w:cs="Times New Roman"/>
          <w:sz w:val="24"/>
          <w:szCs w:val="24"/>
        </w:rPr>
        <w:t>greenhouse gase</w:t>
      </w:r>
      <w:r w:rsidR="00FD6A67" w:rsidRPr="00655321">
        <w:rPr>
          <w:rFonts w:ascii="Times New Roman" w:hAnsi="Times New Roman" w:cs="Times New Roman"/>
          <w:sz w:val="24"/>
          <w:szCs w:val="24"/>
        </w:rPr>
        <w:t>s</w:t>
      </w:r>
      <w:r w:rsidR="00FD6A67">
        <w:rPr>
          <w:rFonts w:ascii="Times New Roman" w:hAnsi="Times New Roman" w:cs="Times New Roman"/>
          <w:sz w:val="24"/>
          <w:szCs w:val="24"/>
        </w:rPr>
        <w:t xml:space="preserve"> as it is the current procedure for other criteria pollutants</w:t>
      </w:r>
      <w:r w:rsidR="00FD6A67" w:rsidRPr="00655321">
        <w:rPr>
          <w:rFonts w:ascii="Times New Roman" w:hAnsi="Times New Roman" w:cs="Times New Roman"/>
          <w:sz w:val="24"/>
          <w:szCs w:val="24"/>
        </w:rPr>
        <w:t>. </w:t>
      </w:r>
    </w:p>
    <w:p w:rsidR="00FD6A67" w:rsidRDefault="00FD6A67" w:rsidP="00040688">
      <w:pPr>
        <w:autoSpaceDE w:val="0"/>
        <w:autoSpaceDN w:val="0"/>
        <w:adjustRightInd w:val="0"/>
        <w:spacing w:after="0" w:line="240" w:lineRule="auto"/>
        <w:rPr>
          <w:rFonts w:ascii="Times New Roman" w:hAnsi="Times New Roman" w:cs="Times New Roman"/>
          <w:sz w:val="24"/>
          <w:szCs w:val="24"/>
        </w:rPr>
      </w:pPr>
    </w:p>
    <w:p w:rsidR="00FD6A67" w:rsidRDefault="00181300" w:rsidP="000406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3133F3">
        <w:rPr>
          <w:rFonts w:ascii="Times New Roman" w:hAnsi="Times New Roman" w:cs="Times New Roman"/>
          <w:sz w:val="24"/>
          <w:szCs w:val="24"/>
        </w:rPr>
        <w:t>ources that were permitted during that time would use the production parameters in their permits to set baseline emissions for PM</w:t>
      </w:r>
      <w:r w:rsidR="003133F3" w:rsidRPr="00E5425B">
        <w:rPr>
          <w:rFonts w:ascii="Times New Roman" w:hAnsi="Times New Roman" w:cs="Times New Roman"/>
          <w:sz w:val="24"/>
          <w:szCs w:val="24"/>
          <w:vertAlign w:val="subscript"/>
        </w:rPr>
        <w:t>2.5</w:t>
      </w:r>
      <w:r w:rsidR="003133F3">
        <w:rPr>
          <w:rFonts w:ascii="Times New Roman" w:hAnsi="Times New Roman" w:cs="Times New Roman"/>
          <w:sz w:val="24"/>
          <w:szCs w:val="24"/>
        </w:rPr>
        <w:t xml:space="preserve"> </w:t>
      </w:r>
      <w:r w:rsidR="003133F3" w:rsidRPr="00655321">
        <w:rPr>
          <w:rFonts w:ascii="Times New Roman" w:hAnsi="Times New Roman" w:cs="Times New Roman"/>
          <w:sz w:val="24"/>
          <w:szCs w:val="24"/>
        </w:rPr>
        <w:t xml:space="preserve">and </w:t>
      </w:r>
      <w:r w:rsidR="00A239CC">
        <w:rPr>
          <w:rFonts w:ascii="Times New Roman" w:hAnsi="Times New Roman" w:cs="Times New Roman"/>
          <w:sz w:val="24"/>
          <w:szCs w:val="24"/>
        </w:rPr>
        <w:t>greenhouse gase</w:t>
      </w:r>
      <w:r w:rsidR="003133F3" w:rsidRPr="00655321">
        <w:rPr>
          <w:rFonts w:ascii="Times New Roman" w:hAnsi="Times New Roman" w:cs="Times New Roman"/>
          <w:sz w:val="24"/>
          <w:szCs w:val="24"/>
        </w:rPr>
        <w:t>s</w:t>
      </w:r>
      <w:r w:rsidR="003133F3">
        <w:rPr>
          <w:rFonts w:ascii="Times New Roman" w:hAnsi="Times New Roman" w:cs="Times New Roman"/>
          <w:sz w:val="24"/>
          <w:szCs w:val="24"/>
        </w:rPr>
        <w:t>.</w:t>
      </w:r>
      <w:r w:rsidR="00007240">
        <w:rPr>
          <w:rFonts w:ascii="Times New Roman" w:hAnsi="Times New Roman" w:cs="Times New Roman"/>
          <w:sz w:val="24"/>
          <w:szCs w:val="24"/>
        </w:rPr>
        <w:t xml:space="preserve"> </w:t>
      </w:r>
      <w:r w:rsidR="003133F3">
        <w:rPr>
          <w:rFonts w:ascii="Times New Roman" w:hAnsi="Times New Roman" w:cs="Times New Roman"/>
          <w:sz w:val="24"/>
          <w:szCs w:val="24"/>
        </w:rPr>
        <w:t>For sources that did not exist at that time, the baseline levels for PM</w:t>
      </w:r>
      <w:r w:rsidR="003133F3" w:rsidRPr="00E5425B">
        <w:rPr>
          <w:rFonts w:ascii="Times New Roman" w:hAnsi="Times New Roman" w:cs="Times New Roman"/>
          <w:sz w:val="24"/>
          <w:szCs w:val="24"/>
          <w:vertAlign w:val="subscript"/>
        </w:rPr>
        <w:t>2.5</w:t>
      </w:r>
      <w:r w:rsidR="003133F3">
        <w:rPr>
          <w:rFonts w:ascii="Times New Roman" w:hAnsi="Times New Roman" w:cs="Times New Roman"/>
          <w:sz w:val="24"/>
          <w:szCs w:val="24"/>
        </w:rPr>
        <w:t xml:space="preserve"> </w:t>
      </w:r>
      <w:r w:rsidR="003133F3" w:rsidRPr="00655321">
        <w:rPr>
          <w:rFonts w:ascii="Times New Roman" w:hAnsi="Times New Roman" w:cs="Times New Roman"/>
          <w:sz w:val="24"/>
          <w:szCs w:val="24"/>
        </w:rPr>
        <w:t xml:space="preserve">and </w:t>
      </w:r>
      <w:r w:rsidR="00A239CC">
        <w:rPr>
          <w:rFonts w:ascii="Times New Roman" w:hAnsi="Times New Roman" w:cs="Times New Roman"/>
          <w:sz w:val="24"/>
          <w:szCs w:val="24"/>
        </w:rPr>
        <w:t>greenhouse gase</w:t>
      </w:r>
      <w:r w:rsidR="003133F3" w:rsidRPr="00655321">
        <w:rPr>
          <w:rFonts w:ascii="Times New Roman" w:hAnsi="Times New Roman" w:cs="Times New Roman"/>
          <w:sz w:val="24"/>
          <w:szCs w:val="24"/>
        </w:rPr>
        <w:t>s</w:t>
      </w:r>
      <w:r w:rsidR="003133F3">
        <w:rPr>
          <w:rFonts w:ascii="Times New Roman" w:hAnsi="Times New Roman" w:cs="Times New Roman"/>
          <w:sz w:val="24"/>
          <w:szCs w:val="24"/>
        </w:rPr>
        <w:t xml:space="preserve"> would be s</w:t>
      </w:r>
      <w:r w:rsidR="00115F10">
        <w:rPr>
          <w:rFonts w:ascii="Times New Roman" w:hAnsi="Times New Roman" w:cs="Times New Roman"/>
          <w:sz w:val="24"/>
          <w:szCs w:val="24"/>
        </w:rPr>
        <w:t>et at their potential emissions</w:t>
      </w:r>
      <w:r w:rsidR="003133F3">
        <w:rPr>
          <w:rFonts w:ascii="Times New Roman" w:hAnsi="Times New Roman" w:cs="Times New Roman"/>
          <w:sz w:val="24"/>
          <w:szCs w:val="24"/>
        </w:rPr>
        <w:t>.</w:t>
      </w:r>
      <w:r w:rsidR="00007240">
        <w:rPr>
          <w:rFonts w:ascii="Times New Roman" w:hAnsi="Times New Roman" w:cs="Times New Roman"/>
          <w:sz w:val="24"/>
          <w:szCs w:val="24"/>
        </w:rPr>
        <w:t xml:space="preserve"> </w:t>
      </w:r>
      <w:r w:rsidR="00FA0DFE" w:rsidRPr="00655321">
        <w:rPr>
          <w:rFonts w:ascii="Times New Roman" w:hAnsi="Times New Roman" w:cs="Times New Roman"/>
          <w:sz w:val="24"/>
          <w:szCs w:val="24"/>
        </w:rPr>
        <w:br/>
      </w:r>
      <w:r w:rsidR="00FA0DFE">
        <w:rPr>
          <w:rFonts w:ascii="Times New Roman" w:hAnsi="Times New Roman" w:cs="Times New Roman"/>
          <w:sz w:val="24"/>
          <w:szCs w:val="24"/>
        </w:rPr>
        <w:br/>
      </w:r>
      <w:r w:rsidR="00FA0DFE" w:rsidRPr="00A239CC">
        <w:rPr>
          <w:rFonts w:ascii="Times New Roman" w:hAnsi="Times New Roman" w:cs="Times New Roman"/>
          <w:sz w:val="24"/>
          <w:szCs w:val="24"/>
          <w:u w:val="single"/>
        </w:rPr>
        <w:t xml:space="preserve">Option </w:t>
      </w:r>
      <w:r w:rsidR="00DB30B0" w:rsidRPr="00A239CC">
        <w:rPr>
          <w:rFonts w:ascii="Times New Roman" w:hAnsi="Times New Roman" w:cs="Times New Roman"/>
          <w:sz w:val="24"/>
          <w:szCs w:val="24"/>
          <w:u w:val="single"/>
        </w:rPr>
        <w:t>3</w:t>
      </w:r>
      <w:r w:rsidR="00117132">
        <w:rPr>
          <w:rFonts w:ascii="Times New Roman" w:hAnsi="Times New Roman" w:cs="Times New Roman"/>
          <w:sz w:val="24"/>
          <w:szCs w:val="24"/>
        </w:rPr>
        <w:t xml:space="preserve"> </w:t>
      </w:r>
    </w:p>
    <w:p w:rsidR="00FD6A67" w:rsidRDefault="00FA0DFE" w:rsidP="00040688">
      <w:pPr>
        <w:autoSpaceDE w:val="0"/>
        <w:autoSpaceDN w:val="0"/>
        <w:adjustRightInd w:val="0"/>
        <w:spacing w:after="0" w:line="240" w:lineRule="auto"/>
        <w:rPr>
          <w:rFonts w:ascii="Times New Roman" w:hAnsi="Times New Roman" w:cs="Times New Roman"/>
          <w:sz w:val="24"/>
          <w:szCs w:val="24"/>
        </w:rPr>
      </w:pPr>
      <w:r w:rsidRPr="00655321">
        <w:rPr>
          <w:rFonts w:ascii="Times New Roman" w:hAnsi="Times New Roman" w:cs="Times New Roman"/>
          <w:sz w:val="24"/>
          <w:szCs w:val="24"/>
        </w:rPr>
        <w:t xml:space="preserve">Set the baseline </w:t>
      </w:r>
      <w:r w:rsidR="005A1EE7">
        <w:rPr>
          <w:rFonts w:ascii="Times New Roman" w:hAnsi="Times New Roman" w:cs="Times New Roman"/>
          <w:sz w:val="24"/>
          <w:szCs w:val="24"/>
        </w:rPr>
        <w:t xml:space="preserve">emission </w:t>
      </w:r>
      <w:r w:rsidRPr="00655321">
        <w:rPr>
          <w:rFonts w:ascii="Times New Roman" w:hAnsi="Times New Roman" w:cs="Times New Roman"/>
          <w:sz w:val="24"/>
          <w:szCs w:val="24"/>
        </w:rPr>
        <w:t>level according to emissions in the year 2006 or 2007</w:t>
      </w:r>
      <w:r w:rsidR="005A1EE7">
        <w:rPr>
          <w:rFonts w:ascii="Times New Roman" w:hAnsi="Times New Roman" w:cs="Times New Roman"/>
          <w:sz w:val="24"/>
          <w:szCs w:val="24"/>
        </w:rPr>
        <w:t>,</w:t>
      </w:r>
      <w:r w:rsidRPr="00655321">
        <w:rPr>
          <w:rFonts w:ascii="Times New Roman" w:hAnsi="Times New Roman" w:cs="Times New Roman"/>
          <w:sz w:val="24"/>
          <w:szCs w:val="24"/>
        </w:rPr>
        <w:t xml:space="preserve"> or a prior time period if it</w:t>
      </w:r>
      <w:r w:rsidR="00A239CC">
        <w:rPr>
          <w:rFonts w:ascii="Times New Roman" w:hAnsi="Times New Roman" w:cs="Times New Roman"/>
          <w:sz w:val="24"/>
          <w:szCs w:val="24"/>
        </w:rPr>
        <w:t xml:space="preserve"> is</w:t>
      </w:r>
      <w:r w:rsidRPr="00655321">
        <w:rPr>
          <w:rFonts w:ascii="Times New Roman" w:hAnsi="Times New Roman" w:cs="Times New Roman"/>
          <w:sz w:val="24"/>
          <w:szCs w:val="24"/>
        </w:rPr>
        <w:t xml:space="preserve"> more representative of normal operation</w:t>
      </w:r>
      <w:r w:rsidR="005A1EE7">
        <w:rPr>
          <w:rFonts w:ascii="Times New Roman" w:hAnsi="Times New Roman" w:cs="Times New Roman"/>
          <w:sz w:val="24"/>
          <w:szCs w:val="24"/>
        </w:rPr>
        <w:t>,</w:t>
      </w:r>
      <w:r w:rsidR="005A1EE7" w:rsidRPr="005A1EE7">
        <w:rPr>
          <w:rFonts w:ascii="Times New Roman" w:hAnsi="Times New Roman" w:cs="Times New Roman"/>
          <w:sz w:val="24"/>
          <w:szCs w:val="24"/>
        </w:rPr>
        <w:t xml:space="preserve"> </w:t>
      </w:r>
      <w:r w:rsidR="005A1EE7">
        <w:rPr>
          <w:rFonts w:ascii="Times New Roman" w:hAnsi="Times New Roman" w:cs="Times New Roman"/>
          <w:sz w:val="24"/>
          <w:szCs w:val="24"/>
        </w:rPr>
        <w:t>and calculate the netting basis by adjusting for any required decreases or approved increases since that time</w:t>
      </w:r>
      <w:r w:rsidRPr="00655321">
        <w:rPr>
          <w:rFonts w:ascii="Times New Roman" w:hAnsi="Times New Roman" w:cs="Times New Roman"/>
          <w:sz w:val="24"/>
          <w:szCs w:val="24"/>
        </w:rPr>
        <w:t xml:space="preserve">. DEQ is considering this period for both </w:t>
      </w:r>
      <w:r w:rsidR="00E5425B">
        <w:rPr>
          <w:rFonts w:ascii="Times New Roman" w:hAnsi="Times New Roman" w:cs="Times New Roman"/>
          <w:sz w:val="24"/>
          <w:szCs w:val="24"/>
        </w:rPr>
        <w:t>PM</w:t>
      </w:r>
      <w:r w:rsidR="00E5425B" w:rsidRPr="00E5425B">
        <w:rPr>
          <w:rFonts w:ascii="Times New Roman" w:hAnsi="Times New Roman" w:cs="Times New Roman"/>
          <w:sz w:val="24"/>
          <w:szCs w:val="24"/>
          <w:vertAlign w:val="subscript"/>
        </w:rPr>
        <w:t>2.5</w:t>
      </w:r>
      <w:r w:rsidR="00E5425B">
        <w:rPr>
          <w:rFonts w:ascii="Times New Roman" w:hAnsi="Times New Roman" w:cs="Times New Roman"/>
          <w:sz w:val="24"/>
          <w:szCs w:val="24"/>
        </w:rPr>
        <w:t xml:space="preserve"> </w:t>
      </w:r>
      <w:r w:rsidRPr="00655321">
        <w:rPr>
          <w:rFonts w:ascii="Times New Roman" w:hAnsi="Times New Roman" w:cs="Times New Roman"/>
          <w:sz w:val="24"/>
          <w:szCs w:val="24"/>
        </w:rPr>
        <w:t xml:space="preserve">and </w:t>
      </w:r>
      <w:r w:rsidR="00A239CC">
        <w:rPr>
          <w:rFonts w:ascii="Times New Roman" w:hAnsi="Times New Roman" w:cs="Times New Roman"/>
          <w:sz w:val="24"/>
          <w:szCs w:val="24"/>
        </w:rPr>
        <w:t>greenhouse gase</w:t>
      </w:r>
      <w:r w:rsidRPr="00655321">
        <w:rPr>
          <w:rFonts w:ascii="Times New Roman" w:hAnsi="Times New Roman" w:cs="Times New Roman"/>
          <w:sz w:val="24"/>
          <w:szCs w:val="24"/>
        </w:rPr>
        <w:t>s</w:t>
      </w:r>
      <w:r w:rsidR="005A1EE7">
        <w:rPr>
          <w:rFonts w:ascii="Times New Roman" w:hAnsi="Times New Roman" w:cs="Times New Roman"/>
          <w:sz w:val="24"/>
          <w:szCs w:val="24"/>
        </w:rPr>
        <w:t xml:space="preserve"> because it closer to the time when these pollutants became regulated and because better data may be available</w:t>
      </w:r>
      <w:r w:rsidR="00115F10">
        <w:rPr>
          <w:rFonts w:ascii="Times New Roman" w:hAnsi="Times New Roman" w:cs="Times New Roman"/>
          <w:sz w:val="24"/>
          <w:szCs w:val="24"/>
        </w:rPr>
        <w:t>.</w:t>
      </w:r>
      <w:r w:rsidR="00A239CC">
        <w:rPr>
          <w:rFonts w:ascii="Times New Roman" w:hAnsi="Times New Roman" w:cs="Times New Roman"/>
          <w:sz w:val="24"/>
          <w:szCs w:val="24"/>
        </w:rPr>
        <w:t xml:space="preserve"> </w:t>
      </w:r>
      <w:r w:rsidR="00115F10">
        <w:rPr>
          <w:rFonts w:ascii="Times New Roman" w:hAnsi="Times New Roman" w:cs="Times New Roman"/>
          <w:sz w:val="24"/>
          <w:szCs w:val="24"/>
        </w:rPr>
        <w:t xml:space="preserve">This </w:t>
      </w:r>
      <w:r w:rsidR="00E75F68">
        <w:rPr>
          <w:rFonts w:ascii="Times New Roman" w:hAnsi="Times New Roman" w:cs="Times New Roman"/>
          <w:sz w:val="24"/>
          <w:szCs w:val="24"/>
        </w:rPr>
        <w:t xml:space="preserve">is the procedure approved in the temporary </w:t>
      </w:r>
      <w:r w:rsidR="00E5425B">
        <w:rPr>
          <w:rFonts w:ascii="Times New Roman" w:hAnsi="Times New Roman" w:cs="Times New Roman"/>
          <w:sz w:val="24"/>
          <w:szCs w:val="24"/>
        </w:rPr>
        <w:t>PM</w:t>
      </w:r>
      <w:r w:rsidR="00E5425B" w:rsidRPr="00E5425B">
        <w:rPr>
          <w:rFonts w:ascii="Times New Roman" w:hAnsi="Times New Roman" w:cs="Times New Roman"/>
          <w:sz w:val="24"/>
          <w:szCs w:val="24"/>
          <w:vertAlign w:val="subscript"/>
        </w:rPr>
        <w:t>2.5</w:t>
      </w:r>
      <w:r w:rsidR="00E5425B">
        <w:rPr>
          <w:rFonts w:ascii="Times New Roman" w:hAnsi="Times New Roman" w:cs="Times New Roman"/>
          <w:sz w:val="24"/>
          <w:szCs w:val="24"/>
        </w:rPr>
        <w:t xml:space="preserve"> </w:t>
      </w:r>
      <w:r w:rsidR="00A239CC">
        <w:rPr>
          <w:rFonts w:ascii="Times New Roman" w:hAnsi="Times New Roman" w:cs="Times New Roman"/>
          <w:sz w:val="24"/>
          <w:szCs w:val="24"/>
        </w:rPr>
        <w:t>rules adopted in August</w:t>
      </w:r>
      <w:r w:rsidR="00E75F68">
        <w:rPr>
          <w:rFonts w:ascii="Times New Roman" w:hAnsi="Times New Roman" w:cs="Times New Roman"/>
          <w:sz w:val="24"/>
          <w:szCs w:val="24"/>
        </w:rPr>
        <w:t xml:space="preserve"> 2010</w:t>
      </w:r>
      <w:r w:rsidRPr="00655321">
        <w:rPr>
          <w:rFonts w:ascii="Times New Roman" w:hAnsi="Times New Roman" w:cs="Times New Roman"/>
          <w:sz w:val="24"/>
          <w:szCs w:val="24"/>
        </w:rPr>
        <w:t>. </w:t>
      </w:r>
    </w:p>
    <w:p w:rsidR="00FD6A67" w:rsidRDefault="00FD6A67" w:rsidP="00040688">
      <w:pPr>
        <w:autoSpaceDE w:val="0"/>
        <w:autoSpaceDN w:val="0"/>
        <w:adjustRightInd w:val="0"/>
        <w:spacing w:after="0" w:line="240" w:lineRule="auto"/>
        <w:rPr>
          <w:rFonts w:ascii="Times New Roman" w:hAnsi="Times New Roman" w:cs="Times New Roman"/>
          <w:sz w:val="24"/>
          <w:szCs w:val="24"/>
        </w:rPr>
      </w:pPr>
    </w:p>
    <w:p w:rsidR="009259FA" w:rsidRDefault="007A232B" w:rsidP="00836024">
      <w:pPr>
        <w:rPr>
          <w:rFonts w:ascii="Times New Roman" w:hAnsi="Times New Roman" w:cs="Times New Roman"/>
          <w:sz w:val="24"/>
          <w:szCs w:val="24"/>
        </w:rPr>
      </w:pPr>
      <w:r w:rsidRPr="00A239CC">
        <w:rPr>
          <w:rFonts w:ascii="Times New Roman" w:hAnsi="Times New Roman" w:cs="Times New Roman"/>
          <w:sz w:val="24"/>
          <w:szCs w:val="24"/>
          <w:u w:val="single"/>
        </w:rPr>
        <w:t xml:space="preserve">Option </w:t>
      </w:r>
      <w:r w:rsidR="00DB30B0" w:rsidRPr="00A239CC">
        <w:rPr>
          <w:rFonts w:ascii="Times New Roman" w:hAnsi="Times New Roman" w:cs="Times New Roman"/>
          <w:sz w:val="24"/>
          <w:szCs w:val="24"/>
          <w:u w:val="single"/>
        </w:rPr>
        <w:t>4</w:t>
      </w:r>
      <w:r w:rsidR="00655321" w:rsidRPr="00655321">
        <w:rPr>
          <w:rFonts w:ascii="Times New Roman" w:hAnsi="Times New Roman" w:cs="Times New Roman"/>
          <w:sz w:val="24"/>
          <w:szCs w:val="24"/>
        </w:rPr>
        <w:br/>
      </w:r>
      <w:proofErr w:type="gramStart"/>
      <w:r w:rsidR="00655321" w:rsidRPr="00655321">
        <w:rPr>
          <w:rFonts w:ascii="Times New Roman" w:hAnsi="Times New Roman" w:cs="Times New Roman"/>
          <w:sz w:val="24"/>
          <w:szCs w:val="24"/>
        </w:rPr>
        <w:t>Set</w:t>
      </w:r>
      <w:proofErr w:type="gramEnd"/>
      <w:r w:rsidR="00655321" w:rsidRPr="00655321">
        <w:rPr>
          <w:rFonts w:ascii="Times New Roman" w:hAnsi="Times New Roman" w:cs="Times New Roman"/>
          <w:sz w:val="24"/>
          <w:szCs w:val="24"/>
        </w:rPr>
        <w:t xml:space="preserve"> the </w:t>
      </w:r>
      <w:r w:rsidR="00B34159">
        <w:rPr>
          <w:rFonts w:ascii="Times New Roman" w:hAnsi="Times New Roman" w:cs="Times New Roman"/>
          <w:sz w:val="24"/>
          <w:szCs w:val="24"/>
        </w:rPr>
        <w:t>process for determining if a source goes through PSD the same way it is</w:t>
      </w:r>
      <w:r w:rsidR="00655321" w:rsidRPr="00655321">
        <w:rPr>
          <w:rFonts w:ascii="Times New Roman" w:hAnsi="Times New Roman" w:cs="Times New Roman"/>
          <w:sz w:val="24"/>
          <w:szCs w:val="24"/>
        </w:rPr>
        <w:t xml:space="preserve"> done under </w:t>
      </w:r>
      <w:r w:rsidR="008A1212">
        <w:rPr>
          <w:rFonts w:ascii="Times New Roman" w:hAnsi="Times New Roman" w:cs="Times New Roman"/>
          <w:sz w:val="24"/>
          <w:szCs w:val="24"/>
        </w:rPr>
        <w:t>EPA’s</w:t>
      </w:r>
      <w:r w:rsidR="00655321" w:rsidRPr="00655321">
        <w:rPr>
          <w:rFonts w:ascii="Times New Roman" w:hAnsi="Times New Roman" w:cs="Times New Roman"/>
          <w:sz w:val="24"/>
          <w:szCs w:val="24"/>
        </w:rPr>
        <w:t xml:space="preserve"> </w:t>
      </w:r>
      <w:r w:rsidR="00B75FB0">
        <w:rPr>
          <w:rFonts w:ascii="Times New Roman" w:hAnsi="Times New Roman" w:cs="Times New Roman"/>
          <w:sz w:val="24"/>
          <w:szCs w:val="24"/>
        </w:rPr>
        <w:t xml:space="preserve">default </w:t>
      </w:r>
      <w:r w:rsidR="008A1212">
        <w:rPr>
          <w:rFonts w:ascii="Times New Roman" w:hAnsi="Times New Roman" w:cs="Times New Roman"/>
          <w:sz w:val="24"/>
          <w:szCs w:val="24"/>
        </w:rPr>
        <w:t>program</w:t>
      </w:r>
      <w:r w:rsidR="00115F10">
        <w:rPr>
          <w:rFonts w:ascii="Times New Roman" w:hAnsi="Times New Roman" w:cs="Times New Roman"/>
          <w:sz w:val="24"/>
          <w:szCs w:val="24"/>
        </w:rPr>
        <w:t>.</w:t>
      </w:r>
      <w:r w:rsidR="00007240">
        <w:rPr>
          <w:rFonts w:ascii="Times New Roman" w:hAnsi="Times New Roman" w:cs="Times New Roman"/>
          <w:sz w:val="24"/>
          <w:szCs w:val="24"/>
        </w:rPr>
        <w:t xml:space="preserve"> </w:t>
      </w:r>
      <w:r w:rsidR="00B34159">
        <w:rPr>
          <w:rFonts w:ascii="Times New Roman" w:hAnsi="Times New Roman" w:cs="Times New Roman"/>
          <w:sz w:val="24"/>
          <w:szCs w:val="24"/>
        </w:rPr>
        <w:t xml:space="preserve">EPA’s PSD </w:t>
      </w:r>
      <w:r w:rsidR="00115F10">
        <w:rPr>
          <w:rFonts w:ascii="Times New Roman" w:hAnsi="Times New Roman" w:cs="Times New Roman"/>
          <w:sz w:val="24"/>
          <w:szCs w:val="24"/>
        </w:rPr>
        <w:t xml:space="preserve">program typically relies on </w:t>
      </w:r>
      <w:r w:rsidR="00A239CC">
        <w:rPr>
          <w:rFonts w:ascii="Times New Roman" w:hAnsi="Times New Roman" w:cs="Times New Roman"/>
          <w:sz w:val="24"/>
          <w:szCs w:val="24"/>
        </w:rPr>
        <w:t>a rolling 10-</w:t>
      </w:r>
      <w:r w:rsidR="00655321" w:rsidRPr="00655321">
        <w:rPr>
          <w:rFonts w:ascii="Times New Roman" w:hAnsi="Times New Roman" w:cs="Times New Roman"/>
          <w:sz w:val="24"/>
          <w:szCs w:val="24"/>
        </w:rPr>
        <w:t>year look back period for establishing baseline emission level</w:t>
      </w:r>
      <w:r w:rsidR="00052294">
        <w:rPr>
          <w:rFonts w:ascii="Times New Roman" w:hAnsi="Times New Roman" w:cs="Times New Roman"/>
          <w:sz w:val="24"/>
          <w:szCs w:val="24"/>
        </w:rPr>
        <w:t>s</w:t>
      </w:r>
      <w:r w:rsidR="00B34159">
        <w:rPr>
          <w:rFonts w:ascii="Times New Roman" w:hAnsi="Times New Roman" w:cs="Times New Roman"/>
          <w:sz w:val="24"/>
          <w:szCs w:val="24"/>
        </w:rPr>
        <w:t xml:space="preserve"> used to determine if a source has emission increases above a significant emission rate that would trigger PSD</w:t>
      </w:r>
      <w:r w:rsidR="00052294">
        <w:rPr>
          <w:rFonts w:ascii="Times New Roman" w:hAnsi="Times New Roman" w:cs="Times New Roman"/>
          <w:sz w:val="24"/>
          <w:szCs w:val="24"/>
        </w:rPr>
        <w:t>.</w:t>
      </w:r>
      <w:r w:rsidR="00007240">
        <w:rPr>
          <w:rFonts w:ascii="Times New Roman" w:hAnsi="Times New Roman" w:cs="Times New Roman"/>
          <w:sz w:val="24"/>
          <w:szCs w:val="24"/>
        </w:rPr>
        <w:t xml:space="preserve"> </w:t>
      </w:r>
      <w:r w:rsidR="00052294">
        <w:rPr>
          <w:rFonts w:ascii="Times New Roman" w:hAnsi="Times New Roman" w:cs="Times New Roman"/>
          <w:sz w:val="24"/>
          <w:szCs w:val="24"/>
        </w:rPr>
        <w:t>DEQ is con</w:t>
      </w:r>
      <w:r w:rsidR="008D75D1">
        <w:rPr>
          <w:rFonts w:ascii="Times New Roman" w:hAnsi="Times New Roman" w:cs="Times New Roman"/>
          <w:sz w:val="24"/>
          <w:szCs w:val="24"/>
        </w:rPr>
        <w:t xml:space="preserve">templating </w:t>
      </w:r>
      <w:r w:rsidR="00052294">
        <w:rPr>
          <w:rFonts w:ascii="Times New Roman" w:hAnsi="Times New Roman" w:cs="Times New Roman"/>
          <w:sz w:val="24"/>
          <w:szCs w:val="24"/>
        </w:rPr>
        <w:t xml:space="preserve">this option for </w:t>
      </w:r>
      <w:r w:rsidR="00A239CC">
        <w:rPr>
          <w:rFonts w:ascii="Times New Roman" w:hAnsi="Times New Roman" w:cs="Times New Roman"/>
          <w:sz w:val="24"/>
          <w:szCs w:val="24"/>
        </w:rPr>
        <w:t>greenhouse gase</w:t>
      </w:r>
      <w:r w:rsidR="00423005">
        <w:rPr>
          <w:rFonts w:ascii="Times New Roman" w:hAnsi="Times New Roman" w:cs="Times New Roman"/>
          <w:sz w:val="24"/>
          <w:szCs w:val="24"/>
        </w:rPr>
        <w:t>s</w:t>
      </w:r>
      <w:r w:rsidR="00052294">
        <w:rPr>
          <w:rFonts w:ascii="Times New Roman" w:hAnsi="Times New Roman" w:cs="Times New Roman"/>
          <w:sz w:val="24"/>
          <w:szCs w:val="24"/>
        </w:rPr>
        <w:t xml:space="preserve"> only</w:t>
      </w:r>
      <w:r w:rsidR="00B75FB0">
        <w:rPr>
          <w:rFonts w:ascii="Times New Roman" w:hAnsi="Times New Roman" w:cs="Times New Roman"/>
          <w:sz w:val="24"/>
          <w:szCs w:val="24"/>
        </w:rPr>
        <w:t xml:space="preserve"> at this time; DEQ would need to reevaluate its entire PSD program to use this option for PM</w:t>
      </w:r>
      <w:r w:rsidR="00D47C4C" w:rsidRPr="00D47C4C">
        <w:rPr>
          <w:rFonts w:ascii="Times New Roman" w:hAnsi="Times New Roman" w:cs="Times New Roman"/>
          <w:sz w:val="24"/>
          <w:szCs w:val="24"/>
          <w:vertAlign w:val="subscript"/>
        </w:rPr>
        <w:t>2.5</w:t>
      </w:r>
      <w:r w:rsidR="00B75FB0">
        <w:rPr>
          <w:rFonts w:ascii="Times New Roman" w:hAnsi="Times New Roman" w:cs="Times New Roman"/>
          <w:sz w:val="24"/>
          <w:szCs w:val="24"/>
        </w:rPr>
        <w:t>, which could not be done in the timeframe of this rulemaking</w:t>
      </w:r>
      <w:r w:rsidR="00052294">
        <w:rPr>
          <w:rFonts w:ascii="Times New Roman" w:hAnsi="Times New Roman" w:cs="Times New Roman"/>
          <w:sz w:val="24"/>
          <w:szCs w:val="24"/>
        </w:rPr>
        <w:t>.</w:t>
      </w:r>
      <w:r w:rsidR="00007240">
        <w:rPr>
          <w:rFonts w:ascii="Times New Roman" w:hAnsi="Times New Roman" w:cs="Times New Roman"/>
          <w:sz w:val="24"/>
          <w:szCs w:val="24"/>
        </w:rPr>
        <w:t xml:space="preserve"> </w:t>
      </w:r>
    </w:p>
    <w:p w:rsidR="00885CC0" w:rsidRDefault="009259FA">
      <w:pPr>
        <w:rPr>
          <w:rFonts w:ascii="Times New Roman" w:hAnsi="Times New Roman" w:cs="Times New Roman"/>
          <w:sz w:val="24"/>
          <w:szCs w:val="24"/>
        </w:rPr>
      </w:pPr>
      <w:r>
        <w:rPr>
          <w:rFonts w:ascii="Times New Roman" w:hAnsi="Times New Roman" w:cs="Times New Roman"/>
          <w:sz w:val="24"/>
          <w:szCs w:val="24"/>
        </w:rPr>
        <w:t>Sources would have to examine their actual emissions over the past ten years.</w:t>
      </w:r>
      <w:r w:rsidR="00007240">
        <w:rPr>
          <w:rFonts w:ascii="Times New Roman" w:hAnsi="Times New Roman" w:cs="Times New Roman"/>
          <w:sz w:val="24"/>
          <w:szCs w:val="24"/>
        </w:rPr>
        <w:t xml:space="preserve"> </w:t>
      </w:r>
      <w:r>
        <w:rPr>
          <w:rFonts w:ascii="Times New Roman" w:hAnsi="Times New Roman" w:cs="Times New Roman"/>
          <w:sz w:val="24"/>
          <w:szCs w:val="24"/>
        </w:rPr>
        <w:t>They would t</w:t>
      </w:r>
      <w:r w:rsidR="006D3379">
        <w:rPr>
          <w:rFonts w:ascii="Times New Roman" w:hAnsi="Times New Roman" w:cs="Times New Roman"/>
          <w:sz w:val="24"/>
          <w:szCs w:val="24"/>
        </w:rPr>
        <w:t>ypically</w:t>
      </w:r>
      <w:r>
        <w:rPr>
          <w:rFonts w:ascii="Times New Roman" w:hAnsi="Times New Roman" w:cs="Times New Roman"/>
          <w:sz w:val="24"/>
          <w:szCs w:val="24"/>
        </w:rPr>
        <w:t xml:space="preserve"> choose the highest two-year period and average the actual emissions over a 12-month period.</w:t>
      </w:r>
      <w:r w:rsidR="00007240">
        <w:rPr>
          <w:rFonts w:ascii="Times New Roman" w:hAnsi="Times New Roman" w:cs="Times New Roman"/>
          <w:sz w:val="24"/>
          <w:szCs w:val="24"/>
        </w:rPr>
        <w:t xml:space="preserve"> </w:t>
      </w:r>
      <w:r w:rsidR="006D3379">
        <w:rPr>
          <w:rFonts w:ascii="Times New Roman" w:hAnsi="Times New Roman" w:cs="Times New Roman"/>
          <w:sz w:val="24"/>
          <w:szCs w:val="24"/>
        </w:rPr>
        <w:t>Generally speaking</w:t>
      </w:r>
      <w:r w:rsidR="00A239CC">
        <w:rPr>
          <w:rFonts w:ascii="Times New Roman" w:hAnsi="Times New Roman" w:cs="Times New Roman"/>
          <w:sz w:val="24"/>
          <w:szCs w:val="24"/>
        </w:rPr>
        <w:t>,</w:t>
      </w:r>
      <w:r w:rsidR="006D3379">
        <w:rPr>
          <w:rFonts w:ascii="Times New Roman" w:hAnsi="Times New Roman" w:cs="Times New Roman"/>
          <w:sz w:val="24"/>
          <w:szCs w:val="24"/>
        </w:rPr>
        <w:t xml:space="preserve"> o</w:t>
      </w:r>
      <w:r>
        <w:rPr>
          <w:rFonts w:ascii="Times New Roman" w:hAnsi="Times New Roman" w:cs="Times New Roman"/>
          <w:sz w:val="24"/>
          <w:szCs w:val="24"/>
        </w:rPr>
        <w:t>nce they have determined their highest actual emissions over that 10-year period, they would compare those actual emissions to their actual emissions for the proposed project.</w:t>
      </w:r>
      <w:r w:rsidR="00007240">
        <w:rPr>
          <w:rFonts w:ascii="Times New Roman" w:hAnsi="Times New Roman" w:cs="Times New Roman"/>
          <w:sz w:val="24"/>
          <w:szCs w:val="24"/>
        </w:rPr>
        <w:t xml:space="preserve"> </w:t>
      </w:r>
      <w:r>
        <w:rPr>
          <w:rFonts w:ascii="Times New Roman" w:hAnsi="Times New Roman" w:cs="Times New Roman"/>
          <w:sz w:val="24"/>
          <w:szCs w:val="24"/>
        </w:rPr>
        <w:t xml:space="preserve">If the increase in emissions for </w:t>
      </w:r>
      <w:r>
        <w:rPr>
          <w:rFonts w:ascii="Times New Roman" w:hAnsi="Times New Roman" w:cs="Times New Roman"/>
          <w:sz w:val="24"/>
          <w:szCs w:val="24"/>
        </w:rPr>
        <w:lastRenderedPageBreak/>
        <w:t>the project is over a threshold, preconstruction review would be required.</w:t>
      </w:r>
      <w:r w:rsidR="00007240">
        <w:rPr>
          <w:rFonts w:ascii="Times New Roman" w:hAnsi="Times New Roman" w:cs="Times New Roman"/>
          <w:sz w:val="24"/>
          <w:szCs w:val="24"/>
        </w:rPr>
        <w:t xml:space="preserve"> </w:t>
      </w:r>
      <w:r w:rsidR="004A53EE">
        <w:rPr>
          <w:rFonts w:ascii="Times New Roman" w:hAnsi="Times New Roman" w:cs="Times New Roman"/>
          <w:sz w:val="24"/>
          <w:szCs w:val="24"/>
        </w:rPr>
        <w:t>Under this option, e</w:t>
      </w:r>
      <w:r w:rsidR="00B75FB0">
        <w:rPr>
          <w:rFonts w:ascii="Times New Roman" w:hAnsi="Times New Roman" w:cs="Times New Roman"/>
          <w:sz w:val="24"/>
          <w:szCs w:val="24"/>
        </w:rPr>
        <w:t xml:space="preserve">mission control technology requirements would apply only to </w:t>
      </w:r>
      <w:r w:rsidR="004A53EE">
        <w:rPr>
          <w:rFonts w:ascii="Times New Roman" w:hAnsi="Times New Roman" w:cs="Times New Roman"/>
          <w:sz w:val="24"/>
          <w:szCs w:val="24"/>
        </w:rPr>
        <w:t>emission increases from the new physical changes, as opposed to the other three options under which retrofit emission control technology requirements would apply to all physical changes that contributed to emission increases since the baseline year.</w:t>
      </w:r>
    </w:p>
    <w:p w:rsidR="00885CC0" w:rsidRDefault="00A239CC" w:rsidP="00885CC0">
      <w:pPr>
        <w:pStyle w:val="NormalWeb"/>
        <w:rPr>
          <w:b/>
          <w:bCs/>
        </w:rPr>
      </w:pPr>
      <w:r>
        <w:rPr>
          <w:b/>
          <w:bCs/>
        </w:rPr>
        <w:t>Example rule l</w:t>
      </w:r>
      <w:r w:rsidR="00885CC0">
        <w:rPr>
          <w:b/>
          <w:bCs/>
        </w:rPr>
        <w:t>anguage for Option 4:</w:t>
      </w:r>
    </w:p>
    <w:p w:rsidR="00885CC0" w:rsidRDefault="00885CC0" w:rsidP="00885CC0">
      <w:pPr>
        <w:pStyle w:val="NormalWeb"/>
        <w:spacing w:before="0" w:beforeAutospacing="0" w:after="0" w:afterAutospacing="0"/>
      </w:pPr>
      <w:r>
        <w:rPr>
          <w:b/>
          <w:bCs/>
        </w:rPr>
        <w:t xml:space="preserve">340-224-0005 </w:t>
      </w:r>
    </w:p>
    <w:p w:rsidR="00885CC0" w:rsidRDefault="00885CC0" w:rsidP="00885CC0">
      <w:pPr>
        <w:pStyle w:val="NormalWeb"/>
        <w:spacing w:before="0" w:beforeAutospacing="0" w:after="0" w:afterAutospacing="0"/>
      </w:pPr>
      <w:r>
        <w:rPr>
          <w:b/>
          <w:bCs/>
        </w:rPr>
        <w:t>Federal Regulations Adopted by Reference</w:t>
      </w:r>
    </w:p>
    <w:p w:rsidR="00885CC0" w:rsidRDefault="00885CC0" w:rsidP="00885CC0">
      <w:pPr>
        <w:pStyle w:val="NormalWeb"/>
        <w:spacing w:before="0" w:beforeAutospacing="0" w:after="0" w:afterAutospacing="0"/>
      </w:pPr>
      <w:r>
        <w:t xml:space="preserve">(1) </w:t>
      </w:r>
      <w:r>
        <w:rPr>
          <w:b/>
          <w:bCs/>
        </w:rPr>
        <w:t xml:space="preserve">40 CFR </w:t>
      </w:r>
      <w:r w:rsidRPr="00994BC6">
        <w:rPr>
          <w:b/>
          <w:bCs/>
        </w:rPr>
        <w:t>Part</w:t>
      </w:r>
      <w:r w:rsidRPr="00994BC6">
        <w:t xml:space="preserve"> </w:t>
      </w:r>
      <w:r w:rsidRPr="00994BC6">
        <w:rPr>
          <w:b/>
          <w:bCs/>
        </w:rPr>
        <w:t>52.21</w:t>
      </w:r>
      <w:r>
        <w:rPr>
          <w:b/>
          <w:bCs/>
        </w:rPr>
        <w:t xml:space="preserve"> </w:t>
      </w:r>
      <w:r>
        <w:t>(June 3, 2010) except paragraph (a)(1) is by this reference adopted and incorporated herein, for purposes of implementing the Prevention of Significant Deterioration program for greenhouse gases only. The term "permitting authority" means the Oregon Department of Environmental Quality and the term "Administrator" shall mean the Administrator of the United States Environmental Protection Agency.</w:t>
      </w:r>
    </w:p>
    <w:p w:rsidR="00A239CC" w:rsidRDefault="00A239CC" w:rsidP="00885CC0">
      <w:pPr>
        <w:pStyle w:val="NormalWeb"/>
        <w:spacing w:before="0" w:beforeAutospacing="0" w:after="0" w:afterAutospacing="0"/>
      </w:pPr>
    </w:p>
    <w:tbl>
      <w:tblPr>
        <w:tblStyle w:val="TableGrid"/>
        <w:tblW w:w="0" w:type="auto"/>
        <w:tblLook w:val="04A0"/>
      </w:tblPr>
      <w:tblGrid>
        <w:gridCol w:w="2718"/>
        <w:gridCol w:w="3150"/>
        <w:gridCol w:w="7920"/>
      </w:tblGrid>
      <w:tr w:rsidR="00A0523E" w:rsidRPr="00624A29" w:rsidTr="00C1132E">
        <w:trPr>
          <w:tblHeader/>
        </w:trPr>
        <w:tc>
          <w:tcPr>
            <w:tcW w:w="2718" w:type="dxa"/>
          </w:tcPr>
          <w:p w:rsidR="00A0523E" w:rsidRPr="00624A29" w:rsidRDefault="00007240" w:rsidP="00ED5F5A">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0523E" w:rsidRPr="00624A29">
              <w:rPr>
                <w:rFonts w:ascii="Times New Roman" w:eastAsia="Times New Roman" w:hAnsi="Times New Roman" w:cs="Times New Roman"/>
                <w:b/>
                <w:sz w:val="24"/>
                <w:szCs w:val="24"/>
              </w:rPr>
              <w:t>OPTION</w:t>
            </w:r>
          </w:p>
        </w:tc>
        <w:tc>
          <w:tcPr>
            <w:tcW w:w="3150" w:type="dxa"/>
          </w:tcPr>
          <w:p w:rsidR="00A0523E" w:rsidRPr="00624A29" w:rsidRDefault="00A0523E" w:rsidP="00ED5F5A">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EXPLANATION</w:t>
            </w:r>
          </w:p>
        </w:tc>
        <w:tc>
          <w:tcPr>
            <w:tcW w:w="7920" w:type="dxa"/>
          </w:tcPr>
          <w:p w:rsidR="00A0523E" w:rsidRPr="00624A29" w:rsidRDefault="00A0523E" w:rsidP="00ED5F5A">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CONSIDERATIONS</w:t>
            </w:r>
          </w:p>
        </w:tc>
      </w:tr>
      <w:tr w:rsidR="00A0523E" w:rsidRPr="005B14D2" w:rsidTr="00C1132E">
        <w:trPr>
          <w:trHeight w:val="1439"/>
        </w:trPr>
        <w:tc>
          <w:tcPr>
            <w:tcW w:w="2718" w:type="dxa"/>
            <w:vMerge w:val="restart"/>
          </w:tcPr>
          <w:p w:rsidR="006667B0" w:rsidRDefault="00A0523E">
            <w:pPr>
              <w:pStyle w:val="ListParagraph"/>
              <w:numPr>
                <w:ilvl w:val="0"/>
                <w:numId w:val="9"/>
              </w:numPr>
            </w:pPr>
            <w:r w:rsidRPr="005B14D2">
              <w:t xml:space="preserve">Netting Basis </w:t>
            </w:r>
            <w:r w:rsidR="006E0778">
              <w:t>Proportional</w:t>
            </w:r>
            <w:r w:rsidR="00F8149B">
              <w:t xml:space="preserve"> to netting basis for other pollutants </w:t>
            </w:r>
            <w:r w:rsidR="00F8149B" w:rsidRPr="00F8149B">
              <w:t xml:space="preserve">(for process GHG not </w:t>
            </w:r>
            <w:r w:rsidR="00F8149B" w:rsidRPr="00F8149B">
              <w:lastRenderedPageBreak/>
              <w:t>related to production, use actual emissions in the highest year during 2000-2010)</w:t>
            </w:r>
          </w:p>
        </w:tc>
        <w:tc>
          <w:tcPr>
            <w:tcW w:w="3150" w:type="dxa"/>
          </w:tcPr>
          <w:p w:rsidR="00A0523E" w:rsidRPr="005B14D2" w:rsidRDefault="00A0523E" w:rsidP="000010DA">
            <w:pPr>
              <w:rPr>
                <w:rFonts w:ascii="Times New Roman" w:eastAsia="Times New Roman" w:hAnsi="Times New Roman" w:cs="Times New Roman"/>
                <w:sz w:val="24"/>
                <w:szCs w:val="24"/>
              </w:rPr>
            </w:pPr>
            <w:r w:rsidRPr="005B14D2">
              <w:rPr>
                <w:rFonts w:ascii="Times New Roman" w:eastAsia="Times New Roman" w:hAnsi="Times New Roman" w:cs="Times New Roman"/>
                <w:sz w:val="24"/>
                <w:szCs w:val="24"/>
              </w:rPr>
              <w:lastRenderedPageBreak/>
              <w:t xml:space="preserve">For </w:t>
            </w:r>
            <w:r w:rsidR="00E5425B" w:rsidRPr="005B14D2">
              <w:rPr>
                <w:rFonts w:ascii="Times New Roman" w:hAnsi="Times New Roman" w:cs="Times New Roman"/>
                <w:sz w:val="24"/>
                <w:szCs w:val="24"/>
              </w:rPr>
              <w:t>PM</w:t>
            </w:r>
            <w:r w:rsidR="00E5425B" w:rsidRPr="005B14D2">
              <w:rPr>
                <w:rFonts w:ascii="Times New Roman" w:hAnsi="Times New Roman" w:cs="Times New Roman"/>
                <w:sz w:val="24"/>
                <w:szCs w:val="24"/>
                <w:vertAlign w:val="subscript"/>
              </w:rPr>
              <w:t>2.5</w:t>
            </w:r>
            <w:r w:rsidRPr="005B14D2">
              <w:rPr>
                <w:rFonts w:ascii="Times New Roman" w:eastAsia="Times New Roman" w:hAnsi="Times New Roman" w:cs="Times New Roman"/>
                <w:sz w:val="24"/>
                <w:szCs w:val="24"/>
              </w:rPr>
              <w:t>:</w:t>
            </w:r>
          </w:p>
          <w:p w:rsidR="00A0523E" w:rsidRPr="005B14D2" w:rsidRDefault="00A0523E" w:rsidP="000010DA">
            <w:pPr>
              <w:rPr>
                <w:rFonts w:ascii="Times New Roman" w:eastAsia="Times New Roman" w:hAnsi="Times New Roman" w:cs="Times New Roman"/>
                <w:sz w:val="24"/>
                <w:szCs w:val="24"/>
              </w:rPr>
            </w:pPr>
            <w:r w:rsidRPr="005B14D2">
              <w:rPr>
                <w:rFonts w:ascii="Times New Roman" w:eastAsia="Times New Roman" w:hAnsi="Times New Roman" w:cs="Times New Roman"/>
                <w:sz w:val="24"/>
                <w:szCs w:val="24"/>
              </w:rPr>
              <w:t xml:space="preserve">Gives sources </w:t>
            </w:r>
            <w:r w:rsidR="00E5425B" w:rsidRPr="005B14D2">
              <w:rPr>
                <w:rFonts w:ascii="Times New Roman" w:hAnsi="Times New Roman" w:cs="Times New Roman"/>
                <w:sz w:val="24"/>
                <w:szCs w:val="24"/>
              </w:rPr>
              <w:t>PM</w:t>
            </w:r>
            <w:r w:rsidR="00E5425B" w:rsidRPr="005B14D2">
              <w:rPr>
                <w:rFonts w:ascii="Times New Roman" w:hAnsi="Times New Roman" w:cs="Times New Roman"/>
                <w:sz w:val="24"/>
                <w:szCs w:val="24"/>
                <w:vertAlign w:val="subscript"/>
              </w:rPr>
              <w:t>2.5</w:t>
            </w:r>
            <w:r w:rsidR="00E5425B" w:rsidRPr="005B14D2">
              <w:rPr>
                <w:rFonts w:ascii="Times New Roman" w:hAnsi="Times New Roman" w:cs="Times New Roman"/>
                <w:sz w:val="24"/>
                <w:szCs w:val="24"/>
              </w:rPr>
              <w:t xml:space="preserve"> </w:t>
            </w:r>
            <w:r w:rsidRPr="005B14D2">
              <w:rPr>
                <w:rFonts w:ascii="Times New Roman" w:eastAsia="Times New Roman" w:hAnsi="Times New Roman" w:cs="Times New Roman"/>
                <w:sz w:val="24"/>
                <w:szCs w:val="24"/>
              </w:rPr>
              <w:t>fraction of PM10 netting basis in effect on 03/01/11 or can default to PM</w:t>
            </w:r>
            <w:r w:rsidRPr="00D855F8">
              <w:rPr>
                <w:rFonts w:ascii="Times New Roman" w:eastAsia="Times New Roman" w:hAnsi="Times New Roman" w:cs="Times New Roman"/>
                <w:sz w:val="24"/>
                <w:szCs w:val="24"/>
                <w:vertAlign w:val="subscript"/>
              </w:rPr>
              <w:t>10</w:t>
            </w:r>
            <w:r w:rsidRPr="005B14D2">
              <w:rPr>
                <w:rFonts w:ascii="Times New Roman" w:eastAsia="Times New Roman" w:hAnsi="Times New Roman" w:cs="Times New Roman"/>
                <w:sz w:val="24"/>
                <w:szCs w:val="24"/>
              </w:rPr>
              <w:t xml:space="preserve"> or PM </w:t>
            </w:r>
          </w:p>
        </w:tc>
        <w:tc>
          <w:tcPr>
            <w:tcW w:w="7920" w:type="dxa"/>
            <w:vMerge w:val="restart"/>
          </w:tcPr>
          <w:p w:rsidR="00A0523E" w:rsidRPr="005B14D2" w:rsidRDefault="00A0523E" w:rsidP="000010DA">
            <w:pPr>
              <w:pStyle w:val="ListParagraph"/>
              <w:numPr>
                <w:ilvl w:val="0"/>
                <w:numId w:val="4"/>
              </w:numPr>
              <w:spacing w:before="0" w:beforeAutospacing="0" w:after="0" w:afterAutospacing="0"/>
            </w:pPr>
            <w:r w:rsidRPr="005B14D2">
              <w:t xml:space="preserve">Doesn’t make </w:t>
            </w:r>
            <w:r w:rsidR="006E0778">
              <w:t>projects that</w:t>
            </w:r>
            <w:r w:rsidR="006D3379">
              <w:t xml:space="preserve"> have gone through PSD for </w:t>
            </w:r>
            <w:r w:rsidR="006D3379" w:rsidRPr="005B14D2">
              <w:t>PM</w:t>
            </w:r>
            <w:r w:rsidR="006D3379" w:rsidRPr="005B14D2">
              <w:rPr>
                <w:vertAlign w:val="subscript"/>
              </w:rPr>
              <w:t>10</w:t>
            </w:r>
            <w:r w:rsidR="006D3379">
              <w:rPr>
                <w:vertAlign w:val="subscript"/>
              </w:rPr>
              <w:t xml:space="preserve"> </w:t>
            </w:r>
            <w:r w:rsidR="006D3379">
              <w:t xml:space="preserve">go through it again </w:t>
            </w:r>
            <w:r w:rsidR="00E5425B" w:rsidRPr="005B14D2">
              <w:t>PM</w:t>
            </w:r>
            <w:r w:rsidR="00E5425B" w:rsidRPr="005B14D2">
              <w:rPr>
                <w:vertAlign w:val="subscript"/>
              </w:rPr>
              <w:t>2.5</w:t>
            </w:r>
          </w:p>
          <w:p w:rsidR="00A0523E" w:rsidRPr="005B14D2" w:rsidRDefault="00A0523E" w:rsidP="000010DA">
            <w:pPr>
              <w:pStyle w:val="ListParagraph"/>
              <w:numPr>
                <w:ilvl w:val="0"/>
                <w:numId w:val="4"/>
              </w:numPr>
              <w:spacing w:before="0" w:beforeAutospacing="0" w:after="0" w:afterAutospacing="0"/>
            </w:pPr>
            <w:r w:rsidRPr="005B14D2">
              <w:t>Maintains status quo for sources</w:t>
            </w:r>
          </w:p>
          <w:p w:rsidR="00A0523E" w:rsidRPr="005B14D2" w:rsidRDefault="00A0523E" w:rsidP="000010DA">
            <w:pPr>
              <w:pStyle w:val="ListParagraph"/>
              <w:numPr>
                <w:ilvl w:val="0"/>
                <w:numId w:val="4"/>
              </w:numPr>
              <w:spacing w:before="0" w:beforeAutospacing="0" w:after="0" w:afterAutospacing="0"/>
            </w:pPr>
            <w:r w:rsidRPr="005B14D2">
              <w:t>Consistent with</w:t>
            </w:r>
            <w:r w:rsidR="00007240">
              <w:t xml:space="preserve"> </w:t>
            </w:r>
            <w:r w:rsidR="00E5425B" w:rsidRPr="005B14D2">
              <w:t>PM</w:t>
            </w:r>
            <w:r w:rsidR="00E5425B" w:rsidRPr="005B14D2">
              <w:rPr>
                <w:vertAlign w:val="subscript"/>
              </w:rPr>
              <w:t>10</w:t>
            </w:r>
            <w:r w:rsidRPr="005B14D2">
              <w:t xml:space="preserve"> Surrogate Policy</w:t>
            </w:r>
          </w:p>
          <w:p w:rsidR="00A0523E" w:rsidRDefault="00A0523E" w:rsidP="00A0523E">
            <w:pPr>
              <w:pStyle w:val="ListParagraph"/>
              <w:numPr>
                <w:ilvl w:val="0"/>
                <w:numId w:val="4"/>
              </w:numPr>
              <w:spacing w:before="0" w:beforeAutospacing="0" w:after="0" w:afterAutospacing="0"/>
            </w:pPr>
            <w:r w:rsidRPr="005B14D2">
              <w:lastRenderedPageBreak/>
              <w:t>Simplifies permitting</w:t>
            </w:r>
          </w:p>
          <w:p w:rsidR="006E0778" w:rsidRPr="005B14D2" w:rsidRDefault="006E0778" w:rsidP="00A0523E">
            <w:pPr>
              <w:pStyle w:val="ListParagraph"/>
              <w:numPr>
                <w:ilvl w:val="0"/>
                <w:numId w:val="4"/>
              </w:numPr>
              <w:spacing w:before="0" w:beforeAutospacing="0" w:after="0" w:afterAutospacing="0"/>
            </w:pPr>
            <w:r>
              <w:t xml:space="preserve">Emission control technology requirements would apply to all </w:t>
            </w:r>
            <w:r w:rsidR="00F8149B">
              <w:t xml:space="preserve">emission </w:t>
            </w:r>
            <w:r>
              <w:t>increases from physical changes or changes in the method of operation since the 1977/78 baseline period</w:t>
            </w:r>
            <w:r w:rsidR="002C5B97">
              <w:t xml:space="preserve"> or last NSR/PSD approval</w:t>
            </w:r>
          </w:p>
          <w:p w:rsidR="00A0523E" w:rsidRPr="005B14D2" w:rsidRDefault="00A0523E" w:rsidP="000010DA">
            <w:pPr>
              <w:pStyle w:val="ListParagraph"/>
              <w:numPr>
                <w:ilvl w:val="0"/>
                <w:numId w:val="5"/>
              </w:numPr>
              <w:spacing w:before="0" w:beforeAutospacing="0" w:after="0" w:afterAutospacing="0"/>
            </w:pPr>
            <w:r w:rsidRPr="005B14D2">
              <w:t>Fraction of PM</w:t>
            </w:r>
            <w:r w:rsidRPr="00D855F8">
              <w:rPr>
                <w:vertAlign w:val="subscript"/>
              </w:rPr>
              <w:t>10</w:t>
            </w:r>
            <w:r w:rsidRPr="005B14D2">
              <w:t xml:space="preserve"> does</w:t>
            </w:r>
            <w:r w:rsidR="00007240">
              <w:t xml:space="preserve"> </w:t>
            </w:r>
            <w:r w:rsidRPr="005B14D2">
              <w:t>not necessarily represent actual contribution to ambient air quality during any specified period</w:t>
            </w:r>
          </w:p>
          <w:p w:rsidR="00A0523E" w:rsidRPr="005B14D2" w:rsidRDefault="00A0523E" w:rsidP="000010DA">
            <w:pPr>
              <w:pStyle w:val="ListParagraph"/>
              <w:numPr>
                <w:ilvl w:val="0"/>
                <w:numId w:val="5"/>
              </w:numPr>
              <w:spacing w:before="0" w:beforeAutospacing="0" w:after="0" w:afterAutospacing="0"/>
            </w:pPr>
            <w:r w:rsidRPr="005B14D2">
              <w:t xml:space="preserve">If the </w:t>
            </w:r>
            <w:r w:rsidR="00E5425B" w:rsidRPr="005B14D2">
              <w:t>PM</w:t>
            </w:r>
            <w:r w:rsidR="00E5425B" w:rsidRPr="005B14D2">
              <w:rPr>
                <w:vertAlign w:val="subscript"/>
              </w:rPr>
              <w:t>2.5</w:t>
            </w:r>
            <w:r w:rsidR="00E5425B" w:rsidRPr="005B14D2">
              <w:t xml:space="preserve"> </w:t>
            </w:r>
            <w:r w:rsidRPr="005B14D2">
              <w:t xml:space="preserve">fraction of the </w:t>
            </w:r>
            <w:r w:rsidR="00E5425B" w:rsidRPr="005B14D2">
              <w:t>PM</w:t>
            </w:r>
            <w:r w:rsidR="00E5425B" w:rsidRPr="005B14D2">
              <w:rPr>
                <w:vertAlign w:val="subscript"/>
              </w:rPr>
              <w:t>10</w:t>
            </w:r>
            <w:r w:rsidRPr="005B14D2">
              <w:t xml:space="preserve"> netting basis</w:t>
            </w:r>
            <w:r w:rsidR="006667B0">
              <w:t xml:space="preserve"> is used</w:t>
            </w:r>
            <w:r w:rsidRPr="005B14D2">
              <w:t xml:space="preserve">, the baseline </w:t>
            </w:r>
            <w:r w:rsidR="006E0778">
              <w:t>may be higher</w:t>
            </w:r>
            <w:r w:rsidRPr="005B14D2">
              <w:t xml:space="preserve"> than actual emissions</w:t>
            </w:r>
            <w:r w:rsidR="006E0778">
              <w:t xml:space="preserve"> in recent years</w:t>
            </w:r>
          </w:p>
          <w:p w:rsidR="00A0523E" w:rsidRPr="005B14D2" w:rsidRDefault="006D3379" w:rsidP="000010DA">
            <w:pPr>
              <w:pStyle w:val="ListParagraph"/>
              <w:numPr>
                <w:ilvl w:val="0"/>
                <w:numId w:val="5"/>
              </w:numPr>
              <w:spacing w:before="0" w:beforeAutospacing="0" w:after="0" w:afterAutospacing="0"/>
            </w:pPr>
            <w:r>
              <w:t xml:space="preserve">If all PM is assumed to be </w:t>
            </w:r>
            <w:r w:rsidRPr="005B14D2">
              <w:t>PM</w:t>
            </w:r>
            <w:r w:rsidRPr="005B14D2">
              <w:rPr>
                <w:vertAlign w:val="subscript"/>
              </w:rPr>
              <w:t>2.5</w:t>
            </w:r>
            <w:r w:rsidR="00007240">
              <w:t xml:space="preserve"> </w:t>
            </w:r>
            <w:r>
              <w:t>it c</w:t>
            </w:r>
            <w:r w:rsidR="008C202B">
              <w:t xml:space="preserve">ould inflate emissions estimates </w:t>
            </w:r>
            <w:r w:rsidR="00A0523E" w:rsidRPr="005B14D2">
              <w:t xml:space="preserve">for </w:t>
            </w:r>
            <w:r w:rsidR="008C202B">
              <w:t>air</w:t>
            </w:r>
            <w:r w:rsidR="00124511">
              <w:t xml:space="preserve"> </w:t>
            </w:r>
            <w:r w:rsidR="008C202B" w:rsidRPr="005B14D2">
              <w:t>shed</w:t>
            </w:r>
            <w:r w:rsidR="00A0523E" w:rsidRPr="005B14D2">
              <w:t xml:space="preserve"> planning </w:t>
            </w:r>
            <w:r w:rsidR="008C202B">
              <w:t>and make c</w:t>
            </w:r>
            <w:r w:rsidR="008C202B" w:rsidRPr="005B14D2">
              <w:t>ompeting source analysis</w:t>
            </w:r>
            <w:r w:rsidR="008C202B">
              <w:t xml:space="preserve"> more challenging</w:t>
            </w:r>
          </w:p>
          <w:p w:rsidR="00A0523E" w:rsidRPr="005B14D2" w:rsidRDefault="00A0523E" w:rsidP="000010DA">
            <w:pPr>
              <w:pStyle w:val="ListParagraph"/>
              <w:numPr>
                <w:ilvl w:val="0"/>
                <w:numId w:val="5"/>
              </w:numPr>
              <w:spacing w:before="0" w:beforeAutospacing="0" w:after="0" w:afterAutospacing="0"/>
            </w:pPr>
            <w:r w:rsidRPr="005B14D2">
              <w:t>Netting basis (required reductions) not tied to emission units</w:t>
            </w:r>
          </w:p>
          <w:p w:rsidR="00A0523E" w:rsidRPr="005B14D2" w:rsidRDefault="00A0523E" w:rsidP="008C202B">
            <w:pPr>
              <w:pStyle w:val="ListParagraph"/>
              <w:spacing w:before="0" w:beforeAutospacing="0" w:after="0" w:afterAutospacing="0"/>
              <w:ind w:left="360"/>
            </w:pPr>
          </w:p>
        </w:tc>
      </w:tr>
      <w:tr w:rsidR="00A0523E" w:rsidRPr="005B14D2" w:rsidTr="006E0778">
        <w:trPr>
          <w:trHeight w:val="4913"/>
        </w:trPr>
        <w:tc>
          <w:tcPr>
            <w:tcW w:w="2718" w:type="dxa"/>
            <w:vMerge/>
          </w:tcPr>
          <w:p w:rsidR="00A0523E" w:rsidRPr="005B14D2" w:rsidRDefault="00A0523E" w:rsidP="00DB30B0">
            <w:pPr>
              <w:pStyle w:val="ListParagraph"/>
              <w:numPr>
                <w:ilvl w:val="0"/>
                <w:numId w:val="9"/>
              </w:numPr>
            </w:pPr>
          </w:p>
        </w:tc>
        <w:tc>
          <w:tcPr>
            <w:tcW w:w="3150" w:type="dxa"/>
          </w:tcPr>
          <w:p w:rsidR="00A0523E" w:rsidRPr="005B14D2" w:rsidRDefault="00A0523E" w:rsidP="00C02DF2">
            <w:pPr>
              <w:rPr>
                <w:rFonts w:ascii="Times New Roman" w:eastAsia="Times New Roman" w:hAnsi="Times New Roman" w:cs="Times New Roman"/>
                <w:sz w:val="24"/>
                <w:szCs w:val="24"/>
              </w:rPr>
            </w:pPr>
            <w:r w:rsidRPr="005B14D2">
              <w:rPr>
                <w:rFonts w:ascii="Times New Roman" w:eastAsia="Times New Roman" w:hAnsi="Times New Roman" w:cs="Times New Roman"/>
                <w:sz w:val="24"/>
                <w:szCs w:val="24"/>
              </w:rPr>
              <w:t>For GHG:</w:t>
            </w:r>
            <w:r w:rsidR="00007240">
              <w:rPr>
                <w:rFonts w:ascii="Times New Roman" w:eastAsia="Times New Roman" w:hAnsi="Times New Roman" w:cs="Times New Roman"/>
                <w:sz w:val="24"/>
                <w:szCs w:val="24"/>
              </w:rPr>
              <w:t xml:space="preserve"> </w:t>
            </w:r>
          </w:p>
          <w:p w:rsidR="00A0523E" w:rsidRPr="005B14D2" w:rsidRDefault="00A0523E" w:rsidP="00C02DF2">
            <w:pPr>
              <w:rPr>
                <w:rFonts w:ascii="Times New Roman" w:eastAsia="Times New Roman" w:hAnsi="Times New Roman" w:cs="Times New Roman"/>
                <w:sz w:val="24"/>
                <w:szCs w:val="24"/>
              </w:rPr>
            </w:pPr>
            <w:r w:rsidRPr="005B14D2">
              <w:rPr>
                <w:rFonts w:ascii="Times New Roman" w:eastAsia="Times New Roman" w:hAnsi="Times New Roman" w:cs="Times New Roman"/>
                <w:sz w:val="24"/>
                <w:szCs w:val="24"/>
              </w:rPr>
              <w:t>For combustion sources, based on the production rate used to establish the current netting basis in effect on 03/01/11</w:t>
            </w:r>
            <w:r w:rsidR="00007240">
              <w:rPr>
                <w:rFonts w:ascii="Times New Roman" w:eastAsia="Times New Roman" w:hAnsi="Times New Roman" w:cs="Times New Roman"/>
                <w:sz w:val="24"/>
                <w:szCs w:val="24"/>
              </w:rPr>
              <w:t xml:space="preserve"> </w:t>
            </w:r>
          </w:p>
          <w:p w:rsidR="00A0523E" w:rsidRPr="005B14D2" w:rsidRDefault="00A0523E" w:rsidP="00C02DF2">
            <w:pPr>
              <w:rPr>
                <w:rFonts w:ascii="Times New Roman" w:eastAsia="Times New Roman" w:hAnsi="Times New Roman" w:cs="Times New Roman"/>
                <w:sz w:val="24"/>
                <w:szCs w:val="24"/>
              </w:rPr>
            </w:pPr>
          </w:p>
          <w:p w:rsidR="006667B0" w:rsidRDefault="00A0523E">
            <w:pPr>
              <w:rPr>
                <w:rFonts w:ascii="Times New Roman" w:hAnsi="Times New Roman" w:cs="Times New Roman"/>
                <w:sz w:val="24"/>
                <w:szCs w:val="24"/>
              </w:rPr>
            </w:pPr>
            <w:r w:rsidRPr="005B14D2">
              <w:rPr>
                <w:rFonts w:ascii="Times New Roman" w:eastAsia="Times New Roman" w:hAnsi="Times New Roman" w:cs="Times New Roman"/>
                <w:sz w:val="24"/>
                <w:szCs w:val="24"/>
              </w:rPr>
              <w:t xml:space="preserve">For non-combustion sources, if GHG emissions are related to the production parameters used to establish the netting basis, the GHG baseline emission rate must be calculated using the relationship between GHG emissions and the same production parameters </w:t>
            </w:r>
          </w:p>
        </w:tc>
        <w:tc>
          <w:tcPr>
            <w:tcW w:w="7920" w:type="dxa"/>
            <w:vMerge/>
          </w:tcPr>
          <w:p w:rsidR="00A0523E" w:rsidRPr="005B14D2" w:rsidRDefault="00A0523E" w:rsidP="000010DA">
            <w:pPr>
              <w:pStyle w:val="ListParagraph"/>
              <w:numPr>
                <w:ilvl w:val="0"/>
                <w:numId w:val="5"/>
              </w:numPr>
              <w:spacing w:before="0" w:beforeAutospacing="0" w:after="0" w:afterAutospacing="0"/>
            </w:pPr>
          </w:p>
        </w:tc>
      </w:tr>
    </w:tbl>
    <w:p w:rsidR="007D648F" w:rsidRDefault="007D648F">
      <w:r>
        <w:lastRenderedPageBreak/>
        <w:br w:type="page"/>
      </w:r>
    </w:p>
    <w:tbl>
      <w:tblPr>
        <w:tblStyle w:val="TableGrid"/>
        <w:tblW w:w="0" w:type="auto"/>
        <w:tblLook w:val="04A0"/>
      </w:tblPr>
      <w:tblGrid>
        <w:gridCol w:w="2718"/>
        <w:gridCol w:w="3150"/>
        <w:gridCol w:w="7920"/>
      </w:tblGrid>
      <w:tr w:rsidR="003631E1" w:rsidRPr="00624A29" w:rsidTr="00C1132E">
        <w:trPr>
          <w:tblHeader/>
        </w:trPr>
        <w:tc>
          <w:tcPr>
            <w:tcW w:w="2718" w:type="dxa"/>
          </w:tcPr>
          <w:p w:rsidR="003631E1" w:rsidRPr="00624A29" w:rsidRDefault="00007240" w:rsidP="000010DA">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3631E1" w:rsidRPr="00624A29">
              <w:rPr>
                <w:rFonts w:ascii="Times New Roman" w:eastAsia="Times New Roman" w:hAnsi="Times New Roman" w:cs="Times New Roman"/>
                <w:b/>
                <w:sz w:val="24"/>
                <w:szCs w:val="24"/>
              </w:rPr>
              <w:t>OPTION</w:t>
            </w:r>
          </w:p>
        </w:tc>
        <w:tc>
          <w:tcPr>
            <w:tcW w:w="3150" w:type="dxa"/>
          </w:tcPr>
          <w:p w:rsidR="003631E1" w:rsidRPr="00624A29" w:rsidRDefault="003631E1" w:rsidP="000010DA">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EXPLANATION</w:t>
            </w:r>
          </w:p>
        </w:tc>
        <w:tc>
          <w:tcPr>
            <w:tcW w:w="7920" w:type="dxa"/>
          </w:tcPr>
          <w:p w:rsidR="003631E1" w:rsidRPr="00624A29" w:rsidRDefault="003631E1" w:rsidP="000010DA">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CONSIDERATIONS</w:t>
            </w:r>
          </w:p>
        </w:tc>
      </w:tr>
      <w:tr w:rsidR="00A0523E" w:rsidRPr="00624A29" w:rsidTr="00C1132E">
        <w:tc>
          <w:tcPr>
            <w:tcW w:w="2718" w:type="dxa"/>
          </w:tcPr>
          <w:p w:rsidR="00A0523E" w:rsidRPr="00FA0DFE" w:rsidRDefault="00A0523E" w:rsidP="00FA0DFE">
            <w:pPr>
              <w:pStyle w:val="ListParagraph"/>
              <w:numPr>
                <w:ilvl w:val="0"/>
                <w:numId w:val="9"/>
              </w:numPr>
              <w:spacing w:after="0"/>
            </w:pPr>
            <w:r w:rsidRPr="00FA0DFE">
              <w:t>1977/78</w:t>
            </w:r>
            <w:r>
              <w:t xml:space="preserve"> </w:t>
            </w:r>
            <w:r w:rsidRPr="00FA0DFE">
              <w:t>or a prior time period</w:t>
            </w:r>
          </w:p>
        </w:tc>
        <w:tc>
          <w:tcPr>
            <w:tcW w:w="3150" w:type="dxa"/>
          </w:tcPr>
          <w:p w:rsidR="00A0523E" w:rsidRPr="00624A29" w:rsidRDefault="00A0523E" w:rsidP="00ED5F5A">
            <w:pPr>
              <w:rPr>
                <w:rFonts w:ascii="Times New Roman" w:eastAsia="Times New Roman" w:hAnsi="Times New Roman" w:cs="Times New Roman"/>
                <w:sz w:val="24"/>
                <w:szCs w:val="24"/>
              </w:rPr>
            </w:pPr>
            <w:r>
              <w:rPr>
                <w:rFonts w:ascii="Times New Roman" w:eastAsia="Times New Roman" w:hAnsi="Times New Roman" w:cs="Times New Roman"/>
                <w:sz w:val="24"/>
                <w:szCs w:val="24"/>
              </w:rPr>
              <w:t>Existing baseline year for other pollutants</w:t>
            </w:r>
          </w:p>
        </w:tc>
        <w:tc>
          <w:tcPr>
            <w:tcW w:w="7920" w:type="dxa"/>
          </w:tcPr>
          <w:p w:rsidR="00A0523E" w:rsidRDefault="00A0523E" w:rsidP="00ED5F5A">
            <w:pPr>
              <w:pStyle w:val="ListParagraph"/>
              <w:numPr>
                <w:ilvl w:val="0"/>
                <w:numId w:val="3"/>
              </w:numPr>
              <w:spacing w:before="0" w:beforeAutospacing="0" w:after="0" w:afterAutospacing="0"/>
            </w:pPr>
            <w:r w:rsidRPr="00273F2C">
              <w:t>Ea</w:t>
            </w:r>
            <w:r>
              <w:t>sier to track netting basis for all pollutants based on the same year</w:t>
            </w:r>
          </w:p>
          <w:p w:rsidR="00A0523E" w:rsidRDefault="00A0523E" w:rsidP="00ED5F5A">
            <w:pPr>
              <w:pStyle w:val="ListParagraph"/>
              <w:numPr>
                <w:ilvl w:val="0"/>
                <w:numId w:val="3"/>
              </w:numPr>
              <w:spacing w:before="0" w:beforeAutospacing="0" w:after="0" w:afterAutospacing="0"/>
            </w:pPr>
            <w:r>
              <w:t xml:space="preserve">Okay for sources that have not made changes </w:t>
            </w:r>
            <w:r w:rsidR="00AB5C36">
              <w:t xml:space="preserve">to their </w:t>
            </w:r>
            <w:r>
              <w:t>since 77/78</w:t>
            </w:r>
            <w:r w:rsidR="002C5B97">
              <w:t xml:space="preserve"> </w:t>
            </w:r>
            <w:r w:rsidR="00AB5C36">
              <w:t>but would be difficult to use this period if changes have been made, such as shutting down or adding equipment.</w:t>
            </w:r>
            <w:r w:rsidR="00007240">
              <w:t xml:space="preserve"> </w:t>
            </w:r>
          </w:p>
          <w:p w:rsidR="00A0523E" w:rsidRDefault="00A0523E" w:rsidP="00ED5F5A">
            <w:pPr>
              <w:pStyle w:val="ListParagraph"/>
              <w:numPr>
                <w:ilvl w:val="0"/>
                <w:numId w:val="3"/>
              </w:numPr>
              <w:spacing w:before="0" w:beforeAutospacing="0" w:after="0" w:afterAutospacing="0"/>
            </w:pPr>
            <w:r>
              <w:t>Less confusing rules</w:t>
            </w:r>
          </w:p>
          <w:p w:rsidR="00A0523E" w:rsidRDefault="00A0523E" w:rsidP="00ED5F5A">
            <w:pPr>
              <w:pStyle w:val="ListParagraph"/>
              <w:numPr>
                <w:ilvl w:val="0"/>
                <w:numId w:val="3"/>
              </w:numPr>
              <w:spacing w:before="0" w:beforeAutospacing="0" w:after="0" w:afterAutospacing="0"/>
            </w:pPr>
            <w:r>
              <w:t xml:space="preserve">Use existing baseline production rates in permits </w:t>
            </w:r>
          </w:p>
          <w:p w:rsidR="006667B0" w:rsidRDefault="002C5B97">
            <w:pPr>
              <w:pStyle w:val="ListParagraph"/>
              <w:numPr>
                <w:ilvl w:val="0"/>
                <w:numId w:val="4"/>
              </w:numPr>
              <w:spacing w:before="0" w:beforeAutospacing="0" w:after="0" w:afterAutospacing="0"/>
            </w:pPr>
            <w:r>
              <w:t>Emission control technology requirements would apply to all emission increases from physical changes or changes in the method of operation since the 1977/78 baseline period or last NSR/PSD approval</w:t>
            </w:r>
          </w:p>
          <w:p w:rsidR="00A0523E" w:rsidRDefault="00A0523E" w:rsidP="00263486">
            <w:pPr>
              <w:pStyle w:val="ListParagraph"/>
              <w:numPr>
                <w:ilvl w:val="0"/>
                <w:numId w:val="3"/>
              </w:numPr>
              <w:spacing w:before="0" w:beforeAutospacing="0" w:after="0" w:afterAutospacing="0"/>
            </w:pPr>
            <w:r w:rsidRPr="00273F2C">
              <w:t>Difficult to find old records</w:t>
            </w:r>
            <w:r>
              <w:t xml:space="preserve"> for process emissions (non-combustion GHGs)</w:t>
            </w:r>
          </w:p>
          <w:p w:rsidR="00A0523E" w:rsidRDefault="00A0523E" w:rsidP="00ED5F5A">
            <w:pPr>
              <w:pStyle w:val="ListParagraph"/>
              <w:numPr>
                <w:ilvl w:val="0"/>
                <w:numId w:val="3"/>
              </w:numPr>
              <w:spacing w:before="0" w:beforeAutospacing="0" w:after="0" w:afterAutospacing="0"/>
            </w:pPr>
            <w:r>
              <w:t>Some emissions units have shut down/changed</w:t>
            </w:r>
          </w:p>
          <w:p w:rsidR="00A0523E" w:rsidRDefault="00A0523E" w:rsidP="00ED5F5A">
            <w:pPr>
              <w:pStyle w:val="ListParagraph"/>
              <w:numPr>
                <w:ilvl w:val="0"/>
                <w:numId w:val="3"/>
              </w:numPr>
              <w:spacing w:before="0" w:beforeAutospacing="0" w:after="0" w:afterAutospacing="0"/>
            </w:pPr>
            <w:r>
              <w:t xml:space="preserve">Farther away from </w:t>
            </w:r>
            <w:r w:rsidR="0065275C">
              <w:t xml:space="preserve">the year that the </w:t>
            </w:r>
            <w:r>
              <w:t>N</w:t>
            </w:r>
            <w:r w:rsidR="006667B0">
              <w:t xml:space="preserve">ational </w:t>
            </w:r>
            <w:r>
              <w:t>A</w:t>
            </w:r>
            <w:r w:rsidR="006667B0">
              <w:t xml:space="preserve">mbient </w:t>
            </w:r>
            <w:r>
              <w:t>A</w:t>
            </w:r>
            <w:r w:rsidR="006667B0">
              <w:t xml:space="preserve">ir </w:t>
            </w:r>
            <w:r>
              <w:t>Q</w:t>
            </w:r>
            <w:r w:rsidR="006667B0">
              <w:t xml:space="preserve">uality </w:t>
            </w:r>
            <w:r>
              <w:t>S</w:t>
            </w:r>
            <w:r w:rsidR="006667B0">
              <w:t>tandard</w:t>
            </w:r>
            <w:r>
              <w:t xml:space="preserve"> </w:t>
            </w:r>
            <w:r w:rsidR="0065275C">
              <w:t xml:space="preserve">was adopted </w:t>
            </w:r>
            <w:r>
              <w:t>and baseline concentration year</w:t>
            </w:r>
            <w:r w:rsidR="0065275C">
              <w:t xml:space="preserve"> (the year </w:t>
            </w:r>
            <w:r w:rsidR="00124D2A">
              <w:t xml:space="preserve">that DEQ starts counting emissions increases and decreases toward the </w:t>
            </w:r>
            <w:r w:rsidR="00DC0B16" w:rsidRPr="00DB75C3">
              <w:t>maximum extent to which the ambient concentration of regulated pollutants from new or modified industrial facilities may be allowed to increase over the legally defined baseline concentration in an area with clean air)</w:t>
            </w:r>
            <w:r w:rsidR="00DB75C3">
              <w:t>.</w:t>
            </w:r>
            <w:r w:rsidR="00007240">
              <w:t xml:space="preserve"> </w:t>
            </w:r>
          </w:p>
          <w:p w:rsidR="00A0523E" w:rsidRPr="00A82D87" w:rsidRDefault="00A0523E" w:rsidP="00ED5F5A">
            <w:pPr>
              <w:pStyle w:val="ListParagraph"/>
              <w:numPr>
                <w:ilvl w:val="0"/>
                <w:numId w:val="3"/>
              </w:numPr>
              <w:spacing w:before="0" w:beforeAutospacing="0" w:after="0" w:afterAutospacing="0"/>
            </w:pPr>
            <w:r w:rsidRPr="00A82D87">
              <w:t>Many sources didn’t exist then</w:t>
            </w:r>
            <w:r w:rsidR="002C5B97">
              <w:t>,</w:t>
            </w:r>
            <w:r w:rsidRPr="00A82D87">
              <w:t xml:space="preserve"> so </w:t>
            </w:r>
            <w:r w:rsidR="003B7736">
              <w:t xml:space="preserve">they </w:t>
            </w:r>
            <w:r w:rsidRPr="00A82D87">
              <w:t xml:space="preserve">would get zero baseline and would be </w:t>
            </w:r>
            <w:r w:rsidR="00480CFE" w:rsidRPr="00A82D87">
              <w:t>subject to PSD for any increase over 1 ton</w:t>
            </w:r>
            <w:r w:rsidR="002C5B97">
              <w:t xml:space="preserve"> above the major source level</w:t>
            </w:r>
          </w:p>
          <w:p w:rsidR="00A0523E" w:rsidRPr="00A62CE9" w:rsidRDefault="00A0523E" w:rsidP="00480CFE">
            <w:pPr>
              <w:pStyle w:val="ListParagraph"/>
              <w:numPr>
                <w:ilvl w:val="0"/>
                <w:numId w:val="3"/>
              </w:numPr>
              <w:spacing w:before="0" w:beforeAutospacing="0" w:after="0" w:afterAutospacing="0"/>
              <w:rPr>
                <w:b/>
              </w:rPr>
            </w:pPr>
            <w:r w:rsidRPr="00A82D87">
              <w:t xml:space="preserve">Sources that went through NSR/PSD after 77/78 would get </w:t>
            </w:r>
            <w:r w:rsidR="00A82D87" w:rsidRPr="00A82D87">
              <w:t>potential emissions as</w:t>
            </w:r>
            <w:r w:rsidRPr="00A82D87">
              <w:t xml:space="preserve"> baseline</w:t>
            </w:r>
          </w:p>
        </w:tc>
      </w:tr>
      <w:tr w:rsidR="00A0523E" w:rsidRPr="00624A29" w:rsidTr="00C1132E">
        <w:tc>
          <w:tcPr>
            <w:tcW w:w="2718" w:type="dxa"/>
          </w:tcPr>
          <w:p w:rsidR="00A0523E" w:rsidRPr="00FA0DFE" w:rsidRDefault="00A0523E" w:rsidP="00FA0DFE">
            <w:pPr>
              <w:pStyle w:val="ListParagraph"/>
              <w:numPr>
                <w:ilvl w:val="0"/>
                <w:numId w:val="9"/>
              </w:numPr>
              <w:spacing w:after="0"/>
            </w:pPr>
            <w:r w:rsidRPr="00FA0DFE">
              <w:t>2006 or 2007 or a prior time period</w:t>
            </w:r>
          </w:p>
        </w:tc>
        <w:tc>
          <w:tcPr>
            <w:tcW w:w="3150" w:type="dxa"/>
          </w:tcPr>
          <w:p w:rsidR="00A0523E" w:rsidRPr="00624A29" w:rsidRDefault="00A0523E" w:rsidP="00ED5F5A">
            <w:pPr>
              <w:rPr>
                <w:rFonts w:ascii="Times New Roman" w:eastAsia="Times New Roman" w:hAnsi="Times New Roman" w:cs="Times New Roman"/>
                <w:sz w:val="24"/>
                <w:szCs w:val="24"/>
              </w:rPr>
            </w:pPr>
            <w:r>
              <w:rPr>
                <w:rFonts w:ascii="Times New Roman" w:eastAsia="Times New Roman" w:hAnsi="Times New Roman" w:cs="Times New Roman"/>
                <w:sz w:val="24"/>
                <w:szCs w:val="24"/>
              </w:rPr>
              <w:t>Baseline year in PM</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temporary rule</w:t>
            </w:r>
          </w:p>
        </w:tc>
        <w:tc>
          <w:tcPr>
            <w:tcW w:w="7920" w:type="dxa"/>
          </w:tcPr>
          <w:p w:rsidR="00A0523E" w:rsidRDefault="00A0523E" w:rsidP="00ED5F5A">
            <w:pPr>
              <w:pStyle w:val="ListParagraph"/>
              <w:numPr>
                <w:ilvl w:val="0"/>
                <w:numId w:val="4"/>
              </w:numPr>
              <w:spacing w:before="0" w:beforeAutospacing="0" w:after="0" w:afterAutospacing="0"/>
            </w:pPr>
            <w:r>
              <w:t>Matches PM</w:t>
            </w:r>
            <w:r>
              <w:rPr>
                <w:vertAlign w:val="subscript"/>
              </w:rPr>
              <w:t xml:space="preserve">2.5 </w:t>
            </w:r>
            <w:r>
              <w:t>baseline concentration year</w:t>
            </w:r>
          </w:p>
          <w:p w:rsidR="00A0523E" w:rsidRDefault="00A0523E" w:rsidP="00ED5F5A">
            <w:pPr>
              <w:pStyle w:val="ListParagraph"/>
              <w:numPr>
                <w:ilvl w:val="0"/>
                <w:numId w:val="4"/>
              </w:numPr>
              <w:spacing w:before="0" w:beforeAutospacing="0" w:after="0" w:afterAutospacing="0"/>
            </w:pPr>
            <w:r>
              <w:t xml:space="preserve">More recent so it matches current plant configuration </w:t>
            </w:r>
          </w:p>
          <w:p w:rsidR="00A0523E" w:rsidRDefault="00A0523E" w:rsidP="00ED5F5A">
            <w:pPr>
              <w:pStyle w:val="ListParagraph"/>
              <w:numPr>
                <w:ilvl w:val="0"/>
                <w:numId w:val="4"/>
              </w:numPr>
              <w:spacing w:before="0" w:beforeAutospacing="0" w:after="0" w:afterAutospacing="0"/>
            </w:pPr>
            <w:r>
              <w:t>Predates significant recession</w:t>
            </w:r>
            <w:r w:rsidR="008C4A52">
              <w:t xml:space="preserve"> and potential non-representative emission levels</w:t>
            </w:r>
            <w:r>
              <w:t xml:space="preserve"> for many sources but not all</w:t>
            </w:r>
          </w:p>
          <w:p w:rsidR="006667B0" w:rsidRDefault="008C4A52">
            <w:pPr>
              <w:pStyle w:val="ListParagraph"/>
              <w:numPr>
                <w:ilvl w:val="0"/>
                <w:numId w:val="4"/>
              </w:numPr>
              <w:spacing w:before="0" w:beforeAutospacing="0" w:after="0" w:afterAutospacing="0"/>
            </w:pPr>
            <w:r>
              <w:t>Emission control technology requirements would apply to all emission increases from physical changes or changes in the method of operation since the 2006/2007 baseline period or last NSR/PSD approval</w:t>
            </w:r>
          </w:p>
          <w:p w:rsidR="00A0523E" w:rsidRDefault="00A0523E" w:rsidP="00E37175">
            <w:pPr>
              <w:pStyle w:val="ListParagraph"/>
              <w:numPr>
                <w:ilvl w:val="0"/>
                <w:numId w:val="4"/>
              </w:numPr>
              <w:spacing w:before="0" w:beforeAutospacing="0" w:after="0" w:afterAutospacing="0"/>
            </w:pPr>
            <w:r>
              <w:t xml:space="preserve">Different from other pollutants </w:t>
            </w:r>
          </w:p>
          <w:p w:rsidR="00A0523E" w:rsidRDefault="008C202B" w:rsidP="00E37175">
            <w:pPr>
              <w:pStyle w:val="ListParagraph"/>
              <w:numPr>
                <w:ilvl w:val="0"/>
                <w:numId w:val="4"/>
              </w:numPr>
              <w:spacing w:before="0" w:beforeAutospacing="0" w:after="0" w:afterAutospacing="0"/>
            </w:pPr>
            <w:r>
              <w:t xml:space="preserve">Different </w:t>
            </w:r>
            <w:r w:rsidR="003B7736">
              <w:t xml:space="preserve">from the </w:t>
            </w:r>
            <w:r w:rsidR="00A0523E">
              <w:t>surrogate policy</w:t>
            </w:r>
          </w:p>
          <w:p w:rsidR="00A0523E" w:rsidRDefault="00A0523E" w:rsidP="00F62DA3">
            <w:pPr>
              <w:pStyle w:val="ListParagraph"/>
              <w:numPr>
                <w:ilvl w:val="0"/>
                <w:numId w:val="4"/>
              </w:numPr>
              <w:spacing w:before="0" w:beforeAutospacing="0" w:after="0" w:afterAutospacing="0"/>
            </w:pPr>
            <w:r>
              <w:t xml:space="preserve">Sources with actual emissions between 10-14 tpy will have to get standard permits with baseline for </w:t>
            </w:r>
            <w:r w:rsidR="00E5425B">
              <w:t>PM</w:t>
            </w:r>
            <w:r w:rsidR="00E5425B" w:rsidRPr="00E5425B">
              <w:rPr>
                <w:vertAlign w:val="subscript"/>
              </w:rPr>
              <w:t>2.5</w:t>
            </w:r>
            <w:r w:rsidR="00E5425B">
              <w:t xml:space="preserve"> </w:t>
            </w:r>
            <w:r>
              <w:t>and double the cost of the permit</w:t>
            </w:r>
          </w:p>
          <w:p w:rsidR="00007240" w:rsidRPr="00273F2C" w:rsidRDefault="00007240" w:rsidP="00007240">
            <w:pPr>
              <w:pStyle w:val="ListParagraph"/>
              <w:spacing w:before="0" w:beforeAutospacing="0" w:after="0" w:afterAutospacing="0"/>
              <w:ind w:left="360"/>
            </w:pPr>
          </w:p>
        </w:tc>
      </w:tr>
      <w:tr w:rsidR="00A0523E" w:rsidRPr="00624A29" w:rsidTr="00C1132E">
        <w:tc>
          <w:tcPr>
            <w:tcW w:w="2718" w:type="dxa"/>
          </w:tcPr>
          <w:p w:rsidR="006667B0" w:rsidRDefault="00A0523E">
            <w:pPr>
              <w:pStyle w:val="ListParagraph"/>
              <w:numPr>
                <w:ilvl w:val="0"/>
                <w:numId w:val="9"/>
              </w:numPr>
              <w:spacing w:after="0"/>
            </w:pPr>
            <w:r w:rsidRPr="00FA0DFE">
              <w:lastRenderedPageBreak/>
              <w:t xml:space="preserve">Federal </w:t>
            </w:r>
            <w:r w:rsidR="008C4A52">
              <w:t>Netting</w:t>
            </w:r>
            <w:r w:rsidRPr="00FA0DFE">
              <w:t xml:space="preserve"> Method</w:t>
            </w:r>
            <w:r w:rsidR="008C4A52">
              <w:t xml:space="preserve"> for GHG</w:t>
            </w:r>
          </w:p>
        </w:tc>
        <w:tc>
          <w:tcPr>
            <w:tcW w:w="3150" w:type="dxa"/>
          </w:tcPr>
          <w:p w:rsidR="00A0523E" w:rsidRPr="00624A29" w:rsidRDefault="00A0523E" w:rsidP="002E5973">
            <w:pPr>
              <w:rPr>
                <w:rFonts w:ascii="Times New Roman" w:eastAsia="Times New Roman" w:hAnsi="Times New Roman" w:cs="Times New Roman"/>
                <w:sz w:val="24"/>
                <w:szCs w:val="24"/>
              </w:rPr>
            </w:pPr>
            <w:r>
              <w:rPr>
                <w:rFonts w:ascii="Times New Roman" w:eastAsia="Times New Roman" w:hAnsi="Times New Roman" w:cs="Times New Roman"/>
                <w:sz w:val="24"/>
                <w:szCs w:val="24"/>
              </w:rPr>
              <w:t>10 year look back for actual emissions</w:t>
            </w:r>
          </w:p>
        </w:tc>
        <w:tc>
          <w:tcPr>
            <w:tcW w:w="7920" w:type="dxa"/>
          </w:tcPr>
          <w:p w:rsidR="00A0523E" w:rsidRPr="00242009" w:rsidRDefault="00A0523E" w:rsidP="000010DA">
            <w:pPr>
              <w:pStyle w:val="ListParagraph"/>
              <w:numPr>
                <w:ilvl w:val="0"/>
                <w:numId w:val="4"/>
              </w:numPr>
              <w:spacing w:before="0" w:beforeAutospacing="0" w:after="0" w:afterAutospacing="0"/>
            </w:pPr>
            <w:r w:rsidRPr="00242009">
              <w:t xml:space="preserve">Consistency with federal </w:t>
            </w:r>
            <w:r w:rsidR="008C4A52">
              <w:t xml:space="preserve">default </w:t>
            </w:r>
            <w:r w:rsidRPr="00242009">
              <w:t>program</w:t>
            </w:r>
          </w:p>
          <w:p w:rsidR="00A0523E" w:rsidRPr="00242009" w:rsidRDefault="00A0523E" w:rsidP="000010DA">
            <w:pPr>
              <w:pStyle w:val="ListParagraph"/>
              <w:numPr>
                <w:ilvl w:val="0"/>
                <w:numId w:val="4"/>
              </w:numPr>
              <w:spacing w:before="0" w:beforeAutospacing="0" w:after="0" w:afterAutospacing="0"/>
            </w:pPr>
            <w:r w:rsidRPr="00242009">
              <w:t>Levels the playing field across the country</w:t>
            </w:r>
            <w:r w:rsidR="008C4A52">
              <w:t>,</w:t>
            </w:r>
            <w:r>
              <w:t xml:space="preserve"> but not for all pollutants</w:t>
            </w:r>
          </w:p>
          <w:p w:rsidR="00F61211" w:rsidRDefault="00A0523E" w:rsidP="000010DA">
            <w:pPr>
              <w:pStyle w:val="ListParagraph"/>
              <w:numPr>
                <w:ilvl w:val="0"/>
                <w:numId w:val="5"/>
              </w:numPr>
              <w:spacing w:before="0" w:beforeAutospacing="0" w:after="0" w:afterAutospacing="0"/>
            </w:pPr>
            <w:r>
              <w:t>In some cases, sources would be subject to PSD that wouldn’t be subject to PSD under Oregon rules</w:t>
            </w:r>
            <w:r w:rsidR="008C4A52">
              <w:t>.</w:t>
            </w:r>
            <w:r w:rsidR="00007240">
              <w:t xml:space="preserve"> </w:t>
            </w:r>
            <w:r w:rsidR="008C4A52">
              <w:t>In other cases, sources would avoid PSD that would be subject to PSD under Oregon rules</w:t>
            </w:r>
          </w:p>
          <w:p w:rsidR="00A0523E" w:rsidRPr="00242009" w:rsidRDefault="00A0523E" w:rsidP="000010DA">
            <w:pPr>
              <w:pStyle w:val="ListParagraph"/>
              <w:numPr>
                <w:ilvl w:val="0"/>
                <w:numId w:val="5"/>
              </w:numPr>
              <w:spacing w:before="0" w:beforeAutospacing="0" w:after="0" w:afterAutospacing="0"/>
            </w:pPr>
            <w:r w:rsidRPr="00242009">
              <w:t>Different</w:t>
            </w:r>
            <w:r>
              <w:t xml:space="preserve"> program for different </w:t>
            </w:r>
            <w:r w:rsidRPr="00242009">
              <w:t>pollutants, could be confusing</w:t>
            </w:r>
            <w:r>
              <w:t xml:space="preserve"> and result in implementation problems</w:t>
            </w:r>
          </w:p>
          <w:p w:rsidR="00A0523E" w:rsidRDefault="00A0523E" w:rsidP="00C26B59">
            <w:pPr>
              <w:pStyle w:val="ListParagraph"/>
              <w:numPr>
                <w:ilvl w:val="0"/>
                <w:numId w:val="4"/>
              </w:numPr>
              <w:spacing w:before="0" w:beforeAutospacing="0" w:after="0" w:afterAutospacing="0"/>
            </w:pPr>
            <w:r>
              <w:t xml:space="preserve">Does not address all changes before the modification and would not require retrofit </w:t>
            </w:r>
            <w:r w:rsidR="008C4A52">
              <w:t xml:space="preserve">emission control technology </w:t>
            </w:r>
            <w:r>
              <w:t>for previous projects</w:t>
            </w:r>
          </w:p>
          <w:p w:rsidR="00A0523E" w:rsidRDefault="00A0523E" w:rsidP="005C23B3">
            <w:pPr>
              <w:pStyle w:val="ListParagraph"/>
              <w:numPr>
                <w:ilvl w:val="0"/>
                <w:numId w:val="4"/>
              </w:numPr>
              <w:spacing w:before="0" w:beforeAutospacing="0" w:after="0" w:afterAutospacing="0"/>
            </w:pPr>
            <w:r>
              <w:t xml:space="preserve">Allows for small emissions increases not related to proposed project </w:t>
            </w:r>
            <w:r w:rsidR="008C4A52">
              <w:t xml:space="preserve">that could cumulate over time </w:t>
            </w:r>
            <w:r>
              <w:t>(creep)</w:t>
            </w:r>
          </w:p>
          <w:p w:rsidR="00A0523E" w:rsidRDefault="00A0523E" w:rsidP="005C23B3">
            <w:pPr>
              <w:pStyle w:val="ListParagraph"/>
              <w:numPr>
                <w:ilvl w:val="0"/>
                <w:numId w:val="4"/>
              </w:numPr>
              <w:spacing w:before="0" w:beforeAutospacing="0" w:after="0" w:afterAutospacing="0"/>
            </w:pPr>
            <w:r>
              <w:t xml:space="preserve">Does not provide incentive for sources to do early voluntary reductions </w:t>
            </w:r>
            <w:r w:rsidR="008C4A52">
              <w:t>because reductions more tha</w:t>
            </w:r>
            <w:r w:rsidR="006667B0">
              <w:t>n</w:t>
            </w:r>
            <w:r w:rsidR="008C4A52">
              <w:t xml:space="preserve"> 5-10 years old cannot be used in netting</w:t>
            </w:r>
          </w:p>
          <w:p w:rsidR="003B7736" w:rsidRPr="00242009" w:rsidRDefault="003B7736" w:rsidP="00D065A1">
            <w:pPr>
              <w:pStyle w:val="ListParagraph"/>
              <w:numPr>
                <w:ilvl w:val="0"/>
                <w:numId w:val="4"/>
              </w:numPr>
              <w:spacing w:before="0" w:beforeAutospacing="0" w:after="0" w:afterAutospacing="0"/>
            </w:pPr>
            <w:r>
              <w:t>Significant training will be necessary for permitting staff</w:t>
            </w:r>
          </w:p>
        </w:tc>
      </w:tr>
    </w:tbl>
    <w:p w:rsidR="008C3DC2" w:rsidRDefault="00700578" w:rsidP="0098645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Below are examples of changes made at a facility that show where the federal PSD rules are more stringent than DEQ rules and vice versa.</w:t>
      </w:r>
      <w:r w:rsidR="000072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 numbers are for g</w:t>
      </w:r>
      <w:r w:rsidR="00A239CC">
        <w:rPr>
          <w:rFonts w:ascii="Times New Roman" w:eastAsia="Times New Roman" w:hAnsi="Times New Roman" w:cs="Times New Roman"/>
          <w:sz w:val="24"/>
          <w:szCs w:val="24"/>
        </w:rPr>
        <w:t xml:space="preserve">reenhouse gas emissions in tons per </w:t>
      </w:r>
      <w:r>
        <w:rPr>
          <w:rFonts w:ascii="Times New Roman" w:eastAsia="Times New Roman" w:hAnsi="Times New Roman" w:cs="Times New Roman"/>
          <w:sz w:val="24"/>
          <w:szCs w:val="24"/>
        </w:rPr>
        <w:t xml:space="preserve">year. </w:t>
      </w:r>
    </w:p>
    <w:tbl>
      <w:tblPr>
        <w:tblStyle w:val="TableGrid"/>
        <w:tblW w:w="14508" w:type="dxa"/>
        <w:tblLayout w:type="fixed"/>
        <w:tblLook w:val="04A0"/>
      </w:tblPr>
      <w:tblGrid>
        <w:gridCol w:w="1008"/>
        <w:gridCol w:w="1800"/>
        <w:gridCol w:w="1170"/>
        <w:gridCol w:w="1080"/>
        <w:gridCol w:w="1530"/>
        <w:gridCol w:w="1350"/>
        <w:gridCol w:w="1260"/>
        <w:gridCol w:w="1260"/>
        <w:gridCol w:w="1440"/>
        <w:gridCol w:w="2610"/>
      </w:tblGrid>
      <w:tr w:rsidR="00EF6360" w:rsidRPr="00442E44" w:rsidTr="000010DA">
        <w:tc>
          <w:tcPr>
            <w:tcW w:w="14508" w:type="dxa"/>
            <w:gridSpan w:val="10"/>
          </w:tcPr>
          <w:p w:rsidR="00EF6360" w:rsidRPr="00442E44" w:rsidRDefault="00EF6360" w:rsidP="00EF6360">
            <w:pPr>
              <w:spacing w:before="100" w:beforeAutospacing="1" w:after="100" w:afterAutospacing="1"/>
              <w:jc w:val="center"/>
              <w:rPr>
                <w:rFonts w:ascii="Times New Roman" w:eastAsia="Times New Roman" w:hAnsi="Times New Roman" w:cs="Times New Roman"/>
                <w:b/>
                <w:sz w:val="28"/>
                <w:szCs w:val="28"/>
              </w:rPr>
            </w:pPr>
            <w:r w:rsidRPr="00442E44">
              <w:rPr>
                <w:rFonts w:ascii="Times New Roman" w:eastAsia="Times New Roman" w:hAnsi="Times New Roman" w:cs="Times New Roman"/>
                <w:b/>
                <w:sz w:val="28"/>
                <w:szCs w:val="28"/>
              </w:rPr>
              <w:t>EXAMPLE 1 (FEDERAL PSD MORE STRINGENT)</w:t>
            </w:r>
          </w:p>
        </w:tc>
      </w:tr>
      <w:tr w:rsidR="00F77E10" w:rsidRPr="004A5560" w:rsidTr="00F77E10">
        <w:tc>
          <w:tcPr>
            <w:tcW w:w="1008" w:type="dxa"/>
          </w:tcPr>
          <w:p w:rsidR="00FF1D3D" w:rsidRPr="004A5560" w:rsidRDefault="00FF1D3D" w:rsidP="000010DA">
            <w:pPr>
              <w:spacing w:before="100" w:beforeAutospacing="1" w:after="100" w:afterAutospacing="1"/>
              <w:jc w:val="center"/>
              <w:rPr>
                <w:rFonts w:ascii="Times New Roman" w:eastAsia="Times New Roman" w:hAnsi="Times New Roman" w:cs="Times New Roman"/>
                <w:b/>
                <w:sz w:val="20"/>
                <w:szCs w:val="20"/>
              </w:rPr>
            </w:pPr>
            <w:r w:rsidRPr="004A5560">
              <w:rPr>
                <w:rFonts w:ascii="Times New Roman" w:eastAsia="Times New Roman" w:hAnsi="Times New Roman" w:cs="Times New Roman"/>
                <w:b/>
                <w:sz w:val="20"/>
                <w:szCs w:val="20"/>
              </w:rPr>
              <w:t>YEAR</w:t>
            </w:r>
          </w:p>
        </w:tc>
        <w:tc>
          <w:tcPr>
            <w:tcW w:w="1800" w:type="dxa"/>
          </w:tcPr>
          <w:p w:rsidR="00FF1D3D" w:rsidRPr="00EF6360" w:rsidRDefault="00FF1D3D" w:rsidP="000010DA">
            <w:pPr>
              <w:spacing w:before="100" w:beforeAutospacing="1" w:after="100" w:afterAutospacing="1"/>
              <w:jc w:val="center"/>
              <w:rPr>
                <w:rFonts w:ascii="Times New Roman" w:eastAsia="Times New Roman" w:hAnsi="Times New Roman" w:cs="Times New Roman"/>
                <w:b/>
                <w:sz w:val="20"/>
                <w:szCs w:val="20"/>
              </w:rPr>
            </w:pPr>
            <w:r w:rsidRPr="00EF6360">
              <w:rPr>
                <w:rFonts w:ascii="Times New Roman" w:eastAsia="Times New Roman" w:hAnsi="Times New Roman" w:cs="Times New Roman"/>
                <w:b/>
                <w:sz w:val="20"/>
                <w:szCs w:val="20"/>
              </w:rPr>
              <w:t>INCREASE DUE TO PHYSICAL CHANGE</w:t>
            </w:r>
          </w:p>
        </w:tc>
        <w:tc>
          <w:tcPr>
            <w:tcW w:w="1170" w:type="dxa"/>
          </w:tcPr>
          <w:p w:rsidR="00FF1D3D" w:rsidRPr="004A5560" w:rsidRDefault="00FF1D3D" w:rsidP="000010DA">
            <w:pPr>
              <w:spacing w:before="100" w:beforeAutospacing="1" w:after="100" w:afterAutospacing="1"/>
              <w:jc w:val="center"/>
              <w:rPr>
                <w:rFonts w:ascii="Times New Roman" w:eastAsia="Times New Roman" w:hAnsi="Times New Roman" w:cs="Times New Roman"/>
                <w:b/>
                <w:sz w:val="20"/>
                <w:szCs w:val="20"/>
              </w:rPr>
            </w:pPr>
            <w:r w:rsidRPr="004A5560">
              <w:rPr>
                <w:rFonts w:ascii="Times New Roman" w:eastAsia="Times New Roman" w:hAnsi="Times New Roman" w:cs="Times New Roman"/>
                <w:b/>
                <w:sz w:val="20"/>
                <w:szCs w:val="20"/>
              </w:rPr>
              <w:t>NETTING BASIS</w:t>
            </w:r>
          </w:p>
        </w:tc>
        <w:tc>
          <w:tcPr>
            <w:tcW w:w="1080" w:type="dxa"/>
          </w:tcPr>
          <w:p w:rsidR="00FF1D3D" w:rsidRPr="004A5560" w:rsidRDefault="00FF1D3D" w:rsidP="000010DA">
            <w:pPr>
              <w:spacing w:before="100" w:beforeAutospacing="1" w:after="100" w:afterAutospacing="1"/>
              <w:jc w:val="center"/>
              <w:rPr>
                <w:rFonts w:ascii="Times New Roman" w:eastAsia="Times New Roman" w:hAnsi="Times New Roman" w:cs="Times New Roman"/>
                <w:b/>
                <w:sz w:val="20"/>
                <w:szCs w:val="20"/>
              </w:rPr>
            </w:pPr>
            <w:r w:rsidRPr="004A5560">
              <w:rPr>
                <w:rFonts w:ascii="Times New Roman" w:eastAsia="Times New Roman" w:hAnsi="Times New Roman" w:cs="Times New Roman"/>
                <w:b/>
                <w:sz w:val="20"/>
                <w:szCs w:val="20"/>
              </w:rPr>
              <w:t>PSEL</w:t>
            </w:r>
          </w:p>
        </w:tc>
        <w:tc>
          <w:tcPr>
            <w:tcW w:w="1530" w:type="dxa"/>
          </w:tcPr>
          <w:p w:rsidR="00FF1D3D" w:rsidRPr="004A5560" w:rsidRDefault="00FF1D3D" w:rsidP="004A5560">
            <w:pPr>
              <w:spacing w:before="100" w:beforeAutospacing="1" w:after="100" w:afterAutospacing="1"/>
              <w:jc w:val="center"/>
              <w:rPr>
                <w:rFonts w:ascii="Times New Roman" w:eastAsia="Times New Roman" w:hAnsi="Times New Roman" w:cs="Times New Roman"/>
                <w:b/>
                <w:sz w:val="20"/>
                <w:szCs w:val="20"/>
              </w:rPr>
            </w:pPr>
            <w:r w:rsidRPr="004A5560">
              <w:rPr>
                <w:rFonts w:ascii="Times New Roman" w:eastAsia="Times New Roman" w:hAnsi="Times New Roman" w:cs="Times New Roman"/>
                <w:b/>
                <w:sz w:val="20"/>
                <w:szCs w:val="20"/>
              </w:rPr>
              <w:t>FEDERAL ACTUAL EMISSIONS</w:t>
            </w:r>
          </w:p>
        </w:tc>
        <w:tc>
          <w:tcPr>
            <w:tcW w:w="1350" w:type="dxa"/>
          </w:tcPr>
          <w:p w:rsidR="00FF1D3D" w:rsidRPr="00EF6360" w:rsidRDefault="00FF1D3D" w:rsidP="000010DA">
            <w:pPr>
              <w:spacing w:before="100" w:beforeAutospacing="1" w:after="100" w:afterAutospacing="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TRIGGER </w:t>
            </w:r>
            <w:r w:rsidRPr="00EF6360">
              <w:rPr>
                <w:rFonts w:ascii="Times New Roman" w:eastAsia="Times New Roman" w:hAnsi="Times New Roman" w:cs="Times New Roman"/>
                <w:b/>
                <w:sz w:val="20"/>
                <w:szCs w:val="20"/>
              </w:rPr>
              <w:t>OR PSD</w:t>
            </w:r>
            <w:r>
              <w:rPr>
                <w:rFonts w:ascii="Times New Roman" w:eastAsia="Times New Roman" w:hAnsi="Times New Roman" w:cs="Times New Roman"/>
                <w:b/>
                <w:sz w:val="20"/>
                <w:szCs w:val="20"/>
              </w:rPr>
              <w:t>?</w:t>
            </w:r>
          </w:p>
        </w:tc>
        <w:tc>
          <w:tcPr>
            <w:tcW w:w="1260" w:type="dxa"/>
          </w:tcPr>
          <w:p w:rsidR="00FF1D3D" w:rsidRPr="004A5560" w:rsidRDefault="00FF1D3D" w:rsidP="000010DA">
            <w:pPr>
              <w:spacing w:before="100" w:beforeAutospacing="1" w:after="100" w:afterAutospacing="1"/>
              <w:jc w:val="center"/>
              <w:rPr>
                <w:rFonts w:ascii="Times New Roman" w:eastAsia="Times New Roman" w:hAnsi="Times New Roman" w:cs="Times New Roman"/>
                <w:b/>
                <w:sz w:val="20"/>
                <w:szCs w:val="20"/>
              </w:rPr>
            </w:pPr>
            <w:r w:rsidRPr="004A5560">
              <w:rPr>
                <w:rFonts w:ascii="Times New Roman" w:eastAsia="Times New Roman" w:hAnsi="Times New Roman" w:cs="Times New Roman"/>
                <w:b/>
                <w:sz w:val="20"/>
                <w:szCs w:val="20"/>
              </w:rPr>
              <w:t>BACT</w:t>
            </w:r>
          </w:p>
        </w:tc>
        <w:tc>
          <w:tcPr>
            <w:tcW w:w="1260" w:type="dxa"/>
          </w:tcPr>
          <w:p w:rsidR="00FF1D3D" w:rsidRPr="00EF6360" w:rsidRDefault="00FF1D3D" w:rsidP="000010DA">
            <w:pPr>
              <w:spacing w:before="100" w:beforeAutospacing="1" w:after="100" w:afterAutospacing="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TRIGGER </w:t>
            </w:r>
            <w:r w:rsidRPr="00EF6360">
              <w:rPr>
                <w:rFonts w:ascii="Times New Roman" w:eastAsia="Times New Roman" w:hAnsi="Times New Roman" w:cs="Times New Roman"/>
                <w:b/>
                <w:sz w:val="20"/>
                <w:szCs w:val="20"/>
              </w:rPr>
              <w:t>FEDERAL PSD</w:t>
            </w:r>
            <w:r>
              <w:rPr>
                <w:rFonts w:ascii="Times New Roman" w:eastAsia="Times New Roman" w:hAnsi="Times New Roman" w:cs="Times New Roman"/>
                <w:b/>
                <w:sz w:val="20"/>
                <w:szCs w:val="20"/>
              </w:rPr>
              <w:t>?</w:t>
            </w:r>
          </w:p>
        </w:tc>
        <w:tc>
          <w:tcPr>
            <w:tcW w:w="1440" w:type="dxa"/>
          </w:tcPr>
          <w:p w:rsidR="00FF1D3D" w:rsidRPr="004A5560" w:rsidRDefault="00FF1D3D" w:rsidP="000010DA">
            <w:pPr>
              <w:spacing w:before="100" w:beforeAutospacing="1" w:after="100" w:afterAutospacing="1"/>
              <w:jc w:val="center"/>
              <w:rPr>
                <w:rFonts w:ascii="Times New Roman" w:eastAsia="Times New Roman" w:hAnsi="Times New Roman" w:cs="Times New Roman"/>
                <w:b/>
                <w:sz w:val="20"/>
                <w:szCs w:val="20"/>
              </w:rPr>
            </w:pPr>
            <w:r w:rsidRPr="004A5560">
              <w:rPr>
                <w:rFonts w:ascii="Times New Roman" w:eastAsia="Times New Roman" w:hAnsi="Times New Roman" w:cs="Times New Roman"/>
                <w:b/>
                <w:sz w:val="20"/>
                <w:szCs w:val="20"/>
              </w:rPr>
              <w:t>BACT</w:t>
            </w:r>
          </w:p>
        </w:tc>
        <w:tc>
          <w:tcPr>
            <w:tcW w:w="2610" w:type="dxa"/>
          </w:tcPr>
          <w:p w:rsidR="00FF1D3D" w:rsidRPr="004A5560" w:rsidRDefault="00FF1D3D" w:rsidP="000010DA">
            <w:pPr>
              <w:spacing w:before="100" w:beforeAutospacing="1" w:after="100" w:afterAutospacing="1"/>
              <w:jc w:val="center"/>
              <w:rPr>
                <w:rFonts w:ascii="Times New Roman" w:eastAsia="Times New Roman" w:hAnsi="Times New Roman" w:cs="Times New Roman"/>
                <w:b/>
                <w:sz w:val="20"/>
                <w:szCs w:val="20"/>
              </w:rPr>
            </w:pPr>
            <w:r w:rsidRPr="004A5560">
              <w:rPr>
                <w:rFonts w:ascii="Times New Roman" w:eastAsia="Times New Roman" w:hAnsi="Times New Roman" w:cs="Times New Roman"/>
                <w:b/>
                <w:sz w:val="20"/>
                <w:szCs w:val="20"/>
              </w:rPr>
              <w:t>EXPLANATION</w:t>
            </w:r>
          </w:p>
        </w:tc>
      </w:tr>
      <w:tr w:rsidR="00F77E10" w:rsidTr="00F77E10">
        <w:tc>
          <w:tcPr>
            <w:tcW w:w="1008" w:type="dxa"/>
          </w:tcPr>
          <w:p w:rsidR="00EF6360" w:rsidRDefault="00EF6360" w:rsidP="000010D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c>
          <w:tcPr>
            <w:tcW w:w="1800" w:type="dxa"/>
          </w:tcPr>
          <w:p w:rsidR="00EF6360" w:rsidRDefault="00EF6360" w:rsidP="00700578">
            <w:pPr>
              <w:spacing w:before="100" w:beforeAutospacing="1" w:after="100" w:afterAutospacing="1"/>
              <w:jc w:val="center"/>
              <w:rPr>
                <w:rFonts w:ascii="Times New Roman" w:eastAsia="Times New Roman" w:hAnsi="Times New Roman" w:cs="Times New Roman"/>
                <w:sz w:val="24"/>
                <w:szCs w:val="24"/>
              </w:rPr>
            </w:pPr>
          </w:p>
        </w:tc>
        <w:tc>
          <w:tcPr>
            <w:tcW w:w="1170" w:type="dxa"/>
          </w:tcPr>
          <w:p w:rsidR="00EF6360" w:rsidRDefault="00EF6360"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080" w:type="dxa"/>
          </w:tcPr>
          <w:p w:rsidR="00EF6360" w:rsidRDefault="00EF6360"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530" w:type="dxa"/>
          </w:tcPr>
          <w:p w:rsidR="00EF6360" w:rsidRDefault="00EF6360"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350" w:type="dxa"/>
          </w:tcPr>
          <w:p w:rsidR="00EF6360" w:rsidRDefault="00EF6360" w:rsidP="00700578">
            <w:pPr>
              <w:spacing w:before="100" w:beforeAutospacing="1" w:after="100" w:afterAutospacing="1"/>
              <w:jc w:val="center"/>
              <w:rPr>
                <w:rFonts w:ascii="Times New Roman" w:eastAsia="Times New Roman" w:hAnsi="Times New Roman" w:cs="Times New Roman"/>
                <w:sz w:val="24"/>
                <w:szCs w:val="24"/>
              </w:rPr>
            </w:pPr>
          </w:p>
        </w:tc>
        <w:tc>
          <w:tcPr>
            <w:tcW w:w="1260" w:type="dxa"/>
          </w:tcPr>
          <w:p w:rsidR="00EF6360" w:rsidRDefault="00EF6360" w:rsidP="00700578">
            <w:pPr>
              <w:spacing w:before="100" w:beforeAutospacing="1" w:after="100" w:afterAutospacing="1"/>
              <w:jc w:val="center"/>
              <w:rPr>
                <w:rFonts w:ascii="Times New Roman" w:eastAsia="Times New Roman" w:hAnsi="Times New Roman" w:cs="Times New Roman"/>
                <w:sz w:val="24"/>
                <w:szCs w:val="24"/>
              </w:rPr>
            </w:pPr>
          </w:p>
        </w:tc>
        <w:tc>
          <w:tcPr>
            <w:tcW w:w="1260" w:type="dxa"/>
          </w:tcPr>
          <w:p w:rsidR="00EF6360" w:rsidRDefault="00EF6360" w:rsidP="00700578">
            <w:pPr>
              <w:spacing w:before="100" w:beforeAutospacing="1" w:after="100" w:afterAutospacing="1"/>
              <w:jc w:val="center"/>
              <w:rPr>
                <w:rFonts w:ascii="Times New Roman" w:eastAsia="Times New Roman" w:hAnsi="Times New Roman" w:cs="Times New Roman"/>
                <w:sz w:val="24"/>
                <w:szCs w:val="24"/>
              </w:rPr>
            </w:pPr>
          </w:p>
        </w:tc>
        <w:tc>
          <w:tcPr>
            <w:tcW w:w="1440" w:type="dxa"/>
          </w:tcPr>
          <w:p w:rsidR="00EF6360" w:rsidRDefault="00EF6360" w:rsidP="00700578">
            <w:pPr>
              <w:spacing w:before="100" w:beforeAutospacing="1" w:after="100" w:afterAutospacing="1"/>
              <w:jc w:val="center"/>
              <w:rPr>
                <w:rFonts w:ascii="Times New Roman" w:eastAsia="Times New Roman" w:hAnsi="Times New Roman" w:cs="Times New Roman"/>
                <w:sz w:val="24"/>
                <w:szCs w:val="24"/>
              </w:rPr>
            </w:pPr>
          </w:p>
        </w:tc>
        <w:tc>
          <w:tcPr>
            <w:tcW w:w="2610" w:type="dxa"/>
          </w:tcPr>
          <w:p w:rsidR="00EF6360" w:rsidRDefault="00EF6360" w:rsidP="000010D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grandfathered</w:t>
            </w:r>
          </w:p>
        </w:tc>
      </w:tr>
      <w:tr w:rsidR="00F77E10" w:rsidTr="00700578">
        <w:trPr>
          <w:trHeight w:val="2195"/>
        </w:trPr>
        <w:tc>
          <w:tcPr>
            <w:tcW w:w="1008" w:type="dxa"/>
          </w:tcPr>
          <w:p w:rsidR="00EF6360" w:rsidRDefault="00EF6360" w:rsidP="000010D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c>
          <w:tcPr>
            <w:tcW w:w="1800" w:type="dxa"/>
          </w:tcPr>
          <w:p w:rsidR="00EF6360" w:rsidRDefault="00EF6360"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90,000</w:t>
            </w:r>
          </w:p>
        </w:tc>
        <w:tc>
          <w:tcPr>
            <w:tcW w:w="1170" w:type="dxa"/>
          </w:tcPr>
          <w:p w:rsidR="00EF6360" w:rsidRDefault="00EF6360"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200,00</w:t>
            </w:r>
            <w:r w:rsidR="00692C45">
              <w:rPr>
                <w:rFonts w:ascii="Times New Roman" w:eastAsia="Times New Roman" w:hAnsi="Times New Roman" w:cs="Times New Roman"/>
                <w:sz w:val="24"/>
                <w:szCs w:val="24"/>
              </w:rPr>
              <w:t>0</w:t>
            </w:r>
          </w:p>
        </w:tc>
        <w:tc>
          <w:tcPr>
            <w:tcW w:w="1080" w:type="dxa"/>
          </w:tcPr>
          <w:p w:rsidR="00EF6360" w:rsidRDefault="00EF6360"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530" w:type="dxa"/>
          </w:tcPr>
          <w:p w:rsidR="00EF6360" w:rsidRDefault="00EF6360"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190,000</w:t>
            </w:r>
          </w:p>
        </w:tc>
        <w:tc>
          <w:tcPr>
            <w:tcW w:w="1350" w:type="dxa"/>
          </w:tcPr>
          <w:p w:rsidR="00EF6360" w:rsidRDefault="00EF6360"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260" w:type="dxa"/>
          </w:tcPr>
          <w:p w:rsidR="00EF6360" w:rsidRDefault="00EF6360"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260" w:type="dxa"/>
          </w:tcPr>
          <w:p w:rsidR="00EF6360" w:rsidRDefault="00EF6360"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440" w:type="dxa"/>
          </w:tcPr>
          <w:p w:rsidR="00EF6360" w:rsidRDefault="00EF6360"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r w:rsidR="003813D7">
              <w:rPr>
                <w:rFonts w:ascii="Times New Roman" w:eastAsia="Times New Roman" w:hAnsi="Times New Roman" w:cs="Times New Roman"/>
                <w:sz w:val="24"/>
                <w:szCs w:val="24"/>
              </w:rPr>
              <w:t>for most recent change</w:t>
            </w:r>
          </w:p>
        </w:tc>
        <w:tc>
          <w:tcPr>
            <w:tcW w:w="2610" w:type="dxa"/>
          </w:tcPr>
          <w:p w:rsidR="00EF6360" w:rsidRDefault="00EF6360" w:rsidP="000010D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PSEL </w:t>
            </w:r>
            <w:r>
              <w:rPr>
                <w:rFonts w:ascii="Times New Roman" w:eastAsia="Times New Roman" w:hAnsi="Times New Roman" w:cs="Times New Roman"/>
                <w:sz w:val="24"/>
                <w:szCs w:val="24"/>
                <w:u w:val="single"/>
              </w:rPr>
              <w:t>&lt;</w:t>
            </w:r>
            <w:r>
              <w:rPr>
                <w:rFonts w:ascii="Times New Roman" w:eastAsia="Times New Roman" w:hAnsi="Times New Roman" w:cs="Times New Roman"/>
                <w:sz w:val="24"/>
                <w:szCs w:val="24"/>
              </w:rPr>
              <w:t xml:space="preserve"> netting basis so not subject to PSD under DEQ rules</w:t>
            </w:r>
          </w:p>
          <w:p w:rsidR="00EF6360" w:rsidRDefault="00EF6360" w:rsidP="000010D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Actual increase &gt; 75,000 so change is subject to PSD under federal rules</w:t>
            </w:r>
          </w:p>
        </w:tc>
      </w:tr>
    </w:tbl>
    <w:p w:rsidR="002F45A0" w:rsidRDefault="002F45A0" w:rsidP="00EA3706">
      <w:pPr>
        <w:spacing w:after="0" w:line="240" w:lineRule="auto"/>
        <w:rPr>
          <w:rFonts w:ascii="Times New Roman" w:eastAsia="Times New Roman" w:hAnsi="Times New Roman" w:cs="Times New Roman"/>
          <w:sz w:val="28"/>
          <w:szCs w:val="28"/>
        </w:rPr>
      </w:pPr>
    </w:p>
    <w:p w:rsidR="00B422B6" w:rsidRDefault="00B422B6" w:rsidP="00EA3706">
      <w:pPr>
        <w:spacing w:after="0" w:line="240" w:lineRule="auto"/>
        <w:rPr>
          <w:rFonts w:ascii="Times New Roman" w:eastAsia="Times New Roman" w:hAnsi="Times New Roman" w:cs="Times New Roman"/>
          <w:sz w:val="28"/>
          <w:szCs w:val="28"/>
        </w:rPr>
      </w:pPr>
    </w:p>
    <w:tbl>
      <w:tblPr>
        <w:tblStyle w:val="TableGrid"/>
        <w:tblW w:w="14508" w:type="dxa"/>
        <w:tblLayout w:type="fixed"/>
        <w:tblLook w:val="04A0"/>
      </w:tblPr>
      <w:tblGrid>
        <w:gridCol w:w="1008"/>
        <w:gridCol w:w="1800"/>
        <w:gridCol w:w="1170"/>
        <w:gridCol w:w="1080"/>
        <w:gridCol w:w="1530"/>
        <w:gridCol w:w="1170"/>
        <w:gridCol w:w="1440"/>
        <w:gridCol w:w="1260"/>
        <w:gridCol w:w="1440"/>
        <w:gridCol w:w="2610"/>
      </w:tblGrid>
      <w:tr w:rsidR="008C5FC3" w:rsidRPr="00442E44" w:rsidTr="00F77E10">
        <w:trPr>
          <w:tblHeader/>
        </w:trPr>
        <w:tc>
          <w:tcPr>
            <w:tcW w:w="14508" w:type="dxa"/>
            <w:gridSpan w:val="10"/>
          </w:tcPr>
          <w:p w:rsidR="008C5FC3" w:rsidRPr="00442E44" w:rsidRDefault="008C5FC3" w:rsidP="000010DA">
            <w:pPr>
              <w:spacing w:before="100" w:beforeAutospacing="1" w:after="100" w:afterAutospacing="1"/>
              <w:jc w:val="center"/>
              <w:rPr>
                <w:rFonts w:ascii="Times New Roman" w:eastAsia="Times New Roman" w:hAnsi="Times New Roman" w:cs="Times New Roman"/>
                <w:b/>
                <w:sz w:val="28"/>
                <w:szCs w:val="28"/>
              </w:rPr>
            </w:pPr>
            <w:r w:rsidRPr="00442E44">
              <w:rPr>
                <w:rFonts w:ascii="Times New Roman" w:eastAsia="Times New Roman" w:hAnsi="Times New Roman" w:cs="Times New Roman"/>
                <w:b/>
                <w:sz w:val="28"/>
                <w:szCs w:val="28"/>
              </w:rPr>
              <w:lastRenderedPageBreak/>
              <w:t>EXAMPLE 2 (DEQ PSD MORE STRINGENT)</w:t>
            </w:r>
          </w:p>
        </w:tc>
      </w:tr>
      <w:tr w:rsidR="003813D7" w:rsidRPr="00EF6360" w:rsidTr="00950B29">
        <w:trPr>
          <w:tblHeader/>
        </w:trPr>
        <w:tc>
          <w:tcPr>
            <w:tcW w:w="1008" w:type="dxa"/>
          </w:tcPr>
          <w:p w:rsidR="000E06DE" w:rsidRPr="00EF6360" w:rsidRDefault="000E06DE" w:rsidP="000010DA">
            <w:pPr>
              <w:spacing w:before="100" w:beforeAutospacing="1" w:after="100" w:afterAutospacing="1"/>
              <w:jc w:val="center"/>
              <w:rPr>
                <w:rFonts w:ascii="Times New Roman" w:eastAsia="Times New Roman" w:hAnsi="Times New Roman" w:cs="Times New Roman"/>
                <w:b/>
                <w:sz w:val="20"/>
                <w:szCs w:val="20"/>
              </w:rPr>
            </w:pPr>
            <w:r w:rsidRPr="00EF6360">
              <w:rPr>
                <w:rFonts w:ascii="Times New Roman" w:eastAsia="Times New Roman" w:hAnsi="Times New Roman" w:cs="Times New Roman"/>
                <w:b/>
                <w:sz w:val="20"/>
                <w:szCs w:val="20"/>
              </w:rPr>
              <w:t>YEAR</w:t>
            </w:r>
          </w:p>
        </w:tc>
        <w:tc>
          <w:tcPr>
            <w:tcW w:w="1800" w:type="dxa"/>
          </w:tcPr>
          <w:p w:rsidR="000E06DE" w:rsidRPr="00EF6360" w:rsidRDefault="000E06DE" w:rsidP="000010DA">
            <w:pPr>
              <w:spacing w:before="100" w:beforeAutospacing="1" w:after="100" w:afterAutospacing="1"/>
              <w:jc w:val="center"/>
              <w:rPr>
                <w:rFonts w:ascii="Times New Roman" w:eastAsia="Times New Roman" w:hAnsi="Times New Roman" w:cs="Times New Roman"/>
                <w:b/>
                <w:sz w:val="20"/>
                <w:szCs w:val="20"/>
              </w:rPr>
            </w:pPr>
            <w:r w:rsidRPr="00EF6360">
              <w:rPr>
                <w:rFonts w:ascii="Times New Roman" w:eastAsia="Times New Roman" w:hAnsi="Times New Roman" w:cs="Times New Roman"/>
                <w:b/>
                <w:sz w:val="20"/>
                <w:szCs w:val="20"/>
              </w:rPr>
              <w:t>INCREASE DUE TO PHYSICAL CHANGE</w:t>
            </w:r>
          </w:p>
        </w:tc>
        <w:tc>
          <w:tcPr>
            <w:tcW w:w="1170" w:type="dxa"/>
          </w:tcPr>
          <w:p w:rsidR="000E06DE" w:rsidRPr="00EF6360" w:rsidRDefault="000E06DE" w:rsidP="000010DA">
            <w:pPr>
              <w:spacing w:before="100" w:beforeAutospacing="1" w:after="100" w:afterAutospacing="1"/>
              <w:jc w:val="center"/>
              <w:rPr>
                <w:rFonts w:ascii="Times New Roman" w:eastAsia="Times New Roman" w:hAnsi="Times New Roman" w:cs="Times New Roman"/>
                <w:b/>
                <w:sz w:val="20"/>
                <w:szCs w:val="20"/>
              </w:rPr>
            </w:pPr>
            <w:r w:rsidRPr="00EF6360">
              <w:rPr>
                <w:rFonts w:ascii="Times New Roman" w:eastAsia="Times New Roman" w:hAnsi="Times New Roman" w:cs="Times New Roman"/>
                <w:b/>
                <w:sz w:val="20"/>
                <w:szCs w:val="20"/>
              </w:rPr>
              <w:t>NETTING BASIS</w:t>
            </w:r>
          </w:p>
        </w:tc>
        <w:tc>
          <w:tcPr>
            <w:tcW w:w="1080" w:type="dxa"/>
          </w:tcPr>
          <w:p w:rsidR="000E06DE" w:rsidRPr="00EF6360" w:rsidRDefault="000E06DE" w:rsidP="000010DA">
            <w:pPr>
              <w:spacing w:before="100" w:beforeAutospacing="1" w:after="100" w:afterAutospacing="1"/>
              <w:jc w:val="center"/>
              <w:rPr>
                <w:rFonts w:ascii="Times New Roman" w:eastAsia="Times New Roman" w:hAnsi="Times New Roman" w:cs="Times New Roman"/>
                <w:b/>
                <w:sz w:val="20"/>
                <w:szCs w:val="20"/>
              </w:rPr>
            </w:pPr>
            <w:r w:rsidRPr="00EF6360">
              <w:rPr>
                <w:rFonts w:ascii="Times New Roman" w:eastAsia="Times New Roman" w:hAnsi="Times New Roman" w:cs="Times New Roman"/>
                <w:b/>
                <w:sz w:val="20"/>
                <w:szCs w:val="20"/>
              </w:rPr>
              <w:t>PSEL</w:t>
            </w:r>
          </w:p>
        </w:tc>
        <w:tc>
          <w:tcPr>
            <w:tcW w:w="1530" w:type="dxa"/>
          </w:tcPr>
          <w:p w:rsidR="000E06DE" w:rsidRPr="00EF6360" w:rsidRDefault="000E06DE" w:rsidP="00EF6360">
            <w:pPr>
              <w:spacing w:before="100" w:beforeAutospacing="1" w:after="100" w:afterAutospacing="1"/>
              <w:jc w:val="center"/>
              <w:rPr>
                <w:rFonts w:ascii="Times New Roman" w:eastAsia="Times New Roman" w:hAnsi="Times New Roman" w:cs="Times New Roman"/>
                <w:b/>
                <w:sz w:val="20"/>
                <w:szCs w:val="20"/>
              </w:rPr>
            </w:pPr>
            <w:r w:rsidRPr="00EF6360">
              <w:rPr>
                <w:rFonts w:ascii="Times New Roman" w:eastAsia="Times New Roman" w:hAnsi="Times New Roman" w:cs="Times New Roman"/>
                <w:b/>
                <w:sz w:val="20"/>
                <w:szCs w:val="20"/>
              </w:rPr>
              <w:t>FEDERAL ACTUAL EMISSIONS</w:t>
            </w:r>
          </w:p>
        </w:tc>
        <w:tc>
          <w:tcPr>
            <w:tcW w:w="1170" w:type="dxa"/>
          </w:tcPr>
          <w:p w:rsidR="000E06DE" w:rsidRPr="00EF6360" w:rsidRDefault="003813D7" w:rsidP="003813D7">
            <w:pPr>
              <w:spacing w:before="100" w:beforeAutospacing="1" w:after="100" w:afterAutospacing="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TRIGGER </w:t>
            </w:r>
            <w:r w:rsidR="000E06DE" w:rsidRPr="00EF6360">
              <w:rPr>
                <w:rFonts w:ascii="Times New Roman" w:eastAsia="Times New Roman" w:hAnsi="Times New Roman" w:cs="Times New Roman"/>
                <w:b/>
                <w:sz w:val="20"/>
                <w:szCs w:val="20"/>
              </w:rPr>
              <w:t>OR PSD</w:t>
            </w:r>
            <w:r>
              <w:rPr>
                <w:rFonts w:ascii="Times New Roman" w:eastAsia="Times New Roman" w:hAnsi="Times New Roman" w:cs="Times New Roman"/>
                <w:b/>
                <w:sz w:val="20"/>
                <w:szCs w:val="20"/>
              </w:rPr>
              <w:t>?</w:t>
            </w:r>
          </w:p>
        </w:tc>
        <w:tc>
          <w:tcPr>
            <w:tcW w:w="1440" w:type="dxa"/>
          </w:tcPr>
          <w:p w:rsidR="000E06DE" w:rsidRPr="00EF6360" w:rsidRDefault="000E06DE" w:rsidP="000010DA">
            <w:pPr>
              <w:spacing w:before="100" w:beforeAutospacing="1" w:after="100" w:afterAutospacing="1"/>
              <w:jc w:val="center"/>
              <w:rPr>
                <w:rFonts w:ascii="Times New Roman" w:eastAsia="Times New Roman" w:hAnsi="Times New Roman" w:cs="Times New Roman"/>
                <w:b/>
                <w:sz w:val="20"/>
                <w:szCs w:val="20"/>
              </w:rPr>
            </w:pPr>
            <w:r w:rsidRPr="00EF6360">
              <w:rPr>
                <w:rFonts w:ascii="Times New Roman" w:eastAsia="Times New Roman" w:hAnsi="Times New Roman" w:cs="Times New Roman"/>
                <w:b/>
                <w:sz w:val="20"/>
                <w:szCs w:val="20"/>
              </w:rPr>
              <w:t>BACT</w:t>
            </w:r>
          </w:p>
        </w:tc>
        <w:tc>
          <w:tcPr>
            <w:tcW w:w="1260" w:type="dxa"/>
          </w:tcPr>
          <w:p w:rsidR="000E06DE" w:rsidRPr="00EF6360" w:rsidRDefault="003813D7" w:rsidP="003813D7">
            <w:pPr>
              <w:spacing w:before="100" w:beforeAutospacing="1" w:after="100" w:afterAutospacing="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TRIGGER </w:t>
            </w:r>
            <w:r w:rsidR="000E06DE" w:rsidRPr="00EF6360">
              <w:rPr>
                <w:rFonts w:ascii="Times New Roman" w:eastAsia="Times New Roman" w:hAnsi="Times New Roman" w:cs="Times New Roman"/>
                <w:b/>
                <w:sz w:val="20"/>
                <w:szCs w:val="20"/>
              </w:rPr>
              <w:t>FEDERAL PSD</w:t>
            </w:r>
            <w:r>
              <w:rPr>
                <w:rFonts w:ascii="Times New Roman" w:eastAsia="Times New Roman" w:hAnsi="Times New Roman" w:cs="Times New Roman"/>
                <w:b/>
                <w:sz w:val="20"/>
                <w:szCs w:val="20"/>
              </w:rPr>
              <w:t>?</w:t>
            </w:r>
          </w:p>
        </w:tc>
        <w:tc>
          <w:tcPr>
            <w:tcW w:w="1440" w:type="dxa"/>
          </w:tcPr>
          <w:p w:rsidR="000E06DE" w:rsidRPr="00EF6360" w:rsidRDefault="000E06DE" w:rsidP="000010DA">
            <w:pPr>
              <w:spacing w:before="100" w:beforeAutospacing="1" w:after="100" w:afterAutospacing="1"/>
              <w:jc w:val="center"/>
              <w:rPr>
                <w:rFonts w:ascii="Times New Roman" w:eastAsia="Times New Roman" w:hAnsi="Times New Roman" w:cs="Times New Roman"/>
                <w:b/>
                <w:sz w:val="20"/>
                <w:szCs w:val="20"/>
              </w:rPr>
            </w:pPr>
            <w:r w:rsidRPr="00EF6360">
              <w:rPr>
                <w:rFonts w:ascii="Times New Roman" w:eastAsia="Times New Roman" w:hAnsi="Times New Roman" w:cs="Times New Roman"/>
                <w:b/>
                <w:sz w:val="20"/>
                <w:szCs w:val="20"/>
              </w:rPr>
              <w:t>BACT</w:t>
            </w:r>
          </w:p>
        </w:tc>
        <w:tc>
          <w:tcPr>
            <w:tcW w:w="2610" w:type="dxa"/>
          </w:tcPr>
          <w:p w:rsidR="000E06DE" w:rsidRPr="00EF6360" w:rsidRDefault="000E06DE" w:rsidP="000010DA">
            <w:pPr>
              <w:spacing w:before="100" w:beforeAutospacing="1" w:after="100" w:afterAutospacing="1"/>
              <w:jc w:val="center"/>
              <w:rPr>
                <w:rFonts w:ascii="Times New Roman" w:eastAsia="Times New Roman" w:hAnsi="Times New Roman" w:cs="Times New Roman"/>
                <w:b/>
                <w:sz w:val="20"/>
                <w:szCs w:val="20"/>
              </w:rPr>
            </w:pPr>
            <w:r w:rsidRPr="00EF6360">
              <w:rPr>
                <w:rFonts w:ascii="Times New Roman" w:eastAsia="Times New Roman" w:hAnsi="Times New Roman" w:cs="Times New Roman"/>
                <w:b/>
                <w:sz w:val="20"/>
                <w:szCs w:val="20"/>
              </w:rPr>
              <w:t>EXPLANATION</w:t>
            </w:r>
          </w:p>
        </w:tc>
      </w:tr>
      <w:tr w:rsidR="003813D7" w:rsidTr="00950B29">
        <w:tc>
          <w:tcPr>
            <w:tcW w:w="1008" w:type="dxa"/>
          </w:tcPr>
          <w:p w:rsidR="000E06DE" w:rsidRDefault="000E06DE" w:rsidP="000010D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c>
          <w:tcPr>
            <w:tcW w:w="180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p>
        </w:tc>
        <w:tc>
          <w:tcPr>
            <w:tcW w:w="117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08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53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17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p>
        </w:tc>
        <w:tc>
          <w:tcPr>
            <w:tcW w:w="144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p>
        </w:tc>
        <w:tc>
          <w:tcPr>
            <w:tcW w:w="126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p>
        </w:tc>
        <w:tc>
          <w:tcPr>
            <w:tcW w:w="144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p>
        </w:tc>
        <w:tc>
          <w:tcPr>
            <w:tcW w:w="2610" w:type="dxa"/>
          </w:tcPr>
          <w:p w:rsidR="000E06DE" w:rsidRDefault="000E06DE" w:rsidP="000010D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grandfathered</w:t>
            </w:r>
          </w:p>
        </w:tc>
      </w:tr>
      <w:tr w:rsidR="003813D7" w:rsidTr="00950B29">
        <w:trPr>
          <w:trHeight w:val="2312"/>
        </w:trPr>
        <w:tc>
          <w:tcPr>
            <w:tcW w:w="1008" w:type="dxa"/>
          </w:tcPr>
          <w:p w:rsidR="000E06DE" w:rsidRDefault="000E06DE" w:rsidP="000010D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2011</w:t>
            </w:r>
          </w:p>
        </w:tc>
        <w:tc>
          <w:tcPr>
            <w:tcW w:w="180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60,000</w:t>
            </w:r>
          </w:p>
        </w:tc>
        <w:tc>
          <w:tcPr>
            <w:tcW w:w="117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r w:rsidR="00692C45">
              <w:rPr>
                <w:rFonts w:ascii="Times New Roman" w:eastAsia="Times New Roman" w:hAnsi="Times New Roman" w:cs="Times New Roman"/>
                <w:sz w:val="24"/>
                <w:szCs w:val="24"/>
              </w:rPr>
              <w:t>0</w:t>
            </w:r>
          </w:p>
        </w:tc>
        <w:tc>
          <w:tcPr>
            <w:tcW w:w="108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160,000</w:t>
            </w:r>
          </w:p>
        </w:tc>
        <w:tc>
          <w:tcPr>
            <w:tcW w:w="153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160,000</w:t>
            </w:r>
          </w:p>
        </w:tc>
        <w:tc>
          <w:tcPr>
            <w:tcW w:w="117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44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260" w:type="dxa"/>
          </w:tcPr>
          <w:p w:rsidR="00E24C56"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rsidR="00E24C56" w:rsidRDefault="00E24C56" w:rsidP="00E24C56">
            <w:pPr>
              <w:rPr>
                <w:rFonts w:ascii="Times New Roman" w:eastAsia="Times New Roman" w:hAnsi="Times New Roman" w:cs="Times New Roman"/>
                <w:sz w:val="24"/>
                <w:szCs w:val="24"/>
              </w:rPr>
            </w:pPr>
          </w:p>
          <w:p w:rsidR="000E06DE" w:rsidRPr="00E24C56" w:rsidRDefault="000E06DE" w:rsidP="00E24C56">
            <w:pPr>
              <w:rPr>
                <w:rFonts w:ascii="Times New Roman" w:eastAsia="Times New Roman" w:hAnsi="Times New Roman" w:cs="Times New Roman"/>
                <w:sz w:val="24"/>
                <w:szCs w:val="24"/>
              </w:rPr>
            </w:pPr>
          </w:p>
        </w:tc>
        <w:tc>
          <w:tcPr>
            <w:tcW w:w="144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610" w:type="dxa"/>
          </w:tcPr>
          <w:p w:rsidR="000E06DE" w:rsidRDefault="000E06DE" w:rsidP="000010D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PSEL </w:t>
            </w:r>
            <w:r w:rsidR="00EF6360">
              <w:rPr>
                <w:rFonts w:ascii="Times New Roman" w:eastAsia="Times New Roman" w:hAnsi="Times New Roman" w:cs="Times New Roman"/>
                <w:sz w:val="24"/>
                <w:szCs w:val="24"/>
                <w:u w:val="single"/>
              </w:rPr>
              <w:t xml:space="preserve">&lt; </w:t>
            </w:r>
            <w:r>
              <w:rPr>
                <w:rFonts w:ascii="Times New Roman" w:eastAsia="Times New Roman" w:hAnsi="Times New Roman" w:cs="Times New Roman"/>
                <w:sz w:val="24"/>
                <w:szCs w:val="24"/>
              </w:rPr>
              <w:t>to netting basis + SER so change is not subject to DEQ PSD</w:t>
            </w:r>
          </w:p>
          <w:p w:rsidR="000E06DE" w:rsidRDefault="000E06DE" w:rsidP="000010D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Actual increase is less than SER so change is not subject to fed</w:t>
            </w:r>
            <w:r w:rsidR="00692C45">
              <w:rPr>
                <w:rFonts w:ascii="Times New Roman" w:eastAsia="Times New Roman" w:hAnsi="Times New Roman" w:cs="Times New Roman"/>
                <w:sz w:val="24"/>
                <w:szCs w:val="24"/>
              </w:rPr>
              <w:t>eral</w:t>
            </w:r>
            <w:r>
              <w:rPr>
                <w:rFonts w:ascii="Times New Roman" w:eastAsia="Times New Roman" w:hAnsi="Times New Roman" w:cs="Times New Roman"/>
                <w:sz w:val="24"/>
                <w:szCs w:val="24"/>
              </w:rPr>
              <w:t xml:space="preserve"> PSD</w:t>
            </w:r>
          </w:p>
        </w:tc>
      </w:tr>
      <w:tr w:rsidR="003813D7" w:rsidTr="00950B29">
        <w:tc>
          <w:tcPr>
            <w:tcW w:w="1008" w:type="dxa"/>
          </w:tcPr>
          <w:p w:rsidR="000E06DE" w:rsidRDefault="000E06DE" w:rsidP="000010D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80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60,000</w:t>
            </w:r>
          </w:p>
        </w:tc>
        <w:tc>
          <w:tcPr>
            <w:tcW w:w="117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220,000</w:t>
            </w:r>
          </w:p>
        </w:tc>
        <w:tc>
          <w:tcPr>
            <w:tcW w:w="108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220,000</w:t>
            </w:r>
          </w:p>
        </w:tc>
        <w:tc>
          <w:tcPr>
            <w:tcW w:w="153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220,000</w:t>
            </w:r>
          </w:p>
        </w:tc>
        <w:tc>
          <w:tcPr>
            <w:tcW w:w="117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44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r w:rsidR="003813D7">
              <w:rPr>
                <w:rFonts w:ascii="Times New Roman" w:eastAsia="Times New Roman" w:hAnsi="Times New Roman" w:cs="Times New Roman"/>
                <w:sz w:val="24"/>
                <w:szCs w:val="24"/>
              </w:rPr>
              <w:t>for the 2011 and 2022 changes</w:t>
            </w:r>
          </w:p>
        </w:tc>
        <w:tc>
          <w:tcPr>
            <w:tcW w:w="126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440" w:type="dxa"/>
          </w:tcPr>
          <w:p w:rsidR="000E06DE" w:rsidRDefault="000E06DE"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610" w:type="dxa"/>
          </w:tcPr>
          <w:p w:rsidR="000E06DE" w:rsidRDefault="000E06DE" w:rsidP="002F45A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PSEL greater than previous netting basis by more than SER so change is subject to DEQ PSD, reset netting basis, BACT applies to 2011 and 2022 changes. </w:t>
            </w:r>
          </w:p>
          <w:p w:rsidR="000E06DE" w:rsidRDefault="000E06DE" w:rsidP="002F45A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Actual emission</w:t>
            </w:r>
            <w:r w:rsidR="000072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increase in last 10 years less than SER so not subject to federal PSD</w:t>
            </w:r>
          </w:p>
        </w:tc>
      </w:tr>
      <w:tr w:rsidR="003813D7" w:rsidTr="00950B29">
        <w:tc>
          <w:tcPr>
            <w:tcW w:w="1008" w:type="dxa"/>
          </w:tcPr>
          <w:p w:rsidR="003813D7" w:rsidRDefault="003813D7" w:rsidP="000010D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2033</w:t>
            </w:r>
          </w:p>
        </w:tc>
        <w:tc>
          <w:tcPr>
            <w:tcW w:w="1800" w:type="dxa"/>
          </w:tcPr>
          <w:p w:rsidR="003813D7" w:rsidRDefault="003813D7"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80,000</w:t>
            </w:r>
          </w:p>
        </w:tc>
        <w:tc>
          <w:tcPr>
            <w:tcW w:w="1170" w:type="dxa"/>
          </w:tcPr>
          <w:p w:rsidR="003813D7" w:rsidRDefault="003813D7"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080" w:type="dxa"/>
          </w:tcPr>
          <w:p w:rsidR="003813D7" w:rsidRDefault="003813D7"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530" w:type="dxa"/>
          </w:tcPr>
          <w:p w:rsidR="003813D7" w:rsidRDefault="003813D7"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170" w:type="dxa"/>
          </w:tcPr>
          <w:p w:rsidR="003813D7" w:rsidRDefault="003813D7"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440" w:type="dxa"/>
          </w:tcPr>
          <w:p w:rsidR="003813D7" w:rsidRDefault="003813D7"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 for most recent change</w:t>
            </w:r>
          </w:p>
        </w:tc>
        <w:tc>
          <w:tcPr>
            <w:tcW w:w="1260" w:type="dxa"/>
          </w:tcPr>
          <w:p w:rsidR="003813D7" w:rsidRDefault="003813D7"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440" w:type="dxa"/>
          </w:tcPr>
          <w:p w:rsidR="003813D7" w:rsidRDefault="003813D7" w:rsidP="00700578">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 for most recent change</w:t>
            </w:r>
          </w:p>
        </w:tc>
        <w:tc>
          <w:tcPr>
            <w:tcW w:w="2610" w:type="dxa"/>
          </w:tcPr>
          <w:p w:rsidR="003813D7" w:rsidRDefault="003813D7" w:rsidP="00176D3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Change triggers PSD under both programs, BACT applies to all changes under DEQ PSD.</w:t>
            </w:r>
            <w:r w:rsidR="000072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BACT only applies to most recent change in 2033 under federal PSD.</w:t>
            </w:r>
            <w:r w:rsidR="00007240">
              <w:rPr>
                <w:rFonts w:ascii="Times New Roman" w:eastAsia="Times New Roman" w:hAnsi="Times New Roman" w:cs="Times New Roman"/>
                <w:sz w:val="24"/>
                <w:szCs w:val="24"/>
              </w:rPr>
              <w:t xml:space="preserve"> </w:t>
            </w:r>
          </w:p>
        </w:tc>
      </w:tr>
    </w:tbl>
    <w:p w:rsidR="009E7E4B" w:rsidRPr="00B80012" w:rsidRDefault="009E7E4B" w:rsidP="000E3098">
      <w:pPr>
        <w:spacing w:before="100" w:beforeAutospacing="1" w:after="100" w:afterAutospacing="1" w:line="240" w:lineRule="auto"/>
        <w:rPr>
          <w:color w:val="1F497D"/>
        </w:rPr>
      </w:pPr>
    </w:p>
    <w:sectPr w:rsidR="009E7E4B" w:rsidRPr="00B80012" w:rsidSect="00027339">
      <w:headerReference w:type="default" r:id="rId12"/>
      <w:pgSz w:w="15840" w:h="12240" w:orient="landscape"/>
      <w:pgMar w:top="720" w:right="1080" w:bottom="720" w:left="108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BC1" w:rsidRDefault="009C0BC1" w:rsidP="00804529">
      <w:pPr>
        <w:spacing w:after="0" w:line="240" w:lineRule="auto"/>
      </w:pPr>
      <w:r>
        <w:separator/>
      </w:r>
    </w:p>
  </w:endnote>
  <w:endnote w:type="continuationSeparator" w:id="0">
    <w:p w:rsidR="009C0BC1" w:rsidRDefault="009C0BC1" w:rsidP="00804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BC1" w:rsidRDefault="009C0BC1" w:rsidP="00804529">
      <w:pPr>
        <w:spacing w:after="0" w:line="240" w:lineRule="auto"/>
      </w:pPr>
      <w:r>
        <w:separator/>
      </w:r>
    </w:p>
  </w:footnote>
  <w:footnote w:type="continuationSeparator" w:id="0">
    <w:p w:rsidR="009C0BC1" w:rsidRDefault="009C0BC1" w:rsidP="008045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EF5" w:rsidRPr="00FE3DAA" w:rsidRDefault="00911EF5" w:rsidP="00911EF5">
    <w:pPr>
      <w:tabs>
        <w:tab w:val="left" w:pos="-1440"/>
        <w:tab w:val="left" w:pos="-720"/>
        <w:tab w:val="left" w:pos="0"/>
        <w:tab w:val="left" w:pos="720"/>
      </w:tabs>
      <w:suppressAutoHyphens/>
      <w:spacing w:after="0" w:line="240" w:lineRule="auto"/>
      <w:ind w:left="1440" w:hanging="1440"/>
      <w:rPr>
        <w:rStyle w:val="PageNumber"/>
        <w:rFonts w:ascii="Arial" w:hAnsi="Arial" w:cs="Arial"/>
        <w:sz w:val="20"/>
        <w:szCs w:val="20"/>
      </w:rPr>
    </w:pPr>
    <w:r w:rsidRPr="00FE3DAA">
      <w:rPr>
        <w:rStyle w:val="PageNumber"/>
        <w:rFonts w:ascii="Arial" w:hAnsi="Arial" w:cs="Arial"/>
        <w:sz w:val="20"/>
        <w:szCs w:val="20"/>
      </w:rPr>
      <w:t>Attachment C</w:t>
    </w:r>
  </w:p>
  <w:p w:rsidR="00911EF5" w:rsidRPr="00FE3DAA" w:rsidRDefault="00FE3DAA" w:rsidP="00911EF5">
    <w:pPr>
      <w:tabs>
        <w:tab w:val="left" w:pos="-1440"/>
        <w:tab w:val="left" w:pos="-720"/>
      </w:tabs>
      <w:suppressAutoHyphens/>
      <w:spacing w:after="0" w:line="240" w:lineRule="auto"/>
      <w:rPr>
        <w:rFonts w:ascii="Arial" w:hAnsi="Arial" w:cs="Arial"/>
        <w:sz w:val="20"/>
        <w:szCs w:val="20"/>
      </w:rPr>
    </w:pPr>
    <w:r>
      <w:rPr>
        <w:rFonts w:ascii="Arial" w:hAnsi="Arial" w:cs="Arial"/>
        <w:sz w:val="20"/>
        <w:szCs w:val="20"/>
      </w:rPr>
      <w:t>April 21-22, 2011, EQC m</w:t>
    </w:r>
    <w:r w:rsidR="00911EF5" w:rsidRPr="00FE3DAA">
      <w:rPr>
        <w:rFonts w:ascii="Arial" w:hAnsi="Arial" w:cs="Arial"/>
        <w:sz w:val="20"/>
        <w:szCs w:val="20"/>
      </w:rPr>
      <w:t>eeting</w:t>
    </w:r>
  </w:p>
  <w:p w:rsidR="00FE3DAA" w:rsidRDefault="00911EF5" w:rsidP="00FE3DAA">
    <w:pPr>
      <w:tabs>
        <w:tab w:val="left" w:pos="-1440"/>
        <w:tab w:val="left" w:pos="-720"/>
      </w:tabs>
      <w:suppressAutoHyphens/>
      <w:spacing w:after="0" w:line="240" w:lineRule="auto"/>
      <w:rPr>
        <w:rFonts w:ascii="Arial" w:hAnsi="Arial" w:cs="Arial"/>
        <w:sz w:val="20"/>
        <w:szCs w:val="20"/>
      </w:rPr>
    </w:pPr>
    <w:r w:rsidRPr="00FE3DAA">
      <w:rPr>
        <w:rFonts w:ascii="Arial" w:hAnsi="Arial" w:cs="Arial"/>
        <w:sz w:val="20"/>
        <w:szCs w:val="20"/>
      </w:rPr>
      <w:t xml:space="preserve">Page </w:t>
    </w:r>
    <w:r w:rsidR="001736C6" w:rsidRPr="00FE3DAA">
      <w:rPr>
        <w:rStyle w:val="PageNumber"/>
        <w:rFonts w:ascii="Arial" w:hAnsi="Arial" w:cs="Arial"/>
        <w:sz w:val="20"/>
        <w:szCs w:val="20"/>
      </w:rPr>
      <w:fldChar w:fldCharType="begin"/>
    </w:r>
    <w:r w:rsidRPr="00FE3DAA">
      <w:rPr>
        <w:rStyle w:val="PageNumber"/>
        <w:rFonts w:ascii="Arial" w:hAnsi="Arial" w:cs="Arial"/>
        <w:sz w:val="20"/>
        <w:szCs w:val="20"/>
      </w:rPr>
      <w:instrText xml:space="preserve"> PAGE </w:instrText>
    </w:r>
    <w:r w:rsidR="001736C6" w:rsidRPr="00FE3DAA">
      <w:rPr>
        <w:rStyle w:val="PageNumber"/>
        <w:rFonts w:ascii="Arial" w:hAnsi="Arial" w:cs="Arial"/>
        <w:sz w:val="20"/>
        <w:szCs w:val="20"/>
      </w:rPr>
      <w:fldChar w:fldCharType="separate"/>
    </w:r>
    <w:r w:rsidR="00FB1E6B">
      <w:rPr>
        <w:rStyle w:val="PageNumber"/>
        <w:rFonts w:ascii="Arial" w:hAnsi="Arial" w:cs="Arial"/>
        <w:noProof/>
        <w:sz w:val="20"/>
        <w:szCs w:val="20"/>
      </w:rPr>
      <w:t>7</w:t>
    </w:r>
    <w:r w:rsidR="001736C6" w:rsidRPr="00FE3DAA">
      <w:rPr>
        <w:rStyle w:val="PageNumber"/>
        <w:rFonts w:ascii="Arial" w:hAnsi="Arial" w:cs="Arial"/>
        <w:sz w:val="20"/>
        <w:szCs w:val="20"/>
      </w:rPr>
      <w:fldChar w:fldCharType="end"/>
    </w:r>
    <w:r w:rsidRPr="00FE3DAA">
      <w:rPr>
        <w:rFonts w:ascii="Arial" w:hAnsi="Arial" w:cs="Arial"/>
        <w:sz w:val="20"/>
        <w:szCs w:val="20"/>
      </w:rPr>
      <w:t xml:space="preserve"> of </w:t>
    </w:r>
    <w:r w:rsidR="001736C6" w:rsidRPr="00FE3DAA">
      <w:rPr>
        <w:rStyle w:val="PageNumber"/>
        <w:rFonts w:ascii="Arial" w:hAnsi="Arial" w:cs="Arial"/>
        <w:sz w:val="20"/>
        <w:szCs w:val="20"/>
      </w:rPr>
      <w:fldChar w:fldCharType="begin"/>
    </w:r>
    <w:r w:rsidRPr="00FE3DAA">
      <w:rPr>
        <w:rStyle w:val="PageNumber"/>
        <w:rFonts w:ascii="Arial" w:hAnsi="Arial" w:cs="Arial"/>
        <w:sz w:val="20"/>
        <w:szCs w:val="20"/>
      </w:rPr>
      <w:instrText xml:space="preserve"> NUMPAGES  </w:instrText>
    </w:r>
    <w:r w:rsidR="001736C6" w:rsidRPr="00FE3DAA">
      <w:rPr>
        <w:rStyle w:val="PageNumber"/>
        <w:rFonts w:ascii="Arial" w:hAnsi="Arial" w:cs="Arial"/>
        <w:sz w:val="20"/>
        <w:szCs w:val="20"/>
      </w:rPr>
      <w:fldChar w:fldCharType="separate"/>
    </w:r>
    <w:r w:rsidR="00FB1E6B">
      <w:rPr>
        <w:rStyle w:val="PageNumber"/>
        <w:rFonts w:ascii="Arial" w:hAnsi="Arial" w:cs="Arial"/>
        <w:noProof/>
        <w:sz w:val="20"/>
        <w:szCs w:val="20"/>
      </w:rPr>
      <w:t>7</w:t>
    </w:r>
    <w:r w:rsidR="001736C6" w:rsidRPr="00FE3DAA">
      <w:rPr>
        <w:rStyle w:val="PageNumber"/>
        <w:rFonts w:ascii="Arial" w:hAnsi="Arial" w:cs="Arial"/>
        <w:sz w:val="20"/>
        <w:szCs w:val="20"/>
      </w:rPr>
      <w:fldChar w:fldCharType="end"/>
    </w:r>
  </w:p>
  <w:p w:rsidR="00FE3DAA" w:rsidRPr="00FE3DAA" w:rsidRDefault="00FE3DAA" w:rsidP="00FE3DAA">
    <w:pPr>
      <w:tabs>
        <w:tab w:val="left" w:pos="-1440"/>
        <w:tab w:val="left" w:pos="-720"/>
      </w:tabs>
      <w:suppressAutoHyphens/>
      <w:spacing w:after="0" w:line="240" w:lineRule="auto"/>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26A05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476ED6"/>
    <w:multiLevelType w:val="hybridMultilevel"/>
    <w:tmpl w:val="27AA1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9F1A03"/>
    <w:multiLevelType w:val="hybridMultilevel"/>
    <w:tmpl w:val="8E283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9B07A9"/>
    <w:multiLevelType w:val="hybridMultilevel"/>
    <w:tmpl w:val="004C9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545731"/>
    <w:multiLevelType w:val="hybridMultilevel"/>
    <w:tmpl w:val="55028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742F18"/>
    <w:multiLevelType w:val="hybridMultilevel"/>
    <w:tmpl w:val="9DD6C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1E0769"/>
    <w:multiLevelType w:val="hybridMultilevel"/>
    <w:tmpl w:val="D034DC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38F24811"/>
    <w:multiLevelType w:val="hybridMultilevel"/>
    <w:tmpl w:val="207A3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A5D5E1A"/>
    <w:multiLevelType w:val="hybridMultilevel"/>
    <w:tmpl w:val="C8B41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7"/>
  </w:num>
  <w:num w:numId="4">
    <w:abstractNumId w:val="5"/>
  </w:num>
  <w:num w:numId="5">
    <w:abstractNumId w:val="3"/>
  </w:num>
  <w:num w:numId="6">
    <w:abstractNumId w:val="4"/>
  </w:num>
  <w:num w:numId="7">
    <w:abstractNumId w:val="1"/>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rsids>
    <w:rsidRoot w:val="00EC5217"/>
    <w:rsid w:val="000010DA"/>
    <w:rsid w:val="00007240"/>
    <w:rsid w:val="00027339"/>
    <w:rsid w:val="00036119"/>
    <w:rsid w:val="00040688"/>
    <w:rsid w:val="00050855"/>
    <w:rsid w:val="00052294"/>
    <w:rsid w:val="0005334F"/>
    <w:rsid w:val="00055C8F"/>
    <w:rsid w:val="00063C8B"/>
    <w:rsid w:val="0006445C"/>
    <w:rsid w:val="00097C68"/>
    <w:rsid w:val="000B103D"/>
    <w:rsid w:val="000C4788"/>
    <w:rsid w:val="000C6B09"/>
    <w:rsid w:val="000D2D64"/>
    <w:rsid w:val="000E06DE"/>
    <w:rsid w:val="000E3098"/>
    <w:rsid w:val="000E78DB"/>
    <w:rsid w:val="000E79DD"/>
    <w:rsid w:val="000F34A4"/>
    <w:rsid w:val="00115F10"/>
    <w:rsid w:val="00117132"/>
    <w:rsid w:val="00124511"/>
    <w:rsid w:val="00124D2A"/>
    <w:rsid w:val="00125CCA"/>
    <w:rsid w:val="00126D17"/>
    <w:rsid w:val="0014099B"/>
    <w:rsid w:val="00144168"/>
    <w:rsid w:val="00151992"/>
    <w:rsid w:val="001736C6"/>
    <w:rsid w:val="00176D35"/>
    <w:rsid w:val="00177680"/>
    <w:rsid w:val="00181300"/>
    <w:rsid w:val="001954F9"/>
    <w:rsid w:val="001A7AE9"/>
    <w:rsid w:val="001E27EF"/>
    <w:rsid w:val="001E4BC6"/>
    <w:rsid w:val="001F65F2"/>
    <w:rsid w:val="00201678"/>
    <w:rsid w:val="002024F8"/>
    <w:rsid w:val="00231E52"/>
    <w:rsid w:val="00242009"/>
    <w:rsid w:val="00246845"/>
    <w:rsid w:val="00263486"/>
    <w:rsid w:val="00273F2C"/>
    <w:rsid w:val="00290ADA"/>
    <w:rsid w:val="002A7ED1"/>
    <w:rsid w:val="002B04B1"/>
    <w:rsid w:val="002C5880"/>
    <w:rsid w:val="002C5B97"/>
    <w:rsid w:val="002D1000"/>
    <w:rsid w:val="002D3FD4"/>
    <w:rsid w:val="002E0B34"/>
    <w:rsid w:val="002E58F4"/>
    <w:rsid w:val="002E5973"/>
    <w:rsid w:val="002F45A0"/>
    <w:rsid w:val="002F7BC0"/>
    <w:rsid w:val="00302D65"/>
    <w:rsid w:val="003133F3"/>
    <w:rsid w:val="00315330"/>
    <w:rsid w:val="00323E39"/>
    <w:rsid w:val="00324764"/>
    <w:rsid w:val="0033258C"/>
    <w:rsid w:val="0034392B"/>
    <w:rsid w:val="003631E1"/>
    <w:rsid w:val="00375AF8"/>
    <w:rsid w:val="00381322"/>
    <w:rsid w:val="003813D7"/>
    <w:rsid w:val="00387442"/>
    <w:rsid w:val="00396CEE"/>
    <w:rsid w:val="003A53DE"/>
    <w:rsid w:val="003A7B78"/>
    <w:rsid w:val="003B7736"/>
    <w:rsid w:val="003C403C"/>
    <w:rsid w:val="003D6C63"/>
    <w:rsid w:val="003F4755"/>
    <w:rsid w:val="003F68CC"/>
    <w:rsid w:val="004033CD"/>
    <w:rsid w:val="00404FDF"/>
    <w:rsid w:val="00423005"/>
    <w:rsid w:val="0043744D"/>
    <w:rsid w:val="00442E44"/>
    <w:rsid w:val="004442D4"/>
    <w:rsid w:val="00445BDA"/>
    <w:rsid w:val="00453E5E"/>
    <w:rsid w:val="00455942"/>
    <w:rsid w:val="00461556"/>
    <w:rsid w:val="004751DE"/>
    <w:rsid w:val="00480CFE"/>
    <w:rsid w:val="00491B6B"/>
    <w:rsid w:val="004A1346"/>
    <w:rsid w:val="004A53EE"/>
    <w:rsid w:val="004A5560"/>
    <w:rsid w:val="004B4DED"/>
    <w:rsid w:val="004C2DFE"/>
    <w:rsid w:val="004C5235"/>
    <w:rsid w:val="004F4A20"/>
    <w:rsid w:val="004F6B30"/>
    <w:rsid w:val="005013C4"/>
    <w:rsid w:val="005253CB"/>
    <w:rsid w:val="00566832"/>
    <w:rsid w:val="00566BE7"/>
    <w:rsid w:val="0057751D"/>
    <w:rsid w:val="005A1244"/>
    <w:rsid w:val="005A1EE7"/>
    <w:rsid w:val="005B14D2"/>
    <w:rsid w:val="005C23B3"/>
    <w:rsid w:val="005D14CB"/>
    <w:rsid w:val="005E73EF"/>
    <w:rsid w:val="005F7C8A"/>
    <w:rsid w:val="0061070F"/>
    <w:rsid w:val="00610907"/>
    <w:rsid w:val="00613948"/>
    <w:rsid w:val="00624A29"/>
    <w:rsid w:val="00624B18"/>
    <w:rsid w:val="006340C6"/>
    <w:rsid w:val="006345F5"/>
    <w:rsid w:val="00640CC2"/>
    <w:rsid w:val="006426C4"/>
    <w:rsid w:val="0065275C"/>
    <w:rsid w:val="0065352E"/>
    <w:rsid w:val="00655321"/>
    <w:rsid w:val="00660A08"/>
    <w:rsid w:val="006667B0"/>
    <w:rsid w:val="00692C45"/>
    <w:rsid w:val="006B3E6F"/>
    <w:rsid w:val="006D3379"/>
    <w:rsid w:val="006E0778"/>
    <w:rsid w:val="006F3FD4"/>
    <w:rsid w:val="00700578"/>
    <w:rsid w:val="00721A5F"/>
    <w:rsid w:val="0075224F"/>
    <w:rsid w:val="00766B25"/>
    <w:rsid w:val="00772E45"/>
    <w:rsid w:val="007833EB"/>
    <w:rsid w:val="00794700"/>
    <w:rsid w:val="007A232B"/>
    <w:rsid w:val="007B7DF8"/>
    <w:rsid w:val="007D648F"/>
    <w:rsid w:val="007E7A77"/>
    <w:rsid w:val="00800012"/>
    <w:rsid w:val="00804529"/>
    <w:rsid w:val="008066F4"/>
    <w:rsid w:val="00811764"/>
    <w:rsid w:val="00827612"/>
    <w:rsid w:val="00833841"/>
    <w:rsid w:val="00834F82"/>
    <w:rsid w:val="00836024"/>
    <w:rsid w:val="008522D0"/>
    <w:rsid w:val="00885540"/>
    <w:rsid w:val="00885CC0"/>
    <w:rsid w:val="008938B5"/>
    <w:rsid w:val="008A067D"/>
    <w:rsid w:val="008A1212"/>
    <w:rsid w:val="008A5174"/>
    <w:rsid w:val="008A5BC6"/>
    <w:rsid w:val="008C202B"/>
    <w:rsid w:val="008C3DC2"/>
    <w:rsid w:val="008C4A52"/>
    <w:rsid w:val="008C5FC3"/>
    <w:rsid w:val="008D09F4"/>
    <w:rsid w:val="008D279C"/>
    <w:rsid w:val="008D3BC5"/>
    <w:rsid w:val="008D75D1"/>
    <w:rsid w:val="008F4E99"/>
    <w:rsid w:val="008F57DA"/>
    <w:rsid w:val="0091193C"/>
    <w:rsid w:val="00911EF5"/>
    <w:rsid w:val="009215AD"/>
    <w:rsid w:val="009259FA"/>
    <w:rsid w:val="0092702F"/>
    <w:rsid w:val="009408AA"/>
    <w:rsid w:val="00950B29"/>
    <w:rsid w:val="009625A9"/>
    <w:rsid w:val="00966F5A"/>
    <w:rsid w:val="0098645C"/>
    <w:rsid w:val="00986610"/>
    <w:rsid w:val="00990EEF"/>
    <w:rsid w:val="009A5C87"/>
    <w:rsid w:val="009B3BB7"/>
    <w:rsid w:val="009C0BC1"/>
    <w:rsid w:val="009C7AAC"/>
    <w:rsid w:val="009E41F6"/>
    <w:rsid w:val="009E7E4B"/>
    <w:rsid w:val="00A0523E"/>
    <w:rsid w:val="00A13A1A"/>
    <w:rsid w:val="00A239CC"/>
    <w:rsid w:val="00A25011"/>
    <w:rsid w:val="00A26225"/>
    <w:rsid w:val="00A6090D"/>
    <w:rsid w:val="00A62CE9"/>
    <w:rsid w:val="00A82784"/>
    <w:rsid w:val="00A82D87"/>
    <w:rsid w:val="00AB5C36"/>
    <w:rsid w:val="00AC2074"/>
    <w:rsid w:val="00AE4A22"/>
    <w:rsid w:val="00B0374D"/>
    <w:rsid w:val="00B34159"/>
    <w:rsid w:val="00B422B6"/>
    <w:rsid w:val="00B47FD2"/>
    <w:rsid w:val="00B53B59"/>
    <w:rsid w:val="00B660C8"/>
    <w:rsid w:val="00B75FB0"/>
    <w:rsid w:val="00B81070"/>
    <w:rsid w:val="00B87333"/>
    <w:rsid w:val="00BB18AC"/>
    <w:rsid w:val="00BB2308"/>
    <w:rsid w:val="00C01F31"/>
    <w:rsid w:val="00C02DF2"/>
    <w:rsid w:val="00C1132E"/>
    <w:rsid w:val="00C26B59"/>
    <w:rsid w:val="00C47D83"/>
    <w:rsid w:val="00C92D1E"/>
    <w:rsid w:val="00C930F4"/>
    <w:rsid w:val="00C97C47"/>
    <w:rsid w:val="00CB4078"/>
    <w:rsid w:val="00CB6F6F"/>
    <w:rsid w:val="00CC7F9B"/>
    <w:rsid w:val="00CD6927"/>
    <w:rsid w:val="00CE0A00"/>
    <w:rsid w:val="00D0431A"/>
    <w:rsid w:val="00D065A1"/>
    <w:rsid w:val="00D123D9"/>
    <w:rsid w:val="00D12F3B"/>
    <w:rsid w:val="00D17D66"/>
    <w:rsid w:val="00D30109"/>
    <w:rsid w:val="00D30D5B"/>
    <w:rsid w:val="00D4094B"/>
    <w:rsid w:val="00D47C4C"/>
    <w:rsid w:val="00D716A6"/>
    <w:rsid w:val="00D75C49"/>
    <w:rsid w:val="00D855F8"/>
    <w:rsid w:val="00D930E4"/>
    <w:rsid w:val="00DB30B0"/>
    <w:rsid w:val="00DB3215"/>
    <w:rsid w:val="00DB75C3"/>
    <w:rsid w:val="00DC0B16"/>
    <w:rsid w:val="00E15AD0"/>
    <w:rsid w:val="00E24C56"/>
    <w:rsid w:val="00E37175"/>
    <w:rsid w:val="00E40A59"/>
    <w:rsid w:val="00E44F96"/>
    <w:rsid w:val="00E5425B"/>
    <w:rsid w:val="00E64FCF"/>
    <w:rsid w:val="00E65FEE"/>
    <w:rsid w:val="00E715E6"/>
    <w:rsid w:val="00E75F68"/>
    <w:rsid w:val="00E85823"/>
    <w:rsid w:val="00EA08D7"/>
    <w:rsid w:val="00EA3706"/>
    <w:rsid w:val="00EC5217"/>
    <w:rsid w:val="00ED5F5A"/>
    <w:rsid w:val="00EE19F8"/>
    <w:rsid w:val="00EE3771"/>
    <w:rsid w:val="00EE6D75"/>
    <w:rsid w:val="00EF6360"/>
    <w:rsid w:val="00F017D2"/>
    <w:rsid w:val="00F02A51"/>
    <w:rsid w:val="00F048D3"/>
    <w:rsid w:val="00F17D88"/>
    <w:rsid w:val="00F33254"/>
    <w:rsid w:val="00F44B6B"/>
    <w:rsid w:val="00F56418"/>
    <w:rsid w:val="00F56A99"/>
    <w:rsid w:val="00F61211"/>
    <w:rsid w:val="00F62DA3"/>
    <w:rsid w:val="00F77D7C"/>
    <w:rsid w:val="00F77E10"/>
    <w:rsid w:val="00F809E2"/>
    <w:rsid w:val="00F8149B"/>
    <w:rsid w:val="00F91322"/>
    <w:rsid w:val="00FA0DFE"/>
    <w:rsid w:val="00FA69F4"/>
    <w:rsid w:val="00FB1B12"/>
    <w:rsid w:val="00FB1E6B"/>
    <w:rsid w:val="00FC1EB8"/>
    <w:rsid w:val="00FC6B6A"/>
    <w:rsid w:val="00FD4E0A"/>
    <w:rsid w:val="00FD6A67"/>
    <w:rsid w:val="00FD7D33"/>
    <w:rsid w:val="00FE3DAA"/>
    <w:rsid w:val="00FF1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C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217"/>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6345F5"/>
    <w:pPr>
      <w:numPr>
        <w:numId w:val="2"/>
      </w:numPr>
      <w:contextualSpacing/>
    </w:pPr>
  </w:style>
  <w:style w:type="table" w:styleId="TableGrid">
    <w:name w:val="Table Grid"/>
    <w:basedOn w:val="TableNormal"/>
    <w:uiPriority w:val="59"/>
    <w:rsid w:val="00624A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04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529"/>
  </w:style>
  <w:style w:type="paragraph" w:styleId="Footer">
    <w:name w:val="footer"/>
    <w:basedOn w:val="Normal"/>
    <w:link w:val="FooterChar"/>
    <w:uiPriority w:val="99"/>
    <w:unhideWhenUsed/>
    <w:rsid w:val="00804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529"/>
  </w:style>
  <w:style w:type="paragraph" w:styleId="BalloonText">
    <w:name w:val="Balloon Text"/>
    <w:basedOn w:val="Normal"/>
    <w:link w:val="BalloonTextChar"/>
    <w:uiPriority w:val="99"/>
    <w:semiHidden/>
    <w:unhideWhenUsed/>
    <w:rsid w:val="00E71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5E6"/>
    <w:rPr>
      <w:rFonts w:ascii="Tahoma" w:hAnsi="Tahoma" w:cs="Tahoma"/>
      <w:sz w:val="16"/>
      <w:szCs w:val="16"/>
    </w:rPr>
  </w:style>
  <w:style w:type="paragraph" w:styleId="NormalWeb">
    <w:name w:val="Normal (Web)"/>
    <w:basedOn w:val="Normal"/>
    <w:uiPriority w:val="99"/>
    <w:unhideWhenUsed/>
    <w:rsid w:val="00AC207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B7736"/>
    <w:rPr>
      <w:sz w:val="16"/>
      <w:szCs w:val="16"/>
    </w:rPr>
  </w:style>
  <w:style w:type="paragraph" w:styleId="CommentText">
    <w:name w:val="annotation text"/>
    <w:basedOn w:val="Normal"/>
    <w:link w:val="CommentTextChar"/>
    <w:uiPriority w:val="99"/>
    <w:semiHidden/>
    <w:unhideWhenUsed/>
    <w:rsid w:val="003B7736"/>
    <w:pPr>
      <w:spacing w:line="240" w:lineRule="auto"/>
    </w:pPr>
    <w:rPr>
      <w:sz w:val="20"/>
      <w:szCs w:val="20"/>
    </w:rPr>
  </w:style>
  <w:style w:type="character" w:customStyle="1" w:styleId="CommentTextChar">
    <w:name w:val="Comment Text Char"/>
    <w:basedOn w:val="DefaultParagraphFont"/>
    <w:link w:val="CommentText"/>
    <w:uiPriority w:val="99"/>
    <w:semiHidden/>
    <w:rsid w:val="003B7736"/>
    <w:rPr>
      <w:sz w:val="20"/>
      <w:szCs w:val="20"/>
    </w:rPr>
  </w:style>
  <w:style w:type="paragraph" w:styleId="CommentSubject">
    <w:name w:val="annotation subject"/>
    <w:basedOn w:val="CommentText"/>
    <w:next w:val="CommentText"/>
    <w:link w:val="CommentSubjectChar"/>
    <w:uiPriority w:val="99"/>
    <w:semiHidden/>
    <w:unhideWhenUsed/>
    <w:rsid w:val="003B7736"/>
    <w:rPr>
      <w:b/>
      <w:bCs/>
    </w:rPr>
  </w:style>
  <w:style w:type="character" w:customStyle="1" w:styleId="CommentSubjectChar">
    <w:name w:val="Comment Subject Char"/>
    <w:basedOn w:val="CommentTextChar"/>
    <w:link w:val="CommentSubject"/>
    <w:uiPriority w:val="99"/>
    <w:semiHidden/>
    <w:rsid w:val="003B7736"/>
    <w:rPr>
      <w:b/>
      <w:bCs/>
    </w:rPr>
  </w:style>
  <w:style w:type="paragraph" w:customStyle="1" w:styleId="DEQADDRESSUNDERLOGO">
    <w:name w:val="(DEQ)ADDRESS UNDER LOGO"/>
    <w:basedOn w:val="Normal"/>
    <w:rsid w:val="009E7E4B"/>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9E7E4B"/>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character" w:styleId="Hyperlink">
    <w:name w:val="Hyperlink"/>
    <w:basedOn w:val="DefaultParagraphFont"/>
    <w:rsid w:val="009E7E4B"/>
    <w:rPr>
      <w:color w:val="0000FF"/>
      <w:u w:val="single"/>
    </w:rPr>
  </w:style>
  <w:style w:type="paragraph" w:customStyle="1" w:styleId="DEQTEXTforFACTSHEET">
    <w:name w:val="(DEQ)TEXT for FACT SHEET"/>
    <w:basedOn w:val="Normal"/>
    <w:rsid w:val="009E7E4B"/>
    <w:pPr>
      <w:spacing w:after="0" w:line="240" w:lineRule="auto"/>
    </w:pPr>
    <w:rPr>
      <w:rFonts w:ascii="Times New Roman" w:eastAsia="Times" w:hAnsi="Times New Roman" w:cs="Times New Roman"/>
      <w:sz w:val="20"/>
      <w:szCs w:val="20"/>
    </w:rPr>
  </w:style>
  <w:style w:type="paragraph" w:customStyle="1" w:styleId="TEXTDEQ">
    <w:name w:val="TEXT(DEQ)"/>
    <w:basedOn w:val="Normal"/>
    <w:autoRedefine/>
    <w:rsid w:val="009E7E4B"/>
    <w:pPr>
      <w:spacing w:after="0" w:line="240" w:lineRule="auto"/>
    </w:pPr>
    <w:rPr>
      <w:rFonts w:ascii="Times New Roman" w:eastAsia="Times" w:hAnsi="Times New Roman" w:cs="Times New Roman"/>
      <w:snapToGrid w:val="0"/>
      <w:sz w:val="20"/>
      <w:szCs w:val="20"/>
    </w:rPr>
  </w:style>
  <w:style w:type="character" w:styleId="PageNumber">
    <w:name w:val="page number"/>
    <w:basedOn w:val="DefaultParagraphFont"/>
    <w:rsid w:val="00911EF5"/>
  </w:style>
</w:styles>
</file>

<file path=word/webSettings.xml><?xml version="1.0" encoding="utf-8"?>
<w:webSettings xmlns:r="http://schemas.openxmlformats.org/officeDocument/2006/relationships" xmlns:w="http://schemas.openxmlformats.org/wordprocessingml/2006/main">
  <w:divs>
    <w:div w:id="30613275">
      <w:bodyDiv w:val="1"/>
      <w:marLeft w:val="0"/>
      <w:marRight w:val="0"/>
      <w:marTop w:val="0"/>
      <w:marBottom w:val="0"/>
      <w:divBdr>
        <w:top w:val="none" w:sz="0" w:space="0" w:color="auto"/>
        <w:left w:val="none" w:sz="0" w:space="0" w:color="auto"/>
        <w:bottom w:val="none" w:sz="0" w:space="0" w:color="auto"/>
        <w:right w:val="none" w:sz="0" w:space="0" w:color="auto"/>
      </w:divBdr>
    </w:div>
    <w:div w:id="75833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698E1-1832-45E4-9A99-84CFF341C35C}">
  <ds:schemaRefs>
    <ds:schemaRef ds:uri="http://schemas.microsoft.com/sharepoint/v3/contenttype/forms"/>
  </ds:schemaRefs>
</ds:datastoreItem>
</file>

<file path=customXml/itemProps2.xml><?xml version="1.0" encoding="utf-8"?>
<ds:datastoreItem xmlns:ds="http://schemas.openxmlformats.org/officeDocument/2006/customXml" ds:itemID="{AE022F56-8924-4B42-B69A-2D1D5EC9D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1484A5-EABD-47EF-9517-4532798DD62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C3C37016-276E-4D03-A80E-75524CA32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Stephanie Clark</cp:lastModifiedBy>
  <cp:revision>2</cp:revision>
  <cp:lastPrinted>2011-02-28T19:36:00Z</cp:lastPrinted>
  <dcterms:created xsi:type="dcterms:W3CDTF">2011-03-31T22:14:00Z</dcterms:created>
  <dcterms:modified xsi:type="dcterms:W3CDTF">2011-03-31T22:14:00Z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