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FC" w:rsidRPr="00903BA3" w:rsidRDefault="000D5EFC" w:rsidP="000B4801">
      <w:pPr>
        <w:ind w:firstLine="720"/>
        <w:jc w:val="center"/>
        <w:rPr>
          <w:b/>
          <w:spacing w:val="-3"/>
          <w:sz w:val="22"/>
          <w:szCs w:val="22"/>
        </w:rPr>
      </w:pPr>
      <w:r w:rsidRPr="00903BA3">
        <w:rPr>
          <w:b/>
          <w:spacing w:val="-3"/>
          <w:sz w:val="22"/>
          <w:szCs w:val="22"/>
        </w:rPr>
        <w:t xml:space="preserve">Summary of </w:t>
      </w:r>
      <w:r w:rsidR="00630380">
        <w:rPr>
          <w:b/>
          <w:spacing w:val="-3"/>
          <w:sz w:val="22"/>
          <w:szCs w:val="22"/>
        </w:rPr>
        <w:t>public comment and agency r</w:t>
      </w:r>
      <w:r w:rsidRPr="00903BA3">
        <w:rPr>
          <w:b/>
          <w:spacing w:val="-3"/>
          <w:sz w:val="22"/>
          <w:szCs w:val="22"/>
        </w:rPr>
        <w:t xml:space="preserve">esponse </w:t>
      </w:r>
    </w:p>
    <w:p w:rsidR="000D5EFC" w:rsidRPr="00903BA3" w:rsidRDefault="000D5EFC" w:rsidP="000B4801">
      <w:pPr>
        <w:jc w:val="center"/>
        <w:rPr>
          <w:b/>
          <w:spacing w:val="-3"/>
          <w:sz w:val="22"/>
          <w:szCs w:val="22"/>
        </w:rPr>
      </w:pPr>
    </w:p>
    <w:p w:rsidR="000D5EFC" w:rsidRPr="00903BA3" w:rsidRDefault="00630380" w:rsidP="000B4801">
      <w:pPr>
        <w:pStyle w:val="DEQTITLE"/>
        <w:outlineLvl w:val="0"/>
        <w:rPr>
          <w:rFonts w:ascii="Times New Roman" w:hAnsi="Times New Roman"/>
          <w:b w:val="0"/>
          <w:spacing w:val="-3"/>
          <w:sz w:val="22"/>
          <w:szCs w:val="22"/>
        </w:rPr>
      </w:pPr>
      <w:r>
        <w:rPr>
          <w:rFonts w:ascii="Times New Roman" w:hAnsi="Times New Roman"/>
          <w:b w:val="0"/>
          <w:spacing w:val="-3"/>
          <w:sz w:val="22"/>
          <w:szCs w:val="22"/>
        </w:rPr>
        <w:t>Title of r</w:t>
      </w:r>
      <w:r w:rsidR="000D5EFC" w:rsidRPr="00903BA3">
        <w:rPr>
          <w:rFonts w:ascii="Times New Roman" w:hAnsi="Times New Roman"/>
          <w:b w:val="0"/>
          <w:spacing w:val="-3"/>
          <w:sz w:val="22"/>
          <w:szCs w:val="22"/>
        </w:rPr>
        <w:t xml:space="preserve">ulemaking: </w:t>
      </w:r>
      <w:r w:rsidR="00987442" w:rsidRPr="00903BA3">
        <w:rPr>
          <w:rFonts w:ascii="Times New Roman" w:hAnsi="Times New Roman"/>
          <w:b w:val="0"/>
          <w:spacing w:val="-3"/>
          <w:sz w:val="22"/>
          <w:szCs w:val="22"/>
        </w:rPr>
        <w:t xml:space="preserve">New </w:t>
      </w:r>
      <w:r w:rsidR="00F66B14">
        <w:rPr>
          <w:rFonts w:ascii="Times New Roman" w:hAnsi="Times New Roman"/>
          <w:b w:val="0"/>
          <w:spacing w:val="-3"/>
          <w:sz w:val="22"/>
          <w:szCs w:val="22"/>
        </w:rPr>
        <w:t>s</w:t>
      </w:r>
      <w:r w:rsidR="00987442" w:rsidRPr="00903BA3">
        <w:rPr>
          <w:rFonts w:ascii="Times New Roman" w:hAnsi="Times New Roman"/>
          <w:b w:val="0"/>
          <w:spacing w:val="-3"/>
          <w:sz w:val="22"/>
          <w:szCs w:val="22"/>
        </w:rPr>
        <w:t xml:space="preserve">ource </w:t>
      </w:r>
      <w:r w:rsidR="00F66B14">
        <w:rPr>
          <w:rFonts w:ascii="Times New Roman" w:hAnsi="Times New Roman"/>
          <w:b w:val="0"/>
          <w:spacing w:val="-3"/>
          <w:sz w:val="22"/>
          <w:szCs w:val="22"/>
        </w:rPr>
        <w:t>r</w:t>
      </w:r>
      <w:r w:rsidR="00987442" w:rsidRPr="00903BA3">
        <w:rPr>
          <w:rFonts w:ascii="Times New Roman" w:hAnsi="Times New Roman"/>
          <w:b w:val="0"/>
          <w:spacing w:val="-3"/>
          <w:sz w:val="22"/>
          <w:szCs w:val="22"/>
        </w:rPr>
        <w:t xml:space="preserve">eview, </w:t>
      </w:r>
      <w:r>
        <w:rPr>
          <w:rFonts w:ascii="Times New Roman" w:hAnsi="Times New Roman"/>
          <w:b w:val="0"/>
          <w:spacing w:val="-3"/>
          <w:sz w:val="22"/>
          <w:szCs w:val="22"/>
        </w:rPr>
        <w:t xml:space="preserve">particulate matter and greenhouse gas permitting requirements and other permitting rule </w:t>
      </w:r>
      <w:r w:rsidR="00477E51">
        <w:rPr>
          <w:rFonts w:ascii="Times New Roman" w:hAnsi="Times New Roman"/>
          <w:b w:val="0"/>
          <w:spacing w:val="-3"/>
          <w:sz w:val="22"/>
          <w:szCs w:val="22"/>
        </w:rPr>
        <w:t>u</w:t>
      </w:r>
      <w:r w:rsidR="00477E51" w:rsidRPr="00903BA3">
        <w:rPr>
          <w:rFonts w:ascii="Times New Roman" w:hAnsi="Times New Roman"/>
          <w:b w:val="0"/>
          <w:spacing w:val="-3"/>
          <w:sz w:val="22"/>
          <w:szCs w:val="22"/>
        </w:rPr>
        <w:t>pdates</w:t>
      </w:r>
    </w:p>
    <w:p w:rsidR="00A0049B" w:rsidRPr="00903BA3" w:rsidRDefault="00A0049B" w:rsidP="000B4801">
      <w:pPr>
        <w:pStyle w:val="DEQTITLE"/>
        <w:outlineLvl w:val="0"/>
        <w:rPr>
          <w:rFonts w:ascii="Times New Roman" w:hAnsi="Times New Roman"/>
          <w:b w:val="0"/>
          <w:spacing w:val="-3"/>
          <w:sz w:val="22"/>
          <w:szCs w:val="22"/>
        </w:rPr>
      </w:pPr>
    </w:p>
    <w:p w:rsidR="000D5EFC" w:rsidRPr="00903BA3" w:rsidRDefault="000D5EFC" w:rsidP="000B4801">
      <w:pPr>
        <w:pStyle w:val="DEQTITLE"/>
        <w:outlineLvl w:val="0"/>
        <w:rPr>
          <w:rFonts w:ascii="Times New Roman" w:hAnsi="Times New Roman"/>
          <w:b w:val="0"/>
          <w:spacing w:val="-3"/>
          <w:sz w:val="22"/>
          <w:szCs w:val="22"/>
        </w:rPr>
      </w:pPr>
      <w:r w:rsidRPr="00903BA3">
        <w:rPr>
          <w:rFonts w:ascii="Times New Roman" w:hAnsi="Times New Roman"/>
          <w:b w:val="0"/>
          <w:spacing w:val="-3"/>
          <w:sz w:val="22"/>
          <w:szCs w:val="22"/>
        </w:rPr>
        <w:t>Prepared by:</w:t>
      </w:r>
      <w:bookmarkStart w:id="0" w:name="MEMO"/>
      <w:bookmarkEnd w:id="0"/>
      <w:r w:rsidR="00630380">
        <w:rPr>
          <w:rFonts w:ascii="Times New Roman" w:hAnsi="Times New Roman"/>
          <w:b w:val="0"/>
          <w:spacing w:val="-3"/>
          <w:sz w:val="22"/>
          <w:szCs w:val="22"/>
        </w:rPr>
        <w:t xml:space="preserve"> </w:t>
      </w:r>
      <w:r w:rsidR="00987442" w:rsidRPr="00903BA3">
        <w:rPr>
          <w:rFonts w:ascii="Times New Roman" w:hAnsi="Times New Roman"/>
          <w:b w:val="0"/>
          <w:spacing w:val="-3"/>
          <w:sz w:val="22"/>
          <w:szCs w:val="22"/>
        </w:rPr>
        <w:t>Jill Inahara</w:t>
      </w:r>
      <w:r w:rsidRPr="00903BA3">
        <w:rPr>
          <w:rFonts w:ascii="Times New Roman" w:hAnsi="Times New Roman"/>
          <w:b w:val="0"/>
          <w:spacing w:val="-3"/>
          <w:sz w:val="22"/>
          <w:szCs w:val="22"/>
        </w:rPr>
        <w:tab/>
      </w:r>
      <w:r w:rsidR="00E9619A" w:rsidRPr="00903BA3">
        <w:rPr>
          <w:rFonts w:ascii="Times New Roman" w:hAnsi="Times New Roman"/>
          <w:b w:val="0"/>
          <w:spacing w:val="-3"/>
          <w:sz w:val="22"/>
          <w:szCs w:val="22"/>
        </w:rPr>
        <w:t xml:space="preserve"> and Mark Fisher</w:t>
      </w:r>
      <w:r w:rsidR="00093816" w:rsidRPr="00903BA3">
        <w:rPr>
          <w:rFonts w:ascii="Times New Roman" w:hAnsi="Times New Roman"/>
          <w:b w:val="0"/>
          <w:spacing w:val="-3"/>
          <w:sz w:val="22"/>
          <w:szCs w:val="22"/>
        </w:rPr>
        <w:tab/>
      </w:r>
      <w:r w:rsidRPr="00903BA3">
        <w:rPr>
          <w:rFonts w:ascii="Times New Roman" w:hAnsi="Times New Roman"/>
          <w:b w:val="0"/>
          <w:spacing w:val="-3"/>
          <w:sz w:val="22"/>
          <w:szCs w:val="22"/>
        </w:rPr>
        <w:t>Date:</w:t>
      </w:r>
      <w:r w:rsidR="00A61883" w:rsidRPr="00903BA3">
        <w:rPr>
          <w:rFonts w:ascii="Times New Roman" w:hAnsi="Times New Roman"/>
          <w:b w:val="0"/>
          <w:spacing w:val="-3"/>
          <w:sz w:val="22"/>
          <w:szCs w:val="22"/>
        </w:rPr>
        <w:t xml:space="preserve"> </w:t>
      </w:r>
      <w:r w:rsidR="00E642E5" w:rsidRPr="00903BA3">
        <w:rPr>
          <w:rFonts w:ascii="Times New Roman" w:hAnsi="Times New Roman"/>
          <w:b w:val="0"/>
          <w:spacing w:val="-3"/>
          <w:sz w:val="22"/>
          <w:szCs w:val="22"/>
        </w:rPr>
        <w:t>Feb</w:t>
      </w:r>
      <w:r w:rsidR="00630380">
        <w:rPr>
          <w:rFonts w:ascii="Times New Roman" w:hAnsi="Times New Roman"/>
          <w:b w:val="0"/>
          <w:spacing w:val="-3"/>
          <w:sz w:val="22"/>
          <w:szCs w:val="22"/>
        </w:rPr>
        <w:t>.</w:t>
      </w:r>
      <w:r w:rsidR="00E642E5" w:rsidRPr="00903BA3">
        <w:rPr>
          <w:rFonts w:ascii="Times New Roman" w:hAnsi="Times New Roman"/>
          <w:b w:val="0"/>
          <w:spacing w:val="-3"/>
          <w:sz w:val="22"/>
          <w:szCs w:val="22"/>
        </w:rPr>
        <w:t xml:space="preserve"> 28, 2011</w:t>
      </w:r>
    </w:p>
    <w:p w:rsidR="00275BCF" w:rsidRPr="00903BA3" w:rsidRDefault="00275BCF" w:rsidP="000B4801">
      <w:pPr>
        <w:tabs>
          <w:tab w:val="left" w:pos="1080"/>
          <w:tab w:val="right" w:pos="7200"/>
          <w:tab w:val="right" w:pos="9360"/>
        </w:tabs>
        <w:rPr>
          <w:sz w:val="22"/>
          <w:szCs w:val="22"/>
        </w:rPr>
      </w:pPr>
    </w:p>
    <w:tbl>
      <w:tblPr>
        <w:tblW w:w="10432" w:type="dxa"/>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000"/>
      </w:tblPr>
      <w:tblGrid>
        <w:gridCol w:w="1735"/>
        <w:gridCol w:w="8697"/>
      </w:tblGrid>
      <w:tr w:rsidR="000D5EFC" w:rsidRPr="00903BA3" w:rsidTr="009F02AD">
        <w:trPr>
          <w:cantSplit/>
        </w:trPr>
        <w:tc>
          <w:tcPr>
            <w:tcW w:w="1735" w:type="dxa"/>
          </w:tcPr>
          <w:p w:rsidR="000D5EFC" w:rsidRPr="00903BA3" w:rsidRDefault="001331A2" w:rsidP="000B4801">
            <w:pPr>
              <w:pStyle w:val="Heading5"/>
              <w:spacing w:before="0" w:after="0"/>
              <w:rPr>
                <w:b w:val="0"/>
                <w:i w:val="0"/>
                <w:sz w:val="22"/>
                <w:szCs w:val="22"/>
              </w:rPr>
            </w:pPr>
            <w:r w:rsidRPr="00903BA3">
              <w:rPr>
                <w:b w:val="0"/>
                <w:i w:val="0"/>
                <w:sz w:val="22"/>
                <w:szCs w:val="22"/>
              </w:rPr>
              <w:t>Comment period</w:t>
            </w:r>
          </w:p>
        </w:tc>
        <w:tc>
          <w:tcPr>
            <w:tcW w:w="8697" w:type="dxa"/>
          </w:tcPr>
          <w:p w:rsidR="000D5EFC" w:rsidRPr="00903BA3" w:rsidRDefault="00630380" w:rsidP="000B4801">
            <w:pPr>
              <w:pStyle w:val="BlockText"/>
              <w:rPr>
                <w:sz w:val="22"/>
                <w:szCs w:val="22"/>
              </w:rPr>
            </w:pPr>
            <w:r>
              <w:rPr>
                <w:sz w:val="22"/>
                <w:szCs w:val="22"/>
              </w:rPr>
              <w:t>DEQ opened t</w:t>
            </w:r>
            <w:r w:rsidR="001331A2" w:rsidRPr="00903BA3">
              <w:rPr>
                <w:sz w:val="22"/>
                <w:szCs w:val="22"/>
              </w:rPr>
              <w:t xml:space="preserve">he </w:t>
            </w:r>
            <w:r w:rsidR="005C1A6D" w:rsidRPr="00903BA3">
              <w:rPr>
                <w:sz w:val="22"/>
                <w:szCs w:val="22"/>
              </w:rPr>
              <w:t xml:space="preserve">first </w:t>
            </w:r>
            <w:r w:rsidR="001331A2" w:rsidRPr="00903BA3">
              <w:rPr>
                <w:sz w:val="22"/>
                <w:szCs w:val="22"/>
              </w:rPr>
              <w:t xml:space="preserve">public comment period </w:t>
            </w:r>
            <w:r w:rsidR="00987442" w:rsidRPr="00903BA3">
              <w:rPr>
                <w:sz w:val="22"/>
                <w:szCs w:val="22"/>
              </w:rPr>
              <w:t>Oct</w:t>
            </w:r>
            <w:r>
              <w:rPr>
                <w:sz w:val="22"/>
                <w:szCs w:val="22"/>
              </w:rPr>
              <w:t>.</w:t>
            </w:r>
            <w:r w:rsidR="001331A2" w:rsidRPr="00903BA3">
              <w:rPr>
                <w:sz w:val="22"/>
                <w:szCs w:val="22"/>
              </w:rPr>
              <w:t xml:space="preserve"> 1</w:t>
            </w:r>
            <w:r w:rsidR="006312F7" w:rsidRPr="00903BA3">
              <w:rPr>
                <w:sz w:val="22"/>
                <w:szCs w:val="22"/>
              </w:rPr>
              <w:t>5</w:t>
            </w:r>
            <w:r w:rsidR="001331A2" w:rsidRPr="00903BA3">
              <w:rPr>
                <w:sz w:val="22"/>
                <w:szCs w:val="22"/>
              </w:rPr>
              <w:t>, 20</w:t>
            </w:r>
            <w:r w:rsidR="00B746A4" w:rsidRPr="00903BA3">
              <w:rPr>
                <w:sz w:val="22"/>
                <w:szCs w:val="22"/>
              </w:rPr>
              <w:t>10</w:t>
            </w:r>
            <w:r>
              <w:rPr>
                <w:sz w:val="22"/>
                <w:szCs w:val="22"/>
              </w:rPr>
              <w:t>,</w:t>
            </w:r>
            <w:r w:rsidR="00E014CD" w:rsidRPr="00903BA3">
              <w:rPr>
                <w:sz w:val="22"/>
                <w:szCs w:val="22"/>
              </w:rPr>
              <w:t xml:space="preserve"> and closed</w:t>
            </w:r>
            <w:r w:rsidR="001331A2" w:rsidRPr="00903BA3">
              <w:rPr>
                <w:sz w:val="22"/>
                <w:szCs w:val="22"/>
              </w:rPr>
              <w:t xml:space="preserve"> </w:t>
            </w:r>
            <w:r>
              <w:rPr>
                <w:sz w:val="22"/>
                <w:szCs w:val="22"/>
              </w:rPr>
              <w:t xml:space="preserve">it </w:t>
            </w:r>
            <w:r w:rsidR="00987442" w:rsidRPr="00903BA3">
              <w:rPr>
                <w:sz w:val="22"/>
                <w:szCs w:val="22"/>
              </w:rPr>
              <w:t>Nov</w:t>
            </w:r>
            <w:r>
              <w:rPr>
                <w:sz w:val="22"/>
                <w:szCs w:val="22"/>
              </w:rPr>
              <w:t>.</w:t>
            </w:r>
            <w:r w:rsidR="00987442" w:rsidRPr="00903BA3">
              <w:rPr>
                <w:sz w:val="22"/>
                <w:szCs w:val="22"/>
              </w:rPr>
              <w:t xml:space="preserve"> 24</w:t>
            </w:r>
            <w:r w:rsidR="001331A2" w:rsidRPr="00903BA3">
              <w:rPr>
                <w:sz w:val="22"/>
                <w:szCs w:val="22"/>
              </w:rPr>
              <w:t>, 20</w:t>
            </w:r>
            <w:r w:rsidR="00B746A4" w:rsidRPr="00903BA3">
              <w:rPr>
                <w:sz w:val="22"/>
                <w:szCs w:val="22"/>
              </w:rPr>
              <w:t>10</w:t>
            </w:r>
            <w:r w:rsidR="004A0EA4" w:rsidRPr="00903BA3">
              <w:rPr>
                <w:sz w:val="22"/>
                <w:szCs w:val="22"/>
              </w:rPr>
              <w:t xml:space="preserve">. </w:t>
            </w:r>
            <w:r w:rsidR="00A63C73" w:rsidRPr="00903BA3">
              <w:rPr>
                <w:sz w:val="22"/>
                <w:szCs w:val="22"/>
              </w:rPr>
              <w:t>Nineteen</w:t>
            </w:r>
            <w:r w:rsidR="00576CFD" w:rsidRPr="00903BA3">
              <w:rPr>
                <w:sz w:val="22"/>
                <w:szCs w:val="22"/>
              </w:rPr>
              <w:t xml:space="preserve"> </w:t>
            </w:r>
            <w:r w:rsidR="009E05BC" w:rsidRPr="00903BA3">
              <w:rPr>
                <w:sz w:val="22"/>
                <w:szCs w:val="22"/>
              </w:rPr>
              <w:t>organizations</w:t>
            </w:r>
            <w:r w:rsidR="00576CFD" w:rsidRPr="00903BA3">
              <w:rPr>
                <w:sz w:val="22"/>
                <w:szCs w:val="22"/>
              </w:rPr>
              <w:t xml:space="preserve"> submitted </w:t>
            </w:r>
            <w:r w:rsidR="00D6241A" w:rsidRPr="00903BA3">
              <w:rPr>
                <w:sz w:val="22"/>
                <w:szCs w:val="22"/>
              </w:rPr>
              <w:t xml:space="preserve">written </w:t>
            </w:r>
            <w:r w:rsidR="00576CFD" w:rsidRPr="00903BA3">
              <w:rPr>
                <w:sz w:val="22"/>
                <w:szCs w:val="22"/>
              </w:rPr>
              <w:t xml:space="preserve">comments on the proposed rules. </w:t>
            </w:r>
            <w:r w:rsidR="001331A2" w:rsidRPr="00903BA3">
              <w:rPr>
                <w:sz w:val="22"/>
                <w:szCs w:val="22"/>
              </w:rPr>
              <w:t>DEQ held the following public hearings:</w:t>
            </w:r>
          </w:p>
          <w:p w:rsidR="00DA3374" w:rsidRPr="00903BA3" w:rsidRDefault="00DA3374" w:rsidP="000B4801">
            <w:pPr>
              <w:pStyle w:val="BlockText"/>
              <w:rPr>
                <w:sz w:val="22"/>
                <w:szCs w:val="22"/>
              </w:rPr>
            </w:pPr>
          </w:p>
          <w:p w:rsidR="00DA3374" w:rsidRPr="00903BA3" w:rsidRDefault="00987442" w:rsidP="000B4801">
            <w:pPr>
              <w:pStyle w:val="DEQTEXTforFACTSHEET"/>
              <w:numPr>
                <w:ilvl w:val="0"/>
                <w:numId w:val="1"/>
              </w:numPr>
              <w:rPr>
                <w:sz w:val="22"/>
                <w:szCs w:val="22"/>
              </w:rPr>
            </w:pPr>
            <w:bookmarkStart w:id="1" w:name="_Ref278987469"/>
            <w:r w:rsidRPr="00903BA3">
              <w:rPr>
                <w:sz w:val="22"/>
                <w:szCs w:val="22"/>
              </w:rPr>
              <w:t>Nov</w:t>
            </w:r>
            <w:r w:rsidR="000B4801">
              <w:rPr>
                <w:sz w:val="22"/>
                <w:szCs w:val="22"/>
              </w:rPr>
              <w:t>.</w:t>
            </w:r>
            <w:r w:rsidRPr="00903BA3">
              <w:rPr>
                <w:sz w:val="22"/>
                <w:szCs w:val="22"/>
              </w:rPr>
              <w:t xml:space="preserve"> 16</w:t>
            </w:r>
            <w:r w:rsidR="00DA3374" w:rsidRPr="00903BA3">
              <w:rPr>
                <w:sz w:val="22"/>
                <w:szCs w:val="22"/>
              </w:rPr>
              <w:t>, 2010, 6 p</w:t>
            </w:r>
            <w:r w:rsidR="000B4801">
              <w:rPr>
                <w:sz w:val="22"/>
                <w:szCs w:val="22"/>
              </w:rPr>
              <w:t>.</w:t>
            </w:r>
            <w:r w:rsidR="00DA3374" w:rsidRPr="00903BA3">
              <w:rPr>
                <w:sz w:val="22"/>
                <w:szCs w:val="22"/>
              </w:rPr>
              <w:t>m</w:t>
            </w:r>
            <w:bookmarkEnd w:id="1"/>
            <w:r w:rsidR="000B4801">
              <w:rPr>
                <w:sz w:val="22"/>
                <w:szCs w:val="22"/>
              </w:rPr>
              <w:t>.</w:t>
            </w:r>
          </w:p>
          <w:p w:rsidR="00DA3374" w:rsidRPr="00903BA3" w:rsidRDefault="00DA3374" w:rsidP="000B4801">
            <w:pPr>
              <w:pStyle w:val="DEQTEXTforFACTSHEET"/>
              <w:ind w:left="720"/>
              <w:rPr>
                <w:sz w:val="22"/>
                <w:szCs w:val="22"/>
              </w:rPr>
            </w:pPr>
            <w:r w:rsidRPr="00903BA3">
              <w:rPr>
                <w:sz w:val="22"/>
                <w:szCs w:val="22"/>
              </w:rPr>
              <w:t>DEQ - Medford Regional Office</w:t>
            </w:r>
          </w:p>
          <w:p w:rsidR="00DA3374" w:rsidRPr="00903BA3" w:rsidRDefault="00DA3374" w:rsidP="000B4801">
            <w:pPr>
              <w:pStyle w:val="ListParagraph"/>
              <w:rPr>
                <w:sz w:val="22"/>
                <w:szCs w:val="22"/>
              </w:rPr>
            </w:pPr>
            <w:r w:rsidRPr="00903BA3">
              <w:rPr>
                <w:sz w:val="22"/>
                <w:szCs w:val="22"/>
              </w:rPr>
              <w:t>221 Stewart Avenue, Suite 201, Medford</w:t>
            </w:r>
          </w:p>
          <w:p w:rsidR="00DA3374" w:rsidRPr="00903BA3" w:rsidRDefault="000B4801" w:rsidP="000B4801">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r>
              <w:rPr>
                <w:snapToGrid w:val="0"/>
                <w:sz w:val="22"/>
                <w:szCs w:val="22"/>
              </w:rPr>
              <w:t>Seven people attended and none testified</w:t>
            </w:r>
          </w:p>
          <w:p w:rsidR="00DA3374" w:rsidRPr="00903BA3" w:rsidRDefault="00DA3374" w:rsidP="000B4801">
            <w:pPr>
              <w:pStyle w:val="DEQTEXTforFACTSHEET"/>
              <w:ind w:left="155"/>
              <w:rPr>
                <w:sz w:val="22"/>
                <w:szCs w:val="22"/>
              </w:rPr>
            </w:pPr>
          </w:p>
          <w:p w:rsidR="00DA3374" w:rsidRPr="00903BA3" w:rsidRDefault="00987442" w:rsidP="000B4801">
            <w:pPr>
              <w:pStyle w:val="DEQTEXTforFACTSHEET"/>
              <w:numPr>
                <w:ilvl w:val="0"/>
                <w:numId w:val="1"/>
              </w:numPr>
              <w:rPr>
                <w:sz w:val="22"/>
                <w:szCs w:val="22"/>
              </w:rPr>
            </w:pPr>
            <w:r w:rsidRPr="00903BA3">
              <w:rPr>
                <w:sz w:val="22"/>
                <w:szCs w:val="22"/>
              </w:rPr>
              <w:t>Nov</w:t>
            </w:r>
            <w:r w:rsidR="000B4801">
              <w:rPr>
                <w:sz w:val="22"/>
                <w:szCs w:val="22"/>
              </w:rPr>
              <w:t>.</w:t>
            </w:r>
            <w:r w:rsidRPr="00903BA3">
              <w:rPr>
                <w:sz w:val="22"/>
                <w:szCs w:val="22"/>
              </w:rPr>
              <w:t xml:space="preserve"> 17</w:t>
            </w:r>
            <w:r w:rsidR="00DA3374" w:rsidRPr="00903BA3">
              <w:rPr>
                <w:sz w:val="22"/>
                <w:szCs w:val="22"/>
              </w:rPr>
              <w:t>, 2010, 6 p</w:t>
            </w:r>
            <w:r w:rsidR="000B4801">
              <w:rPr>
                <w:sz w:val="22"/>
                <w:szCs w:val="22"/>
              </w:rPr>
              <w:t>.</w:t>
            </w:r>
            <w:r w:rsidR="00DA3374" w:rsidRPr="00903BA3">
              <w:rPr>
                <w:sz w:val="22"/>
                <w:szCs w:val="22"/>
              </w:rPr>
              <w:t>m</w:t>
            </w:r>
            <w:r w:rsidR="000B4801">
              <w:rPr>
                <w:sz w:val="22"/>
                <w:szCs w:val="22"/>
              </w:rPr>
              <w:t>.</w:t>
            </w:r>
          </w:p>
          <w:p w:rsidR="00DA3374" w:rsidRPr="00903BA3" w:rsidRDefault="00DA3374" w:rsidP="000B4801">
            <w:pPr>
              <w:pStyle w:val="DEQTEXTforFACTSHEET"/>
              <w:ind w:left="720"/>
              <w:rPr>
                <w:sz w:val="22"/>
                <w:szCs w:val="22"/>
              </w:rPr>
            </w:pPr>
            <w:r w:rsidRPr="00903BA3">
              <w:rPr>
                <w:sz w:val="22"/>
                <w:szCs w:val="22"/>
              </w:rPr>
              <w:t>DEQ - Bend Regional Office</w:t>
            </w:r>
          </w:p>
          <w:p w:rsidR="00DA3374" w:rsidRPr="00903BA3" w:rsidRDefault="00DA3374" w:rsidP="000B4801">
            <w:pPr>
              <w:pStyle w:val="DEQTEXTforFACTSHEET"/>
              <w:ind w:left="720"/>
              <w:rPr>
                <w:sz w:val="22"/>
                <w:szCs w:val="22"/>
              </w:rPr>
            </w:pPr>
            <w:r w:rsidRPr="00903BA3">
              <w:rPr>
                <w:sz w:val="22"/>
                <w:szCs w:val="22"/>
              </w:rPr>
              <w:t>475 NE Bellevue Drive, Suite 110, Bend</w:t>
            </w:r>
          </w:p>
          <w:p w:rsidR="00DA3374" w:rsidRPr="00903BA3" w:rsidRDefault="000B4801" w:rsidP="000B4801">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r>
              <w:rPr>
                <w:snapToGrid w:val="0"/>
                <w:sz w:val="22"/>
                <w:szCs w:val="22"/>
              </w:rPr>
              <w:t>None</w:t>
            </w:r>
            <w:r w:rsidR="00DA3374" w:rsidRPr="00903BA3">
              <w:rPr>
                <w:snapToGrid w:val="0"/>
                <w:sz w:val="22"/>
                <w:szCs w:val="22"/>
              </w:rPr>
              <w:t xml:space="preserve"> attended.</w:t>
            </w:r>
          </w:p>
          <w:p w:rsidR="00DA3374" w:rsidRPr="00903BA3" w:rsidRDefault="00DA3374" w:rsidP="000B4801">
            <w:pPr>
              <w:pStyle w:val="DEQTEXTforFACTSHEET"/>
              <w:ind w:left="155"/>
              <w:rPr>
                <w:sz w:val="22"/>
                <w:szCs w:val="22"/>
              </w:rPr>
            </w:pPr>
          </w:p>
          <w:p w:rsidR="00DA3374" w:rsidRPr="00903BA3" w:rsidRDefault="00987442" w:rsidP="000B4801">
            <w:pPr>
              <w:pStyle w:val="DEQTEXTforFACTSHEET"/>
              <w:numPr>
                <w:ilvl w:val="0"/>
                <w:numId w:val="1"/>
              </w:numPr>
              <w:rPr>
                <w:sz w:val="22"/>
                <w:szCs w:val="22"/>
              </w:rPr>
            </w:pPr>
            <w:r w:rsidRPr="00903BA3">
              <w:rPr>
                <w:sz w:val="22"/>
                <w:szCs w:val="22"/>
              </w:rPr>
              <w:t>Nov</w:t>
            </w:r>
            <w:r w:rsidR="000B4801">
              <w:rPr>
                <w:sz w:val="22"/>
                <w:szCs w:val="22"/>
              </w:rPr>
              <w:t>.</w:t>
            </w:r>
            <w:r w:rsidRPr="00903BA3">
              <w:rPr>
                <w:sz w:val="22"/>
                <w:szCs w:val="22"/>
              </w:rPr>
              <w:t xml:space="preserve"> 18</w:t>
            </w:r>
            <w:r w:rsidR="00DA3374" w:rsidRPr="00903BA3">
              <w:rPr>
                <w:sz w:val="22"/>
                <w:szCs w:val="22"/>
              </w:rPr>
              <w:t>, 2010, 6</w:t>
            </w:r>
            <w:r w:rsidR="000B4801">
              <w:rPr>
                <w:sz w:val="22"/>
                <w:szCs w:val="22"/>
              </w:rPr>
              <w:t xml:space="preserve"> </w:t>
            </w:r>
            <w:r w:rsidR="00DA3374" w:rsidRPr="00903BA3">
              <w:rPr>
                <w:sz w:val="22"/>
                <w:szCs w:val="22"/>
              </w:rPr>
              <w:t>p</w:t>
            </w:r>
            <w:r w:rsidR="000B4801">
              <w:rPr>
                <w:sz w:val="22"/>
                <w:szCs w:val="22"/>
              </w:rPr>
              <w:t>.</w:t>
            </w:r>
            <w:r w:rsidR="00DA3374" w:rsidRPr="00903BA3">
              <w:rPr>
                <w:sz w:val="22"/>
                <w:szCs w:val="22"/>
              </w:rPr>
              <w:t>m</w:t>
            </w:r>
            <w:r w:rsidR="000B4801">
              <w:rPr>
                <w:sz w:val="22"/>
                <w:szCs w:val="22"/>
              </w:rPr>
              <w:t>.</w:t>
            </w:r>
          </w:p>
          <w:p w:rsidR="00DA3374" w:rsidRPr="00903BA3" w:rsidRDefault="000B4801" w:rsidP="000B4801">
            <w:pPr>
              <w:pStyle w:val="DEQTEXTforFACTSHEET"/>
              <w:ind w:left="720"/>
              <w:rPr>
                <w:sz w:val="22"/>
                <w:szCs w:val="22"/>
              </w:rPr>
            </w:pPr>
            <w:r>
              <w:rPr>
                <w:sz w:val="22"/>
                <w:szCs w:val="22"/>
              </w:rPr>
              <w:t>DEQ - Headquarters Office, r</w:t>
            </w:r>
            <w:r w:rsidR="00DA3374" w:rsidRPr="00903BA3">
              <w:rPr>
                <w:sz w:val="22"/>
                <w:szCs w:val="22"/>
              </w:rPr>
              <w:t>oom EQC-A</w:t>
            </w:r>
          </w:p>
          <w:p w:rsidR="00DA3374" w:rsidRPr="00903BA3" w:rsidRDefault="00DA3374" w:rsidP="000B4801">
            <w:pPr>
              <w:pStyle w:val="DEQTEXTforFACTSHEET"/>
              <w:ind w:left="720"/>
              <w:rPr>
                <w:sz w:val="22"/>
                <w:szCs w:val="22"/>
              </w:rPr>
            </w:pPr>
            <w:r w:rsidRPr="00903BA3">
              <w:rPr>
                <w:sz w:val="22"/>
                <w:szCs w:val="22"/>
              </w:rPr>
              <w:t xml:space="preserve">811 SW </w:t>
            </w:r>
            <w:r w:rsidR="000B4801">
              <w:rPr>
                <w:sz w:val="22"/>
                <w:szCs w:val="22"/>
              </w:rPr>
              <w:t>6th</w:t>
            </w:r>
            <w:r w:rsidRPr="00903BA3">
              <w:rPr>
                <w:sz w:val="22"/>
                <w:szCs w:val="22"/>
              </w:rPr>
              <w:t xml:space="preserve"> Avenue, Portland</w:t>
            </w:r>
          </w:p>
          <w:p w:rsidR="000D5EFC" w:rsidRPr="00903BA3" w:rsidRDefault="000B4801" w:rsidP="000B4801">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r>
              <w:rPr>
                <w:snapToGrid w:val="0"/>
                <w:sz w:val="22"/>
                <w:szCs w:val="22"/>
              </w:rPr>
              <w:t xml:space="preserve">Seven people </w:t>
            </w:r>
            <w:r w:rsidR="00DA3374" w:rsidRPr="00903BA3">
              <w:rPr>
                <w:snapToGrid w:val="0"/>
                <w:sz w:val="22"/>
                <w:szCs w:val="22"/>
              </w:rPr>
              <w:t xml:space="preserve">attended and </w:t>
            </w:r>
            <w:r>
              <w:rPr>
                <w:snapToGrid w:val="0"/>
                <w:sz w:val="22"/>
                <w:szCs w:val="22"/>
              </w:rPr>
              <w:t>none</w:t>
            </w:r>
            <w:r w:rsidR="00DA3374" w:rsidRPr="00903BA3">
              <w:rPr>
                <w:snapToGrid w:val="0"/>
                <w:sz w:val="22"/>
                <w:szCs w:val="22"/>
              </w:rPr>
              <w:t xml:space="preserve"> testified.</w:t>
            </w:r>
          </w:p>
          <w:p w:rsidR="00987442" w:rsidRPr="00903BA3" w:rsidRDefault="00987442" w:rsidP="000B4801">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p>
          <w:p w:rsidR="00987442" w:rsidRPr="00903BA3" w:rsidRDefault="00987442" w:rsidP="000B4801">
            <w:pPr>
              <w:pStyle w:val="ListParagraph"/>
              <w:numPr>
                <w:ilvl w:val="0"/>
                <w:numId w:val="1"/>
              </w:numPr>
              <w:tabs>
                <w:tab w:val="left" w:pos="252"/>
                <w:tab w:val="left" w:pos="720"/>
                <w:tab w:val="left" w:pos="1440"/>
                <w:tab w:val="left" w:pos="2160"/>
                <w:tab w:val="left" w:pos="2880"/>
                <w:tab w:val="left" w:pos="3600"/>
                <w:tab w:val="left" w:pos="4320"/>
              </w:tabs>
              <w:suppressAutoHyphens/>
              <w:rPr>
                <w:sz w:val="22"/>
                <w:szCs w:val="22"/>
              </w:rPr>
            </w:pPr>
            <w:r w:rsidRPr="00903BA3">
              <w:rPr>
                <w:sz w:val="22"/>
                <w:szCs w:val="22"/>
              </w:rPr>
              <w:t>Nov</w:t>
            </w:r>
            <w:r w:rsidR="000B4801">
              <w:rPr>
                <w:sz w:val="22"/>
                <w:szCs w:val="22"/>
              </w:rPr>
              <w:t>.</w:t>
            </w:r>
            <w:r w:rsidRPr="00903BA3">
              <w:rPr>
                <w:sz w:val="22"/>
                <w:szCs w:val="22"/>
              </w:rPr>
              <w:t xml:space="preserve"> 19, 2010, 1 p</w:t>
            </w:r>
            <w:r w:rsidR="000B4801">
              <w:rPr>
                <w:sz w:val="22"/>
                <w:szCs w:val="22"/>
              </w:rPr>
              <w:t>.</w:t>
            </w:r>
            <w:r w:rsidRPr="00903BA3">
              <w:rPr>
                <w:sz w:val="22"/>
                <w:szCs w:val="22"/>
              </w:rPr>
              <w:t>m</w:t>
            </w:r>
            <w:r w:rsidR="000B4801">
              <w:rPr>
                <w:sz w:val="22"/>
                <w:szCs w:val="22"/>
              </w:rPr>
              <w:t>.</w:t>
            </w:r>
          </w:p>
          <w:p w:rsidR="00987442" w:rsidRPr="00903BA3" w:rsidRDefault="007F6359" w:rsidP="000B4801">
            <w:pPr>
              <w:tabs>
                <w:tab w:val="left" w:pos="252"/>
                <w:tab w:val="left" w:pos="720"/>
                <w:tab w:val="left" w:pos="1440"/>
                <w:tab w:val="left" w:pos="2160"/>
                <w:tab w:val="left" w:pos="2880"/>
                <w:tab w:val="left" w:pos="3600"/>
                <w:tab w:val="left" w:pos="4320"/>
              </w:tabs>
              <w:suppressAutoHyphens/>
              <w:ind w:left="720"/>
              <w:rPr>
                <w:sz w:val="22"/>
                <w:szCs w:val="22"/>
              </w:rPr>
            </w:pPr>
            <w:r w:rsidRPr="00903BA3">
              <w:rPr>
                <w:sz w:val="22"/>
                <w:szCs w:val="22"/>
              </w:rPr>
              <w:t>DEQ -</w:t>
            </w:r>
            <w:r w:rsidR="00987442" w:rsidRPr="00903BA3">
              <w:rPr>
                <w:sz w:val="22"/>
                <w:szCs w:val="22"/>
              </w:rPr>
              <w:t xml:space="preserve"> Salem Regional Office</w:t>
            </w:r>
          </w:p>
          <w:p w:rsidR="007F6359" w:rsidRPr="00903BA3" w:rsidRDefault="007F6359" w:rsidP="000B4801">
            <w:pPr>
              <w:tabs>
                <w:tab w:val="left" w:pos="252"/>
                <w:tab w:val="left" w:pos="720"/>
                <w:tab w:val="left" w:pos="1440"/>
                <w:tab w:val="left" w:pos="2160"/>
                <w:tab w:val="left" w:pos="2880"/>
                <w:tab w:val="left" w:pos="3600"/>
                <w:tab w:val="left" w:pos="4320"/>
              </w:tabs>
              <w:suppressAutoHyphens/>
              <w:ind w:left="720"/>
              <w:rPr>
                <w:sz w:val="22"/>
                <w:szCs w:val="22"/>
              </w:rPr>
            </w:pPr>
            <w:r w:rsidRPr="00903BA3">
              <w:rPr>
                <w:color w:val="000000"/>
                <w:sz w:val="22"/>
                <w:szCs w:val="22"/>
              </w:rPr>
              <w:t>750 Front St NE, #120</w:t>
            </w:r>
          </w:p>
          <w:p w:rsidR="00275BCF" w:rsidRPr="00903BA3" w:rsidRDefault="000B4801" w:rsidP="000B4801">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r>
              <w:rPr>
                <w:snapToGrid w:val="0"/>
                <w:sz w:val="22"/>
                <w:szCs w:val="22"/>
              </w:rPr>
              <w:t>Seven people</w:t>
            </w:r>
            <w:r w:rsidR="00987442" w:rsidRPr="00903BA3">
              <w:rPr>
                <w:snapToGrid w:val="0"/>
                <w:sz w:val="22"/>
                <w:szCs w:val="22"/>
              </w:rPr>
              <w:t xml:space="preserve"> attended and </w:t>
            </w:r>
            <w:r>
              <w:rPr>
                <w:snapToGrid w:val="0"/>
                <w:sz w:val="22"/>
                <w:szCs w:val="22"/>
              </w:rPr>
              <w:t>none</w:t>
            </w:r>
            <w:r w:rsidR="00987442" w:rsidRPr="00903BA3">
              <w:rPr>
                <w:snapToGrid w:val="0"/>
                <w:sz w:val="22"/>
                <w:szCs w:val="22"/>
              </w:rPr>
              <w:t xml:space="preserve"> testified.</w:t>
            </w:r>
          </w:p>
          <w:p w:rsidR="008854F4" w:rsidRPr="00903BA3" w:rsidRDefault="008854F4" w:rsidP="000B4801">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p>
          <w:p w:rsidR="008854F4" w:rsidRDefault="008854F4" w:rsidP="000B4801">
            <w:pPr>
              <w:tabs>
                <w:tab w:val="left" w:pos="252"/>
                <w:tab w:val="left" w:pos="720"/>
                <w:tab w:val="left" w:pos="1440"/>
                <w:tab w:val="left" w:pos="2160"/>
                <w:tab w:val="left" w:pos="2880"/>
                <w:tab w:val="left" w:pos="3600"/>
                <w:tab w:val="left" w:pos="4320"/>
              </w:tabs>
              <w:suppressAutoHyphens/>
              <w:rPr>
                <w:snapToGrid w:val="0"/>
                <w:sz w:val="22"/>
                <w:szCs w:val="22"/>
              </w:rPr>
            </w:pPr>
            <w:r w:rsidRPr="00903BA3">
              <w:rPr>
                <w:snapToGrid w:val="0"/>
                <w:sz w:val="22"/>
                <w:szCs w:val="22"/>
              </w:rPr>
              <w:t xml:space="preserve">Based on the comments received, DEQ decided to reopen the comment period to allow for </w:t>
            </w:r>
            <w:r w:rsidR="0007654E" w:rsidRPr="00903BA3">
              <w:rPr>
                <w:snapToGrid w:val="0"/>
                <w:sz w:val="22"/>
                <w:szCs w:val="22"/>
              </w:rPr>
              <w:t xml:space="preserve">additional </w:t>
            </w:r>
            <w:r w:rsidRPr="00903BA3">
              <w:rPr>
                <w:snapToGrid w:val="0"/>
                <w:sz w:val="22"/>
                <w:szCs w:val="22"/>
              </w:rPr>
              <w:t xml:space="preserve">comment on </w:t>
            </w:r>
            <w:r w:rsidR="0007654E" w:rsidRPr="00903BA3">
              <w:rPr>
                <w:snapToGrid w:val="0"/>
                <w:sz w:val="22"/>
                <w:szCs w:val="22"/>
              </w:rPr>
              <w:t>the different proposed options</w:t>
            </w:r>
            <w:r w:rsidR="004A0EA4" w:rsidRPr="00903BA3">
              <w:rPr>
                <w:snapToGrid w:val="0"/>
                <w:sz w:val="22"/>
                <w:szCs w:val="22"/>
              </w:rPr>
              <w:t xml:space="preserve">. </w:t>
            </w:r>
            <w:r w:rsidR="00630380">
              <w:rPr>
                <w:snapToGrid w:val="0"/>
                <w:sz w:val="22"/>
                <w:szCs w:val="22"/>
              </w:rPr>
              <w:t xml:space="preserve">DEQ held a second comment period </w:t>
            </w:r>
            <w:r w:rsidRPr="00903BA3">
              <w:rPr>
                <w:snapToGrid w:val="0"/>
                <w:sz w:val="22"/>
                <w:szCs w:val="22"/>
              </w:rPr>
              <w:t>Dec</w:t>
            </w:r>
            <w:r w:rsidR="00630380">
              <w:rPr>
                <w:snapToGrid w:val="0"/>
                <w:sz w:val="22"/>
                <w:szCs w:val="22"/>
              </w:rPr>
              <w:t>.</w:t>
            </w:r>
            <w:r w:rsidRPr="00903BA3">
              <w:rPr>
                <w:snapToGrid w:val="0"/>
                <w:sz w:val="22"/>
                <w:szCs w:val="22"/>
              </w:rPr>
              <w:t xml:space="preserve"> </w:t>
            </w:r>
            <w:r w:rsidR="00C30013" w:rsidRPr="00903BA3">
              <w:rPr>
                <w:snapToGrid w:val="0"/>
                <w:sz w:val="22"/>
                <w:szCs w:val="22"/>
              </w:rPr>
              <w:t>9,</w:t>
            </w:r>
            <w:r w:rsidR="00C30013" w:rsidRPr="00903BA3">
              <w:rPr>
                <w:snapToGrid w:val="0"/>
                <w:sz w:val="22"/>
                <w:szCs w:val="22"/>
                <w:vertAlign w:val="superscript"/>
              </w:rPr>
              <w:t xml:space="preserve"> </w:t>
            </w:r>
            <w:r w:rsidR="00C30013" w:rsidRPr="00903BA3">
              <w:rPr>
                <w:snapToGrid w:val="0"/>
                <w:sz w:val="22"/>
                <w:szCs w:val="22"/>
              </w:rPr>
              <w:t>2010</w:t>
            </w:r>
            <w:r w:rsidR="00630380">
              <w:rPr>
                <w:snapToGrid w:val="0"/>
                <w:sz w:val="22"/>
                <w:szCs w:val="22"/>
              </w:rPr>
              <w:t>,</w:t>
            </w:r>
            <w:r w:rsidRPr="00903BA3">
              <w:rPr>
                <w:snapToGrid w:val="0"/>
                <w:sz w:val="22"/>
                <w:szCs w:val="22"/>
              </w:rPr>
              <w:t xml:space="preserve"> through </w:t>
            </w:r>
            <w:r w:rsidR="00097977" w:rsidRPr="00903BA3">
              <w:rPr>
                <w:snapToGrid w:val="0"/>
                <w:sz w:val="22"/>
                <w:szCs w:val="22"/>
              </w:rPr>
              <w:t>Jan</w:t>
            </w:r>
            <w:r w:rsidR="00630380">
              <w:rPr>
                <w:snapToGrid w:val="0"/>
                <w:sz w:val="22"/>
                <w:szCs w:val="22"/>
              </w:rPr>
              <w:t>.</w:t>
            </w:r>
            <w:r w:rsidR="00097977" w:rsidRPr="00903BA3">
              <w:rPr>
                <w:snapToGrid w:val="0"/>
                <w:sz w:val="22"/>
                <w:szCs w:val="22"/>
              </w:rPr>
              <w:t xml:space="preserve"> 14</w:t>
            </w:r>
            <w:r w:rsidR="00C30013" w:rsidRPr="00903BA3">
              <w:rPr>
                <w:snapToGrid w:val="0"/>
                <w:sz w:val="22"/>
                <w:szCs w:val="22"/>
              </w:rPr>
              <w:t>, 2011</w:t>
            </w:r>
            <w:r w:rsidR="004A0EA4" w:rsidRPr="00903BA3">
              <w:rPr>
                <w:snapToGrid w:val="0"/>
                <w:sz w:val="22"/>
                <w:szCs w:val="22"/>
              </w:rPr>
              <w:t xml:space="preserve">. </w:t>
            </w:r>
            <w:r w:rsidR="00A63C73" w:rsidRPr="00903BA3">
              <w:rPr>
                <w:snapToGrid w:val="0"/>
                <w:sz w:val="22"/>
                <w:szCs w:val="22"/>
              </w:rPr>
              <w:t>Fourteen</w:t>
            </w:r>
            <w:r w:rsidRPr="00903BA3">
              <w:rPr>
                <w:snapToGrid w:val="0"/>
                <w:sz w:val="22"/>
                <w:szCs w:val="22"/>
              </w:rPr>
              <w:t xml:space="preserve"> </w:t>
            </w:r>
            <w:r w:rsidR="0003379B" w:rsidRPr="00903BA3">
              <w:rPr>
                <w:snapToGrid w:val="0"/>
                <w:sz w:val="22"/>
                <w:szCs w:val="22"/>
              </w:rPr>
              <w:t>organizations</w:t>
            </w:r>
            <w:r w:rsidR="00A63C73" w:rsidRPr="00903BA3">
              <w:rPr>
                <w:snapToGrid w:val="0"/>
                <w:sz w:val="22"/>
                <w:szCs w:val="22"/>
              </w:rPr>
              <w:t>, some of which commented previously,</w:t>
            </w:r>
            <w:r w:rsidR="0003379B" w:rsidRPr="00903BA3">
              <w:rPr>
                <w:snapToGrid w:val="0"/>
                <w:sz w:val="22"/>
                <w:szCs w:val="22"/>
              </w:rPr>
              <w:t xml:space="preserve"> </w:t>
            </w:r>
            <w:r w:rsidR="004E5E8F" w:rsidRPr="00903BA3">
              <w:rPr>
                <w:snapToGrid w:val="0"/>
                <w:sz w:val="22"/>
                <w:szCs w:val="22"/>
              </w:rPr>
              <w:t xml:space="preserve">submitted </w:t>
            </w:r>
            <w:r w:rsidR="00D6241A" w:rsidRPr="00903BA3">
              <w:rPr>
                <w:snapToGrid w:val="0"/>
                <w:sz w:val="22"/>
                <w:szCs w:val="22"/>
              </w:rPr>
              <w:t xml:space="preserve">written </w:t>
            </w:r>
            <w:r w:rsidR="004E5E8F" w:rsidRPr="00903BA3">
              <w:rPr>
                <w:snapToGrid w:val="0"/>
                <w:sz w:val="22"/>
                <w:szCs w:val="22"/>
              </w:rPr>
              <w:t xml:space="preserve">comments on the </w:t>
            </w:r>
            <w:r w:rsidR="0003379B" w:rsidRPr="00903BA3">
              <w:rPr>
                <w:snapToGrid w:val="0"/>
                <w:sz w:val="22"/>
                <w:szCs w:val="22"/>
              </w:rPr>
              <w:t xml:space="preserve">revisions to the </w:t>
            </w:r>
            <w:r w:rsidR="004E5E8F" w:rsidRPr="00903BA3">
              <w:rPr>
                <w:snapToGrid w:val="0"/>
                <w:sz w:val="22"/>
                <w:szCs w:val="22"/>
              </w:rPr>
              <w:t>propos</w:t>
            </w:r>
            <w:r w:rsidRPr="00903BA3">
              <w:rPr>
                <w:snapToGrid w:val="0"/>
                <w:sz w:val="22"/>
                <w:szCs w:val="22"/>
              </w:rPr>
              <w:t>ed rules</w:t>
            </w:r>
            <w:r w:rsidR="004A0EA4" w:rsidRPr="00903BA3">
              <w:rPr>
                <w:snapToGrid w:val="0"/>
                <w:sz w:val="22"/>
                <w:szCs w:val="22"/>
              </w:rPr>
              <w:t xml:space="preserve">. </w:t>
            </w:r>
          </w:p>
          <w:p w:rsidR="000B4801" w:rsidRPr="00903BA3" w:rsidRDefault="000B4801" w:rsidP="000B4801">
            <w:pPr>
              <w:tabs>
                <w:tab w:val="left" w:pos="252"/>
                <w:tab w:val="left" w:pos="720"/>
                <w:tab w:val="left" w:pos="1440"/>
                <w:tab w:val="left" w:pos="2160"/>
                <w:tab w:val="left" w:pos="2880"/>
                <w:tab w:val="left" w:pos="3600"/>
                <w:tab w:val="left" w:pos="4320"/>
              </w:tabs>
              <w:suppressAutoHyphens/>
              <w:rPr>
                <w:snapToGrid w:val="0"/>
                <w:sz w:val="22"/>
                <w:szCs w:val="22"/>
              </w:rPr>
            </w:pPr>
          </w:p>
        </w:tc>
      </w:tr>
      <w:tr w:rsidR="000D5EFC" w:rsidRPr="00903BA3" w:rsidTr="009F02AD">
        <w:trPr>
          <w:cantSplit/>
        </w:trPr>
        <w:tc>
          <w:tcPr>
            <w:tcW w:w="1735" w:type="dxa"/>
          </w:tcPr>
          <w:p w:rsidR="000D5EFC" w:rsidRPr="00903BA3" w:rsidRDefault="001331A2" w:rsidP="000B4801">
            <w:pPr>
              <w:pStyle w:val="Heading5"/>
              <w:spacing w:before="0" w:after="0"/>
              <w:rPr>
                <w:b w:val="0"/>
                <w:i w:val="0"/>
                <w:sz w:val="22"/>
                <w:szCs w:val="22"/>
              </w:rPr>
            </w:pPr>
            <w:r w:rsidRPr="00903BA3">
              <w:rPr>
                <w:b w:val="0"/>
                <w:i w:val="0"/>
                <w:sz w:val="22"/>
                <w:szCs w:val="22"/>
              </w:rPr>
              <w:t>Organization of comments and responses</w:t>
            </w:r>
          </w:p>
        </w:tc>
        <w:tc>
          <w:tcPr>
            <w:tcW w:w="8697" w:type="dxa"/>
          </w:tcPr>
          <w:p w:rsidR="000D5EFC" w:rsidRDefault="001331A2" w:rsidP="000B4801">
            <w:pPr>
              <w:pStyle w:val="BlockText"/>
              <w:rPr>
                <w:sz w:val="22"/>
                <w:szCs w:val="22"/>
              </w:rPr>
            </w:pPr>
            <w:r w:rsidRPr="00903BA3">
              <w:rPr>
                <w:sz w:val="22"/>
                <w:szCs w:val="22"/>
              </w:rPr>
              <w:t>Summaries of individual comments and DEQ’s responses are provided below.</w:t>
            </w:r>
            <w:r w:rsidR="00275BCF" w:rsidRPr="00903BA3">
              <w:rPr>
                <w:sz w:val="22"/>
                <w:szCs w:val="22"/>
              </w:rPr>
              <w:t xml:space="preserve"> </w:t>
            </w:r>
            <w:r w:rsidR="00FE0146" w:rsidRPr="00903BA3">
              <w:rPr>
                <w:sz w:val="22"/>
                <w:szCs w:val="22"/>
              </w:rPr>
              <w:t xml:space="preserve">DEQ responses are shown in </w:t>
            </w:r>
            <w:r w:rsidR="00FE0146" w:rsidRPr="00903BA3">
              <w:rPr>
                <w:i/>
                <w:sz w:val="22"/>
                <w:szCs w:val="22"/>
              </w:rPr>
              <w:t>italics</w:t>
            </w:r>
            <w:r w:rsidR="00FE0146" w:rsidRPr="00903BA3">
              <w:rPr>
                <w:sz w:val="22"/>
                <w:szCs w:val="22"/>
              </w:rPr>
              <w:t>.</w:t>
            </w:r>
            <w:r w:rsidR="00FE0146">
              <w:rPr>
                <w:sz w:val="22"/>
                <w:szCs w:val="22"/>
              </w:rPr>
              <w:t xml:space="preserve"> </w:t>
            </w:r>
            <w:r w:rsidRPr="00903BA3">
              <w:rPr>
                <w:sz w:val="22"/>
                <w:szCs w:val="22"/>
              </w:rPr>
              <w:t>Comments are summarized in categories.</w:t>
            </w:r>
            <w:r w:rsidR="00275BCF" w:rsidRPr="00903BA3">
              <w:rPr>
                <w:sz w:val="22"/>
                <w:szCs w:val="22"/>
              </w:rPr>
              <w:t xml:space="preserve"> </w:t>
            </w:r>
            <w:r w:rsidR="008D7A69" w:rsidRPr="00903BA3">
              <w:rPr>
                <w:sz w:val="22"/>
                <w:szCs w:val="22"/>
              </w:rPr>
              <w:t xml:space="preserve">The persons who provided </w:t>
            </w:r>
            <w:r w:rsidRPr="00903BA3">
              <w:rPr>
                <w:sz w:val="22"/>
                <w:szCs w:val="22"/>
              </w:rPr>
              <w:t>comment</w:t>
            </w:r>
            <w:r w:rsidR="008D7A69" w:rsidRPr="00903BA3">
              <w:rPr>
                <w:sz w:val="22"/>
                <w:szCs w:val="22"/>
              </w:rPr>
              <w:t>s</w:t>
            </w:r>
            <w:r w:rsidRPr="00903BA3">
              <w:rPr>
                <w:sz w:val="22"/>
                <w:szCs w:val="22"/>
              </w:rPr>
              <w:t xml:space="preserve"> are referenced by number.</w:t>
            </w:r>
            <w:r w:rsidR="00275BCF" w:rsidRPr="00903BA3">
              <w:rPr>
                <w:sz w:val="22"/>
                <w:szCs w:val="22"/>
              </w:rPr>
              <w:t xml:space="preserve"> </w:t>
            </w:r>
            <w:r w:rsidRPr="00903BA3">
              <w:rPr>
                <w:sz w:val="22"/>
                <w:szCs w:val="22"/>
              </w:rPr>
              <w:t xml:space="preserve">A list of commenters and their reference numbers follows the summary of comments and responses. </w:t>
            </w:r>
          </w:p>
          <w:p w:rsidR="000B4801" w:rsidRPr="00903BA3" w:rsidRDefault="000B4801" w:rsidP="000B4801">
            <w:pPr>
              <w:pStyle w:val="BlockText"/>
              <w:rPr>
                <w:sz w:val="22"/>
                <w:szCs w:val="22"/>
              </w:rPr>
            </w:pPr>
          </w:p>
        </w:tc>
      </w:tr>
      <w:tr w:rsidR="007B23ED" w:rsidRPr="00903BA3" w:rsidTr="009F02AD">
        <w:tc>
          <w:tcPr>
            <w:tcW w:w="1735" w:type="dxa"/>
          </w:tcPr>
          <w:p w:rsidR="007B23ED" w:rsidRPr="00903BA3" w:rsidRDefault="007B23ED" w:rsidP="000B4801">
            <w:pPr>
              <w:pStyle w:val="Heading5"/>
              <w:spacing w:before="0" w:after="0"/>
              <w:rPr>
                <w:b w:val="0"/>
                <w:i w:val="0"/>
                <w:sz w:val="22"/>
                <w:szCs w:val="22"/>
              </w:rPr>
            </w:pPr>
            <w:r w:rsidRPr="00903BA3">
              <w:rPr>
                <w:b w:val="0"/>
                <w:i w:val="0"/>
                <w:sz w:val="22"/>
                <w:szCs w:val="22"/>
              </w:rPr>
              <w:t>Acronyms used in this document</w:t>
            </w:r>
          </w:p>
        </w:tc>
        <w:tc>
          <w:tcPr>
            <w:tcW w:w="8697" w:type="dxa"/>
          </w:tcPr>
          <w:p w:rsidR="007B23ED" w:rsidRPr="00903BA3" w:rsidRDefault="007B23ED" w:rsidP="000B4801">
            <w:pPr>
              <w:rPr>
                <w:sz w:val="22"/>
                <w:szCs w:val="22"/>
              </w:rPr>
            </w:pPr>
            <w:r w:rsidRPr="00903BA3">
              <w:rPr>
                <w:sz w:val="22"/>
                <w:szCs w:val="22"/>
              </w:rPr>
              <w:t>ACDP = Air Contaminant Discharge Permit</w:t>
            </w:r>
          </w:p>
          <w:p w:rsidR="007B23ED" w:rsidRPr="00903BA3" w:rsidRDefault="007B23ED" w:rsidP="000B4801">
            <w:pPr>
              <w:rPr>
                <w:sz w:val="22"/>
                <w:szCs w:val="22"/>
              </w:rPr>
            </w:pPr>
            <w:r w:rsidRPr="00903BA3">
              <w:rPr>
                <w:sz w:val="22"/>
                <w:szCs w:val="22"/>
              </w:rPr>
              <w:t>BACT = Best Available Control Technology</w:t>
            </w:r>
          </w:p>
          <w:p w:rsidR="007B23ED" w:rsidRPr="00903BA3" w:rsidRDefault="007B23ED" w:rsidP="000B4801">
            <w:pPr>
              <w:rPr>
                <w:sz w:val="22"/>
                <w:szCs w:val="22"/>
              </w:rPr>
            </w:pPr>
            <w:r w:rsidRPr="00903BA3">
              <w:rPr>
                <w:sz w:val="22"/>
                <w:szCs w:val="22"/>
              </w:rPr>
              <w:t>DEQ = Oregon Department of Environmental Quality</w:t>
            </w:r>
          </w:p>
          <w:p w:rsidR="007B23ED" w:rsidRPr="00903BA3" w:rsidRDefault="007B23ED" w:rsidP="000B4801">
            <w:pPr>
              <w:rPr>
                <w:sz w:val="22"/>
                <w:szCs w:val="22"/>
              </w:rPr>
            </w:pPr>
            <w:r w:rsidRPr="00903BA3">
              <w:rPr>
                <w:sz w:val="22"/>
                <w:szCs w:val="22"/>
              </w:rPr>
              <w:t xml:space="preserve">EPA = United States Environmental Protection Agency </w:t>
            </w:r>
          </w:p>
          <w:p w:rsidR="007B23ED" w:rsidRPr="00903BA3" w:rsidRDefault="007B23ED" w:rsidP="000B4801">
            <w:pPr>
              <w:rPr>
                <w:sz w:val="22"/>
                <w:szCs w:val="22"/>
              </w:rPr>
            </w:pPr>
            <w:r w:rsidRPr="00903BA3">
              <w:rPr>
                <w:sz w:val="22"/>
                <w:szCs w:val="22"/>
              </w:rPr>
              <w:t>EQC = Oregon Environmental Quality Commission</w:t>
            </w:r>
          </w:p>
          <w:p w:rsidR="00166802" w:rsidRPr="00903BA3" w:rsidRDefault="00166802" w:rsidP="000B4801">
            <w:pPr>
              <w:rPr>
                <w:sz w:val="22"/>
                <w:szCs w:val="22"/>
              </w:rPr>
            </w:pPr>
            <w:r w:rsidRPr="00903BA3">
              <w:rPr>
                <w:sz w:val="22"/>
                <w:szCs w:val="22"/>
              </w:rPr>
              <w:t>NAA = nonattainment area</w:t>
            </w:r>
          </w:p>
          <w:p w:rsidR="009E0761" w:rsidRPr="00903BA3" w:rsidRDefault="009E0761" w:rsidP="000B4801">
            <w:pPr>
              <w:rPr>
                <w:sz w:val="22"/>
                <w:szCs w:val="22"/>
              </w:rPr>
            </w:pPr>
            <w:r w:rsidRPr="00903BA3">
              <w:rPr>
                <w:sz w:val="22"/>
                <w:szCs w:val="22"/>
              </w:rPr>
              <w:t>NAAQS = National Ambient Air Quality Standards</w:t>
            </w:r>
          </w:p>
          <w:p w:rsidR="007B23ED" w:rsidRPr="00903BA3" w:rsidRDefault="007B23ED" w:rsidP="000B4801">
            <w:pPr>
              <w:rPr>
                <w:sz w:val="22"/>
                <w:szCs w:val="22"/>
              </w:rPr>
            </w:pPr>
            <w:r w:rsidRPr="00903BA3">
              <w:rPr>
                <w:sz w:val="22"/>
                <w:szCs w:val="22"/>
              </w:rPr>
              <w:t>NO</w:t>
            </w:r>
            <w:r w:rsidRPr="00903BA3">
              <w:rPr>
                <w:sz w:val="22"/>
                <w:szCs w:val="22"/>
                <w:vertAlign w:val="subscript"/>
              </w:rPr>
              <w:t>x</w:t>
            </w:r>
            <w:r w:rsidR="00BA2256" w:rsidRPr="00903BA3">
              <w:rPr>
                <w:sz w:val="22"/>
                <w:szCs w:val="22"/>
              </w:rPr>
              <w:t xml:space="preserve"> = n</w:t>
            </w:r>
            <w:r w:rsidRPr="00903BA3">
              <w:rPr>
                <w:sz w:val="22"/>
                <w:szCs w:val="22"/>
              </w:rPr>
              <w:t xml:space="preserve">itrogen </w:t>
            </w:r>
            <w:r w:rsidR="00BA2256" w:rsidRPr="00903BA3">
              <w:rPr>
                <w:sz w:val="22"/>
                <w:szCs w:val="22"/>
              </w:rPr>
              <w:t>o</w:t>
            </w:r>
            <w:r w:rsidRPr="00903BA3">
              <w:rPr>
                <w:sz w:val="22"/>
                <w:szCs w:val="22"/>
              </w:rPr>
              <w:t>xides</w:t>
            </w:r>
          </w:p>
          <w:p w:rsidR="007B23ED" w:rsidRPr="00903BA3" w:rsidRDefault="007B23ED" w:rsidP="000B4801">
            <w:pPr>
              <w:rPr>
                <w:sz w:val="22"/>
                <w:szCs w:val="22"/>
              </w:rPr>
            </w:pPr>
            <w:r w:rsidRPr="00903BA3">
              <w:rPr>
                <w:sz w:val="22"/>
                <w:szCs w:val="22"/>
              </w:rPr>
              <w:lastRenderedPageBreak/>
              <w:t>NSR = New Source Review</w:t>
            </w:r>
          </w:p>
          <w:p w:rsidR="0024494A" w:rsidRPr="00903BA3" w:rsidRDefault="0024494A" w:rsidP="000B4801">
            <w:pPr>
              <w:rPr>
                <w:sz w:val="22"/>
                <w:szCs w:val="22"/>
              </w:rPr>
            </w:pPr>
            <w:r w:rsidRPr="00903BA3">
              <w:rPr>
                <w:sz w:val="22"/>
                <w:szCs w:val="22"/>
              </w:rPr>
              <w:t xml:space="preserve">PAL = </w:t>
            </w:r>
            <w:r w:rsidRPr="00903BA3">
              <w:rPr>
                <w:rStyle w:val="FontStyle16"/>
                <w:rFonts w:ascii="Times New Roman" w:hAnsi="Times New Roman" w:cs="Times New Roman"/>
                <w:sz w:val="22"/>
                <w:szCs w:val="22"/>
              </w:rPr>
              <w:t xml:space="preserve">Plantwide Applicability Limit </w:t>
            </w:r>
          </w:p>
          <w:p w:rsidR="007B23ED" w:rsidRPr="00903BA3" w:rsidRDefault="007B23ED" w:rsidP="000B4801">
            <w:pPr>
              <w:rPr>
                <w:sz w:val="22"/>
                <w:szCs w:val="22"/>
              </w:rPr>
            </w:pPr>
            <w:r w:rsidRPr="00903BA3">
              <w:rPr>
                <w:sz w:val="22"/>
                <w:szCs w:val="22"/>
              </w:rPr>
              <w:t>PM</w:t>
            </w:r>
            <w:r w:rsidRPr="00903BA3">
              <w:rPr>
                <w:sz w:val="22"/>
                <w:szCs w:val="22"/>
                <w:vertAlign w:val="subscript"/>
              </w:rPr>
              <w:t>10</w:t>
            </w:r>
            <w:r w:rsidRPr="00903BA3">
              <w:rPr>
                <w:sz w:val="22"/>
                <w:szCs w:val="22"/>
              </w:rPr>
              <w:t xml:space="preserve"> = </w:t>
            </w:r>
            <w:r w:rsidR="00EF78B7" w:rsidRPr="00903BA3">
              <w:rPr>
                <w:sz w:val="22"/>
                <w:szCs w:val="22"/>
              </w:rPr>
              <w:t>p</w:t>
            </w:r>
            <w:r w:rsidRPr="00903BA3">
              <w:rPr>
                <w:sz w:val="22"/>
                <w:szCs w:val="22"/>
              </w:rPr>
              <w:t>articulate matter less than 10 microns in diameter</w:t>
            </w:r>
          </w:p>
          <w:p w:rsidR="007B23ED" w:rsidRPr="00903BA3" w:rsidRDefault="007B23ED" w:rsidP="000B4801">
            <w:pPr>
              <w:rPr>
                <w:sz w:val="22"/>
                <w:szCs w:val="22"/>
              </w:rPr>
            </w:pPr>
            <w:r w:rsidRPr="00903BA3">
              <w:rPr>
                <w:sz w:val="22"/>
                <w:szCs w:val="22"/>
              </w:rPr>
              <w:t>PM</w:t>
            </w:r>
            <w:r w:rsidRPr="00903BA3">
              <w:rPr>
                <w:sz w:val="22"/>
                <w:szCs w:val="22"/>
                <w:vertAlign w:val="subscript"/>
              </w:rPr>
              <w:t>2.5</w:t>
            </w:r>
            <w:r w:rsidR="00EF78B7" w:rsidRPr="00903BA3">
              <w:rPr>
                <w:sz w:val="22"/>
                <w:szCs w:val="22"/>
              </w:rPr>
              <w:t xml:space="preserve"> = p</w:t>
            </w:r>
            <w:r w:rsidRPr="00903BA3">
              <w:rPr>
                <w:sz w:val="22"/>
                <w:szCs w:val="22"/>
              </w:rPr>
              <w:t>articulate matter less than 2.5 microns in diameter</w:t>
            </w:r>
          </w:p>
          <w:p w:rsidR="007B23ED" w:rsidRPr="00903BA3" w:rsidRDefault="007B23ED" w:rsidP="000B4801">
            <w:pPr>
              <w:rPr>
                <w:sz w:val="22"/>
                <w:szCs w:val="22"/>
              </w:rPr>
            </w:pPr>
            <w:r w:rsidRPr="00903BA3">
              <w:rPr>
                <w:sz w:val="22"/>
                <w:szCs w:val="22"/>
              </w:rPr>
              <w:t>PSD = Prevention of Significant Deterioration</w:t>
            </w:r>
          </w:p>
          <w:p w:rsidR="007B23ED" w:rsidRPr="00903BA3" w:rsidRDefault="007B23ED" w:rsidP="000B4801">
            <w:pPr>
              <w:rPr>
                <w:sz w:val="22"/>
                <w:szCs w:val="22"/>
              </w:rPr>
            </w:pPr>
            <w:r w:rsidRPr="00903BA3">
              <w:rPr>
                <w:sz w:val="22"/>
                <w:szCs w:val="22"/>
              </w:rPr>
              <w:t>PSEL = Plant Site Emission Limit</w:t>
            </w:r>
          </w:p>
          <w:p w:rsidR="00EF78B7" w:rsidRPr="00903BA3" w:rsidRDefault="00EF78B7" w:rsidP="000B4801">
            <w:pPr>
              <w:rPr>
                <w:sz w:val="22"/>
                <w:szCs w:val="22"/>
              </w:rPr>
            </w:pPr>
            <w:r w:rsidRPr="00903BA3">
              <w:rPr>
                <w:sz w:val="22"/>
                <w:szCs w:val="22"/>
              </w:rPr>
              <w:t>PTE = potential to emit</w:t>
            </w:r>
          </w:p>
          <w:p w:rsidR="007B23ED" w:rsidRPr="00903BA3" w:rsidRDefault="00BA2256" w:rsidP="000B4801">
            <w:pPr>
              <w:rPr>
                <w:sz w:val="22"/>
                <w:szCs w:val="22"/>
              </w:rPr>
            </w:pPr>
            <w:r w:rsidRPr="00903BA3">
              <w:rPr>
                <w:sz w:val="22"/>
                <w:szCs w:val="22"/>
              </w:rPr>
              <w:t>SILs = s</w:t>
            </w:r>
            <w:r w:rsidR="007B23ED" w:rsidRPr="00903BA3">
              <w:rPr>
                <w:sz w:val="22"/>
                <w:szCs w:val="22"/>
              </w:rPr>
              <w:t xml:space="preserve">ignificant </w:t>
            </w:r>
            <w:r w:rsidRPr="00903BA3">
              <w:rPr>
                <w:sz w:val="22"/>
                <w:szCs w:val="22"/>
              </w:rPr>
              <w:t>i</w:t>
            </w:r>
            <w:r w:rsidR="007B23ED" w:rsidRPr="00903BA3">
              <w:rPr>
                <w:sz w:val="22"/>
                <w:szCs w:val="22"/>
              </w:rPr>
              <w:t xml:space="preserve">mpact </w:t>
            </w:r>
            <w:r w:rsidRPr="00903BA3">
              <w:rPr>
                <w:sz w:val="22"/>
                <w:szCs w:val="22"/>
              </w:rPr>
              <w:t>l</w:t>
            </w:r>
            <w:r w:rsidR="007B23ED" w:rsidRPr="00903BA3">
              <w:rPr>
                <w:sz w:val="22"/>
                <w:szCs w:val="22"/>
              </w:rPr>
              <w:t>evels</w:t>
            </w:r>
          </w:p>
          <w:p w:rsidR="00687A2B" w:rsidRPr="00903BA3" w:rsidRDefault="00687A2B" w:rsidP="000B4801">
            <w:pPr>
              <w:rPr>
                <w:sz w:val="22"/>
                <w:szCs w:val="22"/>
              </w:rPr>
            </w:pPr>
            <w:r w:rsidRPr="00903BA3">
              <w:rPr>
                <w:sz w:val="22"/>
                <w:szCs w:val="22"/>
              </w:rPr>
              <w:t xml:space="preserve">SMC = </w:t>
            </w:r>
            <w:r w:rsidR="00BA2256" w:rsidRPr="00903BA3">
              <w:rPr>
                <w:sz w:val="22"/>
                <w:szCs w:val="22"/>
              </w:rPr>
              <w:t>s</w:t>
            </w:r>
            <w:r w:rsidRPr="00903BA3">
              <w:rPr>
                <w:sz w:val="22"/>
                <w:szCs w:val="22"/>
              </w:rPr>
              <w:t xml:space="preserve">ignificant </w:t>
            </w:r>
            <w:r w:rsidR="00BA2256" w:rsidRPr="00903BA3">
              <w:rPr>
                <w:sz w:val="22"/>
                <w:szCs w:val="22"/>
              </w:rPr>
              <w:t>m</w:t>
            </w:r>
            <w:r w:rsidRPr="00903BA3">
              <w:rPr>
                <w:sz w:val="22"/>
                <w:szCs w:val="22"/>
              </w:rPr>
              <w:t xml:space="preserve">onitoring </w:t>
            </w:r>
            <w:r w:rsidR="00BA2256" w:rsidRPr="00903BA3">
              <w:rPr>
                <w:sz w:val="22"/>
                <w:szCs w:val="22"/>
              </w:rPr>
              <w:t>c</w:t>
            </w:r>
            <w:r w:rsidRPr="00903BA3">
              <w:rPr>
                <w:sz w:val="22"/>
                <w:szCs w:val="22"/>
              </w:rPr>
              <w:t>oncentration</w:t>
            </w:r>
          </w:p>
          <w:p w:rsidR="007B23ED" w:rsidRPr="00903BA3" w:rsidRDefault="007B23ED" w:rsidP="000B4801">
            <w:pPr>
              <w:rPr>
                <w:sz w:val="22"/>
                <w:szCs w:val="22"/>
              </w:rPr>
            </w:pPr>
            <w:r w:rsidRPr="00903BA3">
              <w:rPr>
                <w:sz w:val="22"/>
                <w:szCs w:val="22"/>
              </w:rPr>
              <w:t>SO</w:t>
            </w:r>
            <w:r w:rsidRPr="00903BA3">
              <w:rPr>
                <w:sz w:val="22"/>
                <w:szCs w:val="22"/>
                <w:vertAlign w:val="subscript"/>
              </w:rPr>
              <w:t>2</w:t>
            </w:r>
            <w:r w:rsidRPr="00903BA3">
              <w:rPr>
                <w:sz w:val="22"/>
                <w:szCs w:val="22"/>
              </w:rPr>
              <w:t xml:space="preserve"> = </w:t>
            </w:r>
            <w:r w:rsidR="00BA2256" w:rsidRPr="00903BA3">
              <w:rPr>
                <w:sz w:val="22"/>
                <w:szCs w:val="22"/>
              </w:rPr>
              <w:t>s</w:t>
            </w:r>
            <w:r w:rsidRPr="00903BA3">
              <w:rPr>
                <w:sz w:val="22"/>
                <w:szCs w:val="22"/>
              </w:rPr>
              <w:t xml:space="preserve">ulfur </w:t>
            </w:r>
            <w:r w:rsidR="00BA2256" w:rsidRPr="00903BA3">
              <w:rPr>
                <w:sz w:val="22"/>
                <w:szCs w:val="22"/>
              </w:rPr>
              <w:t>d</w:t>
            </w:r>
            <w:r w:rsidRPr="00903BA3">
              <w:rPr>
                <w:sz w:val="22"/>
                <w:szCs w:val="22"/>
              </w:rPr>
              <w:t>ioxide</w:t>
            </w:r>
          </w:p>
          <w:p w:rsidR="00D971C0" w:rsidRPr="00903BA3" w:rsidRDefault="00D971C0" w:rsidP="000B4801">
            <w:pPr>
              <w:rPr>
                <w:sz w:val="22"/>
                <w:szCs w:val="22"/>
              </w:rPr>
            </w:pPr>
            <w:r w:rsidRPr="00903BA3">
              <w:rPr>
                <w:sz w:val="22"/>
                <w:szCs w:val="22"/>
              </w:rPr>
              <w:t>tpy = tons per year</w:t>
            </w:r>
          </w:p>
          <w:p w:rsidR="00BA2256" w:rsidRPr="00903BA3" w:rsidRDefault="00BA2256" w:rsidP="000B4801">
            <w:pPr>
              <w:rPr>
                <w:sz w:val="22"/>
                <w:szCs w:val="22"/>
              </w:rPr>
            </w:pPr>
            <w:r w:rsidRPr="00903BA3">
              <w:rPr>
                <w:sz w:val="22"/>
                <w:szCs w:val="22"/>
              </w:rPr>
              <w:t>VOC = volatile organic compounds</w:t>
            </w:r>
          </w:p>
        </w:tc>
      </w:tr>
    </w:tbl>
    <w:p w:rsidR="00361055" w:rsidRPr="00903BA3" w:rsidRDefault="00361055" w:rsidP="000B4801">
      <w:pPr>
        <w:rPr>
          <w:sz w:val="22"/>
          <w:szCs w:val="22"/>
        </w:rPr>
      </w:pPr>
    </w:p>
    <w:tbl>
      <w:tblPr>
        <w:tblW w:w="0" w:type="auto"/>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1890"/>
        <w:gridCol w:w="8640"/>
      </w:tblGrid>
      <w:tr w:rsidR="00C75AA1" w:rsidRPr="00903BA3" w:rsidTr="002D0FE2">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903BA3" w:rsidRDefault="004417B0" w:rsidP="000B4801">
            <w:pPr>
              <w:jc w:val="center"/>
              <w:rPr>
                <w:b/>
                <w:sz w:val="22"/>
                <w:szCs w:val="22"/>
              </w:rPr>
            </w:pPr>
            <w:r>
              <w:rPr>
                <w:b/>
                <w:sz w:val="22"/>
                <w:szCs w:val="22"/>
              </w:rPr>
              <w:t>Summary of c</w:t>
            </w:r>
            <w:r w:rsidR="0080706C" w:rsidRPr="00903BA3">
              <w:rPr>
                <w:b/>
                <w:sz w:val="22"/>
                <w:szCs w:val="22"/>
              </w:rPr>
              <w:t xml:space="preserve">omments and DEQ </w:t>
            </w:r>
            <w:r>
              <w:rPr>
                <w:b/>
                <w:sz w:val="22"/>
                <w:szCs w:val="22"/>
              </w:rPr>
              <w:t>r</w:t>
            </w:r>
            <w:r w:rsidR="00C75AA1" w:rsidRPr="00903BA3">
              <w:rPr>
                <w:b/>
                <w:sz w:val="22"/>
                <w:szCs w:val="22"/>
              </w:rPr>
              <w:t>esponses</w:t>
            </w:r>
          </w:p>
        </w:tc>
      </w:tr>
      <w:tr w:rsidR="00FC68CA" w:rsidRPr="00903BA3" w:rsidTr="002D0F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FC68CA" w:rsidRPr="00903BA3" w:rsidRDefault="000B4801" w:rsidP="000B4801">
            <w:pPr>
              <w:ind w:right="-115"/>
              <w:rPr>
                <w:bCs/>
                <w:sz w:val="22"/>
                <w:szCs w:val="22"/>
              </w:rPr>
            </w:pPr>
            <w:r>
              <w:rPr>
                <w:bCs/>
                <w:sz w:val="22"/>
                <w:szCs w:val="22"/>
              </w:rPr>
              <w:t xml:space="preserve">1. </w:t>
            </w:r>
            <w:r w:rsidR="00652855" w:rsidRPr="00903BA3">
              <w:rPr>
                <w:bCs/>
                <w:sz w:val="22"/>
                <w:szCs w:val="22"/>
              </w:rPr>
              <w:t>Actual emissions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C68CA" w:rsidRPr="00903BA3" w:rsidRDefault="00FC68CA" w:rsidP="000B4801">
            <w:pPr>
              <w:autoSpaceDE w:val="0"/>
              <w:autoSpaceDN w:val="0"/>
              <w:adjustRightInd w:val="0"/>
              <w:ind w:right="487"/>
              <w:rPr>
                <w:sz w:val="22"/>
                <w:szCs w:val="22"/>
              </w:rPr>
            </w:pPr>
            <w:r w:rsidRPr="00903BA3">
              <w:rPr>
                <w:sz w:val="22"/>
                <w:szCs w:val="22"/>
              </w:rPr>
              <w:t xml:space="preserve">Under the definition of "Actual Emissions", paragraph 0020(3)(b) should be amended to read </w:t>
            </w:r>
            <w:r w:rsidRPr="00903BA3">
              <w:rPr>
                <w:i/>
                <w:iCs/>
                <w:sz w:val="22"/>
                <w:szCs w:val="22"/>
              </w:rPr>
              <w:t xml:space="preserve">" ....but was permitted or approved to construct and operate .... </w:t>
            </w:r>
            <w:r w:rsidRPr="00903BA3">
              <w:rPr>
                <w:sz w:val="22"/>
                <w:szCs w:val="22"/>
              </w:rPr>
              <w:t>"</w:t>
            </w:r>
            <w:r w:rsidR="00E40F62" w:rsidRPr="00903BA3">
              <w:rPr>
                <w:sz w:val="22"/>
                <w:szCs w:val="22"/>
              </w:rPr>
              <w:t xml:space="preserve"> </w:t>
            </w:r>
            <w:r w:rsidRPr="00903BA3">
              <w:rPr>
                <w:sz w:val="22"/>
                <w:szCs w:val="22"/>
              </w:rPr>
              <w:t>to be consistent with the previous paragraph 0020(3)(a)(C)</w:t>
            </w:r>
            <w:r w:rsidR="004A0EA4" w:rsidRPr="00903BA3">
              <w:rPr>
                <w:sz w:val="22"/>
                <w:szCs w:val="22"/>
              </w:rPr>
              <w:t xml:space="preserve">. </w:t>
            </w:r>
            <w:r w:rsidR="00D60D5D" w:rsidRPr="00903BA3">
              <w:rPr>
                <w:sz w:val="22"/>
                <w:szCs w:val="22"/>
              </w:rPr>
              <w:t>(7</w:t>
            </w:r>
            <w:r w:rsidR="005F4AAA" w:rsidRPr="00903BA3">
              <w:rPr>
                <w:sz w:val="22"/>
                <w:szCs w:val="22"/>
              </w:rPr>
              <w:t>)</w:t>
            </w:r>
          </w:p>
          <w:p w:rsidR="000B4801" w:rsidRDefault="000B4801" w:rsidP="000B4801">
            <w:pPr>
              <w:autoSpaceDE w:val="0"/>
              <w:autoSpaceDN w:val="0"/>
              <w:adjustRightInd w:val="0"/>
              <w:ind w:right="487"/>
              <w:rPr>
                <w:i/>
                <w:sz w:val="22"/>
                <w:szCs w:val="22"/>
              </w:rPr>
            </w:pPr>
          </w:p>
          <w:p w:rsidR="008E5532" w:rsidRPr="00903BA3" w:rsidRDefault="008E5532" w:rsidP="000B4801">
            <w:pPr>
              <w:autoSpaceDE w:val="0"/>
              <w:autoSpaceDN w:val="0"/>
              <w:adjustRightInd w:val="0"/>
              <w:ind w:right="487"/>
              <w:rPr>
                <w:i/>
                <w:sz w:val="22"/>
                <w:szCs w:val="22"/>
              </w:rPr>
            </w:pPr>
            <w:r w:rsidRPr="00903BA3">
              <w:rPr>
                <w:i/>
                <w:sz w:val="22"/>
                <w:szCs w:val="22"/>
              </w:rPr>
              <w:t xml:space="preserve">Response:  </w:t>
            </w:r>
          </w:p>
          <w:p w:rsidR="00076541" w:rsidRDefault="00A21C65" w:rsidP="000B4801">
            <w:pPr>
              <w:autoSpaceDE w:val="0"/>
              <w:autoSpaceDN w:val="0"/>
              <w:adjustRightInd w:val="0"/>
              <w:ind w:right="487"/>
              <w:rPr>
                <w:i/>
                <w:sz w:val="22"/>
                <w:szCs w:val="22"/>
              </w:rPr>
            </w:pPr>
            <w:r w:rsidRPr="00903BA3">
              <w:rPr>
                <w:i/>
                <w:sz w:val="22"/>
                <w:szCs w:val="22"/>
              </w:rPr>
              <w:t>The change was made to the proposed rule as suggested.</w:t>
            </w:r>
          </w:p>
          <w:p w:rsidR="000B4801" w:rsidRPr="00903BA3" w:rsidRDefault="000B4801" w:rsidP="000B4801">
            <w:pPr>
              <w:autoSpaceDE w:val="0"/>
              <w:autoSpaceDN w:val="0"/>
              <w:adjustRightInd w:val="0"/>
              <w:ind w:right="487"/>
              <w:rPr>
                <w:i/>
                <w:sz w:val="22"/>
                <w:szCs w:val="22"/>
              </w:rPr>
            </w:pPr>
          </w:p>
        </w:tc>
      </w:tr>
      <w:tr w:rsidR="00652855" w:rsidRPr="00903BA3" w:rsidTr="00A04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652855" w:rsidRPr="00903BA3" w:rsidRDefault="000B4801" w:rsidP="000B4801">
            <w:pPr>
              <w:pStyle w:val="ListParagraph"/>
              <w:ind w:left="0" w:right="-115"/>
              <w:rPr>
                <w:sz w:val="22"/>
                <w:szCs w:val="22"/>
              </w:rPr>
            </w:pPr>
            <w:r>
              <w:rPr>
                <w:sz w:val="22"/>
                <w:szCs w:val="22"/>
              </w:rPr>
              <w:t xml:space="preserve">2. </w:t>
            </w:r>
            <w:r w:rsidR="00912176" w:rsidRPr="00903BA3">
              <w:rPr>
                <w:sz w:val="22"/>
                <w:szCs w:val="22"/>
              </w:rPr>
              <w:t>A</w:t>
            </w:r>
            <w:r w:rsidR="00DC3DE0" w:rsidRPr="00903BA3">
              <w:rPr>
                <w:sz w:val="22"/>
                <w:szCs w:val="22"/>
              </w:rPr>
              <w:t>ctual emissions and</w:t>
            </w:r>
            <w:r w:rsidR="00523680" w:rsidRPr="00903BA3">
              <w:rPr>
                <w:sz w:val="22"/>
                <w:szCs w:val="22"/>
              </w:rPr>
              <w:t xml:space="preserve"> </w:t>
            </w:r>
            <w:r w:rsidR="00652855" w:rsidRPr="00903BA3">
              <w:rPr>
                <w:sz w:val="22"/>
                <w:szCs w:val="22"/>
              </w:rPr>
              <w:t>PTE</w:t>
            </w:r>
            <w:r w:rsidR="00912176" w:rsidRPr="00903BA3">
              <w:rPr>
                <w:sz w:val="22"/>
                <w:szCs w:val="22"/>
              </w:rPr>
              <w:t xml:space="preserve"> establishment</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78B7" w:rsidRPr="00903BA3" w:rsidRDefault="00652855" w:rsidP="000B4801">
            <w:pPr>
              <w:rPr>
                <w:sz w:val="22"/>
                <w:szCs w:val="22"/>
              </w:rPr>
            </w:pPr>
            <w:r w:rsidRPr="00903BA3">
              <w:rPr>
                <w:sz w:val="22"/>
                <w:szCs w:val="22"/>
              </w:rPr>
              <w:t>DEQ should ensure that its rule would allow using the most appropriate formula (as prescribed by EPA), or continuous emissions monitors to establish actual emissions and PTE. (12)</w:t>
            </w:r>
          </w:p>
          <w:p w:rsidR="000B4801" w:rsidRDefault="000B4801" w:rsidP="000B4801">
            <w:pPr>
              <w:rPr>
                <w:i/>
                <w:sz w:val="22"/>
                <w:szCs w:val="22"/>
              </w:rPr>
            </w:pPr>
          </w:p>
          <w:p w:rsidR="00EF78B7" w:rsidRPr="00903BA3" w:rsidRDefault="00EF78B7" w:rsidP="000B4801">
            <w:pPr>
              <w:rPr>
                <w:i/>
                <w:sz w:val="22"/>
                <w:szCs w:val="22"/>
              </w:rPr>
            </w:pPr>
            <w:r w:rsidRPr="00903BA3">
              <w:rPr>
                <w:i/>
                <w:sz w:val="22"/>
                <w:szCs w:val="22"/>
              </w:rPr>
              <w:t>Response:</w:t>
            </w:r>
          </w:p>
          <w:p w:rsidR="00EF78B7" w:rsidRDefault="00EF78B7" w:rsidP="000B4801">
            <w:pPr>
              <w:rPr>
                <w:i/>
                <w:sz w:val="22"/>
                <w:szCs w:val="22"/>
              </w:rPr>
            </w:pPr>
            <w:r w:rsidRPr="00903BA3">
              <w:rPr>
                <w:i/>
                <w:sz w:val="22"/>
                <w:szCs w:val="22"/>
              </w:rPr>
              <w:t xml:space="preserve">The rule allows for the use of both of these methods to calculate actual emissions and potential to emit. </w:t>
            </w:r>
          </w:p>
          <w:p w:rsidR="00477E51" w:rsidRPr="00903BA3" w:rsidRDefault="00477E51" w:rsidP="000B4801">
            <w:pPr>
              <w:rPr>
                <w:i/>
                <w:sz w:val="22"/>
                <w:szCs w:val="22"/>
              </w:rPr>
            </w:pPr>
          </w:p>
          <w:p w:rsidR="00652855" w:rsidRPr="00903BA3" w:rsidRDefault="00A04EFF" w:rsidP="000B4801">
            <w:pPr>
              <w:pStyle w:val="NormalWeb"/>
              <w:spacing w:before="0" w:beforeAutospacing="0" w:after="0" w:afterAutospacing="0"/>
              <w:rPr>
                <w:i/>
                <w:sz w:val="22"/>
                <w:szCs w:val="22"/>
              </w:rPr>
            </w:pPr>
            <w:r w:rsidRPr="00903BA3">
              <w:rPr>
                <w:bCs/>
                <w:i/>
                <w:sz w:val="22"/>
                <w:szCs w:val="22"/>
              </w:rPr>
              <w:t xml:space="preserve">Actual emissions are the foundation for </w:t>
            </w:r>
            <w:r w:rsidR="00B61870" w:rsidRPr="00903BA3">
              <w:rPr>
                <w:bCs/>
                <w:i/>
                <w:sz w:val="22"/>
                <w:szCs w:val="22"/>
              </w:rPr>
              <w:t xml:space="preserve">the baseline emission rate </w:t>
            </w:r>
            <w:r w:rsidRPr="00903BA3">
              <w:rPr>
                <w:bCs/>
                <w:i/>
                <w:sz w:val="22"/>
                <w:szCs w:val="22"/>
              </w:rPr>
              <w:t xml:space="preserve">in most cases, which in turn establishes the </w:t>
            </w:r>
            <w:r w:rsidR="00B61870" w:rsidRPr="00903BA3">
              <w:rPr>
                <w:bCs/>
                <w:i/>
                <w:sz w:val="22"/>
                <w:szCs w:val="22"/>
              </w:rPr>
              <w:t>netting basis and the P</w:t>
            </w:r>
            <w:r w:rsidR="0080767A" w:rsidRPr="00903BA3">
              <w:rPr>
                <w:bCs/>
                <w:i/>
                <w:sz w:val="22"/>
                <w:szCs w:val="22"/>
              </w:rPr>
              <w:t xml:space="preserve">lant </w:t>
            </w:r>
            <w:r w:rsidR="00B61870" w:rsidRPr="00903BA3">
              <w:rPr>
                <w:bCs/>
                <w:i/>
                <w:sz w:val="22"/>
                <w:szCs w:val="22"/>
              </w:rPr>
              <w:t>S</w:t>
            </w:r>
            <w:r w:rsidR="0080767A" w:rsidRPr="00903BA3">
              <w:rPr>
                <w:bCs/>
                <w:i/>
                <w:sz w:val="22"/>
                <w:szCs w:val="22"/>
              </w:rPr>
              <w:t xml:space="preserve">ite </w:t>
            </w:r>
            <w:r w:rsidR="00B61870" w:rsidRPr="00903BA3">
              <w:rPr>
                <w:bCs/>
                <w:i/>
                <w:sz w:val="22"/>
                <w:szCs w:val="22"/>
              </w:rPr>
              <w:t>E</w:t>
            </w:r>
            <w:r w:rsidR="0080767A" w:rsidRPr="00903BA3">
              <w:rPr>
                <w:bCs/>
                <w:i/>
                <w:sz w:val="22"/>
                <w:szCs w:val="22"/>
              </w:rPr>
              <w:t xml:space="preserve">mission </w:t>
            </w:r>
            <w:r w:rsidR="00B61870" w:rsidRPr="00903BA3">
              <w:rPr>
                <w:bCs/>
                <w:i/>
                <w:sz w:val="22"/>
                <w:szCs w:val="22"/>
              </w:rPr>
              <w:t>L</w:t>
            </w:r>
            <w:r w:rsidR="0080767A" w:rsidRPr="00903BA3">
              <w:rPr>
                <w:bCs/>
                <w:i/>
                <w:sz w:val="22"/>
                <w:szCs w:val="22"/>
              </w:rPr>
              <w:t>imit (PSEL</w:t>
            </w:r>
            <w:r w:rsidR="00EF78B7" w:rsidRPr="00903BA3">
              <w:rPr>
                <w:bCs/>
                <w:i/>
                <w:sz w:val="22"/>
                <w:szCs w:val="22"/>
              </w:rPr>
              <w:t xml:space="preserve"> or potential to emit</w:t>
            </w:r>
            <w:r w:rsidR="0080767A" w:rsidRPr="00903BA3">
              <w:rPr>
                <w:bCs/>
                <w:i/>
                <w:sz w:val="22"/>
                <w:szCs w:val="22"/>
              </w:rPr>
              <w:t>)</w:t>
            </w:r>
            <w:r w:rsidR="004A0EA4" w:rsidRPr="00903BA3">
              <w:rPr>
                <w:bCs/>
                <w:i/>
                <w:sz w:val="22"/>
                <w:szCs w:val="22"/>
              </w:rPr>
              <w:t xml:space="preserve">. </w:t>
            </w:r>
            <w:r w:rsidR="00652855" w:rsidRPr="00903BA3">
              <w:rPr>
                <w:bCs/>
                <w:i/>
                <w:sz w:val="22"/>
                <w:szCs w:val="22"/>
              </w:rPr>
              <w:t>DEQ rules state that</w:t>
            </w:r>
            <w:r w:rsidR="00652855" w:rsidRPr="00903BA3">
              <w:rPr>
                <w:i/>
                <w:sz w:val="22"/>
                <w:szCs w:val="22"/>
              </w:rPr>
              <w:t xml:space="preserve"> PSELs</w:t>
            </w:r>
            <w:r w:rsidR="00EF78B7" w:rsidRPr="00903BA3">
              <w:rPr>
                <w:i/>
                <w:sz w:val="22"/>
                <w:szCs w:val="22"/>
              </w:rPr>
              <w:t xml:space="preserve"> </w:t>
            </w:r>
            <w:r w:rsidR="00652855" w:rsidRPr="00903BA3">
              <w:rPr>
                <w:i/>
                <w:sz w:val="22"/>
                <w:szCs w:val="22"/>
              </w:rPr>
              <w:t>may be changed when errors are found or better data is available for calculating PSELs</w:t>
            </w:r>
            <w:r w:rsidR="004A0EA4" w:rsidRPr="00903BA3">
              <w:rPr>
                <w:i/>
                <w:sz w:val="22"/>
                <w:szCs w:val="22"/>
              </w:rPr>
              <w:t xml:space="preserve">. </w:t>
            </w:r>
            <w:r w:rsidR="00652855" w:rsidRPr="00903BA3">
              <w:rPr>
                <w:i/>
                <w:sz w:val="22"/>
                <w:szCs w:val="22"/>
              </w:rPr>
              <w:t xml:space="preserve">To determine compliance with the PSELs, </w:t>
            </w:r>
            <w:r w:rsidR="00B61870" w:rsidRPr="00903BA3">
              <w:rPr>
                <w:i/>
                <w:sz w:val="22"/>
                <w:szCs w:val="22"/>
              </w:rPr>
              <w:t xml:space="preserve">the </w:t>
            </w:r>
            <w:r w:rsidR="00652855" w:rsidRPr="00903BA3">
              <w:rPr>
                <w:i/>
                <w:sz w:val="22"/>
                <w:szCs w:val="22"/>
              </w:rPr>
              <w:t>rule state</w:t>
            </w:r>
            <w:r w:rsidR="00B61870" w:rsidRPr="00903BA3">
              <w:rPr>
                <w:i/>
                <w:sz w:val="22"/>
                <w:szCs w:val="22"/>
              </w:rPr>
              <w:t>s</w:t>
            </w:r>
            <w:r w:rsidR="00652855" w:rsidRPr="00903BA3">
              <w:rPr>
                <w:i/>
                <w:sz w:val="22"/>
                <w:szCs w:val="22"/>
              </w:rPr>
              <w:t xml:space="preserve"> that one or more of the following methods may be acceptable: </w:t>
            </w:r>
          </w:p>
          <w:p w:rsidR="00652855" w:rsidRPr="00903BA3" w:rsidRDefault="00652855" w:rsidP="000B4801">
            <w:pPr>
              <w:pStyle w:val="NormalWeb"/>
              <w:numPr>
                <w:ilvl w:val="0"/>
                <w:numId w:val="8"/>
              </w:numPr>
              <w:spacing w:before="0" w:beforeAutospacing="0" w:after="0" w:afterAutospacing="0"/>
              <w:rPr>
                <w:i/>
                <w:sz w:val="22"/>
                <w:szCs w:val="22"/>
              </w:rPr>
            </w:pPr>
            <w:r w:rsidRPr="00903BA3">
              <w:rPr>
                <w:i/>
                <w:sz w:val="22"/>
                <w:szCs w:val="22"/>
              </w:rPr>
              <w:t xml:space="preserve">Continuous emissions monitors; </w:t>
            </w:r>
          </w:p>
          <w:p w:rsidR="00652855" w:rsidRPr="00903BA3" w:rsidRDefault="00652855" w:rsidP="000B4801">
            <w:pPr>
              <w:pStyle w:val="NormalWeb"/>
              <w:numPr>
                <w:ilvl w:val="0"/>
                <w:numId w:val="8"/>
              </w:numPr>
              <w:spacing w:before="0" w:beforeAutospacing="0" w:after="0" w:afterAutospacing="0"/>
              <w:rPr>
                <w:i/>
                <w:sz w:val="22"/>
                <w:szCs w:val="22"/>
              </w:rPr>
            </w:pPr>
            <w:r w:rsidRPr="00903BA3">
              <w:rPr>
                <w:i/>
                <w:sz w:val="22"/>
                <w:szCs w:val="22"/>
              </w:rPr>
              <w:t xml:space="preserve">Material balance calculations; </w:t>
            </w:r>
          </w:p>
          <w:p w:rsidR="00652855" w:rsidRPr="00903BA3" w:rsidRDefault="00652855" w:rsidP="000B4801">
            <w:pPr>
              <w:pStyle w:val="NormalWeb"/>
              <w:numPr>
                <w:ilvl w:val="0"/>
                <w:numId w:val="8"/>
              </w:numPr>
              <w:spacing w:before="0" w:beforeAutospacing="0" w:after="0" w:afterAutospacing="0"/>
              <w:rPr>
                <w:i/>
                <w:sz w:val="22"/>
                <w:szCs w:val="22"/>
              </w:rPr>
            </w:pPr>
            <w:r w:rsidRPr="00903BA3">
              <w:rPr>
                <w:i/>
                <w:sz w:val="22"/>
                <w:szCs w:val="22"/>
              </w:rPr>
              <w:t xml:space="preserve">Emissions calculations using approved emission factors and process information; </w:t>
            </w:r>
          </w:p>
          <w:p w:rsidR="00652855" w:rsidRPr="00903BA3" w:rsidRDefault="00652855" w:rsidP="000B4801">
            <w:pPr>
              <w:pStyle w:val="NormalWeb"/>
              <w:numPr>
                <w:ilvl w:val="0"/>
                <w:numId w:val="8"/>
              </w:numPr>
              <w:spacing w:before="0" w:beforeAutospacing="0" w:after="0" w:afterAutospacing="0"/>
              <w:rPr>
                <w:i/>
                <w:sz w:val="22"/>
                <w:szCs w:val="22"/>
              </w:rPr>
            </w:pPr>
            <w:r w:rsidRPr="00903BA3">
              <w:rPr>
                <w:i/>
                <w:sz w:val="22"/>
                <w:szCs w:val="22"/>
              </w:rPr>
              <w:t xml:space="preserve">Alternative production or process limits; and </w:t>
            </w:r>
          </w:p>
          <w:p w:rsidR="00652855" w:rsidRPr="00903BA3" w:rsidRDefault="00652855" w:rsidP="000B4801">
            <w:pPr>
              <w:pStyle w:val="NormalWeb"/>
              <w:numPr>
                <w:ilvl w:val="0"/>
                <w:numId w:val="8"/>
              </w:numPr>
              <w:spacing w:before="0" w:beforeAutospacing="0" w:after="0" w:afterAutospacing="0"/>
              <w:rPr>
                <w:i/>
                <w:sz w:val="22"/>
                <w:szCs w:val="22"/>
              </w:rPr>
            </w:pPr>
            <w:r w:rsidRPr="00903BA3">
              <w:rPr>
                <w:i/>
                <w:sz w:val="22"/>
                <w:szCs w:val="22"/>
              </w:rPr>
              <w:t xml:space="preserve">Other methods approved by the Department. </w:t>
            </w:r>
          </w:p>
          <w:p w:rsidR="000B4801" w:rsidRDefault="000B4801" w:rsidP="000B4801">
            <w:pPr>
              <w:ind w:right="-180"/>
              <w:rPr>
                <w:i/>
                <w:sz w:val="22"/>
                <w:szCs w:val="22"/>
              </w:rPr>
            </w:pPr>
          </w:p>
          <w:p w:rsidR="00652855" w:rsidRPr="00903BA3" w:rsidRDefault="00652855" w:rsidP="000B4801">
            <w:pPr>
              <w:ind w:right="-180"/>
              <w:rPr>
                <w:sz w:val="22"/>
                <w:szCs w:val="22"/>
              </w:rPr>
            </w:pPr>
            <w:r w:rsidRPr="00903BA3">
              <w:rPr>
                <w:i/>
                <w:sz w:val="22"/>
                <w:szCs w:val="22"/>
              </w:rPr>
              <w:t xml:space="preserve">DEQ is currently updating guidance on how </w:t>
            </w:r>
            <w:r w:rsidR="00E40F62" w:rsidRPr="00903BA3">
              <w:rPr>
                <w:i/>
                <w:sz w:val="22"/>
                <w:szCs w:val="22"/>
              </w:rPr>
              <w:t>emissions</w:t>
            </w:r>
            <w:r w:rsidRPr="00903BA3">
              <w:rPr>
                <w:i/>
                <w:sz w:val="22"/>
                <w:szCs w:val="22"/>
              </w:rPr>
              <w:t xml:space="preserve"> should be calculated to ensure that the best data available is used. </w:t>
            </w:r>
            <w:r w:rsidR="00A21C65" w:rsidRPr="00903BA3">
              <w:rPr>
                <w:i/>
                <w:sz w:val="22"/>
                <w:szCs w:val="22"/>
              </w:rPr>
              <w:t>No change to the rule is proposed in response to this comment.</w:t>
            </w:r>
            <w:r w:rsidR="004A0EA4" w:rsidRPr="00903BA3">
              <w:rPr>
                <w:i/>
                <w:sz w:val="22"/>
                <w:szCs w:val="22"/>
              </w:rPr>
              <w:t xml:space="preserve"> </w:t>
            </w:r>
          </w:p>
        </w:tc>
      </w:tr>
    </w:tbl>
    <w:p w:rsidR="00B070FC" w:rsidRPr="00903BA3" w:rsidRDefault="00B070FC" w:rsidP="000B4801">
      <w:pPr>
        <w:rPr>
          <w:sz w:val="22"/>
          <w:szCs w:val="22"/>
        </w:rPr>
      </w:pPr>
      <w:bookmarkStart w:id="2" w:name="_Ref283934552"/>
      <w:r w:rsidRPr="00903BA3">
        <w:rPr>
          <w:sz w:val="22"/>
          <w:szCs w:val="22"/>
        </w:rPr>
        <w:br w:type="page"/>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890"/>
        <w:gridCol w:w="8640"/>
      </w:tblGrid>
      <w:tr w:rsidR="00523680"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23680" w:rsidRPr="00903BA3" w:rsidRDefault="004417B0" w:rsidP="000B4801">
            <w:pPr>
              <w:pStyle w:val="ListParagraph"/>
              <w:ind w:left="0" w:right="-115"/>
              <w:rPr>
                <w:bCs/>
                <w:sz w:val="22"/>
                <w:szCs w:val="22"/>
              </w:rPr>
            </w:pPr>
            <w:bookmarkStart w:id="3" w:name="_Ref286824757"/>
            <w:r>
              <w:rPr>
                <w:bCs/>
                <w:sz w:val="22"/>
                <w:szCs w:val="22"/>
              </w:rPr>
              <w:lastRenderedPageBreak/>
              <w:t>3a.</w:t>
            </w:r>
            <w:bookmarkEnd w:id="2"/>
            <w:bookmarkEnd w:id="3"/>
            <w:r>
              <w:rPr>
                <w:bCs/>
                <w:sz w:val="22"/>
                <w:szCs w:val="22"/>
              </w:rPr>
              <w:t xml:space="preserve"> </w:t>
            </w:r>
            <w:r w:rsidR="00523680" w:rsidRPr="00903BA3">
              <w:rPr>
                <w:sz w:val="22"/>
                <w:szCs w:val="22"/>
              </w:rPr>
              <w:t xml:space="preserve">Actual emissions as </w:t>
            </w:r>
            <w:r w:rsidR="00DF1066" w:rsidRPr="00903BA3">
              <w:rPr>
                <w:sz w:val="22"/>
                <w:szCs w:val="22"/>
              </w:rPr>
              <w:t xml:space="preserve">PTE used </w:t>
            </w:r>
            <w:r w:rsidR="00523680" w:rsidRPr="00903BA3">
              <w:rPr>
                <w:sz w:val="22"/>
                <w:szCs w:val="22"/>
              </w:rPr>
              <w:t>to net out of PSD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C10EA0" w:rsidRPr="00903BA3" w:rsidRDefault="00A233B2" w:rsidP="000B4801">
            <w:pPr>
              <w:rPr>
                <w:sz w:val="22"/>
                <w:szCs w:val="22"/>
              </w:rPr>
            </w:pPr>
            <w:r w:rsidRPr="00903BA3">
              <w:rPr>
                <w:sz w:val="22"/>
                <w:szCs w:val="22"/>
              </w:rPr>
              <w:t xml:space="preserve">DEQ clarifies that a source that has a PSEL set based on PTE cannot use the resulting netting basis to net out of PSD for changes that increase emissions elsewhere at the plant. </w:t>
            </w:r>
            <w:r w:rsidR="00C10EA0" w:rsidRPr="00903BA3">
              <w:rPr>
                <w:sz w:val="22"/>
                <w:szCs w:val="22"/>
              </w:rPr>
              <w:t>This is a necessary part of DEQ’s proposal to give sources that were “permitted but not yet operating during the baseline period” an “actual emissions” amount equal to its PTE</w:t>
            </w:r>
            <w:r w:rsidR="008D538C" w:rsidRPr="00903BA3">
              <w:rPr>
                <w:sz w:val="22"/>
                <w:szCs w:val="22"/>
              </w:rPr>
              <w:t xml:space="preserve">. </w:t>
            </w:r>
            <w:r w:rsidR="00B070FC" w:rsidRPr="00903BA3">
              <w:rPr>
                <w:sz w:val="22"/>
                <w:szCs w:val="22"/>
              </w:rPr>
              <w:t>T</w:t>
            </w:r>
            <w:r w:rsidR="00C10EA0" w:rsidRPr="00903BA3">
              <w:rPr>
                <w:sz w:val="22"/>
                <w:szCs w:val="22"/>
              </w:rPr>
              <w:t>hat proposal is under protective and difficult to implement</w:t>
            </w:r>
            <w:r w:rsidR="008D538C" w:rsidRPr="00903BA3">
              <w:rPr>
                <w:sz w:val="22"/>
                <w:szCs w:val="22"/>
              </w:rPr>
              <w:t xml:space="preserve">. </w:t>
            </w:r>
            <w:r w:rsidR="00C10EA0" w:rsidRPr="00903BA3">
              <w:rPr>
                <w:sz w:val="22"/>
                <w:szCs w:val="22"/>
              </w:rPr>
              <w:t>To the extent that DEQ moves forward that program, however, this exclusion is absolutely essential to preventing sources from illegally expanding emissions from existing sources.</w:t>
            </w:r>
          </w:p>
          <w:p w:rsidR="00A233B2" w:rsidRPr="00903BA3" w:rsidRDefault="00C10EA0" w:rsidP="000B4801">
            <w:pPr>
              <w:rPr>
                <w:sz w:val="22"/>
                <w:szCs w:val="22"/>
              </w:rPr>
            </w:pPr>
            <w:r w:rsidRPr="00903BA3">
              <w:rPr>
                <w:sz w:val="22"/>
                <w:szCs w:val="22"/>
              </w:rPr>
              <w:t xml:space="preserve"> </w:t>
            </w:r>
            <w:r w:rsidR="00A233B2" w:rsidRPr="00903BA3">
              <w:rPr>
                <w:sz w:val="22"/>
                <w:szCs w:val="22"/>
              </w:rPr>
              <w:t>(12)</w:t>
            </w:r>
          </w:p>
          <w:p w:rsidR="000B4801" w:rsidRDefault="000B4801" w:rsidP="000B4801">
            <w:pPr>
              <w:rPr>
                <w:i/>
                <w:sz w:val="22"/>
                <w:szCs w:val="22"/>
              </w:rPr>
            </w:pPr>
          </w:p>
          <w:p w:rsidR="00523680" w:rsidRPr="00903BA3" w:rsidRDefault="00523680" w:rsidP="000B4801">
            <w:pPr>
              <w:rPr>
                <w:i/>
                <w:sz w:val="22"/>
                <w:szCs w:val="22"/>
              </w:rPr>
            </w:pPr>
            <w:r w:rsidRPr="00903BA3">
              <w:rPr>
                <w:i/>
                <w:sz w:val="22"/>
                <w:szCs w:val="22"/>
              </w:rPr>
              <w:t>Response:</w:t>
            </w:r>
          </w:p>
          <w:p w:rsidR="00B070FC" w:rsidRPr="00903BA3" w:rsidRDefault="00A233B2" w:rsidP="000B4801">
            <w:pPr>
              <w:rPr>
                <w:i/>
                <w:sz w:val="22"/>
                <w:szCs w:val="22"/>
              </w:rPr>
            </w:pPr>
            <w:r w:rsidRPr="00903BA3">
              <w:rPr>
                <w:i/>
                <w:sz w:val="22"/>
                <w:szCs w:val="22"/>
              </w:rPr>
              <w:t xml:space="preserve">The commenter is correct that the </w:t>
            </w:r>
            <w:r w:rsidR="00B070FC" w:rsidRPr="00903BA3">
              <w:rPr>
                <w:i/>
                <w:sz w:val="22"/>
                <w:szCs w:val="22"/>
              </w:rPr>
              <w:t xml:space="preserve">proposed </w:t>
            </w:r>
            <w:r w:rsidRPr="00903BA3">
              <w:rPr>
                <w:i/>
                <w:sz w:val="22"/>
                <w:szCs w:val="22"/>
              </w:rPr>
              <w:t>rule would allow DEQ to reduce the netting basis</w:t>
            </w:r>
            <w:r w:rsidR="00ED37ED" w:rsidRPr="00903BA3">
              <w:rPr>
                <w:i/>
                <w:sz w:val="22"/>
                <w:szCs w:val="22"/>
              </w:rPr>
              <w:t xml:space="preserve"> -</w:t>
            </w:r>
            <w:r w:rsidRPr="00903BA3">
              <w:rPr>
                <w:i/>
                <w:sz w:val="22"/>
                <w:szCs w:val="22"/>
              </w:rPr>
              <w:t xml:space="preserve"> if it is based on PTE</w:t>
            </w:r>
            <w:r w:rsidR="00ED37ED" w:rsidRPr="00903BA3">
              <w:rPr>
                <w:i/>
                <w:sz w:val="22"/>
                <w:szCs w:val="22"/>
              </w:rPr>
              <w:t xml:space="preserve"> -</w:t>
            </w:r>
            <w:r w:rsidRPr="00903BA3">
              <w:rPr>
                <w:i/>
                <w:sz w:val="22"/>
                <w:szCs w:val="22"/>
              </w:rPr>
              <w:t xml:space="preserve"> to the highest actual emissions in the 10 years after </w:t>
            </w:r>
            <w:r w:rsidR="001D119E" w:rsidRPr="00903BA3">
              <w:rPr>
                <w:i/>
                <w:sz w:val="22"/>
                <w:szCs w:val="22"/>
              </w:rPr>
              <w:t>the end of the baseline period or after permit issuance</w:t>
            </w:r>
            <w:r w:rsidR="008D538C" w:rsidRPr="00903BA3">
              <w:rPr>
                <w:i/>
                <w:sz w:val="22"/>
                <w:szCs w:val="22"/>
              </w:rPr>
              <w:t xml:space="preserve">. </w:t>
            </w:r>
            <w:r w:rsidR="00977F51" w:rsidRPr="00903BA3">
              <w:rPr>
                <w:i/>
                <w:sz w:val="22"/>
                <w:szCs w:val="22"/>
              </w:rPr>
              <w:t>This applies to sources</w:t>
            </w:r>
            <w:r w:rsidRPr="00903BA3">
              <w:rPr>
                <w:i/>
                <w:sz w:val="22"/>
                <w:szCs w:val="22"/>
              </w:rPr>
              <w:t xml:space="preserve"> that were permitted during the baseline period but did not begin operation and for sources that will go through New Source Review/Prevention of Significant Deterioration after this rule adoption</w:t>
            </w:r>
            <w:r w:rsidR="008D538C" w:rsidRPr="00903BA3">
              <w:rPr>
                <w:i/>
                <w:sz w:val="22"/>
                <w:szCs w:val="22"/>
              </w:rPr>
              <w:t xml:space="preserve">. </w:t>
            </w:r>
            <w:r w:rsidRPr="00903BA3">
              <w:rPr>
                <w:i/>
                <w:sz w:val="22"/>
                <w:szCs w:val="22"/>
              </w:rPr>
              <w:t>In addition, it will restrict a source’s ability to do a netting action until the baseline is reset based on actual emissions</w:t>
            </w:r>
            <w:r w:rsidR="008D538C" w:rsidRPr="00903BA3">
              <w:rPr>
                <w:i/>
                <w:sz w:val="22"/>
                <w:szCs w:val="22"/>
              </w:rPr>
              <w:t xml:space="preserve">. </w:t>
            </w:r>
          </w:p>
          <w:p w:rsidR="000B4801" w:rsidRDefault="000B4801" w:rsidP="000B4801">
            <w:pPr>
              <w:rPr>
                <w:i/>
                <w:sz w:val="22"/>
                <w:szCs w:val="22"/>
              </w:rPr>
            </w:pPr>
          </w:p>
          <w:p w:rsidR="00012675" w:rsidRDefault="00ED37ED" w:rsidP="000B4801">
            <w:pPr>
              <w:rPr>
                <w:i/>
                <w:sz w:val="22"/>
                <w:szCs w:val="22"/>
              </w:rPr>
            </w:pPr>
            <w:r w:rsidRPr="00903BA3">
              <w:rPr>
                <w:i/>
                <w:sz w:val="22"/>
                <w:szCs w:val="22"/>
              </w:rPr>
              <w:t xml:space="preserve">For </w:t>
            </w:r>
            <w:r w:rsidR="00B070FC" w:rsidRPr="00903BA3">
              <w:rPr>
                <w:i/>
                <w:sz w:val="22"/>
                <w:szCs w:val="22"/>
              </w:rPr>
              <w:t>sources that were permitted or approved to construct and operate but had not yet begun normal operation during the baseline period</w:t>
            </w:r>
            <w:r w:rsidRPr="00903BA3">
              <w:rPr>
                <w:i/>
                <w:sz w:val="22"/>
                <w:szCs w:val="22"/>
              </w:rPr>
              <w:t>, existing rules use the</w:t>
            </w:r>
            <w:r w:rsidR="00B070FC" w:rsidRPr="00903BA3">
              <w:rPr>
                <w:i/>
                <w:sz w:val="22"/>
                <w:szCs w:val="22"/>
              </w:rPr>
              <w:t xml:space="preserve"> PTE as their actual emissions</w:t>
            </w:r>
            <w:r w:rsidR="008D538C" w:rsidRPr="00903BA3">
              <w:rPr>
                <w:i/>
                <w:sz w:val="22"/>
                <w:szCs w:val="22"/>
              </w:rPr>
              <w:t xml:space="preserve">. </w:t>
            </w:r>
            <w:r w:rsidR="005317CA" w:rsidRPr="00903BA3">
              <w:rPr>
                <w:i/>
                <w:sz w:val="22"/>
                <w:szCs w:val="22"/>
              </w:rPr>
              <w:t xml:space="preserve">This provision has been in place since </w:t>
            </w:r>
            <w:r w:rsidR="00E141FD" w:rsidRPr="00903BA3">
              <w:rPr>
                <w:i/>
                <w:sz w:val="22"/>
                <w:szCs w:val="22"/>
              </w:rPr>
              <w:t>the Oregon program was initially approved by EPA</w:t>
            </w:r>
            <w:r w:rsidR="005317CA" w:rsidRPr="00903BA3">
              <w:rPr>
                <w:i/>
                <w:sz w:val="22"/>
                <w:szCs w:val="22"/>
              </w:rPr>
              <w:t xml:space="preserve"> and </w:t>
            </w:r>
            <w:r w:rsidR="00977F51" w:rsidRPr="00903BA3">
              <w:rPr>
                <w:i/>
                <w:sz w:val="22"/>
                <w:szCs w:val="22"/>
              </w:rPr>
              <w:t>has</w:t>
            </w:r>
            <w:r w:rsidR="005317CA" w:rsidRPr="00903BA3">
              <w:rPr>
                <w:i/>
                <w:sz w:val="22"/>
                <w:szCs w:val="22"/>
              </w:rPr>
              <w:t xml:space="preserve"> not </w:t>
            </w:r>
            <w:r w:rsidR="00977F51" w:rsidRPr="00903BA3">
              <w:rPr>
                <w:i/>
                <w:sz w:val="22"/>
                <w:szCs w:val="22"/>
              </w:rPr>
              <w:t xml:space="preserve">been </w:t>
            </w:r>
            <w:r w:rsidR="005317CA" w:rsidRPr="00903BA3">
              <w:rPr>
                <w:i/>
                <w:sz w:val="22"/>
                <w:szCs w:val="22"/>
              </w:rPr>
              <w:t xml:space="preserve">difficult to implement. </w:t>
            </w:r>
            <w:r w:rsidRPr="00903BA3">
              <w:rPr>
                <w:i/>
                <w:sz w:val="22"/>
                <w:szCs w:val="22"/>
              </w:rPr>
              <w:t>The provision ensures that permit applicants evaluate the air quality impacts of the maximum level of emissions that the new or modified source is capable of emitting.</w:t>
            </w:r>
            <w:r w:rsidR="000B4801">
              <w:rPr>
                <w:i/>
                <w:sz w:val="22"/>
                <w:szCs w:val="22"/>
              </w:rPr>
              <w:t xml:space="preserve"> </w:t>
            </w:r>
            <w:r w:rsidR="005317CA" w:rsidRPr="00903BA3">
              <w:rPr>
                <w:i/>
                <w:sz w:val="22"/>
                <w:szCs w:val="22"/>
              </w:rPr>
              <w:t xml:space="preserve">DEQ agrees with the commenter that </w:t>
            </w:r>
            <w:r w:rsidR="009F3FC6" w:rsidRPr="00903BA3">
              <w:rPr>
                <w:i/>
                <w:sz w:val="22"/>
                <w:szCs w:val="22"/>
              </w:rPr>
              <w:t xml:space="preserve">reducing the netting </w:t>
            </w:r>
            <w:r w:rsidR="003D316B" w:rsidRPr="00903BA3">
              <w:rPr>
                <w:i/>
                <w:sz w:val="22"/>
                <w:szCs w:val="22"/>
              </w:rPr>
              <w:t xml:space="preserve">basis </w:t>
            </w:r>
            <w:r w:rsidR="009F3FC6" w:rsidRPr="00903BA3">
              <w:rPr>
                <w:i/>
                <w:sz w:val="22"/>
                <w:szCs w:val="22"/>
              </w:rPr>
              <w:t>before it may be used in netting is</w:t>
            </w:r>
            <w:r w:rsidR="005317CA" w:rsidRPr="00903BA3">
              <w:rPr>
                <w:i/>
                <w:sz w:val="22"/>
                <w:szCs w:val="22"/>
              </w:rPr>
              <w:t xml:space="preserve"> more protective and is therefore proposing the reduction in netting basis from PTE to actual emission</w:t>
            </w:r>
            <w:r w:rsidR="008D538C" w:rsidRPr="00903BA3">
              <w:rPr>
                <w:i/>
                <w:sz w:val="22"/>
                <w:szCs w:val="22"/>
              </w:rPr>
              <w:t xml:space="preserve">. </w:t>
            </w:r>
          </w:p>
          <w:p w:rsidR="000B4801" w:rsidRPr="00903BA3" w:rsidRDefault="000B4801" w:rsidP="000B4801">
            <w:pPr>
              <w:rPr>
                <w:i/>
                <w:sz w:val="22"/>
                <w:szCs w:val="22"/>
              </w:rPr>
            </w:pPr>
          </w:p>
        </w:tc>
      </w:tr>
      <w:tr w:rsidR="00A233B2"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33B2" w:rsidRPr="00903BA3" w:rsidRDefault="00A233B2" w:rsidP="000B4801">
            <w:pPr>
              <w:pStyle w:val="ListParagraph"/>
              <w:ind w:left="0" w:right="-108"/>
              <w:rPr>
                <w:bCs/>
                <w:sz w:val="22"/>
                <w:szCs w:val="22"/>
              </w:rPr>
            </w:pPr>
            <w:r w:rsidRPr="00903BA3">
              <w:rPr>
                <w:bCs/>
                <w:sz w:val="22"/>
                <w:szCs w:val="22"/>
              </w:rPr>
              <w:t>3b.</w:t>
            </w:r>
            <w:r w:rsidR="000B4801">
              <w:rPr>
                <w:sz w:val="22"/>
                <w:szCs w:val="22"/>
              </w:rPr>
              <w:t xml:space="preserve"> </w:t>
            </w:r>
            <w:r w:rsidRPr="00903BA3">
              <w:rPr>
                <w:sz w:val="22"/>
                <w:szCs w:val="22"/>
              </w:rPr>
              <w:t>Actual emissions as PTE used to net out of PSD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233B2" w:rsidRPr="00903BA3" w:rsidRDefault="00A233B2" w:rsidP="000B4801">
            <w:pPr>
              <w:rPr>
                <w:sz w:val="22"/>
                <w:szCs w:val="22"/>
              </w:rPr>
            </w:pPr>
            <w:r w:rsidRPr="00903BA3">
              <w:rPr>
                <w:sz w:val="22"/>
                <w:szCs w:val="22"/>
              </w:rPr>
              <w:t>Under DEQ’s proposal to reduce PTE to actual emissions for sources that were permitted but not operating in the baseline period, if a source makes a physical or operational change, it must ask for its “actual emissions” to be reset before it makes the change. This is essentially an up to 10-year look back period for actual emissions for a source “permitted but not yet operating.”  This policy seems to insure that any facility making a physical or operational change would have at least 10 years of history to look back to in determining whether the change would significantly increase emissions</w:t>
            </w:r>
            <w:r w:rsidR="008D538C" w:rsidRPr="00903BA3">
              <w:rPr>
                <w:sz w:val="22"/>
                <w:szCs w:val="22"/>
              </w:rPr>
              <w:t xml:space="preserve">. </w:t>
            </w:r>
            <w:r w:rsidRPr="00903BA3">
              <w:rPr>
                <w:sz w:val="22"/>
                <w:szCs w:val="22"/>
              </w:rPr>
              <w:t>(12)</w:t>
            </w:r>
          </w:p>
          <w:p w:rsidR="000B4801" w:rsidRDefault="000B4801" w:rsidP="000B4801">
            <w:pPr>
              <w:autoSpaceDE w:val="0"/>
              <w:autoSpaceDN w:val="0"/>
              <w:adjustRightInd w:val="0"/>
              <w:rPr>
                <w:bCs/>
                <w:i/>
                <w:sz w:val="22"/>
                <w:szCs w:val="22"/>
              </w:rPr>
            </w:pPr>
          </w:p>
          <w:p w:rsidR="00A233B2" w:rsidRPr="00903BA3" w:rsidRDefault="00A233B2" w:rsidP="000B4801">
            <w:pPr>
              <w:autoSpaceDE w:val="0"/>
              <w:autoSpaceDN w:val="0"/>
              <w:adjustRightInd w:val="0"/>
              <w:rPr>
                <w:bCs/>
                <w:i/>
                <w:sz w:val="22"/>
                <w:szCs w:val="22"/>
              </w:rPr>
            </w:pPr>
            <w:r w:rsidRPr="00903BA3">
              <w:rPr>
                <w:bCs/>
                <w:i/>
                <w:sz w:val="22"/>
                <w:szCs w:val="22"/>
              </w:rPr>
              <w:t>Response:</w:t>
            </w:r>
          </w:p>
          <w:p w:rsidR="00012675" w:rsidRDefault="00A233B2" w:rsidP="000B4801">
            <w:pPr>
              <w:rPr>
                <w:i/>
                <w:sz w:val="22"/>
                <w:szCs w:val="22"/>
              </w:rPr>
            </w:pPr>
            <w:r w:rsidRPr="00903BA3">
              <w:rPr>
                <w:i/>
                <w:sz w:val="22"/>
                <w:szCs w:val="22"/>
              </w:rPr>
              <w:t>The 10</w:t>
            </w:r>
            <w:r w:rsidR="000B4801">
              <w:rPr>
                <w:i/>
                <w:sz w:val="22"/>
                <w:szCs w:val="22"/>
              </w:rPr>
              <w:t>-</w:t>
            </w:r>
            <w:r w:rsidRPr="00903BA3">
              <w:rPr>
                <w:i/>
                <w:sz w:val="22"/>
                <w:szCs w:val="22"/>
              </w:rPr>
              <w:t xml:space="preserve">year look back period is to establish actual emissions for a </w:t>
            </w:r>
            <w:r w:rsidRPr="00903BA3">
              <w:rPr>
                <w:i/>
                <w:sz w:val="22"/>
                <w:szCs w:val="22"/>
                <w:u w:val="single"/>
              </w:rPr>
              <w:t>previously approved</w:t>
            </w:r>
            <w:r w:rsidRPr="00903BA3">
              <w:rPr>
                <w:i/>
                <w:sz w:val="22"/>
                <w:szCs w:val="22"/>
              </w:rPr>
              <w:t xml:space="preserve"> increase to PTE</w:t>
            </w:r>
            <w:r w:rsidR="00B84790" w:rsidRPr="00903BA3">
              <w:rPr>
                <w:i/>
                <w:sz w:val="22"/>
                <w:szCs w:val="22"/>
              </w:rPr>
              <w:t>, not to determine if a previous increase triggers NSR/PSD</w:t>
            </w:r>
            <w:r w:rsidR="008D538C" w:rsidRPr="00903BA3">
              <w:rPr>
                <w:i/>
                <w:sz w:val="22"/>
                <w:szCs w:val="22"/>
              </w:rPr>
              <w:t xml:space="preserve">. </w:t>
            </w:r>
            <w:r w:rsidR="00B84790" w:rsidRPr="00903BA3">
              <w:rPr>
                <w:i/>
                <w:sz w:val="22"/>
                <w:szCs w:val="22"/>
              </w:rPr>
              <w:t>T</w:t>
            </w:r>
            <w:r w:rsidRPr="00903BA3">
              <w:rPr>
                <w:i/>
                <w:sz w:val="22"/>
                <w:szCs w:val="22"/>
              </w:rPr>
              <w:t xml:space="preserve">he reset is to reduce the netting basis already approved in an earlier modification </w:t>
            </w:r>
            <w:r w:rsidRPr="00903BA3">
              <w:rPr>
                <w:i/>
                <w:sz w:val="22"/>
                <w:szCs w:val="22"/>
                <w:u w:val="single"/>
              </w:rPr>
              <w:t>before</w:t>
            </w:r>
            <w:r w:rsidRPr="00903BA3">
              <w:rPr>
                <w:i/>
                <w:sz w:val="22"/>
                <w:szCs w:val="22"/>
              </w:rPr>
              <w:t xml:space="preserve"> a source makes any future physical modifications</w:t>
            </w:r>
            <w:r w:rsidR="008D538C" w:rsidRPr="00903BA3">
              <w:rPr>
                <w:i/>
                <w:sz w:val="22"/>
                <w:szCs w:val="22"/>
              </w:rPr>
              <w:t xml:space="preserve">. </w:t>
            </w:r>
            <w:r w:rsidRPr="00903BA3">
              <w:rPr>
                <w:i/>
                <w:sz w:val="22"/>
                <w:szCs w:val="22"/>
              </w:rPr>
              <w:t xml:space="preserve">This reduction in netting basis will </w:t>
            </w:r>
            <w:r w:rsidR="00DD36F0" w:rsidRPr="00903BA3">
              <w:rPr>
                <w:i/>
                <w:sz w:val="22"/>
                <w:szCs w:val="22"/>
              </w:rPr>
              <w:t>enable</w:t>
            </w:r>
            <w:r w:rsidR="00B84790" w:rsidRPr="00903BA3">
              <w:rPr>
                <w:i/>
                <w:sz w:val="22"/>
                <w:szCs w:val="22"/>
              </w:rPr>
              <w:t xml:space="preserve"> </w:t>
            </w:r>
            <w:r w:rsidR="00464179" w:rsidRPr="00903BA3">
              <w:rPr>
                <w:i/>
                <w:sz w:val="22"/>
                <w:szCs w:val="22"/>
              </w:rPr>
              <w:t xml:space="preserve">DEQ </w:t>
            </w:r>
            <w:r w:rsidR="00DD36F0" w:rsidRPr="00903BA3">
              <w:rPr>
                <w:i/>
                <w:sz w:val="22"/>
                <w:szCs w:val="22"/>
              </w:rPr>
              <w:t xml:space="preserve">to </w:t>
            </w:r>
            <w:r w:rsidR="00464179" w:rsidRPr="00903BA3">
              <w:rPr>
                <w:i/>
                <w:sz w:val="22"/>
                <w:szCs w:val="22"/>
              </w:rPr>
              <w:t xml:space="preserve">initially permit a facility using a protective assumption that it could emit at its capacity, but ensure that only the emission level actually achieved during the first </w:t>
            </w:r>
            <w:r w:rsidR="007C7416" w:rsidRPr="00903BA3">
              <w:rPr>
                <w:i/>
                <w:sz w:val="22"/>
                <w:szCs w:val="22"/>
              </w:rPr>
              <w:t>y</w:t>
            </w:r>
            <w:r w:rsidR="00464179" w:rsidRPr="00903BA3">
              <w:rPr>
                <w:i/>
                <w:sz w:val="22"/>
                <w:szCs w:val="22"/>
              </w:rPr>
              <w:t>ears of operation can be used</w:t>
            </w:r>
            <w:r w:rsidRPr="00903BA3">
              <w:rPr>
                <w:i/>
                <w:sz w:val="22"/>
                <w:szCs w:val="22"/>
              </w:rPr>
              <w:t xml:space="preserve"> to net </w:t>
            </w:r>
            <w:r w:rsidR="00464179" w:rsidRPr="00903BA3">
              <w:rPr>
                <w:i/>
                <w:sz w:val="22"/>
                <w:szCs w:val="22"/>
              </w:rPr>
              <w:t xml:space="preserve">a future increase </w:t>
            </w:r>
            <w:r w:rsidRPr="00903BA3">
              <w:rPr>
                <w:i/>
                <w:sz w:val="22"/>
                <w:szCs w:val="22"/>
              </w:rPr>
              <w:t>out of NSR/PSD</w:t>
            </w:r>
            <w:r w:rsidR="008D538C" w:rsidRPr="00903BA3">
              <w:rPr>
                <w:i/>
                <w:sz w:val="22"/>
                <w:szCs w:val="22"/>
              </w:rPr>
              <w:t xml:space="preserve">. </w:t>
            </w:r>
            <w:r w:rsidRPr="00903BA3">
              <w:rPr>
                <w:i/>
                <w:sz w:val="22"/>
                <w:szCs w:val="22"/>
              </w:rPr>
              <w:t>This change aligns the netting basis closer to actual emissions</w:t>
            </w:r>
            <w:r w:rsidR="008D538C" w:rsidRPr="00903BA3">
              <w:rPr>
                <w:i/>
                <w:sz w:val="22"/>
                <w:szCs w:val="22"/>
              </w:rPr>
              <w:t xml:space="preserve">. </w:t>
            </w:r>
            <w:r w:rsidRPr="00903BA3">
              <w:rPr>
                <w:i/>
                <w:sz w:val="22"/>
                <w:szCs w:val="22"/>
              </w:rPr>
              <w:t xml:space="preserve"> No change to the rule is proposed in response to this comment.</w:t>
            </w:r>
          </w:p>
          <w:p w:rsidR="000B4801" w:rsidRPr="00903BA3" w:rsidRDefault="000B4801" w:rsidP="000B4801">
            <w:pPr>
              <w:rPr>
                <w:i/>
                <w:sz w:val="22"/>
                <w:szCs w:val="22"/>
              </w:rPr>
            </w:pPr>
          </w:p>
        </w:tc>
      </w:tr>
      <w:tr w:rsidR="00A233B2"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33B2" w:rsidRPr="00903BA3" w:rsidRDefault="00A233B2" w:rsidP="000B4801">
            <w:pPr>
              <w:ind w:right="-108"/>
              <w:rPr>
                <w:bCs/>
                <w:sz w:val="22"/>
                <w:szCs w:val="22"/>
              </w:rPr>
            </w:pPr>
            <w:r w:rsidRPr="00903BA3">
              <w:rPr>
                <w:bCs/>
                <w:sz w:val="22"/>
                <w:szCs w:val="22"/>
              </w:rPr>
              <w:t>3c.</w:t>
            </w:r>
          </w:p>
          <w:p w:rsidR="00A233B2" w:rsidRPr="00903BA3" w:rsidRDefault="00A233B2" w:rsidP="000B4801">
            <w:pPr>
              <w:ind w:right="-108"/>
              <w:rPr>
                <w:bCs/>
                <w:sz w:val="22"/>
                <w:szCs w:val="22"/>
              </w:rPr>
            </w:pPr>
            <w:r w:rsidRPr="00903BA3">
              <w:rPr>
                <w:sz w:val="22"/>
                <w:szCs w:val="22"/>
              </w:rPr>
              <w:t>Actual emissions as PTE used to net out of PSD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233B2" w:rsidRPr="00903BA3" w:rsidRDefault="00A233B2" w:rsidP="000B4801">
            <w:pPr>
              <w:rPr>
                <w:sz w:val="22"/>
                <w:szCs w:val="22"/>
              </w:rPr>
            </w:pPr>
            <w:r w:rsidRPr="00903BA3">
              <w:rPr>
                <w:sz w:val="22"/>
                <w:szCs w:val="22"/>
              </w:rPr>
              <w:t xml:space="preserve">For example, under DEQ’s formulation, a source that has a 2000 – 2010 baseline (either a reset PTE or actual emissions) that decides to make a physical or operational change in 2030 could be exempt from permitting and control requirements if they remained under that 2000 – 2010 baseline, even if they had not actually emitted that much for many years, and even if </w:t>
            </w:r>
            <w:r w:rsidRPr="00903BA3">
              <w:rPr>
                <w:sz w:val="22"/>
                <w:szCs w:val="22"/>
              </w:rPr>
              <w:lastRenderedPageBreak/>
              <w:t>a large number of smaller sources (and cars, residential emissions, etc.) increased the burden of the pollutant in the air shed. (12)</w:t>
            </w:r>
          </w:p>
          <w:p w:rsidR="000B4801" w:rsidRDefault="000B4801" w:rsidP="000B4801">
            <w:pPr>
              <w:rPr>
                <w:i/>
                <w:sz w:val="22"/>
                <w:szCs w:val="22"/>
              </w:rPr>
            </w:pPr>
          </w:p>
          <w:p w:rsidR="00A233B2" w:rsidRPr="00903BA3" w:rsidRDefault="00A233B2" w:rsidP="000B4801">
            <w:pPr>
              <w:rPr>
                <w:i/>
                <w:sz w:val="22"/>
                <w:szCs w:val="22"/>
              </w:rPr>
            </w:pPr>
            <w:r w:rsidRPr="00903BA3">
              <w:rPr>
                <w:i/>
                <w:sz w:val="22"/>
                <w:szCs w:val="22"/>
              </w:rPr>
              <w:t>Response:</w:t>
            </w:r>
          </w:p>
          <w:p w:rsidR="00012675" w:rsidRDefault="006A5BAE" w:rsidP="000B4801">
            <w:pPr>
              <w:rPr>
                <w:i/>
                <w:sz w:val="22"/>
                <w:szCs w:val="22"/>
              </w:rPr>
            </w:pPr>
            <w:r w:rsidRPr="00903BA3">
              <w:rPr>
                <w:i/>
                <w:sz w:val="22"/>
                <w:szCs w:val="22"/>
              </w:rPr>
              <w:t xml:space="preserve">Assuming that the reduction in emissions since the baseline period was voluntary, </w:t>
            </w:r>
            <w:r w:rsidR="00A233B2" w:rsidRPr="00903BA3">
              <w:rPr>
                <w:i/>
                <w:sz w:val="22"/>
                <w:szCs w:val="22"/>
              </w:rPr>
              <w:t xml:space="preserve">NSR/PSD </w:t>
            </w:r>
            <w:r w:rsidRPr="00903BA3">
              <w:rPr>
                <w:i/>
                <w:sz w:val="22"/>
                <w:szCs w:val="22"/>
              </w:rPr>
              <w:t>would</w:t>
            </w:r>
            <w:r w:rsidR="00A233B2" w:rsidRPr="00903BA3">
              <w:rPr>
                <w:i/>
                <w:sz w:val="22"/>
                <w:szCs w:val="22"/>
              </w:rPr>
              <w:t xml:space="preserve"> not be triggered for that source</w:t>
            </w:r>
            <w:r w:rsidR="00977F51" w:rsidRPr="00903BA3">
              <w:rPr>
                <w:i/>
                <w:sz w:val="22"/>
                <w:szCs w:val="22"/>
              </w:rPr>
              <w:t xml:space="preserve"> in the commenter’s example</w:t>
            </w:r>
            <w:r w:rsidR="008D538C" w:rsidRPr="00903BA3">
              <w:rPr>
                <w:i/>
                <w:sz w:val="22"/>
                <w:szCs w:val="22"/>
              </w:rPr>
              <w:t xml:space="preserve">. </w:t>
            </w:r>
            <w:r w:rsidRPr="00903BA3">
              <w:rPr>
                <w:i/>
                <w:sz w:val="22"/>
                <w:szCs w:val="22"/>
              </w:rPr>
              <w:t>One of the benefits of a fixed baseline period is that it creates an incentive for sources to make early voluntary reductions</w:t>
            </w:r>
            <w:r w:rsidR="008D538C" w:rsidRPr="00903BA3">
              <w:rPr>
                <w:i/>
                <w:sz w:val="22"/>
                <w:szCs w:val="22"/>
              </w:rPr>
              <w:t xml:space="preserve">. </w:t>
            </w:r>
            <w:r w:rsidRPr="00903BA3">
              <w:rPr>
                <w:i/>
                <w:sz w:val="22"/>
                <w:szCs w:val="22"/>
              </w:rPr>
              <w:t>With a floating baseline period used in other states, sources have an incentive to delay voluntary reductions until just before planned increases</w:t>
            </w:r>
            <w:r w:rsidR="008D538C" w:rsidRPr="00903BA3">
              <w:rPr>
                <w:i/>
                <w:sz w:val="22"/>
                <w:szCs w:val="22"/>
              </w:rPr>
              <w:t xml:space="preserve">. </w:t>
            </w:r>
            <w:r w:rsidR="00A233B2" w:rsidRPr="00903BA3">
              <w:rPr>
                <w:i/>
                <w:sz w:val="22"/>
                <w:szCs w:val="22"/>
              </w:rPr>
              <w:t xml:space="preserve">If the decrease in actual emissions </w:t>
            </w:r>
            <w:r w:rsidR="0098653E" w:rsidRPr="00903BA3">
              <w:rPr>
                <w:i/>
                <w:sz w:val="22"/>
                <w:szCs w:val="22"/>
              </w:rPr>
              <w:t>was</w:t>
            </w:r>
            <w:r w:rsidR="00A233B2" w:rsidRPr="00903BA3">
              <w:rPr>
                <w:i/>
                <w:sz w:val="22"/>
                <w:szCs w:val="22"/>
              </w:rPr>
              <w:t xml:space="preserve"> due to </w:t>
            </w:r>
            <w:r w:rsidR="008F5C2C" w:rsidRPr="00903BA3">
              <w:rPr>
                <w:i/>
                <w:sz w:val="22"/>
                <w:szCs w:val="22"/>
              </w:rPr>
              <w:t xml:space="preserve">the </w:t>
            </w:r>
            <w:r w:rsidRPr="00903BA3">
              <w:rPr>
                <w:i/>
                <w:sz w:val="22"/>
                <w:szCs w:val="22"/>
              </w:rPr>
              <w:t>adoption of</w:t>
            </w:r>
            <w:r w:rsidR="00A233B2" w:rsidRPr="00903BA3">
              <w:rPr>
                <w:i/>
                <w:sz w:val="22"/>
                <w:szCs w:val="22"/>
              </w:rPr>
              <w:t xml:space="preserve"> emission</w:t>
            </w:r>
            <w:r w:rsidRPr="00903BA3">
              <w:rPr>
                <w:i/>
                <w:sz w:val="22"/>
                <w:szCs w:val="22"/>
              </w:rPr>
              <w:t xml:space="preserve"> standards</w:t>
            </w:r>
            <w:r w:rsidR="00A233B2" w:rsidRPr="00903BA3">
              <w:rPr>
                <w:i/>
                <w:sz w:val="22"/>
                <w:szCs w:val="22"/>
              </w:rPr>
              <w:t xml:space="preserve">, </w:t>
            </w:r>
            <w:r w:rsidR="0098653E" w:rsidRPr="00903BA3">
              <w:rPr>
                <w:i/>
                <w:sz w:val="22"/>
                <w:szCs w:val="22"/>
              </w:rPr>
              <w:t>the netting basis would be reduced by the amount of reduction required by rule</w:t>
            </w:r>
            <w:r w:rsidR="008D538C" w:rsidRPr="00903BA3">
              <w:rPr>
                <w:i/>
                <w:sz w:val="22"/>
                <w:szCs w:val="22"/>
              </w:rPr>
              <w:t xml:space="preserve">. </w:t>
            </w:r>
            <w:r w:rsidR="0098653E" w:rsidRPr="00903BA3">
              <w:rPr>
                <w:i/>
                <w:sz w:val="22"/>
                <w:szCs w:val="22"/>
              </w:rPr>
              <w:t xml:space="preserve">If the reduction </w:t>
            </w:r>
            <w:r w:rsidRPr="00903BA3">
              <w:rPr>
                <w:i/>
                <w:sz w:val="22"/>
                <w:szCs w:val="22"/>
              </w:rPr>
              <w:t xml:space="preserve">was due to the shutdown of an emission unit, </w:t>
            </w:r>
            <w:r w:rsidR="00A233B2" w:rsidRPr="00903BA3">
              <w:rPr>
                <w:i/>
                <w:sz w:val="22"/>
                <w:szCs w:val="22"/>
              </w:rPr>
              <w:t xml:space="preserve">the unassigned emission rule (OAR 340-222-0045) </w:t>
            </w:r>
            <w:r w:rsidR="008F5C2C" w:rsidRPr="00903BA3">
              <w:rPr>
                <w:i/>
                <w:sz w:val="22"/>
                <w:szCs w:val="22"/>
              </w:rPr>
              <w:t>would</w:t>
            </w:r>
            <w:r w:rsidR="00A233B2" w:rsidRPr="00903BA3">
              <w:rPr>
                <w:i/>
                <w:sz w:val="22"/>
                <w:szCs w:val="22"/>
              </w:rPr>
              <w:t xml:space="preserve"> reduce </w:t>
            </w:r>
            <w:r w:rsidR="00977F51" w:rsidRPr="00903BA3">
              <w:rPr>
                <w:i/>
                <w:sz w:val="22"/>
                <w:szCs w:val="22"/>
              </w:rPr>
              <w:t xml:space="preserve">the </w:t>
            </w:r>
            <w:r w:rsidR="00A233B2" w:rsidRPr="00903BA3">
              <w:rPr>
                <w:i/>
                <w:sz w:val="22"/>
                <w:szCs w:val="22"/>
              </w:rPr>
              <w:t>netting basis if it is greater than a source’s PTE</w:t>
            </w:r>
            <w:r w:rsidR="008D538C" w:rsidRPr="00903BA3">
              <w:rPr>
                <w:i/>
                <w:sz w:val="22"/>
                <w:szCs w:val="22"/>
              </w:rPr>
              <w:t xml:space="preserve">. </w:t>
            </w:r>
            <w:r w:rsidR="00A233B2" w:rsidRPr="00903BA3">
              <w:rPr>
                <w:i/>
                <w:sz w:val="22"/>
                <w:szCs w:val="22"/>
              </w:rPr>
              <w:t>If a large number of smaller sources increased the burden of the pollutant in the air shed and the area becomes a nonattainment area, DEQ will create an attainment plan that will require air quality controls</w:t>
            </w:r>
            <w:r w:rsidR="008D538C" w:rsidRPr="00903BA3">
              <w:rPr>
                <w:i/>
                <w:sz w:val="22"/>
                <w:szCs w:val="22"/>
              </w:rPr>
              <w:t xml:space="preserve">. </w:t>
            </w:r>
            <w:r w:rsidR="00A233B2" w:rsidRPr="00903BA3">
              <w:rPr>
                <w:i/>
                <w:sz w:val="22"/>
                <w:szCs w:val="22"/>
              </w:rPr>
              <w:t>No change to the rule is proposed in response to this comment.</w:t>
            </w:r>
          </w:p>
          <w:p w:rsidR="000B4801" w:rsidRPr="00903BA3" w:rsidRDefault="000B4801" w:rsidP="000B4801">
            <w:pPr>
              <w:rPr>
                <w:i/>
                <w:sz w:val="22"/>
                <w:szCs w:val="22"/>
              </w:rPr>
            </w:pPr>
          </w:p>
        </w:tc>
      </w:tr>
      <w:tr w:rsidR="00A233B2"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33B2" w:rsidRPr="00903BA3" w:rsidRDefault="00A233B2" w:rsidP="000B4801">
            <w:pPr>
              <w:ind w:right="-108"/>
              <w:rPr>
                <w:sz w:val="22"/>
                <w:szCs w:val="22"/>
              </w:rPr>
            </w:pPr>
            <w:r w:rsidRPr="00903BA3">
              <w:rPr>
                <w:bCs/>
                <w:sz w:val="22"/>
                <w:szCs w:val="22"/>
              </w:rPr>
              <w:lastRenderedPageBreak/>
              <w:t>3d.</w:t>
            </w:r>
            <w:r w:rsidRPr="00903BA3">
              <w:rPr>
                <w:sz w:val="22"/>
                <w:szCs w:val="22"/>
              </w:rPr>
              <w:t xml:space="preserve"> </w:t>
            </w:r>
          </w:p>
          <w:p w:rsidR="00A233B2" w:rsidRPr="00903BA3" w:rsidRDefault="00A233B2" w:rsidP="000B4801">
            <w:pPr>
              <w:ind w:right="-108"/>
              <w:rPr>
                <w:bCs/>
                <w:sz w:val="22"/>
                <w:szCs w:val="22"/>
              </w:rPr>
            </w:pPr>
            <w:r w:rsidRPr="00903BA3">
              <w:rPr>
                <w:sz w:val="22"/>
                <w:szCs w:val="22"/>
              </w:rPr>
              <w:t>Actual emissions as PTE used to net out of PSD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233B2" w:rsidRPr="00903BA3" w:rsidRDefault="00A233B2" w:rsidP="000B4801">
            <w:pPr>
              <w:rPr>
                <w:sz w:val="22"/>
                <w:szCs w:val="22"/>
              </w:rPr>
            </w:pPr>
            <w:r w:rsidRPr="00903BA3">
              <w:rPr>
                <w:sz w:val="22"/>
                <w:szCs w:val="22"/>
              </w:rPr>
              <w:t>We do not support the proposed language that would require resetting of actual emissions if the source did not achieve its full emissions capacity within 10 years after commencing construction. This approach is bad public policy in that it encourages sources to emit at their maximum permitted level in order to preserve baseline. This also creates serious issues for sources that take a long time to complete construction as they will not have necessarily reached normal operations in enough time to establish a reasonable baseline emission rate. (9)</w:t>
            </w:r>
          </w:p>
          <w:p w:rsidR="000B4801" w:rsidRDefault="000B4801" w:rsidP="000B4801">
            <w:pPr>
              <w:autoSpaceDE w:val="0"/>
              <w:autoSpaceDN w:val="0"/>
              <w:adjustRightInd w:val="0"/>
              <w:rPr>
                <w:i/>
                <w:sz w:val="22"/>
                <w:szCs w:val="22"/>
              </w:rPr>
            </w:pPr>
          </w:p>
          <w:p w:rsidR="00A233B2" w:rsidRPr="00903BA3" w:rsidRDefault="00A233B2" w:rsidP="000B4801">
            <w:pPr>
              <w:autoSpaceDE w:val="0"/>
              <w:autoSpaceDN w:val="0"/>
              <w:adjustRightInd w:val="0"/>
              <w:rPr>
                <w:i/>
                <w:sz w:val="22"/>
                <w:szCs w:val="22"/>
              </w:rPr>
            </w:pPr>
            <w:r w:rsidRPr="00903BA3">
              <w:rPr>
                <w:i/>
                <w:sz w:val="22"/>
                <w:szCs w:val="22"/>
              </w:rPr>
              <w:t>Response:</w:t>
            </w:r>
          </w:p>
          <w:p w:rsidR="00A07FC6" w:rsidRDefault="00A233B2" w:rsidP="000B4801">
            <w:pPr>
              <w:autoSpaceDE w:val="0"/>
              <w:autoSpaceDN w:val="0"/>
              <w:adjustRightInd w:val="0"/>
              <w:rPr>
                <w:i/>
                <w:sz w:val="22"/>
                <w:szCs w:val="22"/>
              </w:rPr>
            </w:pPr>
            <w:r w:rsidRPr="00903BA3">
              <w:rPr>
                <w:i/>
                <w:sz w:val="22"/>
                <w:szCs w:val="22"/>
              </w:rPr>
              <w:t>DEQ is aware that this change may be a disincentive for sources to voluntarily implement early reductions</w:t>
            </w:r>
            <w:r w:rsidR="008D538C" w:rsidRPr="00903BA3">
              <w:rPr>
                <w:i/>
                <w:sz w:val="22"/>
                <w:szCs w:val="22"/>
              </w:rPr>
              <w:t xml:space="preserve">. </w:t>
            </w:r>
            <w:r w:rsidRPr="00903BA3">
              <w:rPr>
                <w:i/>
                <w:sz w:val="22"/>
                <w:szCs w:val="22"/>
              </w:rPr>
              <w:t xml:space="preserve">Therefore, the proposed rules have been revised for sources that voluntarily implement pollution prevention practices or operational, maintenance and work practice requirements in accordance with OAR 340-226-0110 and 0120. Emissions reductions required to reduce PTE to actual emissions will not include reductions achieved through these mechanisms. This provision will </w:t>
            </w:r>
            <w:r w:rsidR="00AD1ACA" w:rsidRPr="00903BA3">
              <w:rPr>
                <w:i/>
                <w:sz w:val="22"/>
                <w:szCs w:val="22"/>
              </w:rPr>
              <w:t xml:space="preserve">continue </w:t>
            </w:r>
            <w:r w:rsidR="00027F3F" w:rsidRPr="00903BA3">
              <w:rPr>
                <w:i/>
                <w:sz w:val="22"/>
                <w:szCs w:val="22"/>
              </w:rPr>
              <w:t xml:space="preserve">the program’s incentive for </w:t>
            </w:r>
            <w:r w:rsidRPr="00903BA3">
              <w:rPr>
                <w:i/>
                <w:sz w:val="22"/>
                <w:szCs w:val="22"/>
              </w:rPr>
              <w:t>voluntary early reductions</w:t>
            </w:r>
            <w:r w:rsidR="00027F3F" w:rsidRPr="00903BA3">
              <w:rPr>
                <w:i/>
                <w:sz w:val="22"/>
                <w:szCs w:val="22"/>
              </w:rPr>
              <w:t xml:space="preserve"> and remove the disincentive for maintaining maximum emissions</w:t>
            </w:r>
            <w:r w:rsidR="00AD1ACA" w:rsidRPr="00903BA3">
              <w:rPr>
                <w:i/>
                <w:sz w:val="22"/>
                <w:szCs w:val="22"/>
              </w:rPr>
              <w:t xml:space="preserve"> to preserve baseline</w:t>
            </w:r>
            <w:r w:rsidRPr="00903BA3">
              <w:rPr>
                <w:i/>
                <w:sz w:val="22"/>
                <w:szCs w:val="22"/>
              </w:rPr>
              <w:t xml:space="preserve">. In addition, </w:t>
            </w:r>
            <w:r w:rsidR="00FC7539" w:rsidRPr="00903BA3">
              <w:rPr>
                <w:i/>
                <w:sz w:val="22"/>
                <w:szCs w:val="22"/>
              </w:rPr>
              <w:t>the ten-year reset period may be extended to 15 years upon demonstration that construction is still underway</w:t>
            </w:r>
            <w:r w:rsidR="00DD36F0" w:rsidRPr="00903BA3">
              <w:rPr>
                <w:i/>
                <w:sz w:val="22"/>
                <w:szCs w:val="22"/>
              </w:rPr>
              <w:t xml:space="preserve"> or normal operation has not been achieved</w:t>
            </w:r>
            <w:r w:rsidR="008D538C" w:rsidRPr="00903BA3">
              <w:rPr>
                <w:i/>
                <w:sz w:val="22"/>
                <w:szCs w:val="22"/>
              </w:rPr>
              <w:t xml:space="preserve">. </w:t>
            </w:r>
            <w:r w:rsidR="00FC7539" w:rsidRPr="00903BA3">
              <w:rPr>
                <w:i/>
                <w:sz w:val="22"/>
                <w:szCs w:val="22"/>
              </w:rPr>
              <w:t xml:space="preserve">Further, </w:t>
            </w:r>
            <w:r w:rsidRPr="00903BA3">
              <w:rPr>
                <w:i/>
                <w:sz w:val="22"/>
                <w:szCs w:val="22"/>
              </w:rPr>
              <w:t>only the netting basis will be reduced</w:t>
            </w:r>
            <w:r w:rsidR="00FC7539" w:rsidRPr="00903BA3">
              <w:rPr>
                <w:i/>
                <w:sz w:val="22"/>
                <w:szCs w:val="22"/>
              </w:rPr>
              <w:t>, so only future modifications will be affected</w:t>
            </w:r>
            <w:r w:rsidRPr="00903BA3">
              <w:rPr>
                <w:i/>
                <w:sz w:val="22"/>
                <w:szCs w:val="22"/>
              </w:rPr>
              <w:t>. The PSEL will not be reduced</w:t>
            </w:r>
            <w:r w:rsidR="008F5C2C" w:rsidRPr="00903BA3">
              <w:rPr>
                <w:i/>
                <w:sz w:val="22"/>
                <w:szCs w:val="22"/>
              </w:rPr>
              <w:t>,</w:t>
            </w:r>
            <w:r w:rsidRPr="00903BA3">
              <w:rPr>
                <w:i/>
                <w:sz w:val="22"/>
                <w:szCs w:val="22"/>
              </w:rPr>
              <w:t xml:space="preserve"> so a source will still be able to utilize the full capacity of a unit that went through PSD without triggering PSD again.</w:t>
            </w:r>
          </w:p>
          <w:p w:rsidR="000B4801" w:rsidRPr="00903BA3" w:rsidRDefault="000B4801" w:rsidP="000B4801">
            <w:pPr>
              <w:autoSpaceDE w:val="0"/>
              <w:autoSpaceDN w:val="0"/>
              <w:adjustRightInd w:val="0"/>
              <w:rPr>
                <w:rFonts w:eastAsiaTheme="majorEastAsia"/>
                <w:b/>
                <w:bCs/>
                <w:color w:val="4F81BD" w:themeColor="accent1"/>
                <w:sz w:val="22"/>
                <w:szCs w:val="22"/>
              </w:rPr>
            </w:pPr>
          </w:p>
        </w:tc>
      </w:tr>
      <w:tr w:rsidR="00E75780"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75780" w:rsidRPr="00903BA3" w:rsidRDefault="000B4801" w:rsidP="000B4801">
            <w:pPr>
              <w:ind w:right="-108"/>
              <w:rPr>
                <w:bCs/>
                <w:sz w:val="22"/>
                <w:szCs w:val="22"/>
              </w:rPr>
            </w:pPr>
            <w:r>
              <w:rPr>
                <w:bCs/>
                <w:sz w:val="22"/>
                <w:szCs w:val="22"/>
              </w:rPr>
              <w:t xml:space="preserve">4. </w:t>
            </w:r>
            <w:r w:rsidR="00157565" w:rsidRPr="00903BA3">
              <w:rPr>
                <w:bCs/>
                <w:sz w:val="22"/>
                <w:szCs w:val="22"/>
              </w:rPr>
              <w:t>Aggregate insignificant emissions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75780" w:rsidRPr="00903BA3" w:rsidRDefault="00E75780" w:rsidP="000B4801">
            <w:pPr>
              <w:autoSpaceDE w:val="0"/>
              <w:autoSpaceDN w:val="0"/>
              <w:adjustRightInd w:val="0"/>
              <w:rPr>
                <w:sz w:val="22"/>
                <w:szCs w:val="22"/>
              </w:rPr>
            </w:pPr>
            <w:r w:rsidRPr="00903BA3">
              <w:rPr>
                <w:bCs/>
                <w:sz w:val="22"/>
                <w:szCs w:val="22"/>
              </w:rPr>
              <w:t xml:space="preserve">OAR </w:t>
            </w:r>
            <w:r w:rsidRPr="00903BA3">
              <w:rPr>
                <w:sz w:val="22"/>
                <w:szCs w:val="22"/>
              </w:rPr>
              <w:t>340-200-0020(7)(h): The revision to the definition of "Aggregate insignificant emissions" adding a threshold for greenhouse gases needs to include language indicating that the 1</w:t>
            </w:r>
            <w:r w:rsidR="00DD36F0" w:rsidRPr="00903BA3">
              <w:rPr>
                <w:sz w:val="22"/>
                <w:szCs w:val="22"/>
              </w:rPr>
              <w:t>,</w:t>
            </w:r>
            <w:r w:rsidRPr="00903BA3">
              <w:rPr>
                <w:sz w:val="22"/>
                <w:szCs w:val="22"/>
              </w:rPr>
              <w:t>000 short tons value is measured as CO</w:t>
            </w:r>
            <w:r w:rsidRPr="00903BA3">
              <w:rPr>
                <w:sz w:val="22"/>
                <w:szCs w:val="22"/>
                <w:vertAlign w:val="subscript"/>
              </w:rPr>
              <w:t>2</w:t>
            </w:r>
            <w:r w:rsidRPr="00903BA3">
              <w:rPr>
                <w:sz w:val="22"/>
                <w:szCs w:val="22"/>
              </w:rPr>
              <w:t xml:space="preserve"> equivalent (CO</w:t>
            </w:r>
            <w:r w:rsidRPr="00903BA3">
              <w:rPr>
                <w:sz w:val="22"/>
                <w:szCs w:val="22"/>
                <w:vertAlign w:val="subscript"/>
              </w:rPr>
              <w:t>2</w:t>
            </w:r>
            <w:r w:rsidRPr="00903BA3">
              <w:rPr>
                <w:sz w:val="22"/>
                <w:szCs w:val="22"/>
              </w:rPr>
              <w:t xml:space="preserve">e). </w:t>
            </w:r>
            <w:r w:rsidR="00D60D5D" w:rsidRPr="00903BA3">
              <w:rPr>
                <w:sz w:val="22"/>
                <w:szCs w:val="22"/>
              </w:rPr>
              <w:t>(7</w:t>
            </w:r>
            <w:r w:rsidRPr="00903BA3">
              <w:rPr>
                <w:sz w:val="22"/>
                <w:szCs w:val="22"/>
              </w:rPr>
              <w:t>)</w:t>
            </w:r>
          </w:p>
          <w:p w:rsidR="000B4801" w:rsidRDefault="000B4801" w:rsidP="000B4801">
            <w:pPr>
              <w:autoSpaceDE w:val="0"/>
              <w:autoSpaceDN w:val="0"/>
              <w:adjustRightInd w:val="0"/>
              <w:rPr>
                <w:i/>
                <w:sz w:val="22"/>
                <w:szCs w:val="22"/>
              </w:rPr>
            </w:pPr>
          </w:p>
          <w:p w:rsidR="00E75780" w:rsidRPr="00903BA3" w:rsidRDefault="00E75780" w:rsidP="000B4801">
            <w:pPr>
              <w:autoSpaceDE w:val="0"/>
              <w:autoSpaceDN w:val="0"/>
              <w:adjustRightInd w:val="0"/>
              <w:rPr>
                <w:i/>
                <w:sz w:val="22"/>
                <w:szCs w:val="22"/>
              </w:rPr>
            </w:pPr>
            <w:r w:rsidRPr="00903BA3">
              <w:rPr>
                <w:i/>
                <w:sz w:val="22"/>
                <w:szCs w:val="22"/>
              </w:rPr>
              <w:t>Response:</w:t>
            </w:r>
          </w:p>
          <w:p w:rsidR="00157565" w:rsidRDefault="00BC7D0E" w:rsidP="000B4801">
            <w:pPr>
              <w:autoSpaceDE w:val="0"/>
              <w:autoSpaceDN w:val="0"/>
              <w:adjustRightInd w:val="0"/>
              <w:rPr>
                <w:i/>
                <w:sz w:val="22"/>
                <w:szCs w:val="22"/>
              </w:rPr>
            </w:pPr>
            <w:r w:rsidRPr="00903BA3">
              <w:rPr>
                <w:i/>
                <w:sz w:val="22"/>
                <w:szCs w:val="22"/>
              </w:rPr>
              <w:t>The change was made to the proposed rule as suggested. Upon further consideration, DEQ has concluded that the aggregate insignificant emissions threshold for greenhouse gases should be the same as the GHG reporting threshold of 2,500</w:t>
            </w:r>
            <w:r w:rsidR="007C7416" w:rsidRPr="00903BA3">
              <w:rPr>
                <w:i/>
                <w:sz w:val="22"/>
                <w:szCs w:val="22"/>
              </w:rPr>
              <w:t xml:space="preserve"> metric</w:t>
            </w:r>
            <w:r w:rsidRPr="00903BA3">
              <w:rPr>
                <w:i/>
                <w:sz w:val="22"/>
                <w:szCs w:val="22"/>
              </w:rPr>
              <w:t xml:space="preserve"> tons/year</w:t>
            </w:r>
            <w:r w:rsidR="007C7416" w:rsidRPr="00903BA3">
              <w:rPr>
                <w:i/>
                <w:sz w:val="22"/>
                <w:szCs w:val="22"/>
              </w:rPr>
              <w:t xml:space="preserve"> or 2,756 short tons/year</w:t>
            </w:r>
            <w:r w:rsidRPr="00903BA3">
              <w:rPr>
                <w:i/>
                <w:sz w:val="22"/>
                <w:szCs w:val="22"/>
              </w:rPr>
              <w:t xml:space="preserve">.  </w:t>
            </w:r>
          </w:p>
          <w:p w:rsidR="000B4801" w:rsidRPr="00903BA3" w:rsidRDefault="000B4801" w:rsidP="000B4801">
            <w:pPr>
              <w:autoSpaceDE w:val="0"/>
              <w:autoSpaceDN w:val="0"/>
              <w:adjustRightInd w:val="0"/>
              <w:rPr>
                <w:i/>
                <w:sz w:val="22"/>
                <w:szCs w:val="22"/>
              </w:rPr>
            </w:pPr>
          </w:p>
        </w:tc>
      </w:tr>
      <w:tr w:rsidR="0051452D"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1452D" w:rsidRPr="00903BA3" w:rsidRDefault="000B4801" w:rsidP="000B4801">
            <w:pPr>
              <w:pStyle w:val="ListParagraph"/>
              <w:ind w:left="0"/>
              <w:rPr>
                <w:sz w:val="22"/>
                <w:szCs w:val="22"/>
              </w:rPr>
            </w:pPr>
            <w:r>
              <w:rPr>
                <w:sz w:val="22"/>
                <w:szCs w:val="22"/>
              </w:rPr>
              <w:lastRenderedPageBreak/>
              <w:t xml:space="preserve">5. </w:t>
            </w:r>
            <w:r w:rsidR="0051452D" w:rsidRPr="00903BA3">
              <w:rPr>
                <w:sz w:val="22"/>
                <w:szCs w:val="22"/>
              </w:rPr>
              <w:t>PM</w:t>
            </w:r>
            <w:r w:rsidR="0051452D" w:rsidRPr="00903BA3">
              <w:rPr>
                <w:sz w:val="22"/>
                <w:szCs w:val="22"/>
                <w:vertAlign w:val="subscript"/>
              </w:rPr>
              <w:t>2.5</w:t>
            </w:r>
            <w:r w:rsidR="001B19BA" w:rsidRPr="00903BA3">
              <w:rPr>
                <w:sz w:val="22"/>
                <w:szCs w:val="22"/>
              </w:rPr>
              <w:t xml:space="preserve"> b</w:t>
            </w:r>
            <w:r w:rsidR="0051452D" w:rsidRPr="00903BA3">
              <w:rPr>
                <w:sz w:val="22"/>
                <w:szCs w:val="22"/>
              </w:rPr>
              <w:t xml:space="preserve">aseline </w:t>
            </w:r>
            <w:r w:rsidR="001B19BA" w:rsidRPr="00903BA3">
              <w:rPr>
                <w:sz w:val="22"/>
                <w:szCs w:val="22"/>
              </w:rPr>
              <w:t>e</w:t>
            </w:r>
            <w:r w:rsidR="0051452D" w:rsidRPr="00903BA3">
              <w:rPr>
                <w:sz w:val="22"/>
                <w:szCs w:val="22"/>
              </w:rPr>
              <w:t xml:space="preserve">mission </w:t>
            </w:r>
            <w:r w:rsidR="001B19BA" w:rsidRPr="00903BA3">
              <w:rPr>
                <w:sz w:val="22"/>
                <w:szCs w:val="22"/>
              </w:rPr>
              <w:t>r</w:t>
            </w:r>
            <w:r w:rsidR="0051452D" w:rsidRPr="00903BA3">
              <w:rPr>
                <w:sz w:val="22"/>
                <w:szCs w:val="22"/>
              </w:rPr>
              <w:t>ate</w:t>
            </w:r>
            <w:r w:rsidR="007B04FE" w:rsidRPr="00903BA3">
              <w:rPr>
                <w:sz w:val="22"/>
                <w:szCs w:val="22"/>
              </w:rPr>
              <w:t xml:space="preserve"> and netting basis</w:t>
            </w:r>
          </w:p>
          <w:p w:rsidR="0051452D" w:rsidRPr="00903BA3" w:rsidRDefault="0051452D" w:rsidP="000B4801">
            <w:pPr>
              <w:ind w:left="371"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613B28" w:rsidRDefault="002A48D3" w:rsidP="000B4801">
            <w:pPr>
              <w:rPr>
                <w:sz w:val="22"/>
                <w:szCs w:val="22"/>
              </w:rPr>
            </w:pPr>
            <w:r w:rsidRPr="00903BA3">
              <w:rPr>
                <w:sz w:val="22"/>
                <w:szCs w:val="22"/>
              </w:rPr>
              <w:t>A</w:t>
            </w:r>
            <w:r w:rsidR="0051452D" w:rsidRPr="00903BA3">
              <w:rPr>
                <w:sz w:val="22"/>
                <w:szCs w:val="22"/>
              </w:rPr>
              <w:t xml:space="preserve"> source should have the option of either taking the </w:t>
            </w:r>
            <w:r w:rsidR="006847C7" w:rsidRPr="00903BA3">
              <w:rPr>
                <w:sz w:val="22"/>
                <w:szCs w:val="22"/>
              </w:rPr>
              <w:t>PM</w:t>
            </w:r>
            <w:r w:rsidR="006847C7" w:rsidRPr="00903BA3">
              <w:rPr>
                <w:sz w:val="22"/>
                <w:szCs w:val="22"/>
                <w:vertAlign w:val="subscript"/>
              </w:rPr>
              <w:t>2.5</w:t>
            </w:r>
            <w:r w:rsidR="006847C7" w:rsidRPr="00903BA3">
              <w:rPr>
                <w:sz w:val="22"/>
                <w:szCs w:val="22"/>
              </w:rPr>
              <w:t xml:space="preserve"> </w:t>
            </w:r>
            <w:r w:rsidR="0051452D" w:rsidRPr="00903BA3">
              <w:rPr>
                <w:sz w:val="22"/>
                <w:szCs w:val="22"/>
              </w:rPr>
              <w:t>proportionate share of its PM</w:t>
            </w:r>
            <w:r w:rsidR="0051452D" w:rsidRPr="00903BA3">
              <w:rPr>
                <w:sz w:val="22"/>
                <w:szCs w:val="22"/>
                <w:vertAlign w:val="subscript"/>
              </w:rPr>
              <w:t>10</w:t>
            </w:r>
            <w:r w:rsidR="0051452D" w:rsidRPr="00903BA3">
              <w:rPr>
                <w:sz w:val="22"/>
                <w:szCs w:val="22"/>
              </w:rPr>
              <w:t xml:space="preserve"> netting basis </w:t>
            </w:r>
            <w:r w:rsidR="0051452D" w:rsidRPr="00903BA3">
              <w:rPr>
                <w:sz w:val="22"/>
                <w:szCs w:val="22"/>
                <w:u w:val="single"/>
              </w:rPr>
              <w:t>or</w:t>
            </w:r>
            <w:r w:rsidR="0051452D" w:rsidRPr="00903BA3">
              <w:rPr>
                <w:sz w:val="22"/>
                <w:szCs w:val="22"/>
              </w:rPr>
              <w:t xml:space="preserve"> the actual PM</w:t>
            </w:r>
            <w:r w:rsidR="0051452D" w:rsidRPr="00903BA3">
              <w:rPr>
                <w:sz w:val="22"/>
                <w:szCs w:val="22"/>
                <w:vertAlign w:val="subscript"/>
              </w:rPr>
              <w:t>2.5</w:t>
            </w:r>
            <w:r w:rsidR="0051452D" w:rsidRPr="00903BA3">
              <w:rPr>
                <w:sz w:val="22"/>
                <w:szCs w:val="22"/>
              </w:rPr>
              <w:t xml:space="preserve"> emissions from the baseline period</w:t>
            </w:r>
            <w:r w:rsidR="004A0EA4" w:rsidRPr="00903BA3">
              <w:rPr>
                <w:sz w:val="22"/>
                <w:szCs w:val="22"/>
              </w:rPr>
              <w:t xml:space="preserve">. </w:t>
            </w:r>
            <w:r w:rsidR="0064466D" w:rsidRPr="00903BA3">
              <w:rPr>
                <w:sz w:val="22"/>
                <w:szCs w:val="22"/>
              </w:rPr>
              <w:t xml:space="preserve">(1, </w:t>
            </w:r>
            <w:r w:rsidR="009A4BCD" w:rsidRPr="00903BA3">
              <w:rPr>
                <w:sz w:val="22"/>
                <w:szCs w:val="22"/>
              </w:rPr>
              <w:t xml:space="preserve">2, </w:t>
            </w:r>
            <w:r w:rsidR="00162CCA" w:rsidRPr="00903BA3">
              <w:rPr>
                <w:sz w:val="22"/>
                <w:szCs w:val="22"/>
              </w:rPr>
              <w:t>4</w:t>
            </w:r>
            <w:r w:rsidR="009A4BCD" w:rsidRPr="00903BA3">
              <w:rPr>
                <w:sz w:val="22"/>
                <w:szCs w:val="22"/>
              </w:rPr>
              <w:t>,</w:t>
            </w:r>
            <w:r w:rsidR="00DF1D81" w:rsidRPr="00903BA3">
              <w:rPr>
                <w:sz w:val="22"/>
                <w:szCs w:val="22"/>
              </w:rPr>
              <w:t xml:space="preserve"> 6,</w:t>
            </w:r>
            <w:r w:rsidR="009A4BCD" w:rsidRPr="00903BA3">
              <w:rPr>
                <w:sz w:val="22"/>
                <w:szCs w:val="22"/>
              </w:rPr>
              <w:t xml:space="preserve"> 9, 11, 13, </w:t>
            </w:r>
            <w:r w:rsidR="00F51667" w:rsidRPr="00903BA3">
              <w:rPr>
                <w:sz w:val="22"/>
                <w:szCs w:val="22"/>
              </w:rPr>
              <w:t xml:space="preserve">14, </w:t>
            </w:r>
            <w:r w:rsidR="009A4BCD" w:rsidRPr="00903BA3">
              <w:rPr>
                <w:sz w:val="22"/>
                <w:szCs w:val="22"/>
              </w:rPr>
              <w:t>15, 16, 17)</w:t>
            </w:r>
          </w:p>
          <w:p w:rsidR="000B4801" w:rsidRPr="00903BA3" w:rsidRDefault="000B4801" w:rsidP="000B4801">
            <w:pPr>
              <w:rPr>
                <w:sz w:val="22"/>
                <w:szCs w:val="22"/>
              </w:rPr>
            </w:pPr>
          </w:p>
          <w:p w:rsidR="00E17CCC" w:rsidRPr="00903BA3" w:rsidRDefault="00E17CCC" w:rsidP="000B4801">
            <w:pPr>
              <w:rPr>
                <w:sz w:val="22"/>
                <w:szCs w:val="22"/>
              </w:rPr>
            </w:pPr>
            <w:r w:rsidRPr="00903BA3">
              <w:rPr>
                <w:sz w:val="22"/>
                <w:szCs w:val="22"/>
              </w:rPr>
              <w:t>We would prefer that the baseline values for new pollutants (PM2.5 &amp; GHG) be set in proportion to pollutants that have already gone through the PSD process</w:t>
            </w:r>
            <w:r w:rsidR="008D538C" w:rsidRPr="00903BA3">
              <w:rPr>
                <w:sz w:val="22"/>
                <w:szCs w:val="22"/>
              </w:rPr>
              <w:t xml:space="preserve">. </w:t>
            </w:r>
            <w:r w:rsidR="000351E6" w:rsidRPr="00903BA3">
              <w:rPr>
                <w:sz w:val="22"/>
                <w:szCs w:val="22"/>
              </w:rPr>
              <w:t>(20</w:t>
            </w:r>
            <w:r w:rsidR="009A4BCD" w:rsidRPr="00903BA3">
              <w:rPr>
                <w:sz w:val="22"/>
                <w:szCs w:val="22"/>
              </w:rPr>
              <w:t>)</w:t>
            </w:r>
          </w:p>
          <w:p w:rsidR="007B04FE" w:rsidRDefault="007B04FE" w:rsidP="000B4801">
            <w:pPr>
              <w:rPr>
                <w:sz w:val="22"/>
                <w:szCs w:val="22"/>
              </w:rPr>
            </w:pPr>
            <w:r w:rsidRPr="00903BA3">
              <w:rPr>
                <w:sz w:val="22"/>
                <w:szCs w:val="22"/>
              </w:rPr>
              <w:t xml:space="preserve">We support </w:t>
            </w:r>
            <w:r w:rsidR="00A2706F" w:rsidRPr="00903BA3">
              <w:rPr>
                <w:sz w:val="22"/>
                <w:szCs w:val="22"/>
              </w:rPr>
              <w:t xml:space="preserve">setting a </w:t>
            </w:r>
            <w:r w:rsidRPr="00903BA3">
              <w:rPr>
                <w:sz w:val="22"/>
                <w:szCs w:val="22"/>
              </w:rPr>
              <w:t>netting basis</w:t>
            </w:r>
            <w:r w:rsidR="00A2706F" w:rsidRPr="00903BA3">
              <w:rPr>
                <w:sz w:val="22"/>
                <w:szCs w:val="22"/>
              </w:rPr>
              <w:t xml:space="preserve"> for PM</w:t>
            </w:r>
            <w:r w:rsidR="00A2706F" w:rsidRPr="00903BA3">
              <w:rPr>
                <w:sz w:val="22"/>
                <w:szCs w:val="22"/>
                <w:vertAlign w:val="subscript"/>
              </w:rPr>
              <w:t>2.5</w:t>
            </w:r>
            <w:r w:rsidRPr="00903BA3">
              <w:rPr>
                <w:sz w:val="22"/>
                <w:szCs w:val="22"/>
              </w:rPr>
              <w:t xml:space="preserve"> based on the PM</w:t>
            </w:r>
            <w:r w:rsidRPr="00903BA3">
              <w:rPr>
                <w:sz w:val="22"/>
                <w:szCs w:val="22"/>
                <w:vertAlign w:val="subscript"/>
              </w:rPr>
              <w:t>2.5</w:t>
            </w:r>
            <w:r w:rsidRPr="00903BA3">
              <w:rPr>
                <w:sz w:val="22"/>
                <w:szCs w:val="22"/>
              </w:rPr>
              <w:t xml:space="preserve"> fraction of the PM</w:t>
            </w:r>
            <w:r w:rsidRPr="00903BA3">
              <w:rPr>
                <w:sz w:val="22"/>
                <w:szCs w:val="22"/>
                <w:vertAlign w:val="subscript"/>
              </w:rPr>
              <w:t>10</w:t>
            </w:r>
            <w:r w:rsidRPr="00903BA3">
              <w:rPr>
                <w:sz w:val="22"/>
                <w:szCs w:val="22"/>
              </w:rPr>
              <w:t xml:space="preserve"> netting basis </w:t>
            </w:r>
            <w:r w:rsidR="00A2706F" w:rsidRPr="00903BA3">
              <w:rPr>
                <w:sz w:val="22"/>
                <w:szCs w:val="22"/>
              </w:rPr>
              <w:t xml:space="preserve">with two caveats:  1) </w:t>
            </w:r>
            <w:r w:rsidR="0080767A" w:rsidRPr="00903BA3">
              <w:rPr>
                <w:sz w:val="22"/>
                <w:szCs w:val="22"/>
              </w:rPr>
              <w:t>DEQ</w:t>
            </w:r>
            <w:r w:rsidRPr="00903BA3">
              <w:rPr>
                <w:sz w:val="22"/>
                <w:szCs w:val="22"/>
              </w:rPr>
              <w:t xml:space="preserve"> </w:t>
            </w:r>
            <w:r w:rsidR="00965FFE" w:rsidRPr="00903BA3">
              <w:rPr>
                <w:sz w:val="22"/>
                <w:szCs w:val="22"/>
              </w:rPr>
              <w:t>will</w:t>
            </w:r>
            <w:r w:rsidRPr="00903BA3">
              <w:rPr>
                <w:sz w:val="22"/>
                <w:szCs w:val="22"/>
              </w:rPr>
              <w:t xml:space="preserve"> increase the PM</w:t>
            </w:r>
            <w:r w:rsidRPr="00903BA3">
              <w:rPr>
                <w:sz w:val="22"/>
                <w:szCs w:val="22"/>
                <w:vertAlign w:val="subscript"/>
              </w:rPr>
              <w:t>2.5</w:t>
            </w:r>
            <w:r w:rsidRPr="00903BA3">
              <w:rPr>
                <w:sz w:val="22"/>
                <w:szCs w:val="22"/>
              </w:rPr>
              <w:t xml:space="preserve"> netting basis by up to 5 tons/yr to allow for sources that made changes in reliance on their PM</w:t>
            </w:r>
            <w:r w:rsidRPr="00903BA3">
              <w:rPr>
                <w:sz w:val="22"/>
                <w:szCs w:val="22"/>
                <w:vertAlign w:val="subscript"/>
              </w:rPr>
              <w:t>10</w:t>
            </w:r>
            <w:r w:rsidRPr="00903BA3">
              <w:rPr>
                <w:sz w:val="22"/>
                <w:szCs w:val="22"/>
              </w:rPr>
              <w:t xml:space="preserve"> netting basis</w:t>
            </w:r>
            <w:r w:rsidR="00A2706F" w:rsidRPr="00903BA3">
              <w:rPr>
                <w:sz w:val="22"/>
                <w:szCs w:val="22"/>
              </w:rPr>
              <w:t>, 2)</w:t>
            </w:r>
            <w:r w:rsidRPr="00903BA3">
              <w:rPr>
                <w:sz w:val="22"/>
                <w:szCs w:val="22"/>
              </w:rPr>
              <w:t xml:space="preserve"> sources utilizing existing capacity present in the baseline period </w:t>
            </w:r>
            <w:r w:rsidR="00A2706F" w:rsidRPr="00903BA3">
              <w:rPr>
                <w:sz w:val="22"/>
                <w:szCs w:val="22"/>
              </w:rPr>
              <w:t>can use existing</w:t>
            </w:r>
            <w:r w:rsidRPr="00903BA3">
              <w:rPr>
                <w:sz w:val="22"/>
                <w:szCs w:val="22"/>
              </w:rPr>
              <w:t xml:space="preserve"> equipment </w:t>
            </w:r>
            <w:r w:rsidR="00A2706F" w:rsidRPr="00903BA3">
              <w:rPr>
                <w:sz w:val="22"/>
                <w:szCs w:val="22"/>
              </w:rPr>
              <w:t>to set the PSEL</w:t>
            </w:r>
            <w:r w:rsidR="004A0EA4" w:rsidRPr="00903BA3">
              <w:rPr>
                <w:sz w:val="22"/>
                <w:szCs w:val="22"/>
              </w:rPr>
              <w:t xml:space="preserve">. </w:t>
            </w:r>
            <w:r w:rsidR="00E60FC7" w:rsidRPr="00903BA3">
              <w:rPr>
                <w:sz w:val="22"/>
                <w:szCs w:val="22"/>
              </w:rPr>
              <w:t>(1, 3, 13, 23)</w:t>
            </w:r>
          </w:p>
          <w:p w:rsidR="000B4801" w:rsidRPr="00903BA3" w:rsidRDefault="000B4801" w:rsidP="000B4801">
            <w:pPr>
              <w:rPr>
                <w:sz w:val="22"/>
                <w:szCs w:val="22"/>
              </w:rPr>
            </w:pPr>
          </w:p>
          <w:p w:rsidR="007B04FE" w:rsidRPr="00903BA3" w:rsidRDefault="00207DB5" w:rsidP="000B4801">
            <w:pPr>
              <w:rPr>
                <w:sz w:val="22"/>
                <w:szCs w:val="22"/>
              </w:rPr>
            </w:pPr>
            <w:r w:rsidRPr="00903BA3">
              <w:rPr>
                <w:sz w:val="22"/>
                <w:szCs w:val="22"/>
              </w:rPr>
              <w:t>Sources should not be allowed to choose between existing netting basis or highest actual emissions in the last 10 years for determining a netting basis for PM2.5</w:t>
            </w:r>
            <w:r w:rsidR="00726B14" w:rsidRPr="00903BA3">
              <w:rPr>
                <w:sz w:val="22"/>
                <w:szCs w:val="22"/>
              </w:rPr>
              <w:t xml:space="preserve">. </w:t>
            </w:r>
            <w:r w:rsidRPr="00903BA3">
              <w:rPr>
                <w:sz w:val="22"/>
                <w:szCs w:val="22"/>
              </w:rPr>
              <w:t>We recommen</w:t>
            </w:r>
            <w:r w:rsidR="00726B14" w:rsidRPr="00903BA3">
              <w:rPr>
                <w:sz w:val="22"/>
                <w:szCs w:val="22"/>
              </w:rPr>
              <w:t>d adoption of a 24-month period</w:t>
            </w:r>
            <w:r w:rsidRPr="00903BA3">
              <w:rPr>
                <w:sz w:val="22"/>
                <w:szCs w:val="22"/>
              </w:rPr>
              <w:t>, as required by the fe</w:t>
            </w:r>
            <w:r w:rsidR="00726B14" w:rsidRPr="00903BA3">
              <w:rPr>
                <w:sz w:val="22"/>
                <w:szCs w:val="22"/>
              </w:rPr>
              <w:t>deral program before NSR Reform</w:t>
            </w:r>
            <w:r w:rsidR="004A0EA4" w:rsidRPr="00903BA3">
              <w:rPr>
                <w:sz w:val="22"/>
                <w:szCs w:val="22"/>
              </w:rPr>
              <w:t xml:space="preserve">. </w:t>
            </w:r>
            <w:r w:rsidRPr="00903BA3">
              <w:rPr>
                <w:sz w:val="22"/>
                <w:szCs w:val="22"/>
              </w:rPr>
              <w:t>In no event should sources be allowed to reach back to higher pollution output before the baseline concentration year</w:t>
            </w:r>
            <w:r w:rsidR="004A0EA4" w:rsidRPr="00903BA3">
              <w:rPr>
                <w:sz w:val="22"/>
                <w:szCs w:val="22"/>
              </w:rPr>
              <w:t xml:space="preserve">. </w:t>
            </w:r>
            <w:r w:rsidR="007B04FE" w:rsidRPr="00903BA3">
              <w:rPr>
                <w:sz w:val="22"/>
                <w:szCs w:val="22"/>
              </w:rPr>
              <w:t>All the same problems arise with this static baseline, but an added layer of complexity arises from the 5 ton per year “true-up.”  (12)</w:t>
            </w:r>
          </w:p>
          <w:p w:rsidR="00981E79" w:rsidRPr="00903BA3" w:rsidRDefault="00981E79" w:rsidP="000B4801">
            <w:pPr>
              <w:rPr>
                <w:sz w:val="22"/>
                <w:szCs w:val="22"/>
              </w:rPr>
            </w:pPr>
            <w:r w:rsidRPr="00903BA3">
              <w:rPr>
                <w:sz w:val="22"/>
                <w:szCs w:val="22"/>
              </w:rPr>
              <w:t>If a facility shuts down one of two production lines because of the recent economic downturn, it should not be able to restart it five or ten years later without trigging PSD</w:t>
            </w:r>
            <w:r w:rsidR="008D538C" w:rsidRPr="00903BA3">
              <w:rPr>
                <w:sz w:val="22"/>
                <w:szCs w:val="22"/>
              </w:rPr>
              <w:t xml:space="preserve">. </w:t>
            </w:r>
            <w:r w:rsidRPr="00903BA3">
              <w:rPr>
                <w:sz w:val="22"/>
                <w:szCs w:val="22"/>
              </w:rPr>
              <w:t>(12)</w:t>
            </w:r>
          </w:p>
          <w:p w:rsidR="000B4801" w:rsidRDefault="000B4801" w:rsidP="000B4801">
            <w:pPr>
              <w:rPr>
                <w:i/>
                <w:sz w:val="22"/>
                <w:szCs w:val="22"/>
              </w:rPr>
            </w:pPr>
          </w:p>
          <w:p w:rsidR="00385C0F" w:rsidRPr="00903BA3" w:rsidRDefault="00D60D5D" w:rsidP="000B4801">
            <w:pPr>
              <w:rPr>
                <w:i/>
                <w:sz w:val="22"/>
                <w:szCs w:val="22"/>
              </w:rPr>
            </w:pPr>
            <w:r w:rsidRPr="00903BA3">
              <w:rPr>
                <w:i/>
                <w:sz w:val="22"/>
                <w:szCs w:val="22"/>
              </w:rPr>
              <w:t>Response:</w:t>
            </w:r>
          </w:p>
          <w:p w:rsidR="00CA4D9B" w:rsidRPr="00903BA3" w:rsidRDefault="00CA4D9B" w:rsidP="000B4801">
            <w:pPr>
              <w:autoSpaceDE w:val="0"/>
              <w:autoSpaceDN w:val="0"/>
              <w:adjustRightInd w:val="0"/>
              <w:ind w:right="-180"/>
              <w:rPr>
                <w:i/>
                <w:sz w:val="22"/>
                <w:szCs w:val="22"/>
              </w:rPr>
            </w:pPr>
            <w:r w:rsidRPr="00903BA3">
              <w:rPr>
                <w:i/>
                <w:sz w:val="22"/>
                <w:szCs w:val="22"/>
              </w:rPr>
              <w:t xml:space="preserve">The commenters above provide </w:t>
            </w:r>
            <w:r w:rsidR="00480721" w:rsidRPr="00903BA3">
              <w:rPr>
                <w:i/>
                <w:sz w:val="22"/>
                <w:szCs w:val="22"/>
              </w:rPr>
              <w:t>differing</w:t>
            </w:r>
            <w:r w:rsidRPr="00903BA3">
              <w:rPr>
                <w:i/>
                <w:sz w:val="22"/>
                <w:szCs w:val="22"/>
              </w:rPr>
              <w:t xml:space="preserve"> views about the flexibility that a source should </w:t>
            </w:r>
            <w:r w:rsidR="00480721" w:rsidRPr="00903BA3">
              <w:rPr>
                <w:i/>
                <w:sz w:val="22"/>
                <w:szCs w:val="22"/>
              </w:rPr>
              <w:t>have</w:t>
            </w:r>
            <w:r w:rsidRPr="00903BA3">
              <w:rPr>
                <w:i/>
                <w:sz w:val="22"/>
                <w:szCs w:val="22"/>
              </w:rPr>
              <w:t xml:space="preserve"> to cho</w:t>
            </w:r>
            <w:r w:rsidR="00381946" w:rsidRPr="00903BA3">
              <w:rPr>
                <w:i/>
                <w:sz w:val="22"/>
                <w:szCs w:val="22"/>
              </w:rPr>
              <w:t>o</w:t>
            </w:r>
            <w:r w:rsidRPr="00903BA3">
              <w:rPr>
                <w:i/>
                <w:sz w:val="22"/>
                <w:szCs w:val="22"/>
              </w:rPr>
              <w:t>se a baseline period and whether a source should b</w:t>
            </w:r>
            <w:r w:rsidR="00463927" w:rsidRPr="00903BA3">
              <w:rPr>
                <w:i/>
                <w:sz w:val="22"/>
                <w:szCs w:val="22"/>
              </w:rPr>
              <w:t>e allowed a one-time 5 ton true-</w:t>
            </w:r>
            <w:r w:rsidRPr="00903BA3">
              <w:rPr>
                <w:i/>
                <w:sz w:val="22"/>
                <w:szCs w:val="22"/>
              </w:rPr>
              <w:t>up</w:t>
            </w:r>
            <w:r w:rsidR="008D538C" w:rsidRPr="00903BA3">
              <w:rPr>
                <w:i/>
                <w:sz w:val="22"/>
                <w:szCs w:val="22"/>
              </w:rPr>
              <w:t xml:space="preserve">. </w:t>
            </w:r>
            <w:r w:rsidR="009736D9" w:rsidRPr="00903BA3">
              <w:rPr>
                <w:i/>
                <w:sz w:val="22"/>
                <w:szCs w:val="22"/>
              </w:rPr>
              <w:t xml:space="preserve">DEQ is concerned that allowing </w:t>
            </w:r>
            <w:r w:rsidR="00480721" w:rsidRPr="00903BA3">
              <w:rPr>
                <w:i/>
                <w:sz w:val="22"/>
                <w:szCs w:val="22"/>
              </w:rPr>
              <w:t xml:space="preserve">each </w:t>
            </w:r>
            <w:r w:rsidR="009736D9" w:rsidRPr="00903BA3">
              <w:rPr>
                <w:i/>
                <w:sz w:val="22"/>
                <w:szCs w:val="22"/>
              </w:rPr>
              <w:t xml:space="preserve">source to select </w:t>
            </w:r>
            <w:r w:rsidR="00480721" w:rsidRPr="00903BA3">
              <w:rPr>
                <w:i/>
                <w:sz w:val="22"/>
                <w:szCs w:val="22"/>
              </w:rPr>
              <w:t>the</w:t>
            </w:r>
            <w:r w:rsidR="00FE17F6" w:rsidRPr="00903BA3">
              <w:rPr>
                <w:i/>
                <w:sz w:val="22"/>
                <w:szCs w:val="22"/>
              </w:rPr>
              <w:t xml:space="preserve"> most advantageous</w:t>
            </w:r>
            <w:r w:rsidR="009736D9" w:rsidRPr="00903BA3">
              <w:rPr>
                <w:i/>
                <w:sz w:val="22"/>
                <w:szCs w:val="22"/>
              </w:rPr>
              <w:t xml:space="preserve"> baseline </w:t>
            </w:r>
            <w:r w:rsidR="00FE17F6" w:rsidRPr="00903BA3">
              <w:rPr>
                <w:i/>
                <w:sz w:val="22"/>
                <w:szCs w:val="22"/>
              </w:rPr>
              <w:t>period</w:t>
            </w:r>
            <w:r w:rsidR="009736D9" w:rsidRPr="00903BA3">
              <w:rPr>
                <w:i/>
                <w:sz w:val="22"/>
                <w:szCs w:val="22"/>
              </w:rPr>
              <w:t xml:space="preserve"> weakens the program and could arguably make Oregon’s program less stringent than the federal program, which is strictly prohibited</w:t>
            </w:r>
            <w:r w:rsidR="008D538C" w:rsidRPr="00903BA3">
              <w:rPr>
                <w:i/>
                <w:sz w:val="22"/>
                <w:szCs w:val="22"/>
              </w:rPr>
              <w:t xml:space="preserve">. </w:t>
            </w:r>
          </w:p>
          <w:p w:rsidR="000B4801" w:rsidRDefault="000B4801" w:rsidP="000B4801">
            <w:pPr>
              <w:autoSpaceDE w:val="0"/>
              <w:autoSpaceDN w:val="0"/>
              <w:adjustRightInd w:val="0"/>
              <w:ind w:right="-180"/>
              <w:rPr>
                <w:i/>
                <w:sz w:val="22"/>
                <w:szCs w:val="22"/>
              </w:rPr>
            </w:pPr>
          </w:p>
          <w:p w:rsidR="00A32DCA" w:rsidRPr="00903BA3" w:rsidRDefault="00CA4D9B" w:rsidP="000B4801">
            <w:pPr>
              <w:autoSpaceDE w:val="0"/>
              <w:autoSpaceDN w:val="0"/>
              <w:adjustRightInd w:val="0"/>
              <w:ind w:right="-180"/>
              <w:rPr>
                <w:i/>
                <w:sz w:val="22"/>
                <w:szCs w:val="22"/>
              </w:rPr>
            </w:pPr>
            <w:r w:rsidRPr="00903BA3">
              <w:rPr>
                <w:i/>
                <w:sz w:val="22"/>
                <w:szCs w:val="22"/>
              </w:rPr>
              <w:t xml:space="preserve">DEQ is proposing </w:t>
            </w:r>
            <w:r w:rsidR="00381946" w:rsidRPr="00903BA3">
              <w:rPr>
                <w:i/>
                <w:sz w:val="22"/>
                <w:szCs w:val="22"/>
              </w:rPr>
              <w:t>to provide only one option</w:t>
            </w:r>
            <w:r w:rsidR="00977F51" w:rsidRPr="00903BA3">
              <w:rPr>
                <w:i/>
                <w:sz w:val="22"/>
                <w:szCs w:val="22"/>
              </w:rPr>
              <w:t>. T</w:t>
            </w:r>
            <w:r w:rsidR="0057527D" w:rsidRPr="00903BA3">
              <w:rPr>
                <w:i/>
                <w:sz w:val="22"/>
                <w:szCs w:val="22"/>
              </w:rPr>
              <w:t>he PM</w:t>
            </w:r>
            <w:r w:rsidR="0057527D" w:rsidRPr="00903BA3">
              <w:rPr>
                <w:i/>
                <w:sz w:val="22"/>
                <w:szCs w:val="22"/>
                <w:vertAlign w:val="subscript"/>
              </w:rPr>
              <w:t>2.5</w:t>
            </w:r>
            <w:r w:rsidR="0057527D" w:rsidRPr="00903BA3">
              <w:rPr>
                <w:i/>
                <w:sz w:val="22"/>
                <w:szCs w:val="22"/>
              </w:rPr>
              <w:t xml:space="preserve"> </w:t>
            </w:r>
            <w:r w:rsidR="003D1DD2" w:rsidRPr="00903BA3">
              <w:rPr>
                <w:i/>
                <w:sz w:val="22"/>
                <w:szCs w:val="22"/>
              </w:rPr>
              <w:t>netting basis</w:t>
            </w:r>
            <w:r w:rsidR="0057527D" w:rsidRPr="00903BA3">
              <w:rPr>
                <w:i/>
                <w:sz w:val="22"/>
                <w:szCs w:val="22"/>
              </w:rPr>
              <w:t xml:space="preserve"> </w:t>
            </w:r>
            <w:r w:rsidR="003D1DD2" w:rsidRPr="00903BA3">
              <w:rPr>
                <w:i/>
                <w:sz w:val="22"/>
                <w:szCs w:val="22"/>
              </w:rPr>
              <w:t xml:space="preserve">and </w:t>
            </w:r>
            <w:r w:rsidR="004A330E" w:rsidRPr="00903BA3">
              <w:rPr>
                <w:i/>
                <w:sz w:val="22"/>
                <w:szCs w:val="22"/>
              </w:rPr>
              <w:t>PSEL</w:t>
            </w:r>
            <w:r w:rsidR="003D1DD2" w:rsidRPr="00903BA3">
              <w:rPr>
                <w:i/>
                <w:sz w:val="22"/>
                <w:szCs w:val="22"/>
              </w:rPr>
              <w:t xml:space="preserve"> </w:t>
            </w:r>
            <w:r w:rsidR="0057527D" w:rsidRPr="00903BA3">
              <w:rPr>
                <w:i/>
                <w:sz w:val="22"/>
                <w:szCs w:val="22"/>
              </w:rPr>
              <w:t xml:space="preserve">will be </w:t>
            </w:r>
            <w:r w:rsidR="003D1DD2" w:rsidRPr="00903BA3">
              <w:rPr>
                <w:i/>
                <w:sz w:val="22"/>
                <w:szCs w:val="22"/>
              </w:rPr>
              <w:t>set based</w:t>
            </w:r>
            <w:r w:rsidR="0057527D" w:rsidRPr="00903BA3">
              <w:rPr>
                <w:i/>
                <w:sz w:val="22"/>
                <w:szCs w:val="22"/>
              </w:rPr>
              <w:t xml:space="preserve"> on the </w:t>
            </w:r>
            <w:r w:rsidR="003D1DD2" w:rsidRPr="00903BA3">
              <w:rPr>
                <w:i/>
                <w:sz w:val="22"/>
                <w:szCs w:val="22"/>
              </w:rPr>
              <w:t>PM</w:t>
            </w:r>
            <w:r w:rsidR="003D1DD2" w:rsidRPr="00903BA3">
              <w:rPr>
                <w:i/>
                <w:sz w:val="22"/>
                <w:szCs w:val="22"/>
                <w:vertAlign w:val="subscript"/>
              </w:rPr>
              <w:t>2.5</w:t>
            </w:r>
            <w:r w:rsidR="003D1DD2" w:rsidRPr="00903BA3">
              <w:rPr>
                <w:i/>
                <w:sz w:val="22"/>
                <w:szCs w:val="22"/>
              </w:rPr>
              <w:t xml:space="preserve"> f</w:t>
            </w:r>
            <w:r w:rsidR="0057527D" w:rsidRPr="00903BA3">
              <w:rPr>
                <w:i/>
                <w:sz w:val="22"/>
                <w:szCs w:val="22"/>
              </w:rPr>
              <w:t>raction of the PM</w:t>
            </w:r>
            <w:r w:rsidR="0057527D" w:rsidRPr="00903BA3">
              <w:rPr>
                <w:i/>
                <w:sz w:val="22"/>
                <w:szCs w:val="22"/>
                <w:vertAlign w:val="subscript"/>
              </w:rPr>
              <w:t>10</w:t>
            </w:r>
            <w:r w:rsidR="0057527D" w:rsidRPr="00903BA3">
              <w:rPr>
                <w:i/>
                <w:sz w:val="22"/>
                <w:szCs w:val="22"/>
              </w:rPr>
              <w:t xml:space="preserve"> netting basis and PSEL</w:t>
            </w:r>
            <w:r w:rsidR="004A0EA4" w:rsidRPr="00903BA3">
              <w:rPr>
                <w:i/>
                <w:sz w:val="22"/>
                <w:szCs w:val="22"/>
              </w:rPr>
              <w:t xml:space="preserve">. </w:t>
            </w:r>
            <w:r w:rsidR="00385C0F" w:rsidRPr="00903BA3">
              <w:rPr>
                <w:i/>
                <w:sz w:val="22"/>
                <w:szCs w:val="22"/>
              </w:rPr>
              <w:t>Since there is so much overlap between these two pollutants, this ensures that the introduction of the new pollutant (PM</w:t>
            </w:r>
            <w:r w:rsidR="00385C0F" w:rsidRPr="00903BA3">
              <w:rPr>
                <w:i/>
                <w:sz w:val="22"/>
                <w:szCs w:val="22"/>
                <w:vertAlign w:val="subscript"/>
              </w:rPr>
              <w:t>2.5</w:t>
            </w:r>
            <w:r w:rsidR="00385C0F" w:rsidRPr="00903BA3">
              <w:rPr>
                <w:i/>
                <w:sz w:val="22"/>
                <w:szCs w:val="22"/>
              </w:rPr>
              <w:t xml:space="preserve">) doesn’t trigger any new requirements if a </w:t>
            </w:r>
            <w:r w:rsidR="0080767A" w:rsidRPr="00903BA3">
              <w:rPr>
                <w:i/>
                <w:sz w:val="22"/>
                <w:szCs w:val="22"/>
              </w:rPr>
              <w:t>source</w:t>
            </w:r>
            <w:r w:rsidR="00385C0F" w:rsidRPr="00903BA3">
              <w:rPr>
                <w:i/>
                <w:sz w:val="22"/>
                <w:szCs w:val="22"/>
              </w:rPr>
              <w:t xml:space="preserve"> is not making any </w:t>
            </w:r>
            <w:r w:rsidR="0076458A" w:rsidRPr="00903BA3">
              <w:rPr>
                <w:i/>
                <w:sz w:val="22"/>
                <w:szCs w:val="22"/>
              </w:rPr>
              <w:t xml:space="preserve">physical </w:t>
            </w:r>
            <w:r w:rsidR="00385C0F" w:rsidRPr="00903BA3">
              <w:rPr>
                <w:i/>
                <w:sz w:val="22"/>
                <w:szCs w:val="22"/>
              </w:rPr>
              <w:t>modifications or production increases</w:t>
            </w:r>
            <w:r w:rsidR="004A0EA4" w:rsidRPr="00903BA3">
              <w:rPr>
                <w:i/>
                <w:sz w:val="22"/>
                <w:szCs w:val="22"/>
              </w:rPr>
              <w:t xml:space="preserve">. </w:t>
            </w:r>
            <w:r w:rsidR="009C6A7B" w:rsidRPr="00903BA3">
              <w:rPr>
                <w:i/>
                <w:sz w:val="22"/>
                <w:szCs w:val="22"/>
              </w:rPr>
              <w:t>In addition, it takes into account whether the source has gone through NSR/PSD for PM</w:t>
            </w:r>
            <w:r w:rsidR="009C6A7B" w:rsidRPr="00903BA3">
              <w:rPr>
                <w:i/>
                <w:sz w:val="22"/>
                <w:szCs w:val="22"/>
                <w:vertAlign w:val="subscript"/>
              </w:rPr>
              <w:t>10</w:t>
            </w:r>
            <w:r w:rsidR="004A0EA4" w:rsidRPr="00903BA3">
              <w:rPr>
                <w:i/>
                <w:sz w:val="22"/>
                <w:szCs w:val="22"/>
              </w:rPr>
              <w:t xml:space="preserve">. </w:t>
            </w:r>
            <w:r w:rsidR="00385C0F" w:rsidRPr="00903BA3">
              <w:rPr>
                <w:i/>
                <w:sz w:val="22"/>
                <w:szCs w:val="22"/>
              </w:rPr>
              <w:t>These numbers could diverge in the future as changes are made to the plant, so that either or both pollutants could trigger NSR/PSD or a PSEL modeling analysis</w:t>
            </w:r>
            <w:r w:rsidR="004A0EA4" w:rsidRPr="00903BA3">
              <w:rPr>
                <w:i/>
                <w:sz w:val="22"/>
                <w:szCs w:val="22"/>
              </w:rPr>
              <w:t xml:space="preserve">. </w:t>
            </w:r>
          </w:p>
          <w:p w:rsidR="000B4801" w:rsidRDefault="000B4801" w:rsidP="000B4801">
            <w:pPr>
              <w:autoSpaceDE w:val="0"/>
              <w:autoSpaceDN w:val="0"/>
              <w:adjustRightInd w:val="0"/>
              <w:ind w:right="-180"/>
              <w:rPr>
                <w:i/>
                <w:sz w:val="22"/>
                <w:szCs w:val="22"/>
              </w:rPr>
            </w:pPr>
          </w:p>
          <w:p w:rsidR="007B04FE" w:rsidRPr="00903BA3" w:rsidRDefault="00BD7E89" w:rsidP="000B4801">
            <w:pPr>
              <w:autoSpaceDE w:val="0"/>
              <w:autoSpaceDN w:val="0"/>
              <w:adjustRightInd w:val="0"/>
              <w:ind w:right="-180"/>
              <w:rPr>
                <w:i/>
                <w:sz w:val="22"/>
                <w:szCs w:val="22"/>
              </w:rPr>
            </w:pPr>
            <w:r w:rsidRPr="00903BA3">
              <w:rPr>
                <w:i/>
                <w:sz w:val="22"/>
                <w:szCs w:val="22"/>
              </w:rPr>
              <w:t xml:space="preserve">Although it does add complexity, </w:t>
            </w:r>
            <w:r w:rsidR="00FE17F6" w:rsidRPr="00903BA3">
              <w:rPr>
                <w:i/>
                <w:sz w:val="22"/>
                <w:szCs w:val="22"/>
              </w:rPr>
              <w:t xml:space="preserve">DEQ proposes that </w:t>
            </w:r>
            <w:r w:rsidR="00385C0F" w:rsidRPr="00903BA3">
              <w:rPr>
                <w:i/>
                <w:sz w:val="22"/>
                <w:szCs w:val="22"/>
              </w:rPr>
              <w:t>permit writer</w:t>
            </w:r>
            <w:r w:rsidR="00977F51" w:rsidRPr="00903BA3">
              <w:rPr>
                <w:i/>
                <w:sz w:val="22"/>
                <w:szCs w:val="22"/>
              </w:rPr>
              <w:t>s</w:t>
            </w:r>
            <w:r w:rsidR="00385C0F" w:rsidRPr="00903BA3">
              <w:rPr>
                <w:i/>
                <w:sz w:val="22"/>
                <w:szCs w:val="22"/>
              </w:rPr>
              <w:t xml:space="preserve"> </w:t>
            </w:r>
            <w:r w:rsidR="009F138B" w:rsidRPr="00903BA3">
              <w:rPr>
                <w:i/>
                <w:sz w:val="22"/>
                <w:szCs w:val="22"/>
              </w:rPr>
              <w:t xml:space="preserve">be allowed </w:t>
            </w:r>
            <w:r w:rsidR="00385C0F" w:rsidRPr="00903BA3">
              <w:rPr>
                <w:i/>
                <w:sz w:val="22"/>
                <w:szCs w:val="22"/>
              </w:rPr>
              <w:t xml:space="preserve">to make a </w:t>
            </w:r>
            <w:r w:rsidR="004A330E" w:rsidRPr="00903BA3">
              <w:rPr>
                <w:i/>
                <w:sz w:val="22"/>
                <w:szCs w:val="22"/>
              </w:rPr>
              <w:t>one</w:t>
            </w:r>
            <w:r w:rsidR="00385C0F" w:rsidRPr="00903BA3">
              <w:rPr>
                <w:i/>
                <w:sz w:val="22"/>
                <w:szCs w:val="22"/>
              </w:rPr>
              <w:t xml:space="preserve"> time true-up of up to 5 tons in the PM</w:t>
            </w:r>
            <w:r w:rsidR="00385C0F" w:rsidRPr="00903BA3">
              <w:rPr>
                <w:i/>
                <w:sz w:val="22"/>
                <w:szCs w:val="22"/>
                <w:vertAlign w:val="subscript"/>
              </w:rPr>
              <w:t>2.5</w:t>
            </w:r>
            <w:r w:rsidR="00385C0F" w:rsidRPr="00903BA3">
              <w:rPr>
                <w:i/>
                <w:sz w:val="22"/>
                <w:szCs w:val="22"/>
              </w:rPr>
              <w:t xml:space="preserve"> netting basis </w:t>
            </w:r>
            <w:r w:rsidR="00385C0F" w:rsidRPr="00903BA3">
              <w:rPr>
                <w:i/>
                <w:sz w:val="22"/>
                <w:szCs w:val="22"/>
                <w:u w:val="single"/>
              </w:rPr>
              <w:t>if needed</w:t>
            </w:r>
            <w:r w:rsidR="00385C0F" w:rsidRPr="00903BA3">
              <w:rPr>
                <w:i/>
                <w:sz w:val="22"/>
                <w:szCs w:val="22"/>
              </w:rPr>
              <w:t xml:space="preserve"> to account for </w:t>
            </w:r>
            <w:r w:rsidR="00A63F03" w:rsidRPr="00903BA3">
              <w:rPr>
                <w:i/>
                <w:sz w:val="22"/>
                <w:szCs w:val="22"/>
              </w:rPr>
              <w:t>the difference in the significant emission rate for PM</w:t>
            </w:r>
            <w:r w:rsidR="00A63F03" w:rsidRPr="00903BA3">
              <w:rPr>
                <w:i/>
                <w:sz w:val="22"/>
                <w:szCs w:val="22"/>
                <w:vertAlign w:val="subscript"/>
              </w:rPr>
              <w:t>10</w:t>
            </w:r>
            <w:r w:rsidR="00A63F03" w:rsidRPr="00903BA3">
              <w:rPr>
                <w:i/>
                <w:sz w:val="22"/>
                <w:szCs w:val="22"/>
              </w:rPr>
              <w:t xml:space="preserve"> and PM</w:t>
            </w:r>
            <w:r w:rsidR="00A63F03" w:rsidRPr="00903BA3">
              <w:rPr>
                <w:i/>
                <w:sz w:val="22"/>
                <w:szCs w:val="22"/>
                <w:vertAlign w:val="subscript"/>
              </w:rPr>
              <w:t>2.5</w:t>
            </w:r>
            <w:r w:rsidR="008D538C" w:rsidRPr="00903BA3">
              <w:rPr>
                <w:i/>
                <w:sz w:val="22"/>
                <w:szCs w:val="22"/>
              </w:rPr>
              <w:t xml:space="preserve">. </w:t>
            </w:r>
            <w:r w:rsidR="00C36EB2" w:rsidRPr="00903BA3">
              <w:rPr>
                <w:i/>
                <w:sz w:val="22"/>
                <w:szCs w:val="22"/>
              </w:rPr>
              <w:t>This will</w:t>
            </w:r>
            <w:r w:rsidR="00A63F03" w:rsidRPr="00903BA3">
              <w:rPr>
                <w:i/>
                <w:sz w:val="22"/>
                <w:szCs w:val="22"/>
              </w:rPr>
              <w:t xml:space="preserve"> avoid retroactively making a source subject to NSR/PSD for PM</w:t>
            </w:r>
            <w:r w:rsidR="00A63F03" w:rsidRPr="00903BA3">
              <w:rPr>
                <w:i/>
                <w:sz w:val="22"/>
                <w:szCs w:val="22"/>
                <w:vertAlign w:val="subscript"/>
              </w:rPr>
              <w:t>2.5</w:t>
            </w:r>
            <w:r w:rsidR="004A0EA4" w:rsidRPr="00903BA3">
              <w:rPr>
                <w:i/>
                <w:sz w:val="22"/>
                <w:szCs w:val="22"/>
              </w:rPr>
              <w:t xml:space="preserve">. </w:t>
            </w:r>
            <w:r w:rsidR="00385C0F" w:rsidRPr="00903BA3">
              <w:rPr>
                <w:i/>
                <w:sz w:val="22"/>
                <w:szCs w:val="22"/>
              </w:rPr>
              <w:t>This is needed because the SER for PM</w:t>
            </w:r>
            <w:r w:rsidR="00385C0F" w:rsidRPr="00903BA3">
              <w:rPr>
                <w:i/>
                <w:sz w:val="22"/>
                <w:szCs w:val="22"/>
                <w:vertAlign w:val="subscript"/>
              </w:rPr>
              <w:t>2.5</w:t>
            </w:r>
            <w:r w:rsidR="00385C0F" w:rsidRPr="00903BA3">
              <w:rPr>
                <w:i/>
                <w:sz w:val="22"/>
                <w:szCs w:val="22"/>
              </w:rPr>
              <w:t xml:space="preserve"> is 5 tons lower than the SER for PM</w:t>
            </w:r>
            <w:r w:rsidR="00385C0F" w:rsidRPr="00903BA3">
              <w:rPr>
                <w:i/>
                <w:sz w:val="22"/>
                <w:szCs w:val="22"/>
                <w:vertAlign w:val="subscript"/>
              </w:rPr>
              <w:t>10</w:t>
            </w:r>
            <w:r w:rsidR="00385C0F" w:rsidRPr="00903BA3">
              <w:rPr>
                <w:i/>
                <w:sz w:val="22"/>
                <w:szCs w:val="22"/>
              </w:rPr>
              <w:t>, so without the true-up, a modification that was approved under the PM</w:t>
            </w:r>
            <w:r w:rsidR="00385C0F" w:rsidRPr="00903BA3">
              <w:rPr>
                <w:i/>
                <w:sz w:val="22"/>
                <w:szCs w:val="22"/>
                <w:vertAlign w:val="subscript"/>
              </w:rPr>
              <w:t>10</w:t>
            </w:r>
            <w:r w:rsidR="00385C0F" w:rsidRPr="00903BA3">
              <w:rPr>
                <w:i/>
                <w:sz w:val="22"/>
                <w:szCs w:val="22"/>
              </w:rPr>
              <w:t xml:space="preserve"> rules could be retroactively in violation of the PM</w:t>
            </w:r>
            <w:r w:rsidR="00385C0F" w:rsidRPr="00903BA3">
              <w:rPr>
                <w:i/>
                <w:sz w:val="22"/>
                <w:szCs w:val="22"/>
                <w:vertAlign w:val="subscript"/>
              </w:rPr>
              <w:t>2.5</w:t>
            </w:r>
            <w:r w:rsidR="00385C0F" w:rsidRPr="00903BA3">
              <w:rPr>
                <w:i/>
                <w:sz w:val="22"/>
                <w:szCs w:val="22"/>
              </w:rPr>
              <w:t xml:space="preserve"> rules. </w:t>
            </w:r>
            <w:r w:rsidR="00EE1F13" w:rsidRPr="00903BA3">
              <w:rPr>
                <w:i/>
                <w:sz w:val="22"/>
                <w:szCs w:val="22"/>
              </w:rPr>
              <w:t xml:space="preserve">This one time true-up is </w:t>
            </w:r>
            <w:r w:rsidR="0076458A" w:rsidRPr="00903BA3">
              <w:rPr>
                <w:i/>
                <w:sz w:val="22"/>
                <w:szCs w:val="22"/>
              </w:rPr>
              <w:t xml:space="preserve">only </w:t>
            </w:r>
            <w:r w:rsidR="00EE1F13" w:rsidRPr="00903BA3">
              <w:rPr>
                <w:i/>
                <w:sz w:val="22"/>
                <w:szCs w:val="22"/>
              </w:rPr>
              <w:t xml:space="preserve">for </w:t>
            </w:r>
            <w:r w:rsidR="0076458A" w:rsidRPr="00903BA3">
              <w:rPr>
                <w:i/>
                <w:sz w:val="22"/>
                <w:szCs w:val="22"/>
              </w:rPr>
              <w:t xml:space="preserve">previously approved </w:t>
            </w:r>
            <w:r w:rsidR="00EE1F13" w:rsidRPr="00903BA3">
              <w:rPr>
                <w:i/>
                <w:sz w:val="22"/>
                <w:szCs w:val="22"/>
              </w:rPr>
              <w:t xml:space="preserve">modifications </w:t>
            </w:r>
            <w:r w:rsidR="00874049" w:rsidRPr="00903BA3">
              <w:rPr>
                <w:i/>
                <w:sz w:val="22"/>
                <w:szCs w:val="22"/>
              </w:rPr>
              <w:t>that increased PM</w:t>
            </w:r>
            <w:r w:rsidR="00874049" w:rsidRPr="00903BA3">
              <w:rPr>
                <w:i/>
                <w:sz w:val="22"/>
                <w:szCs w:val="22"/>
                <w:vertAlign w:val="subscript"/>
              </w:rPr>
              <w:t>10</w:t>
            </w:r>
            <w:r w:rsidR="00874049" w:rsidRPr="00903BA3">
              <w:rPr>
                <w:i/>
                <w:sz w:val="22"/>
                <w:szCs w:val="22"/>
              </w:rPr>
              <w:t xml:space="preserve"> emissions </w:t>
            </w:r>
            <w:r w:rsidR="00EE1F13" w:rsidRPr="00903BA3">
              <w:rPr>
                <w:i/>
                <w:sz w:val="22"/>
                <w:szCs w:val="22"/>
              </w:rPr>
              <w:t>before PM</w:t>
            </w:r>
            <w:r w:rsidR="00EE1F13" w:rsidRPr="00903BA3">
              <w:rPr>
                <w:i/>
                <w:sz w:val="22"/>
                <w:szCs w:val="22"/>
                <w:vertAlign w:val="subscript"/>
              </w:rPr>
              <w:t>2.5</w:t>
            </w:r>
            <w:r w:rsidR="00EE1F13" w:rsidRPr="00903BA3">
              <w:rPr>
                <w:i/>
                <w:sz w:val="22"/>
                <w:szCs w:val="22"/>
              </w:rPr>
              <w:t xml:space="preserve"> became a regulated pollutant</w:t>
            </w:r>
            <w:r w:rsidR="004A0EA4" w:rsidRPr="00903BA3">
              <w:rPr>
                <w:i/>
                <w:sz w:val="22"/>
                <w:szCs w:val="22"/>
              </w:rPr>
              <w:t xml:space="preserve">. </w:t>
            </w:r>
            <w:r w:rsidR="00EE1F13" w:rsidRPr="00903BA3">
              <w:rPr>
                <w:i/>
                <w:sz w:val="22"/>
                <w:szCs w:val="22"/>
              </w:rPr>
              <w:t xml:space="preserve">All future modifications </w:t>
            </w:r>
            <w:r w:rsidR="00977F51" w:rsidRPr="00903BA3">
              <w:rPr>
                <w:i/>
                <w:sz w:val="22"/>
                <w:szCs w:val="22"/>
              </w:rPr>
              <w:t xml:space="preserve">will continue to </w:t>
            </w:r>
            <w:r w:rsidR="00EE1F13" w:rsidRPr="00903BA3">
              <w:rPr>
                <w:i/>
                <w:sz w:val="22"/>
                <w:szCs w:val="22"/>
              </w:rPr>
              <w:t>be examined for NSR/PSD applicability</w:t>
            </w:r>
            <w:r w:rsidR="004A0EA4" w:rsidRPr="00903BA3">
              <w:rPr>
                <w:i/>
                <w:sz w:val="22"/>
                <w:szCs w:val="22"/>
              </w:rPr>
              <w:t xml:space="preserve">. </w:t>
            </w:r>
          </w:p>
          <w:p w:rsidR="000B4801" w:rsidRDefault="000B4801" w:rsidP="000B4801">
            <w:pPr>
              <w:autoSpaceDE w:val="0"/>
              <w:autoSpaceDN w:val="0"/>
              <w:adjustRightInd w:val="0"/>
              <w:ind w:right="-180"/>
              <w:rPr>
                <w:i/>
                <w:sz w:val="22"/>
                <w:szCs w:val="22"/>
              </w:rPr>
            </w:pPr>
          </w:p>
          <w:p w:rsidR="00385C0F" w:rsidRPr="00903BA3" w:rsidRDefault="007B04FE" w:rsidP="000B4801">
            <w:pPr>
              <w:autoSpaceDE w:val="0"/>
              <w:autoSpaceDN w:val="0"/>
              <w:adjustRightInd w:val="0"/>
              <w:ind w:right="-180"/>
              <w:rPr>
                <w:i/>
                <w:sz w:val="22"/>
                <w:szCs w:val="22"/>
              </w:rPr>
            </w:pPr>
            <w:r w:rsidRPr="00903BA3">
              <w:rPr>
                <w:i/>
                <w:sz w:val="22"/>
                <w:szCs w:val="22"/>
              </w:rPr>
              <w:t>The PM</w:t>
            </w:r>
            <w:r w:rsidRPr="00903BA3">
              <w:rPr>
                <w:i/>
                <w:sz w:val="22"/>
                <w:szCs w:val="22"/>
                <w:vertAlign w:val="subscript"/>
              </w:rPr>
              <w:t>2.5</w:t>
            </w:r>
            <w:r w:rsidRPr="00903BA3">
              <w:rPr>
                <w:i/>
                <w:sz w:val="22"/>
                <w:szCs w:val="22"/>
              </w:rPr>
              <w:t xml:space="preserve"> PSEL </w:t>
            </w:r>
            <w:r w:rsidR="00FE17F6" w:rsidRPr="00903BA3">
              <w:rPr>
                <w:i/>
                <w:sz w:val="22"/>
                <w:szCs w:val="22"/>
              </w:rPr>
              <w:t>is proposed to</w:t>
            </w:r>
            <w:r w:rsidRPr="00903BA3">
              <w:rPr>
                <w:i/>
                <w:sz w:val="22"/>
                <w:szCs w:val="22"/>
              </w:rPr>
              <w:t xml:space="preserve"> be the PM</w:t>
            </w:r>
            <w:r w:rsidRPr="00903BA3">
              <w:rPr>
                <w:i/>
                <w:sz w:val="22"/>
                <w:szCs w:val="22"/>
                <w:vertAlign w:val="subscript"/>
              </w:rPr>
              <w:t>2.5</w:t>
            </w:r>
            <w:r w:rsidRPr="00903BA3">
              <w:rPr>
                <w:i/>
                <w:sz w:val="22"/>
                <w:szCs w:val="22"/>
              </w:rPr>
              <w:t xml:space="preserve"> fraction of the PM</w:t>
            </w:r>
            <w:r w:rsidRPr="00903BA3">
              <w:rPr>
                <w:i/>
                <w:sz w:val="22"/>
                <w:szCs w:val="22"/>
                <w:vertAlign w:val="subscript"/>
              </w:rPr>
              <w:t>10</w:t>
            </w:r>
            <w:r w:rsidRPr="00903BA3">
              <w:rPr>
                <w:i/>
                <w:sz w:val="22"/>
                <w:szCs w:val="22"/>
              </w:rPr>
              <w:t xml:space="preserve"> PSEL</w:t>
            </w:r>
            <w:r w:rsidR="004A0EA4" w:rsidRPr="00903BA3">
              <w:rPr>
                <w:i/>
                <w:sz w:val="22"/>
                <w:szCs w:val="22"/>
              </w:rPr>
              <w:t xml:space="preserve">. </w:t>
            </w:r>
            <w:r w:rsidRPr="00903BA3">
              <w:rPr>
                <w:i/>
                <w:sz w:val="22"/>
                <w:szCs w:val="22"/>
              </w:rPr>
              <w:t>Since PSELs are based on existing equipment</w:t>
            </w:r>
            <w:r w:rsidR="00EE1F13" w:rsidRPr="00903BA3">
              <w:rPr>
                <w:i/>
                <w:sz w:val="22"/>
                <w:szCs w:val="22"/>
              </w:rPr>
              <w:t>, sources will be able to use existing capacity in setting their PM</w:t>
            </w:r>
            <w:r w:rsidR="00EE1F13" w:rsidRPr="00903BA3">
              <w:rPr>
                <w:i/>
                <w:sz w:val="22"/>
                <w:szCs w:val="22"/>
                <w:vertAlign w:val="subscript"/>
              </w:rPr>
              <w:t>2.5</w:t>
            </w:r>
            <w:r w:rsidR="00EE1F13" w:rsidRPr="00903BA3">
              <w:rPr>
                <w:i/>
                <w:sz w:val="22"/>
                <w:szCs w:val="22"/>
              </w:rPr>
              <w:t xml:space="preserve"> PSEL</w:t>
            </w:r>
            <w:r w:rsidR="00EF5AE9" w:rsidRPr="00903BA3">
              <w:rPr>
                <w:i/>
                <w:sz w:val="22"/>
                <w:szCs w:val="22"/>
              </w:rPr>
              <w:t xml:space="preserve"> if the </w:t>
            </w:r>
            <w:r w:rsidR="00E208C6" w:rsidRPr="00903BA3">
              <w:rPr>
                <w:i/>
                <w:sz w:val="22"/>
                <w:szCs w:val="22"/>
              </w:rPr>
              <w:t>PM</w:t>
            </w:r>
            <w:r w:rsidR="00E208C6" w:rsidRPr="00903BA3">
              <w:rPr>
                <w:i/>
                <w:sz w:val="22"/>
                <w:szCs w:val="22"/>
                <w:vertAlign w:val="subscript"/>
              </w:rPr>
              <w:t>10</w:t>
            </w:r>
            <w:r w:rsidR="00E208C6" w:rsidRPr="00903BA3">
              <w:rPr>
                <w:i/>
                <w:sz w:val="22"/>
                <w:szCs w:val="22"/>
              </w:rPr>
              <w:t xml:space="preserve"> </w:t>
            </w:r>
            <w:r w:rsidR="00EF5AE9" w:rsidRPr="00903BA3">
              <w:rPr>
                <w:i/>
                <w:sz w:val="22"/>
                <w:szCs w:val="22"/>
              </w:rPr>
              <w:t>PSEL allow</w:t>
            </w:r>
            <w:r w:rsidR="00E208C6" w:rsidRPr="00903BA3">
              <w:rPr>
                <w:i/>
                <w:sz w:val="22"/>
                <w:szCs w:val="22"/>
              </w:rPr>
              <w:t>s</w:t>
            </w:r>
            <w:r w:rsidR="00EF5AE9" w:rsidRPr="00903BA3">
              <w:rPr>
                <w:i/>
                <w:sz w:val="22"/>
                <w:szCs w:val="22"/>
              </w:rPr>
              <w:t xml:space="preserve"> the use of existing capacity</w:t>
            </w:r>
            <w:r w:rsidR="008D538C" w:rsidRPr="00903BA3">
              <w:rPr>
                <w:i/>
                <w:sz w:val="22"/>
                <w:szCs w:val="22"/>
              </w:rPr>
              <w:t xml:space="preserve">. </w:t>
            </w:r>
            <w:r w:rsidR="00BD7E89" w:rsidRPr="00903BA3">
              <w:rPr>
                <w:i/>
                <w:sz w:val="22"/>
                <w:szCs w:val="22"/>
              </w:rPr>
              <w:t xml:space="preserve">For some facilities, the </w:t>
            </w:r>
            <w:r w:rsidR="00EF5AE9" w:rsidRPr="00903BA3">
              <w:rPr>
                <w:i/>
                <w:sz w:val="22"/>
                <w:szCs w:val="22"/>
              </w:rPr>
              <w:lastRenderedPageBreak/>
              <w:t>PSEL</w:t>
            </w:r>
            <w:r w:rsidR="00BD7E89" w:rsidRPr="00903BA3">
              <w:rPr>
                <w:i/>
                <w:sz w:val="22"/>
                <w:szCs w:val="22"/>
              </w:rPr>
              <w:t xml:space="preserve"> is set at less than capacity so it</w:t>
            </w:r>
            <w:r w:rsidR="00EF5AE9" w:rsidRPr="00903BA3">
              <w:rPr>
                <w:i/>
                <w:sz w:val="22"/>
                <w:szCs w:val="22"/>
              </w:rPr>
              <w:t xml:space="preserve"> do</w:t>
            </w:r>
            <w:r w:rsidR="00BD7E89" w:rsidRPr="00903BA3">
              <w:rPr>
                <w:i/>
                <w:sz w:val="22"/>
                <w:szCs w:val="22"/>
              </w:rPr>
              <w:t>es</w:t>
            </w:r>
            <w:r w:rsidR="00EF5AE9" w:rsidRPr="00903BA3">
              <w:rPr>
                <w:i/>
                <w:sz w:val="22"/>
                <w:szCs w:val="22"/>
              </w:rPr>
              <w:t xml:space="preserve"> not allow for the use of </w:t>
            </w:r>
            <w:r w:rsidR="00BD7E89" w:rsidRPr="00903BA3">
              <w:rPr>
                <w:i/>
                <w:sz w:val="22"/>
                <w:szCs w:val="22"/>
              </w:rPr>
              <w:t xml:space="preserve">full </w:t>
            </w:r>
            <w:r w:rsidR="00EF5AE9" w:rsidRPr="00903BA3">
              <w:rPr>
                <w:i/>
                <w:sz w:val="22"/>
                <w:szCs w:val="22"/>
              </w:rPr>
              <w:t>existing capacity</w:t>
            </w:r>
            <w:r w:rsidR="008D538C" w:rsidRPr="00903BA3">
              <w:rPr>
                <w:i/>
                <w:sz w:val="22"/>
                <w:szCs w:val="22"/>
              </w:rPr>
              <w:t xml:space="preserve">. </w:t>
            </w:r>
            <w:r w:rsidR="00BD7E89" w:rsidRPr="00903BA3">
              <w:rPr>
                <w:i/>
                <w:sz w:val="22"/>
                <w:szCs w:val="22"/>
              </w:rPr>
              <w:t>In these instances</w:t>
            </w:r>
            <w:r w:rsidR="00EF5AE9" w:rsidRPr="00903BA3">
              <w:rPr>
                <w:i/>
                <w:sz w:val="22"/>
                <w:szCs w:val="22"/>
              </w:rPr>
              <w:t xml:space="preserve">, the source could request an increase </w:t>
            </w:r>
            <w:r w:rsidR="00BD7E89" w:rsidRPr="00903BA3">
              <w:rPr>
                <w:i/>
                <w:sz w:val="22"/>
                <w:szCs w:val="22"/>
              </w:rPr>
              <w:t xml:space="preserve">to full capacity </w:t>
            </w:r>
            <w:r w:rsidR="00EF5AE9" w:rsidRPr="00903BA3">
              <w:rPr>
                <w:i/>
                <w:sz w:val="22"/>
                <w:szCs w:val="22"/>
              </w:rPr>
              <w:t>in accordance with the PSEL rule</w:t>
            </w:r>
            <w:r w:rsidR="008D538C" w:rsidRPr="00903BA3">
              <w:rPr>
                <w:i/>
                <w:sz w:val="22"/>
                <w:szCs w:val="22"/>
              </w:rPr>
              <w:t xml:space="preserve">. </w:t>
            </w:r>
            <w:r w:rsidR="00EF5AE9" w:rsidRPr="00903BA3">
              <w:rPr>
                <w:i/>
                <w:sz w:val="22"/>
                <w:szCs w:val="22"/>
              </w:rPr>
              <w:t xml:space="preserve">An increase </w:t>
            </w:r>
            <w:r w:rsidR="00E208C6" w:rsidRPr="00903BA3">
              <w:rPr>
                <w:i/>
                <w:sz w:val="22"/>
                <w:szCs w:val="22"/>
              </w:rPr>
              <w:t xml:space="preserve">in emissions </w:t>
            </w:r>
            <w:r w:rsidR="00EF5AE9" w:rsidRPr="00903BA3">
              <w:rPr>
                <w:i/>
                <w:sz w:val="22"/>
                <w:szCs w:val="22"/>
              </w:rPr>
              <w:t xml:space="preserve">due to utilizing existing capacity would not be subject to NSR/PSD, but may require </w:t>
            </w:r>
            <w:r w:rsidR="00BD7E89" w:rsidRPr="00903BA3">
              <w:rPr>
                <w:i/>
                <w:sz w:val="22"/>
                <w:szCs w:val="22"/>
              </w:rPr>
              <w:t xml:space="preserve">an ambient air quality analysis </w:t>
            </w:r>
            <w:r w:rsidR="00FE17F6" w:rsidRPr="00903BA3">
              <w:rPr>
                <w:i/>
                <w:sz w:val="22"/>
                <w:szCs w:val="22"/>
              </w:rPr>
              <w:t>that</w:t>
            </w:r>
            <w:r w:rsidR="00BD7E89" w:rsidRPr="00903BA3">
              <w:rPr>
                <w:i/>
                <w:sz w:val="22"/>
                <w:szCs w:val="22"/>
              </w:rPr>
              <w:t xml:space="preserve"> includes </w:t>
            </w:r>
            <w:r w:rsidR="00EF5AE9" w:rsidRPr="00903BA3">
              <w:rPr>
                <w:i/>
                <w:sz w:val="22"/>
                <w:szCs w:val="22"/>
              </w:rPr>
              <w:t>modeling.</w:t>
            </w:r>
          </w:p>
          <w:p w:rsidR="00981E79" w:rsidRDefault="00981E79" w:rsidP="000B4801">
            <w:pPr>
              <w:rPr>
                <w:i/>
                <w:sz w:val="22"/>
                <w:szCs w:val="22"/>
              </w:rPr>
            </w:pPr>
            <w:r w:rsidRPr="00903BA3">
              <w:rPr>
                <w:i/>
                <w:sz w:val="22"/>
                <w:szCs w:val="22"/>
              </w:rPr>
              <w:t>In the example cited above regarding shut down of a production line, restarting that production line would not trigger PSD through Oregon’s or EPA’s program</w:t>
            </w:r>
            <w:r w:rsidR="008D538C" w:rsidRPr="00903BA3">
              <w:rPr>
                <w:i/>
                <w:sz w:val="22"/>
                <w:szCs w:val="22"/>
              </w:rPr>
              <w:t xml:space="preserve">. </w:t>
            </w:r>
            <w:r w:rsidR="00965FFE" w:rsidRPr="00903BA3">
              <w:rPr>
                <w:i/>
                <w:sz w:val="22"/>
                <w:szCs w:val="22"/>
              </w:rPr>
              <w:t xml:space="preserve">In both programs, </w:t>
            </w:r>
            <w:r w:rsidRPr="00903BA3">
              <w:rPr>
                <w:i/>
                <w:sz w:val="22"/>
                <w:szCs w:val="22"/>
              </w:rPr>
              <w:t xml:space="preserve">the use of existing capacity </w:t>
            </w:r>
            <w:r w:rsidR="00CA62C4" w:rsidRPr="00903BA3">
              <w:rPr>
                <w:i/>
                <w:sz w:val="22"/>
                <w:szCs w:val="22"/>
              </w:rPr>
              <w:t xml:space="preserve">without a physical modification </w:t>
            </w:r>
            <w:r w:rsidR="00965FFE" w:rsidRPr="00903BA3">
              <w:rPr>
                <w:i/>
                <w:sz w:val="22"/>
                <w:szCs w:val="22"/>
              </w:rPr>
              <w:t>would not trigger PSD</w:t>
            </w:r>
            <w:r w:rsidR="00C30013" w:rsidRPr="00903BA3">
              <w:rPr>
                <w:i/>
                <w:sz w:val="22"/>
                <w:szCs w:val="22"/>
              </w:rPr>
              <w:t>,</w:t>
            </w:r>
            <w:r w:rsidR="00965FFE" w:rsidRPr="00903BA3">
              <w:rPr>
                <w:i/>
                <w:sz w:val="22"/>
                <w:szCs w:val="22"/>
              </w:rPr>
              <w:t xml:space="preserve"> </w:t>
            </w:r>
            <w:r w:rsidRPr="00903BA3">
              <w:rPr>
                <w:i/>
                <w:sz w:val="22"/>
                <w:szCs w:val="22"/>
              </w:rPr>
              <w:t>so in this respect, the programs are identical</w:t>
            </w:r>
            <w:r w:rsidR="008D538C" w:rsidRPr="00903BA3">
              <w:rPr>
                <w:i/>
                <w:sz w:val="22"/>
                <w:szCs w:val="22"/>
              </w:rPr>
              <w:t xml:space="preserve">. </w:t>
            </w:r>
            <w:r w:rsidRPr="00903BA3">
              <w:rPr>
                <w:i/>
                <w:sz w:val="22"/>
                <w:szCs w:val="22"/>
              </w:rPr>
              <w:t xml:space="preserve">  </w:t>
            </w:r>
          </w:p>
          <w:p w:rsidR="000B4801" w:rsidRPr="00903BA3" w:rsidRDefault="000B4801" w:rsidP="000B4801">
            <w:pPr>
              <w:rPr>
                <w:i/>
                <w:sz w:val="22"/>
                <w:szCs w:val="22"/>
              </w:rPr>
            </w:pPr>
          </w:p>
        </w:tc>
      </w:tr>
      <w:tr w:rsidR="0051452D"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1452D" w:rsidRPr="00903BA3" w:rsidRDefault="000B4801" w:rsidP="000B4801">
            <w:pPr>
              <w:rPr>
                <w:sz w:val="22"/>
                <w:szCs w:val="22"/>
              </w:rPr>
            </w:pPr>
            <w:r>
              <w:rPr>
                <w:sz w:val="22"/>
                <w:szCs w:val="22"/>
              </w:rPr>
              <w:lastRenderedPageBreak/>
              <w:t>6. Greenhouse gas</w:t>
            </w:r>
            <w:r w:rsidR="001B19BA" w:rsidRPr="00903BA3">
              <w:rPr>
                <w:sz w:val="22"/>
                <w:szCs w:val="22"/>
              </w:rPr>
              <w:t xml:space="preserve"> b</w:t>
            </w:r>
            <w:r w:rsidR="0051452D" w:rsidRPr="00903BA3">
              <w:rPr>
                <w:sz w:val="22"/>
                <w:szCs w:val="22"/>
              </w:rPr>
              <w:t>aseline</w:t>
            </w:r>
            <w:r w:rsidR="00524958" w:rsidRPr="00903BA3">
              <w:rPr>
                <w:sz w:val="22"/>
                <w:szCs w:val="22"/>
              </w:rPr>
              <w:t xml:space="preserve"> emission rate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748B1" w:rsidRDefault="008D3050" w:rsidP="000B4801">
            <w:pPr>
              <w:rPr>
                <w:sz w:val="22"/>
                <w:szCs w:val="22"/>
              </w:rPr>
            </w:pPr>
            <w:r w:rsidRPr="00903BA3">
              <w:rPr>
                <w:sz w:val="22"/>
                <w:szCs w:val="22"/>
              </w:rPr>
              <w:t>We</w:t>
            </w:r>
            <w:r w:rsidR="0051452D" w:rsidRPr="00903BA3">
              <w:rPr>
                <w:sz w:val="22"/>
                <w:szCs w:val="22"/>
              </w:rPr>
              <w:t xml:space="preserve"> suggest that the Department revise its proposed regulations to allow dual options for how a source calculates its GHG baseline emission rate</w:t>
            </w:r>
            <w:r w:rsidR="00332F4E" w:rsidRPr="00903BA3">
              <w:rPr>
                <w:sz w:val="22"/>
                <w:szCs w:val="22"/>
              </w:rPr>
              <w:t xml:space="preserve">:  </w:t>
            </w:r>
            <w:r w:rsidR="0051452D" w:rsidRPr="00903BA3">
              <w:rPr>
                <w:sz w:val="22"/>
                <w:szCs w:val="22"/>
              </w:rPr>
              <w:t>either calculating baseline GHG emissions using production parameter or through the use of the actual GHG emissions from the baseline period</w:t>
            </w:r>
            <w:r w:rsidR="004A0EA4" w:rsidRPr="00903BA3">
              <w:rPr>
                <w:sz w:val="22"/>
                <w:szCs w:val="22"/>
              </w:rPr>
              <w:t xml:space="preserve">. </w:t>
            </w:r>
            <w:r w:rsidR="00F748B1" w:rsidRPr="00903BA3">
              <w:rPr>
                <w:sz w:val="22"/>
                <w:szCs w:val="22"/>
              </w:rPr>
              <w:t xml:space="preserve">(1, 2, 4, </w:t>
            </w:r>
            <w:r w:rsidR="001363B0" w:rsidRPr="00903BA3">
              <w:rPr>
                <w:sz w:val="22"/>
                <w:szCs w:val="22"/>
              </w:rPr>
              <w:t xml:space="preserve">6, </w:t>
            </w:r>
            <w:r w:rsidR="00F748B1" w:rsidRPr="00903BA3">
              <w:rPr>
                <w:sz w:val="22"/>
                <w:szCs w:val="22"/>
              </w:rPr>
              <w:t xml:space="preserve">9, </w:t>
            </w:r>
            <w:r w:rsidR="00DF75D5" w:rsidRPr="00903BA3">
              <w:rPr>
                <w:sz w:val="22"/>
                <w:szCs w:val="22"/>
              </w:rPr>
              <w:t xml:space="preserve">10, </w:t>
            </w:r>
            <w:r w:rsidR="00F748B1" w:rsidRPr="00903BA3">
              <w:rPr>
                <w:sz w:val="22"/>
                <w:szCs w:val="22"/>
              </w:rPr>
              <w:t>11, 13, 14, 15, 16, 17, 21</w:t>
            </w:r>
            <w:r w:rsidR="007D2A64" w:rsidRPr="00903BA3">
              <w:rPr>
                <w:sz w:val="22"/>
                <w:szCs w:val="22"/>
              </w:rPr>
              <w:t>, 23</w:t>
            </w:r>
            <w:r w:rsidR="00F748B1" w:rsidRPr="00903BA3">
              <w:rPr>
                <w:sz w:val="22"/>
                <w:szCs w:val="22"/>
              </w:rPr>
              <w:t>)</w:t>
            </w:r>
          </w:p>
          <w:p w:rsidR="000B4801" w:rsidRPr="00903BA3" w:rsidRDefault="000B4801" w:rsidP="000B4801">
            <w:pPr>
              <w:rPr>
                <w:sz w:val="22"/>
                <w:szCs w:val="22"/>
              </w:rPr>
            </w:pPr>
          </w:p>
          <w:p w:rsidR="00F748B1" w:rsidRDefault="00F748B1" w:rsidP="000B4801">
            <w:pPr>
              <w:rPr>
                <w:sz w:val="22"/>
                <w:szCs w:val="22"/>
              </w:rPr>
            </w:pPr>
            <w:r w:rsidRPr="00903BA3">
              <w:rPr>
                <w:sz w:val="22"/>
                <w:szCs w:val="22"/>
              </w:rPr>
              <w:t xml:space="preserve">If DEQ </w:t>
            </w:r>
            <w:r w:rsidR="00EE5655" w:rsidRPr="00903BA3">
              <w:rPr>
                <w:sz w:val="22"/>
                <w:szCs w:val="22"/>
              </w:rPr>
              <w:t>continues to let sources choose the baseline year from 2000-2010</w:t>
            </w:r>
            <w:r w:rsidRPr="00903BA3">
              <w:rPr>
                <w:sz w:val="22"/>
                <w:szCs w:val="22"/>
              </w:rPr>
              <w:t xml:space="preserve">, </w:t>
            </w:r>
            <w:r w:rsidR="00207DB5" w:rsidRPr="00903BA3">
              <w:rPr>
                <w:sz w:val="22"/>
                <w:szCs w:val="22"/>
              </w:rPr>
              <w:t>it</w:t>
            </w:r>
            <w:r w:rsidRPr="00903BA3">
              <w:rPr>
                <w:sz w:val="22"/>
                <w:szCs w:val="22"/>
              </w:rPr>
              <w:t xml:space="preserve"> should add the sentence “The Department may allow the use of a prior time period upon a determination that it is more representative of normal source operation” in relation to GHGs</w:t>
            </w:r>
            <w:r w:rsidR="004A0EA4" w:rsidRPr="00903BA3">
              <w:rPr>
                <w:sz w:val="22"/>
                <w:szCs w:val="22"/>
              </w:rPr>
              <w:t xml:space="preserve">. </w:t>
            </w:r>
            <w:r w:rsidRPr="00903BA3">
              <w:rPr>
                <w:sz w:val="22"/>
                <w:szCs w:val="22"/>
              </w:rPr>
              <w:t>(1, 3, 6, 13</w:t>
            </w:r>
            <w:r w:rsidR="007D2A64" w:rsidRPr="00903BA3">
              <w:rPr>
                <w:sz w:val="22"/>
                <w:szCs w:val="22"/>
              </w:rPr>
              <w:t>, 23</w:t>
            </w:r>
            <w:r w:rsidRPr="00903BA3">
              <w:rPr>
                <w:sz w:val="22"/>
                <w:szCs w:val="22"/>
              </w:rPr>
              <w:t>)</w:t>
            </w:r>
          </w:p>
          <w:p w:rsidR="000B4801" w:rsidRPr="00903BA3" w:rsidRDefault="000B4801" w:rsidP="000B4801">
            <w:pPr>
              <w:rPr>
                <w:sz w:val="22"/>
                <w:szCs w:val="22"/>
              </w:rPr>
            </w:pPr>
          </w:p>
          <w:p w:rsidR="00231353" w:rsidRDefault="008D3050" w:rsidP="000B4801">
            <w:pPr>
              <w:rPr>
                <w:sz w:val="22"/>
                <w:szCs w:val="22"/>
              </w:rPr>
            </w:pPr>
            <w:r w:rsidRPr="00903BA3">
              <w:rPr>
                <w:sz w:val="22"/>
                <w:szCs w:val="22"/>
              </w:rPr>
              <w:t>We also recommend</w:t>
            </w:r>
            <w:r w:rsidR="0051452D" w:rsidRPr="00903BA3">
              <w:rPr>
                <w:sz w:val="22"/>
                <w:szCs w:val="22"/>
              </w:rPr>
              <w:t xml:space="preserve"> that the rules be revised to clarify that if a source has gone through PSD for one combustion pollutant, it can set its GHG netting basis based on the production rates used in that PSD analysis</w:t>
            </w:r>
            <w:r w:rsidR="004A0EA4" w:rsidRPr="00903BA3">
              <w:rPr>
                <w:sz w:val="22"/>
                <w:szCs w:val="22"/>
              </w:rPr>
              <w:t xml:space="preserve">. </w:t>
            </w:r>
            <w:r w:rsidR="00231353" w:rsidRPr="00903BA3">
              <w:rPr>
                <w:sz w:val="22"/>
                <w:szCs w:val="22"/>
              </w:rPr>
              <w:t>(1, 2, 4, 9,  11, 13, 14, 15, 16, 17</w:t>
            </w:r>
            <w:r w:rsidR="004665B8" w:rsidRPr="00903BA3">
              <w:rPr>
                <w:sz w:val="22"/>
                <w:szCs w:val="22"/>
              </w:rPr>
              <w:t>, 21</w:t>
            </w:r>
            <w:r w:rsidR="007D2A64" w:rsidRPr="00903BA3">
              <w:rPr>
                <w:sz w:val="22"/>
                <w:szCs w:val="22"/>
              </w:rPr>
              <w:t>, 23</w:t>
            </w:r>
            <w:r w:rsidR="00231353" w:rsidRPr="00903BA3">
              <w:rPr>
                <w:sz w:val="22"/>
                <w:szCs w:val="22"/>
              </w:rPr>
              <w:t>)</w:t>
            </w:r>
          </w:p>
          <w:p w:rsidR="000B4801" w:rsidRPr="00903BA3" w:rsidRDefault="000B4801" w:rsidP="000B4801">
            <w:pPr>
              <w:rPr>
                <w:sz w:val="22"/>
                <w:szCs w:val="22"/>
              </w:rPr>
            </w:pPr>
          </w:p>
          <w:p w:rsidR="00A5651D" w:rsidRDefault="00A5651D" w:rsidP="000B4801">
            <w:pPr>
              <w:rPr>
                <w:sz w:val="22"/>
                <w:szCs w:val="22"/>
              </w:rPr>
            </w:pPr>
            <w:r w:rsidRPr="00903BA3">
              <w:rPr>
                <w:sz w:val="22"/>
                <w:szCs w:val="22"/>
              </w:rPr>
              <w:t xml:space="preserve">We </w:t>
            </w:r>
            <w:r w:rsidR="00046252" w:rsidRPr="00903BA3">
              <w:rPr>
                <w:sz w:val="22"/>
                <w:szCs w:val="22"/>
              </w:rPr>
              <w:t xml:space="preserve">agree with the </w:t>
            </w:r>
            <w:r w:rsidRPr="00903BA3">
              <w:rPr>
                <w:sz w:val="22"/>
                <w:szCs w:val="22"/>
              </w:rPr>
              <w:t xml:space="preserve">baseline </w:t>
            </w:r>
            <w:r w:rsidR="00046252" w:rsidRPr="00903BA3">
              <w:rPr>
                <w:sz w:val="22"/>
                <w:szCs w:val="22"/>
              </w:rPr>
              <w:t xml:space="preserve">emission rate for </w:t>
            </w:r>
            <w:r w:rsidRPr="00903BA3">
              <w:rPr>
                <w:sz w:val="22"/>
                <w:szCs w:val="22"/>
              </w:rPr>
              <w:t>GHG</w:t>
            </w:r>
            <w:r w:rsidR="00046252" w:rsidRPr="00903BA3">
              <w:rPr>
                <w:sz w:val="22"/>
                <w:szCs w:val="22"/>
              </w:rPr>
              <w:t xml:space="preserve">s as being </w:t>
            </w:r>
            <w:r w:rsidRPr="00903BA3">
              <w:rPr>
                <w:sz w:val="22"/>
                <w:szCs w:val="22"/>
              </w:rPr>
              <w:t xml:space="preserve">the actual annual emission rate during any consecutive 12 month period between </w:t>
            </w:r>
            <w:r w:rsidR="00E208C6" w:rsidRPr="00903BA3">
              <w:rPr>
                <w:sz w:val="22"/>
                <w:szCs w:val="22"/>
              </w:rPr>
              <w:t>200</w:t>
            </w:r>
            <w:r w:rsidRPr="00903BA3">
              <w:rPr>
                <w:sz w:val="22"/>
                <w:szCs w:val="22"/>
              </w:rPr>
              <w:t>0 and 2010</w:t>
            </w:r>
            <w:r w:rsidR="004A0EA4" w:rsidRPr="00903BA3">
              <w:rPr>
                <w:sz w:val="22"/>
                <w:szCs w:val="22"/>
              </w:rPr>
              <w:t xml:space="preserve">. </w:t>
            </w:r>
            <w:r w:rsidRPr="00903BA3">
              <w:rPr>
                <w:sz w:val="22"/>
                <w:szCs w:val="22"/>
              </w:rPr>
              <w:t>We also support the clarifications that actual emissions are calculated for those sources or portions of sources that have been permitted, but did not commence normal operation, during the baseline period</w:t>
            </w:r>
            <w:r w:rsidR="004A0EA4" w:rsidRPr="00903BA3">
              <w:rPr>
                <w:sz w:val="22"/>
                <w:szCs w:val="22"/>
              </w:rPr>
              <w:t xml:space="preserve">. </w:t>
            </w:r>
            <w:r w:rsidRPr="00903BA3">
              <w:rPr>
                <w:sz w:val="22"/>
                <w:szCs w:val="22"/>
              </w:rPr>
              <w:t>(9)</w:t>
            </w:r>
          </w:p>
          <w:p w:rsidR="000B4801" w:rsidRPr="00903BA3" w:rsidRDefault="000B4801" w:rsidP="000B4801">
            <w:pPr>
              <w:rPr>
                <w:sz w:val="22"/>
                <w:szCs w:val="22"/>
              </w:rPr>
            </w:pPr>
          </w:p>
          <w:p w:rsidR="00E60DBA" w:rsidRDefault="00E60DBA" w:rsidP="000B4801">
            <w:pPr>
              <w:rPr>
                <w:sz w:val="22"/>
                <w:szCs w:val="22"/>
              </w:rPr>
            </w:pPr>
            <w:r w:rsidRPr="00903BA3">
              <w:rPr>
                <w:sz w:val="22"/>
                <w:szCs w:val="22"/>
              </w:rPr>
              <w:t>Sources should not be allowed to choose between existing netting basis or highest actual emissions in the last 10 years for determining a netting basis for GHG</w:t>
            </w:r>
            <w:r w:rsidR="004A0EA4" w:rsidRPr="00903BA3">
              <w:rPr>
                <w:sz w:val="22"/>
                <w:szCs w:val="22"/>
              </w:rPr>
              <w:t xml:space="preserve">. </w:t>
            </w:r>
            <w:r w:rsidR="00EE5655" w:rsidRPr="00903BA3">
              <w:rPr>
                <w:sz w:val="22"/>
                <w:szCs w:val="22"/>
              </w:rPr>
              <w:t>DEQ should adopt a baseline emission rate definition that captures the existing actual air quality of an area and travels, with the rest of us, across time</w:t>
            </w:r>
            <w:r w:rsidR="004A0EA4" w:rsidRPr="00903BA3">
              <w:rPr>
                <w:sz w:val="22"/>
                <w:szCs w:val="22"/>
              </w:rPr>
              <w:t xml:space="preserve">. </w:t>
            </w:r>
            <w:r w:rsidR="00EE5655" w:rsidRPr="00903BA3">
              <w:rPr>
                <w:sz w:val="22"/>
                <w:szCs w:val="22"/>
              </w:rPr>
              <w:t>We recommend adoption of a 24-month period as required by the federal program before NSR Reform</w:t>
            </w:r>
            <w:r w:rsidR="004A0EA4" w:rsidRPr="00903BA3">
              <w:rPr>
                <w:sz w:val="22"/>
                <w:szCs w:val="22"/>
              </w:rPr>
              <w:t xml:space="preserve">. </w:t>
            </w:r>
            <w:r w:rsidR="00EE5655" w:rsidRPr="00903BA3">
              <w:rPr>
                <w:sz w:val="22"/>
                <w:szCs w:val="22"/>
              </w:rPr>
              <w:t>In no event should sources be allowed to reach back to higher pollution output before the baseline concentration year</w:t>
            </w:r>
            <w:r w:rsidR="004A0EA4" w:rsidRPr="00903BA3">
              <w:rPr>
                <w:sz w:val="22"/>
                <w:szCs w:val="22"/>
              </w:rPr>
              <w:t xml:space="preserve">. </w:t>
            </w:r>
            <w:r w:rsidRPr="00903BA3">
              <w:rPr>
                <w:sz w:val="22"/>
                <w:szCs w:val="22"/>
              </w:rPr>
              <w:t>(12)</w:t>
            </w:r>
          </w:p>
          <w:p w:rsidR="000B4801" w:rsidRPr="00903BA3" w:rsidRDefault="000B4801" w:rsidP="000B4801">
            <w:pPr>
              <w:rPr>
                <w:sz w:val="22"/>
                <w:szCs w:val="22"/>
              </w:rPr>
            </w:pPr>
          </w:p>
          <w:p w:rsidR="00432CBF" w:rsidRPr="00903BA3" w:rsidRDefault="00432CBF" w:rsidP="000B4801">
            <w:pPr>
              <w:rPr>
                <w:i/>
                <w:sz w:val="22"/>
                <w:szCs w:val="22"/>
              </w:rPr>
            </w:pPr>
            <w:r w:rsidRPr="00903BA3">
              <w:rPr>
                <w:i/>
                <w:sz w:val="22"/>
                <w:szCs w:val="22"/>
              </w:rPr>
              <w:t>Response:</w:t>
            </w:r>
            <w:r w:rsidR="009C5FBA" w:rsidRPr="00903BA3">
              <w:rPr>
                <w:i/>
                <w:sz w:val="22"/>
                <w:szCs w:val="22"/>
              </w:rPr>
              <w:t xml:space="preserve">  </w:t>
            </w:r>
          </w:p>
          <w:p w:rsidR="00381946" w:rsidRDefault="00381946" w:rsidP="000B4801">
            <w:pPr>
              <w:autoSpaceDE w:val="0"/>
              <w:autoSpaceDN w:val="0"/>
              <w:adjustRightInd w:val="0"/>
              <w:ind w:right="-180"/>
              <w:rPr>
                <w:i/>
                <w:sz w:val="22"/>
                <w:szCs w:val="22"/>
              </w:rPr>
            </w:pPr>
            <w:r w:rsidRPr="00903BA3">
              <w:rPr>
                <w:i/>
                <w:sz w:val="22"/>
                <w:szCs w:val="22"/>
              </w:rPr>
              <w:t xml:space="preserve">The commenters above provide </w:t>
            </w:r>
            <w:r w:rsidR="003A0145" w:rsidRPr="00903BA3">
              <w:rPr>
                <w:i/>
                <w:sz w:val="22"/>
                <w:szCs w:val="22"/>
              </w:rPr>
              <w:t xml:space="preserve">differing </w:t>
            </w:r>
            <w:r w:rsidRPr="00903BA3">
              <w:rPr>
                <w:i/>
                <w:sz w:val="22"/>
                <w:szCs w:val="22"/>
              </w:rPr>
              <w:t xml:space="preserve">views about the flexibility that a source should </w:t>
            </w:r>
            <w:r w:rsidR="003A0145" w:rsidRPr="00903BA3">
              <w:rPr>
                <w:i/>
                <w:sz w:val="22"/>
                <w:szCs w:val="22"/>
              </w:rPr>
              <w:t>have</w:t>
            </w:r>
            <w:r w:rsidRPr="00903BA3">
              <w:rPr>
                <w:i/>
                <w:sz w:val="22"/>
                <w:szCs w:val="22"/>
              </w:rPr>
              <w:t xml:space="preserve"> to choose a </w:t>
            </w:r>
            <w:r w:rsidR="00910F1C" w:rsidRPr="00903BA3">
              <w:rPr>
                <w:i/>
                <w:sz w:val="22"/>
                <w:szCs w:val="22"/>
              </w:rPr>
              <w:t xml:space="preserve">greenhouse gas </w:t>
            </w:r>
            <w:r w:rsidRPr="00903BA3">
              <w:rPr>
                <w:i/>
                <w:sz w:val="22"/>
                <w:szCs w:val="22"/>
              </w:rPr>
              <w:t>baseline period</w:t>
            </w:r>
            <w:r w:rsidR="008D538C" w:rsidRPr="00903BA3">
              <w:rPr>
                <w:i/>
                <w:sz w:val="22"/>
                <w:szCs w:val="22"/>
              </w:rPr>
              <w:t xml:space="preserve">. </w:t>
            </w:r>
          </w:p>
          <w:p w:rsidR="000B4801" w:rsidRPr="00903BA3" w:rsidRDefault="000B4801" w:rsidP="000B4801">
            <w:pPr>
              <w:autoSpaceDE w:val="0"/>
              <w:autoSpaceDN w:val="0"/>
              <w:adjustRightInd w:val="0"/>
              <w:ind w:right="-180"/>
              <w:rPr>
                <w:i/>
                <w:sz w:val="22"/>
                <w:szCs w:val="22"/>
              </w:rPr>
            </w:pPr>
          </w:p>
          <w:p w:rsidR="000043B9" w:rsidRDefault="00544316" w:rsidP="000B4801">
            <w:pPr>
              <w:rPr>
                <w:i/>
                <w:sz w:val="22"/>
                <w:szCs w:val="22"/>
              </w:rPr>
            </w:pPr>
            <w:r w:rsidRPr="00903BA3">
              <w:rPr>
                <w:i/>
                <w:sz w:val="22"/>
                <w:szCs w:val="22"/>
              </w:rPr>
              <w:t xml:space="preserve">In the </w:t>
            </w:r>
            <w:r w:rsidR="00CF341A" w:rsidRPr="00903BA3">
              <w:rPr>
                <w:i/>
                <w:sz w:val="22"/>
                <w:szCs w:val="22"/>
              </w:rPr>
              <w:t xml:space="preserve">revised </w:t>
            </w:r>
            <w:r w:rsidR="003A0145" w:rsidRPr="00903BA3">
              <w:rPr>
                <w:i/>
                <w:sz w:val="22"/>
                <w:szCs w:val="22"/>
              </w:rPr>
              <w:t xml:space="preserve">proposed </w:t>
            </w:r>
            <w:r w:rsidRPr="00903BA3">
              <w:rPr>
                <w:i/>
                <w:sz w:val="22"/>
                <w:szCs w:val="22"/>
              </w:rPr>
              <w:t>definition of baseline period, the period for GHG</w:t>
            </w:r>
            <w:r w:rsidR="004531D2" w:rsidRPr="00903BA3">
              <w:rPr>
                <w:i/>
                <w:sz w:val="22"/>
                <w:szCs w:val="22"/>
              </w:rPr>
              <w:t>s</w:t>
            </w:r>
            <w:r w:rsidRPr="00903BA3">
              <w:rPr>
                <w:i/>
                <w:sz w:val="22"/>
                <w:szCs w:val="22"/>
              </w:rPr>
              <w:t xml:space="preserve"> is </w:t>
            </w:r>
            <w:r w:rsidR="004531D2" w:rsidRPr="00903BA3">
              <w:rPr>
                <w:i/>
                <w:sz w:val="22"/>
                <w:szCs w:val="22"/>
              </w:rPr>
              <w:t>a</w:t>
            </w:r>
            <w:r w:rsidRPr="00903BA3">
              <w:rPr>
                <w:i/>
                <w:sz w:val="22"/>
                <w:szCs w:val="22"/>
              </w:rPr>
              <w:t xml:space="preserve"> </w:t>
            </w:r>
            <w:r w:rsidR="009C6A7B" w:rsidRPr="00903BA3">
              <w:rPr>
                <w:i/>
                <w:sz w:val="22"/>
                <w:szCs w:val="22"/>
              </w:rPr>
              <w:t>consecutive 12-month period</w:t>
            </w:r>
            <w:r w:rsidRPr="00903BA3">
              <w:rPr>
                <w:i/>
                <w:sz w:val="22"/>
                <w:szCs w:val="22"/>
              </w:rPr>
              <w:t xml:space="preserve"> between 2000 and 2010</w:t>
            </w:r>
            <w:r w:rsidR="003A0145" w:rsidRPr="00903BA3">
              <w:rPr>
                <w:i/>
                <w:sz w:val="22"/>
                <w:szCs w:val="22"/>
              </w:rPr>
              <w:t>,</w:t>
            </w:r>
            <w:r w:rsidR="003A25F1" w:rsidRPr="00903BA3">
              <w:rPr>
                <w:i/>
                <w:sz w:val="22"/>
                <w:szCs w:val="22"/>
              </w:rPr>
              <w:t xml:space="preserve"> so the baseline emission rate for GHGs will be the </w:t>
            </w:r>
            <w:r w:rsidR="009C6A7B" w:rsidRPr="00903BA3">
              <w:rPr>
                <w:i/>
                <w:sz w:val="22"/>
                <w:szCs w:val="22"/>
              </w:rPr>
              <w:t>actual emissions</w:t>
            </w:r>
            <w:r w:rsidR="003A25F1" w:rsidRPr="00903BA3">
              <w:rPr>
                <w:i/>
                <w:sz w:val="22"/>
                <w:szCs w:val="22"/>
              </w:rPr>
              <w:t xml:space="preserve"> in </w:t>
            </w:r>
            <w:r w:rsidR="00B913CD" w:rsidRPr="00903BA3">
              <w:rPr>
                <w:i/>
                <w:sz w:val="22"/>
                <w:szCs w:val="22"/>
              </w:rPr>
              <w:t>that highest</w:t>
            </w:r>
            <w:r w:rsidR="003A25F1" w:rsidRPr="00903BA3">
              <w:rPr>
                <w:i/>
                <w:sz w:val="22"/>
                <w:szCs w:val="22"/>
              </w:rPr>
              <w:t xml:space="preserve"> 12-month period</w:t>
            </w:r>
            <w:r w:rsidR="00B913CD" w:rsidRPr="00903BA3">
              <w:rPr>
                <w:i/>
                <w:sz w:val="22"/>
                <w:szCs w:val="22"/>
              </w:rPr>
              <w:t xml:space="preserve"> during those years</w:t>
            </w:r>
            <w:r w:rsidR="004A0EA4" w:rsidRPr="00903BA3">
              <w:rPr>
                <w:i/>
                <w:sz w:val="22"/>
                <w:szCs w:val="22"/>
              </w:rPr>
              <w:t xml:space="preserve">. </w:t>
            </w:r>
            <w:r w:rsidRPr="00903BA3">
              <w:rPr>
                <w:i/>
                <w:sz w:val="22"/>
                <w:szCs w:val="22"/>
              </w:rPr>
              <w:t>Sources will not be given a choice of either the most recent 10 years or the original 1977-</w:t>
            </w:r>
            <w:r w:rsidR="00AD1ACA" w:rsidRPr="00903BA3">
              <w:rPr>
                <w:i/>
                <w:sz w:val="22"/>
                <w:szCs w:val="22"/>
              </w:rPr>
              <w:t>19</w:t>
            </w:r>
            <w:r w:rsidRPr="00903BA3">
              <w:rPr>
                <w:i/>
                <w:sz w:val="22"/>
                <w:szCs w:val="22"/>
              </w:rPr>
              <w:t>78 baseline period</w:t>
            </w:r>
            <w:r w:rsidR="004A0EA4" w:rsidRPr="00903BA3">
              <w:rPr>
                <w:i/>
                <w:sz w:val="22"/>
                <w:szCs w:val="22"/>
              </w:rPr>
              <w:t xml:space="preserve">. </w:t>
            </w:r>
            <w:r w:rsidR="00B913CD" w:rsidRPr="00903BA3">
              <w:rPr>
                <w:i/>
                <w:sz w:val="22"/>
                <w:szCs w:val="22"/>
              </w:rPr>
              <w:t>DEQ is concerned that allowing each source to select the most advantageous baseline period weakens the program and could arguably make Oregon’s program less stringent than the federal program, which is strictly prohibited</w:t>
            </w:r>
            <w:r w:rsidR="008D538C" w:rsidRPr="00903BA3">
              <w:rPr>
                <w:i/>
                <w:sz w:val="22"/>
                <w:szCs w:val="22"/>
              </w:rPr>
              <w:t xml:space="preserve">. </w:t>
            </w:r>
          </w:p>
          <w:p w:rsidR="000B4801" w:rsidRPr="00903BA3" w:rsidRDefault="000B4801" w:rsidP="000B4801">
            <w:pPr>
              <w:rPr>
                <w:i/>
                <w:sz w:val="22"/>
                <w:szCs w:val="22"/>
              </w:rPr>
            </w:pPr>
          </w:p>
          <w:p w:rsidR="00794627" w:rsidRPr="00903BA3" w:rsidRDefault="000043B9" w:rsidP="000B4801">
            <w:pPr>
              <w:rPr>
                <w:i/>
                <w:sz w:val="22"/>
                <w:szCs w:val="22"/>
              </w:rPr>
            </w:pPr>
            <w:r w:rsidRPr="00903BA3">
              <w:rPr>
                <w:i/>
                <w:sz w:val="22"/>
                <w:szCs w:val="22"/>
              </w:rPr>
              <w:t xml:space="preserve">DEQ is proposing the most recent ten years as the baseline period for GHG because </w:t>
            </w:r>
            <w:r w:rsidR="00794627" w:rsidRPr="00903BA3">
              <w:rPr>
                <w:i/>
                <w:sz w:val="22"/>
                <w:szCs w:val="22"/>
              </w:rPr>
              <w:t xml:space="preserve">GHG </w:t>
            </w:r>
            <w:r w:rsidR="00794627" w:rsidRPr="00903BA3">
              <w:rPr>
                <w:i/>
                <w:sz w:val="22"/>
                <w:szCs w:val="22"/>
              </w:rPr>
              <w:lastRenderedPageBreak/>
              <w:t>is a completely new regulated pollutant</w:t>
            </w:r>
            <w:r w:rsidRPr="00903BA3">
              <w:rPr>
                <w:i/>
                <w:sz w:val="22"/>
                <w:szCs w:val="22"/>
              </w:rPr>
              <w:t>.</w:t>
            </w:r>
            <w:r w:rsidRPr="00903BA3" w:rsidDel="000043B9">
              <w:rPr>
                <w:i/>
                <w:sz w:val="22"/>
                <w:szCs w:val="22"/>
              </w:rPr>
              <w:t xml:space="preserve"> </w:t>
            </w:r>
            <w:r w:rsidRPr="00903BA3">
              <w:rPr>
                <w:i/>
                <w:sz w:val="22"/>
                <w:szCs w:val="22"/>
              </w:rPr>
              <w:t>D</w:t>
            </w:r>
            <w:r w:rsidR="00794627" w:rsidRPr="00903BA3">
              <w:rPr>
                <w:i/>
                <w:sz w:val="22"/>
                <w:szCs w:val="22"/>
              </w:rPr>
              <w:t>etermin</w:t>
            </w:r>
            <w:r w:rsidR="009D6393" w:rsidRPr="00903BA3">
              <w:rPr>
                <w:i/>
                <w:sz w:val="22"/>
                <w:szCs w:val="22"/>
              </w:rPr>
              <w:t>ing actual emissions as of 1977-</w:t>
            </w:r>
            <w:r w:rsidR="00794627" w:rsidRPr="00903BA3">
              <w:rPr>
                <w:i/>
                <w:sz w:val="22"/>
                <w:szCs w:val="22"/>
              </w:rPr>
              <w:t xml:space="preserve">1978 could be problematic, </w:t>
            </w:r>
            <w:r w:rsidR="004531D2" w:rsidRPr="00903BA3">
              <w:rPr>
                <w:i/>
                <w:sz w:val="22"/>
                <w:szCs w:val="22"/>
              </w:rPr>
              <w:t>especially since GHG emissions from processes are not necessarily tied to GHG emissions from combustion sources</w:t>
            </w:r>
            <w:r w:rsidR="000113D6" w:rsidRPr="00903BA3">
              <w:rPr>
                <w:i/>
                <w:sz w:val="22"/>
                <w:szCs w:val="22"/>
              </w:rPr>
              <w:t xml:space="preserve"> that are already included in permits</w:t>
            </w:r>
            <w:r w:rsidRPr="00903BA3">
              <w:rPr>
                <w:i/>
                <w:sz w:val="22"/>
                <w:szCs w:val="22"/>
              </w:rPr>
              <w:t>.</w:t>
            </w:r>
            <w:r w:rsidR="004531D2" w:rsidRPr="00903BA3">
              <w:rPr>
                <w:i/>
                <w:sz w:val="22"/>
                <w:szCs w:val="22"/>
              </w:rPr>
              <w:t xml:space="preserve"> </w:t>
            </w:r>
            <w:r w:rsidRPr="00903BA3">
              <w:rPr>
                <w:i/>
                <w:sz w:val="22"/>
                <w:szCs w:val="22"/>
              </w:rPr>
              <w:t>A more</w:t>
            </w:r>
            <w:r w:rsidR="00794627" w:rsidRPr="00903BA3">
              <w:rPr>
                <w:i/>
                <w:sz w:val="22"/>
                <w:szCs w:val="22"/>
              </w:rPr>
              <w:t xml:space="preserve"> current baseline period for GHG </w:t>
            </w:r>
            <w:r w:rsidRPr="00903BA3">
              <w:rPr>
                <w:i/>
                <w:sz w:val="22"/>
                <w:szCs w:val="22"/>
              </w:rPr>
              <w:t xml:space="preserve">will also align GHGs more closely with the federal program in the </w:t>
            </w:r>
            <w:r w:rsidR="00AD1ACA" w:rsidRPr="00903BA3">
              <w:rPr>
                <w:i/>
                <w:sz w:val="22"/>
                <w:szCs w:val="22"/>
              </w:rPr>
              <w:t>initial</w:t>
            </w:r>
            <w:r w:rsidRPr="00903BA3">
              <w:rPr>
                <w:i/>
                <w:sz w:val="22"/>
                <w:szCs w:val="22"/>
              </w:rPr>
              <w:t xml:space="preserve"> years of implementation</w:t>
            </w:r>
            <w:r w:rsidR="008D538C" w:rsidRPr="00903BA3">
              <w:rPr>
                <w:i/>
                <w:sz w:val="22"/>
                <w:szCs w:val="22"/>
              </w:rPr>
              <w:t xml:space="preserve">. </w:t>
            </w:r>
            <w:r w:rsidR="00794627" w:rsidRPr="00903BA3">
              <w:rPr>
                <w:i/>
                <w:sz w:val="22"/>
                <w:szCs w:val="22"/>
              </w:rPr>
              <w:t>In addition, DEQ recognizes that there have been considerable economic swings recently that could affect a source’s actual emissions so DEQ is pro</w:t>
            </w:r>
            <w:r w:rsidR="00977F51" w:rsidRPr="00903BA3">
              <w:rPr>
                <w:i/>
                <w:sz w:val="22"/>
                <w:szCs w:val="22"/>
              </w:rPr>
              <w:t xml:space="preserve">posing </w:t>
            </w:r>
            <w:r w:rsidR="00794627" w:rsidRPr="00903BA3">
              <w:rPr>
                <w:i/>
                <w:sz w:val="22"/>
                <w:szCs w:val="22"/>
              </w:rPr>
              <w:t>a 10 year look-back period to establish the baseline period.</w:t>
            </w:r>
          </w:p>
          <w:p w:rsidR="00DF75D5" w:rsidRDefault="00DF75D5" w:rsidP="000B4801">
            <w:pPr>
              <w:rPr>
                <w:i/>
                <w:sz w:val="22"/>
                <w:szCs w:val="22"/>
              </w:rPr>
            </w:pPr>
            <w:r w:rsidRPr="00903BA3">
              <w:rPr>
                <w:i/>
                <w:sz w:val="22"/>
                <w:szCs w:val="22"/>
              </w:rPr>
              <w:t xml:space="preserve">See the response </w:t>
            </w:r>
            <w:r w:rsidR="007A7817" w:rsidRPr="00903BA3">
              <w:rPr>
                <w:i/>
                <w:sz w:val="22"/>
                <w:szCs w:val="22"/>
              </w:rPr>
              <w:t>in</w:t>
            </w:r>
            <w:r w:rsidR="00AE7C8B" w:rsidRPr="00903BA3">
              <w:rPr>
                <w:i/>
                <w:sz w:val="22"/>
                <w:szCs w:val="22"/>
              </w:rPr>
              <w:t xml:space="preserve"> comment </w:t>
            </w:r>
            <w:fldSimple w:instr=" REF _Ref283933546 \r \h  \* MERGEFORMAT ">
              <w:r w:rsidR="00752276" w:rsidRPr="00903BA3">
                <w:rPr>
                  <w:i/>
                  <w:sz w:val="22"/>
                  <w:szCs w:val="22"/>
                </w:rPr>
                <w:t>52</w:t>
              </w:r>
            </w:fldSimple>
            <w:r w:rsidR="007A7817" w:rsidRPr="00903BA3">
              <w:rPr>
                <w:i/>
                <w:sz w:val="22"/>
                <w:szCs w:val="22"/>
              </w:rPr>
              <w:t xml:space="preserve"> “State </w:t>
            </w:r>
            <w:r w:rsidRPr="00903BA3">
              <w:rPr>
                <w:i/>
                <w:sz w:val="22"/>
                <w:szCs w:val="22"/>
              </w:rPr>
              <w:t>NSR/PSD program vs</w:t>
            </w:r>
            <w:r w:rsidR="007A7817" w:rsidRPr="00903BA3">
              <w:rPr>
                <w:i/>
                <w:sz w:val="22"/>
                <w:szCs w:val="22"/>
              </w:rPr>
              <w:t>.</w:t>
            </w:r>
            <w:r w:rsidRPr="00903BA3">
              <w:rPr>
                <w:i/>
                <w:sz w:val="22"/>
                <w:szCs w:val="22"/>
              </w:rPr>
              <w:t xml:space="preserve"> </w:t>
            </w:r>
            <w:r w:rsidR="007A7817" w:rsidRPr="00903BA3">
              <w:rPr>
                <w:i/>
                <w:sz w:val="22"/>
                <w:szCs w:val="22"/>
              </w:rPr>
              <w:t xml:space="preserve">federal </w:t>
            </w:r>
            <w:r w:rsidRPr="00903BA3">
              <w:rPr>
                <w:i/>
                <w:sz w:val="22"/>
                <w:szCs w:val="22"/>
              </w:rPr>
              <w:t>program</w:t>
            </w:r>
            <w:r w:rsidR="004A0EA4" w:rsidRPr="00903BA3">
              <w:rPr>
                <w:i/>
                <w:sz w:val="22"/>
                <w:szCs w:val="22"/>
              </w:rPr>
              <w:t>.</w:t>
            </w:r>
            <w:r w:rsidR="007A7817" w:rsidRPr="00903BA3">
              <w:rPr>
                <w:i/>
                <w:sz w:val="22"/>
                <w:szCs w:val="22"/>
              </w:rPr>
              <w:t>”</w:t>
            </w:r>
            <w:r w:rsidR="004A0EA4" w:rsidRPr="00903BA3">
              <w:rPr>
                <w:i/>
                <w:sz w:val="22"/>
                <w:szCs w:val="22"/>
              </w:rPr>
              <w:t xml:space="preserve"> </w:t>
            </w:r>
          </w:p>
          <w:p w:rsidR="000B4801" w:rsidRPr="00903BA3" w:rsidRDefault="000B4801" w:rsidP="000B4801">
            <w:pPr>
              <w:rPr>
                <w:sz w:val="22"/>
                <w:szCs w:val="22"/>
              </w:rPr>
            </w:pPr>
          </w:p>
        </w:tc>
      </w:tr>
      <w:tr w:rsidR="00E11F45"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11F45" w:rsidRPr="00903BA3" w:rsidRDefault="000B4801" w:rsidP="000B4801">
            <w:pPr>
              <w:ind w:right="-115"/>
              <w:rPr>
                <w:bCs/>
                <w:sz w:val="22"/>
                <w:szCs w:val="22"/>
              </w:rPr>
            </w:pPr>
            <w:bookmarkStart w:id="4" w:name="_Ref283931855"/>
            <w:r>
              <w:rPr>
                <w:rStyle w:val="FontStyle17"/>
                <w:sz w:val="22"/>
                <w:szCs w:val="22"/>
              </w:rPr>
              <w:lastRenderedPageBreak/>
              <w:t xml:space="preserve">7. </w:t>
            </w:r>
            <w:bookmarkEnd w:id="4"/>
            <w:r w:rsidR="0051024A">
              <w:rPr>
                <w:rStyle w:val="FontStyle17"/>
                <w:sz w:val="22"/>
                <w:szCs w:val="22"/>
              </w:rPr>
              <w:t>Potential to e</w:t>
            </w:r>
            <w:r w:rsidR="00E11F45" w:rsidRPr="00903BA3">
              <w:rPr>
                <w:rStyle w:val="FontStyle17"/>
                <w:sz w:val="22"/>
                <w:szCs w:val="22"/>
              </w:rPr>
              <w:t>mit used to establish baseline emission rate or NSR/PSD PSEL</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11F45" w:rsidRDefault="00E11F45" w:rsidP="000B4801">
            <w:pPr>
              <w:pStyle w:val="Style3"/>
              <w:widowControl/>
              <w:spacing w:line="274" w:lineRule="exact"/>
              <w:rPr>
                <w:rStyle w:val="FontStyle14"/>
                <w:rFonts w:ascii="Times New Roman" w:hAnsi="Times New Roman" w:cs="Times New Roman"/>
              </w:rPr>
            </w:pPr>
            <w:r w:rsidRPr="00903BA3">
              <w:rPr>
                <w:rStyle w:val="FontStyle14"/>
                <w:rFonts w:ascii="Times New Roman" w:hAnsi="Times New Roman" w:cs="Times New Roman"/>
              </w:rPr>
              <w:t>The PSEL should be used to establish a baseline emission rate. The PSEL would change when new air permits are issued and would be a more realistic emission rate for the semiconductor industry than the PTE. It could be ten to twenty years before a semiconductor facility is fully built out. (11)</w:t>
            </w:r>
          </w:p>
          <w:p w:rsidR="000B4801" w:rsidRPr="00903BA3" w:rsidRDefault="000B4801" w:rsidP="000B4801">
            <w:pPr>
              <w:pStyle w:val="Style3"/>
              <w:widowControl/>
              <w:spacing w:line="274" w:lineRule="exact"/>
              <w:rPr>
                <w:rFonts w:ascii="Times New Roman" w:hAnsi="Times New Roman" w:cs="Times New Roman"/>
                <w:color w:val="000000"/>
                <w:sz w:val="22"/>
                <w:szCs w:val="22"/>
              </w:rPr>
            </w:pPr>
          </w:p>
          <w:p w:rsidR="001A3530" w:rsidRPr="00903BA3" w:rsidRDefault="00E11F45" w:rsidP="000B4801">
            <w:pPr>
              <w:pStyle w:val="Style6"/>
              <w:widowControl/>
              <w:spacing w:line="240" w:lineRule="auto"/>
              <w:rPr>
                <w:rStyle w:val="FontStyle17"/>
                <w:sz w:val="22"/>
                <w:szCs w:val="22"/>
              </w:rPr>
            </w:pPr>
            <w:r w:rsidRPr="00903BA3">
              <w:rPr>
                <w:rStyle w:val="FontStyle13"/>
                <w:rFonts w:ascii="Times New Roman" w:hAnsi="Times New Roman" w:cs="Times New Roman"/>
              </w:rPr>
              <w:t xml:space="preserve">We believe that the current rules should continue to be used to establish </w:t>
            </w:r>
            <w:r w:rsidR="006929B5" w:rsidRPr="00903BA3">
              <w:rPr>
                <w:rStyle w:val="FontStyle13"/>
                <w:rFonts w:ascii="Times New Roman" w:hAnsi="Times New Roman" w:cs="Times New Roman"/>
              </w:rPr>
              <w:t xml:space="preserve">the baseline emission rate and </w:t>
            </w:r>
            <w:r w:rsidRPr="00903BA3">
              <w:rPr>
                <w:rStyle w:val="FontStyle13"/>
                <w:rFonts w:ascii="Times New Roman" w:hAnsi="Times New Roman" w:cs="Times New Roman"/>
              </w:rPr>
              <w:t>PSELs, for new and modified sources, based on the source's PTE</w:t>
            </w:r>
            <w:r w:rsidR="004A0EA4" w:rsidRPr="00903BA3">
              <w:rPr>
                <w:rStyle w:val="FontStyle13"/>
                <w:rFonts w:ascii="Times New Roman" w:hAnsi="Times New Roman" w:cs="Times New Roman"/>
              </w:rPr>
              <w:t xml:space="preserve">. </w:t>
            </w:r>
            <w:r w:rsidRPr="00903BA3">
              <w:rPr>
                <w:rStyle w:val="FontStyle13"/>
                <w:rFonts w:ascii="Times New Roman" w:hAnsi="Times New Roman" w:cs="Times New Roman"/>
              </w:rPr>
              <w:t>(2</w:t>
            </w:r>
            <w:r w:rsidR="00B119CC" w:rsidRPr="00903BA3">
              <w:rPr>
                <w:rStyle w:val="FontStyle13"/>
                <w:rFonts w:ascii="Times New Roman" w:hAnsi="Times New Roman" w:cs="Times New Roman"/>
              </w:rPr>
              <w:t>, 10</w:t>
            </w:r>
            <w:r w:rsidRPr="00903BA3">
              <w:rPr>
                <w:rStyle w:val="FontStyle13"/>
                <w:rFonts w:ascii="Times New Roman" w:hAnsi="Times New Roman" w:cs="Times New Roman"/>
              </w:rPr>
              <w:t>)</w:t>
            </w:r>
            <w:r w:rsidRPr="00903BA3">
              <w:rPr>
                <w:rStyle w:val="FontStyle17"/>
                <w:sz w:val="22"/>
                <w:szCs w:val="22"/>
              </w:rPr>
              <w:t xml:space="preserve"> </w:t>
            </w:r>
          </w:p>
          <w:p w:rsidR="00796188" w:rsidRDefault="00796188" w:rsidP="000B4801">
            <w:pPr>
              <w:pStyle w:val="Style2"/>
              <w:widowControl/>
              <w:spacing w:line="269" w:lineRule="exact"/>
              <w:rPr>
                <w:rStyle w:val="FontStyle16"/>
                <w:rFonts w:ascii="Times New Roman" w:hAnsi="Times New Roman" w:cs="Times New Roman"/>
                <w:sz w:val="22"/>
                <w:szCs w:val="22"/>
              </w:rPr>
            </w:pPr>
            <w:r w:rsidRPr="00903BA3">
              <w:rPr>
                <w:rStyle w:val="FontStyle16"/>
                <w:rFonts w:ascii="Times New Roman" w:hAnsi="Times New Roman" w:cs="Times New Roman"/>
                <w:sz w:val="22"/>
                <w:szCs w:val="22"/>
              </w:rPr>
              <w:t>We request that the Department confirm in its response to comments that in light of the proposed revisions to the definition of "actual emissions," the GHG baseline emission rate attributable to equipment will equal the potential to emit of that equipment where that equipment has been approved for construction prior to December 31, 2010 but has not yet begun normal operations by January 1, 2011. (9)</w:t>
            </w:r>
          </w:p>
          <w:p w:rsidR="000B4801" w:rsidRPr="00903BA3" w:rsidRDefault="000B4801" w:rsidP="000B4801">
            <w:pPr>
              <w:pStyle w:val="Style2"/>
              <w:widowControl/>
              <w:spacing w:line="269" w:lineRule="exact"/>
              <w:rPr>
                <w:rStyle w:val="FontStyle16"/>
                <w:rFonts w:ascii="Times New Roman" w:hAnsi="Times New Roman" w:cs="Times New Roman"/>
                <w:sz w:val="22"/>
                <w:szCs w:val="22"/>
              </w:rPr>
            </w:pPr>
          </w:p>
          <w:p w:rsidR="00E11F45" w:rsidRDefault="00E11F45" w:rsidP="000B4801">
            <w:pPr>
              <w:rPr>
                <w:bCs/>
                <w:color w:val="000000"/>
                <w:sz w:val="22"/>
                <w:szCs w:val="22"/>
              </w:rPr>
            </w:pPr>
            <w:r w:rsidRPr="00903BA3">
              <w:rPr>
                <w:sz w:val="22"/>
                <w:szCs w:val="22"/>
              </w:rPr>
              <w:t>T</w:t>
            </w:r>
            <w:r w:rsidRPr="00903BA3">
              <w:rPr>
                <w:bCs/>
                <w:color w:val="000000"/>
                <w:sz w:val="22"/>
                <w:szCs w:val="22"/>
              </w:rPr>
              <w:t>he use of PTE during the baseline period, or at initial construction, to set netting basis and PSEL overstates emissions, making it less likely that a source would later trigger NSR/PSD even when making a modification that would significantly increase actual pollution</w:t>
            </w:r>
            <w:r w:rsidR="004A0EA4" w:rsidRPr="00903BA3">
              <w:rPr>
                <w:bCs/>
                <w:color w:val="000000"/>
                <w:sz w:val="22"/>
                <w:szCs w:val="22"/>
              </w:rPr>
              <w:t xml:space="preserve">. </w:t>
            </w:r>
            <w:r w:rsidRPr="00903BA3">
              <w:rPr>
                <w:bCs/>
                <w:color w:val="000000"/>
                <w:sz w:val="22"/>
                <w:szCs w:val="22"/>
              </w:rPr>
              <w:t>A policy which bases determinations of significant emissions increases on actual emissions preceding the physical change, would avoid this problem</w:t>
            </w:r>
            <w:r w:rsidR="004A0EA4" w:rsidRPr="00903BA3">
              <w:rPr>
                <w:bCs/>
                <w:color w:val="000000"/>
                <w:sz w:val="22"/>
                <w:szCs w:val="22"/>
              </w:rPr>
              <w:t xml:space="preserve">. </w:t>
            </w:r>
            <w:r w:rsidRPr="00903BA3">
              <w:rPr>
                <w:bCs/>
                <w:color w:val="000000"/>
                <w:sz w:val="22"/>
                <w:szCs w:val="22"/>
              </w:rPr>
              <w:t>(12)</w:t>
            </w:r>
          </w:p>
          <w:p w:rsidR="000B4801" w:rsidRPr="00903BA3" w:rsidRDefault="000B4801" w:rsidP="000B4801">
            <w:pPr>
              <w:rPr>
                <w:bCs/>
                <w:color w:val="000000"/>
                <w:sz w:val="22"/>
                <w:szCs w:val="22"/>
              </w:rPr>
            </w:pPr>
          </w:p>
          <w:p w:rsidR="00D54583" w:rsidRDefault="00E11F45" w:rsidP="000B4801">
            <w:pPr>
              <w:rPr>
                <w:bCs/>
                <w:color w:val="000000"/>
                <w:sz w:val="22"/>
                <w:szCs w:val="22"/>
              </w:rPr>
            </w:pPr>
            <w:r w:rsidRPr="00903BA3">
              <w:rPr>
                <w:bCs/>
                <w:color w:val="000000"/>
                <w:sz w:val="22"/>
                <w:szCs w:val="22"/>
              </w:rPr>
              <w:t>As DEQ is aware, the Clean Air Act PSD program intended to grandfather existing sources and slowly phase in technology designed to reduce emissions over time as capital improvements were made to aging facilities</w:t>
            </w:r>
            <w:r w:rsidR="004A0EA4" w:rsidRPr="00903BA3">
              <w:rPr>
                <w:bCs/>
                <w:color w:val="000000"/>
                <w:sz w:val="22"/>
                <w:szCs w:val="22"/>
              </w:rPr>
              <w:t xml:space="preserve">. </w:t>
            </w:r>
            <w:r w:rsidRPr="00903BA3">
              <w:rPr>
                <w:bCs/>
                <w:color w:val="000000"/>
                <w:sz w:val="22"/>
                <w:szCs w:val="22"/>
              </w:rPr>
              <w:t>By pairing an evaluation of available control technology, and potential capital expenditures on control technology, with a major capital project, Congress intended to avoid a bottleneck of facilities needing to install major equipment, and reasonably phase in controls</w:t>
            </w:r>
            <w:r w:rsidR="008D538C" w:rsidRPr="00903BA3">
              <w:rPr>
                <w:bCs/>
                <w:color w:val="000000"/>
                <w:sz w:val="22"/>
                <w:szCs w:val="22"/>
              </w:rPr>
              <w:t xml:space="preserve">. </w:t>
            </w:r>
            <w:r w:rsidRPr="00903BA3">
              <w:rPr>
                <w:bCs/>
                <w:color w:val="000000"/>
                <w:sz w:val="22"/>
                <w:szCs w:val="22"/>
              </w:rPr>
              <w:t>Effective implementation of the PSD program, with its dual goals of maintaining clean air and allowing for economic expansion, requires that emissions calculations be revisited on a regular basis (e.g., before a modification causing a significant increase in actual emissions)</w:t>
            </w:r>
            <w:r w:rsidR="004A0EA4" w:rsidRPr="00903BA3">
              <w:rPr>
                <w:bCs/>
                <w:color w:val="000000"/>
                <w:sz w:val="22"/>
                <w:szCs w:val="22"/>
              </w:rPr>
              <w:t xml:space="preserve">. </w:t>
            </w:r>
            <w:r w:rsidRPr="00903BA3">
              <w:rPr>
                <w:bCs/>
                <w:color w:val="000000"/>
                <w:sz w:val="22"/>
                <w:szCs w:val="22"/>
              </w:rPr>
              <w:t>(12)</w:t>
            </w:r>
          </w:p>
          <w:p w:rsidR="000B4801" w:rsidRPr="00903BA3" w:rsidRDefault="000B4801" w:rsidP="000B4801">
            <w:pPr>
              <w:rPr>
                <w:bCs/>
                <w:color w:val="000000"/>
                <w:sz w:val="22"/>
                <w:szCs w:val="22"/>
              </w:rPr>
            </w:pPr>
          </w:p>
          <w:p w:rsidR="00CC3A6D" w:rsidRPr="00903BA3" w:rsidRDefault="00CC3A6D" w:rsidP="000B4801">
            <w:pPr>
              <w:rPr>
                <w:i/>
                <w:sz w:val="22"/>
                <w:szCs w:val="22"/>
              </w:rPr>
            </w:pPr>
            <w:r w:rsidRPr="00903BA3">
              <w:rPr>
                <w:i/>
                <w:sz w:val="22"/>
                <w:szCs w:val="22"/>
              </w:rPr>
              <w:t xml:space="preserve">Response:  </w:t>
            </w:r>
          </w:p>
          <w:p w:rsidR="00CC3A6D" w:rsidRPr="00903BA3" w:rsidRDefault="00CC3A6D" w:rsidP="000B4801">
            <w:pPr>
              <w:rPr>
                <w:i/>
                <w:sz w:val="22"/>
                <w:szCs w:val="22"/>
              </w:rPr>
            </w:pPr>
            <w:r w:rsidRPr="00903BA3">
              <w:rPr>
                <w:i/>
                <w:sz w:val="22"/>
                <w:szCs w:val="22"/>
              </w:rPr>
              <w:t xml:space="preserve">The commenters above provide </w:t>
            </w:r>
            <w:r w:rsidR="00B46BC2" w:rsidRPr="00903BA3">
              <w:rPr>
                <w:i/>
                <w:sz w:val="22"/>
                <w:szCs w:val="22"/>
              </w:rPr>
              <w:t xml:space="preserve">differing </w:t>
            </w:r>
            <w:r w:rsidRPr="00903BA3">
              <w:rPr>
                <w:i/>
                <w:sz w:val="22"/>
                <w:szCs w:val="22"/>
              </w:rPr>
              <w:t xml:space="preserve">views about </w:t>
            </w:r>
            <w:r w:rsidR="00E34479" w:rsidRPr="00903BA3">
              <w:rPr>
                <w:i/>
                <w:sz w:val="22"/>
                <w:szCs w:val="22"/>
              </w:rPr>
              <w:t>setting the baseline emission rate for sources that are permitted but not yet operating during the baseline period</w:t>
            </w:r>
            <w:r w:rsidR="008D538C" w:rsidRPr="00903BA3">
              <w:rPr>
                <w:i/>
                <w:sz w:val="22"/>
                <w:szCs w:val="22"/>
              </w:rPr>
              <w:t xml:space="preserve">. </w:t>
            </w:r>
            <w:r w:rsidRPr="00903BA3">
              <w:rPr>
                <w:i/>
                <w:sz w:val="22"/>
                <w:szCs w:val="22"/>
              </w:rPr>
              <w:t xml:space="preserve"> </w:t>
            </w:r>
          </w:p>
          <w:p w:rsidR="000B4801" w:rsidRDefault="000B4801" w:rsidP="000B4801">
            <w:pPr>
              <w:pStyle w:val="Style2"/>
              <w:widowControl/>
              <w:spacing w:line="269" w:lineRule="exact"/>
              <w:rPr>
                <w:rStyle w:val="FontStyle16"/>
                <w:rFonts w:ascii="Times New Roman" w:hAnsi="Times New Roman" w:cs="Times New Roman"/>
                <w:i/>
                <w:sz w:val="22"/>
                <w:szCs w:val="22"/>
              </w:rPr>
            </w:pPr>
          </w:p>
          <w:p w:rsidR="00CA77E4" w:rsidRPr="00903BA3" w:rsidRDefault="00D9754D" w:rsidP="000B4801">
            <w:pPr>
              <w:pStyle w:val="Style2"/>
              <w:widowControl/>
              <w:spacing w:line="269" w:lineRule="exact"/>
              <w:rPr>
                <w:rStyle w:val="FontStyle16"/>
                <w:rFonts w:ascii="Times New Roman" w:hAnsi="Times New Roman" w:cs="Times New Roman"/>
                <w:i/>
                <w:sz w:val="22"/>
                <w:szCs w:val="22"/>
              </w:rPr>
            </w:pPr>
            <w:r w:rsidRPr="00903BA3">
              <w:rPr>
                <w:rStyle w:val="FontStyle16"/>
                <w:rFonts w:ascii="Times New Roman" w:hAnsi="Times New Roman" w:cs="Times New Roman"/>
                <w:i/>
                <w:sz w:val="22"/>
                <w:szCs w:val="22"/>
              </w:rPr>
              <w:t>For sources that are permitted to construct and operate during the baseline period but that do not begin normal operations until after the baseline period, DEQ proposes to initially set the baseline emission rate</w:t>
            </w:r>
            <w:r w:rsidR="001330E6" w:rsidRPr="00903BA3">
              <w:rPr>
                <w:rStyle w:val="FontStyle16"/>
                <w:rFonts w:ascii="Times New Roman" w:hAnsi="Times New Roman" w:cs="Times New Roman"/>
                <w:i/>
                <w:sz w:val="22"/>
                <w:szCs w:val="22"/>
              </w:rPr>
              <w:t xml:space="preserve"> equal to PTE. </w:t>
            </w:r>
            <w:r w:rsidR="00655907" w:rsidRPr="00903BA3">
              <w:rPr>
                <w:rStyle w:val="FontStyle16"/>
                <w:rFonts w:ascii="Times New Roman" w:hAnsi="Times New Roman" w:cs="Times New Roman"/>
                <w:i/>
                <w:sz w:val="22"/>
                <w:szCs w:val="22"/>
              </w:rPr>
              <w:t>DEQ confirms that this also applies to the GHG baseline emission rate, which will</w:t>
            </w:r>
            <w:r w:rsidR="001330E6" w:rsidRPr="00903BA3">
              <w:rPr>
                <w:rStyle w:val="FontStyle16"/>
                <w:rFonts w:ascii="Times New Roman" w:hAnsi="Times New Roman" w:cs="Times New Roman"/>
                <w:i/>
                <w:sz w:val="22"/>
                <w:szCs w:val="22"/>
              </w:rPr>
              <w:t xml:space="preserve"> initially</w:t>
            </w:r>
            <w:r w:rsidR="00655907" w:rsidRPr="00903BA3">
              <w:rPr>
                <w:rStyle w:val="FontStyle16"/>
                <w:rFonts w:ascii="Times New Roman" w:hAnsi="Times New Roman" w:cs="Times New Roman"/>
                <w:i/>
                <w:sz w:val="22"/>
                <w:szCs w:val="22"/>
              </w:rPr>
              <w:t xml:space="preserve"> equal the potential to emit of equipment that has been approved for construction prior to December 31, 2010 but has not yet begun normal operations by January 1, 2011.</w:t>
            </w:r>
            <w:r w:rsidR="00655907" w:rsidRPr="00903BA3">
              <w:rPr>
                <w:rStyle w:val="FontStyle16"/>
                <w:rFonts w:ascii="Times New Roman" w:hAnsi="Times New Roman" w:cs="Times New Roman"/>
                <w:sz w:val="22"/>
                <w:szCs w:val="22"/>
              </w:rPr>
              <w:t xml:space="preserve"> </w:t>
            </w:r>
            <w:r w:rsidR="00CA77E4" w:rsidRPr="00903BA3">
              <w:rPr>
                <w:rStyle w:val="FontStyle16"/>
                <w:rFonts w:ascii="Times New Roman" w:hAnsi="Times New Roman" w:cs="Times New Roman"/>
                <w:i/>
                <w:sz w:val="22"/>
                <w:szCs w:val="22"/>
              </w:rPr>
              <w:t xml:space="preserve">The initial netting basis for existing sources is the baseline </w:t>
            </w:r>
            <w:r w:rsidR="00CA77E4" w:rsidRPr="00903BA3">
              <w:rPr>
                <w:rStyle w:val="FontStyle16"/>
                <w:rFonts w:ascii="Times New Roman" w:hAnsi="Times New Roman" w:cs="Times New Roman"/>
                <w:i/>
                <w:sz w:val="22"/>
                <w:szCs w:val="22"/>
              </w:rPr>
              <w:lastRenderedPageBreak/>
              <w:t>emission rate</w:t>
            </w:r>
            <w:r w:rsidR="008D538C" w:rsidRPr="00903BA3">
              <w:rPr>
                <w:rStyle w:val="FontStyle16"/>
                <w:rFonts w:ascii="Times New Roman" w:hAnsi="Times New Roman" w:cs="Times New Roman"/>
                <w:i/>
                <w:sz w:val="22"/>
                <w:szCs w:val="22"/>
              </w:rPr>
              <w:t xml:space="preserve">. </w:t>
            </w:r>
            <w:r w:rsidR="00CA77E4" w:rsidRPr="00903BA3">
              <w:rPr>
                <w:rStyle w:val="FontStyle16"/>
                <w:rFonts w:ascii="Times New Roman" w:hAnsi="Times New Roman" w:cs="Times New Roman"/>
                <w:i/>
                <w:sz w:val="22"/>
                <w:szCs w:val="22"/>
              </w:rPr>
              <w:t>For new sources</w:t>
            </w:r>
            <w:r w:rsidR="001330E6" w:rsidRPr="00903BA3">
              <w:rPr>
                <w:rStyle w:val="FontStyle16"/>
                <w:rFonts w:ascii="Times New Roman" w:hAnsi="Times New Roman" w:cs="Times New Roman"/>
                <w:i/>
                <w:sz w:val="22"/>
                <w:szCs w:val="22"/>
              </w:rPr>
              <w:t xml:space="preserve"> that go through NSR/PSD</w:t>
            </w:r>
            <w:r w:rsidR="00CA77E4" w:rsidRPr="00903BA3">
              <w:rPr>
                <w:rStyle w:val="FontStyle16"/>
                <w:rFonts w:ascii="Times New Roman" w:hAnsi="Times New Roman" w:cs="Times New Roman"/>
                <w:i/>
                <w:sz w:val="22"/>
                <w:szCs w:val="22"/>
              </w:rPr>
              <w:t xml:space="preserve">, DEQ </w:t>
            </w:r>
            <w:r w:rsidR="001330E6" w:rsidRPr="00903BA3">
              <w:rPr>
                <w:rStyle w:val="FontStyle16"/>
                <w:rFonts w:ascii="Times New Roman" w:hAnsi="Times New Roman" w:cs="Times New Roman"/>
                <w:i/>
                <w:sz w:val="22"/>
                <w:szCs w:val="22"/>
              </w:rPr>
              <w:t>proposes to</w:t>
            </w:r>
            <w:r w:rsidR="00CA77E4" w:rsidRPr="00903BA3">
              <w:rPr>
                <w:rStyle w:val="FontStyle16"/>
                <w:rFonts w:ascii="Times New Roman" w:hAnsi="Times New Roman" w:cs="Times New Roman"/>
                <w:i/>
                <w:sz w:val="22"/>
                <w:szCs w:val="22"/>
              </w:rPr>
              <w:t xml:space="preserve"> continue set</w:t>
            </w:r>
            <w:r w:rsidR="001330E6" w:rsidRPr="00903BA3">
              <w:rPr>
                <w:rStyle w:val="FontStyle16"/>
                <w:rFonts w:ascii="Times New Roman" w:hAnsi="Times New Roman" w:cs="Times New Roman"/>
                <w:i/>
                <w:sz w:val="22"/>
                <w:szCs w:val="22"/>
              </w:rPr>
              <w:t>ting</w:t>
            </w:r>
            <w:r w:rsidR="00CA77E4" w:rsidRPr="00903BA3">
              <w:rPr>
                <w:rStyle w:val="FontStyle16"/>
                <w:rFonts w:ascii="Times New Roman" w:hAnsi="Times New Roman" w:cs="Times New Roman"/>
                <w:i/>
                <w:sz w:val="22"/>
                <w:szCs w:val="22"/>
              </w:rPr>
              <w:t xml:space="preserve"> the netting basis equal to the PTE</w:t>
            </w:r>
            <w:r w:rsidR="001330E6" w:rsidRPr="00903BA3">
              <w:rPr>
                <w:rStyle w:val="FontStyle16"/>
                <w:rFonts w:ascii="Times New Roman" w:hAnsi="Times New Roman" w:cs="Times New Roman"/>
                <w:i/>
                <w:sz w:val="22"/>
                <w:szCs w:val="22"/>
              </w:rPr>
              <w:t xml:space="preserve"> because that ensures that the maximum air quality impact of the new source or modification is evaluated during permitting</w:t>
            </w:r>
            <w:r w:rsidR="008D538C" w:rsidRPr="00903BA3">
              <w:rPr>
                <w:rStyle w:val="FontStyle16"/>
                <w:rFonts w:ascii="Times New Roman" w:hAnsi="Times New Roman" w:cs="Times New Roman"/>
                <w:i/>
                <w:sz w:val="22"/>
                <w:szCs w:val="22"/>
              </w:rPr>
              <w:t xml:space="preserve">. </w:t>
            </w:r>
            <w:r w:rsidR="00CA77E4" w:rsidRPr="00903BA3">
              <w:rPr>
                <w:rStyle w:val="FontStyle16"/>
                <w:rFonts w:ascii="Times New Roman" w:hAnsi="Times New Roman" w:cs="Times New Roman"/>
                <w:i/>
                <w:sz w:val="22"/>
                <w:szCs w:val="22"/>
              </w:rPr>
              <w:t>If a new source does not go through NSR/PSD, then the netting basis is zero</w:t>
            </w:r>
            <w:r w:rsidR="008D538C" w:rsidRPr="00903BA3">
              <w:rPr>
                <w:rStyle w:val="FontStyle16"/>
                <w:rFonts w:ascii="Times New Roman" w:hAnsi="Times New Roman" w:cs="Times New Roman"/>
                <w:i/>
                <w:sz w:val="22"/>
                <w:szCs w:val="22"/>
              </w:rPr>
              <w:t xml:space="preserve">. </w:t>
            </w:r>
          </w:p>
          <w:p w:rsidR="000B4801" w:rsidRDefault="000B4801" w:rsidP="000B4801">
            <w:pPr>
              <w:pStyle w:val="Style2"/>
              <w:widowControl/>
              <w:spacing w:line="269" w:lineRule="exact"/>
              <w:rPr>
                <w:rStyle w:val="FontStyle16"/>
                <w:rFonts w:ascii="Times New Roman" w:hAnsi="Times New Roman" w:cs="Times New Roman"/>
                <w:i/>
                <w:sz w:val="22"/>
                <w:szCs w:val="22"/>
              </w:rPr>
            </w:pPr>
          </w:p>
          <w:p w:rsidR="00CA77E4" w:rsidRPr="00903BA3" w:rsidRDefault="00CA77E4" w:rsidP="000B4801">
            <w:pPr>
              <w:pStyle w:val="Style2"/>
              <w:widowControl/>
              <w:spacing w:line="269" w:lineRule="exact"/>
              <w:rPr>
                <w:rFonts w:ascii="Times New Roman" w:hAnsi="Times New Roman" w:cs="Times New Roman"/>
                <w:i/>
                <w:sz w:val="22"/>
                <w:szCs w:val="22"/>
              </w:rPr>
            </w:pPr>
            <w:r w:rsidRPr="00903BA3">
              <w:rPr>
                <w:rStyle w:val="FontStyle16"/>
                <w:rFonts w:ascii="Times New Roman" w:hAnsi="Times New Roman" w:cs="Times New Roman"/>
                <w:i/>
                <w:sz w:val="22"/>
                <w:szCs w:val="22"/>
              </w:rPr>
              <w:t>Past experience has shown that most sources never operate and emit at the</w:t>
            </w:r>
            <w:r w:rsidR="00CF49C2" w:rsidRPr="00903BA3">
              <w:rPr>
                <w:rStyle w:val="FontStyle16"/>
                <w:rFonts w:ascii="Times New Roman" w:hAnsi="Times New Roman" w:cs="Times New Roman"/>
                <w:i/>
                <w:sz w:val="22"/>
                <w:szCs w:val="22"/>
              </w:rPr>
              <w:t>ir</w:t>
            </w:r>
            <w:r w:rsidRPr="00903BA3">
              <w:rPr>
                <w:rStyle w:val="FontStyle16"/>
                <w:rFonts w:ascii="Times New Roman" w:hAnsi="Times New Roman" w:cs="Times New Roman"/>
                <w:i/>
                <w:sz w:val="22"/>
                <w:szCs w:val="22"/>
              </w:rPr>
              <w:t xml:space="preserve"> PTE</w:t>
            </w:r>
            <w:r w:rsidR="008D538C" w:rsidRPr="00903BA3">
              <w:rPr>
                <w:rStyle w:val="FontStyle16"/>
                <w:rFonts w:ascii="Times New Roman" w:hAnsi="Times New Roman" w:cs="Times New Roman"/>
                <w:i/>
                <w:sz w:val="22"/>
                <w:szCs w:val="22"/>
              </w:rPr>
              <w:t xml:space="preserve">. </w:t>
            </w:r>
            <w:r w:rsidRPr="00903BA3">
              <w:rPr>
                <w:rStyle w:val="FontStyle16"/>
                <w:rFonts w:ascii="Times New Roman" w:hAnsi="Times New Roman" w:cs="Times New Roman"/>
                <w:i/>
                <w:sz w:val="22"/>
                <w:szCs w:val="22"/>
              </w:rPr>
              <w:t xml:space="preserve">Therefore, for sources that have baseline emission rates equal to the PTE, </w:t>
            </w:r>
            <w:r w:rsidR="00AE6062" w:rsidRPr="00903BA3">
              <w:rPr>
                <w:rFonts w:ascii="Times New Roman" w:hAnsi="Times New Roman" w:cs="Times New Roman"/>
                <w:i/>
                <w:sz w:val="22"/>
                <w:szCs w:val="22"/>
              </w:rPr>
              <w:t>DEQ proposes</w:t>
            </w:r>
            <w:r w:rsidRPr="00903BA3">
              <w:rPr>
                <w:rFonts w:ascii="Times New Roman" w:hAnsi="Times New Roman" w:cs="Times New Roman"/>
                <w:i/>
                <w:sz w:val="22"/>
                <w:szCs w:val="22"/>
              </w:rPr>
              <w:t xml:space="preserve"> to require that the “actual” emissions be reset from the PTE to the highest actual emissions ten or more years after </w:t>
            </w:r>
            <w:r w:rsidR="007C7416" w:rsidRPr="00903BA3">
              <w:rPr>
                <w:rFonts w:ascii="Times New Roman" w:hAnsi="Times New Roman" w:cs="Times New Roman"/>
                <w:i/>
                <w:sz w:val="22"/>
                <w:szCs w:val="22"/>
              </w:rPr>
              <w:t>the end of the baseline period</w:t>
            </w:r>
            <w:r w:rsidR="000A5B13" w:rsidRPr="00903BA3">
              <w:rPr>
                <w:rFonts w:ascii="Times New Roman" w:hAnsi="Times New Roman" w:cs="Times New Roman"/>
                <w:i/>
                <w:sz w:val="22"/>
                <w:szCs w:val="22"/>
              </w:rPr>
              <w:t xml:space="preserve"> for GHG sources</w:t>
            </w:r>
            <w:r w:rsidRPr="00903BA3">
              <w:rPr>
                <w:rFonts w:ascii="Times New Roman" w:hAnsi="Times New Roman" w:cs="Times New Roman"/>
                <w:i/>
                <w:sz w:val="22"/>
                <w:szCs w:val="22"/>
              </w:rPr>
              <w:t xml:space="preserve">. See the </w:t>
            </w:r>
            <w:r w:rsidR="00F105CA" w:rsidRPr="00903BA3">
              <w:rPr>
                <w:rFonts w:ascii="Times New Roman" w:hAnsi="Times New Roman" w:cs="Times New Roman"/>
                <w:i/>
                <w:sz w:val="22"/>
                <w:szCs w:val="22"/>
              </w:rPr>
              <w:t>response in</w:t>
            </w:r>
            <w:r w:rsidR="00932FA2" w:rsidRPr="00903BA3">
              <w:rPr>
                <w:rFonts w:ascii="Times New Roman" w:hAnsi="Times New Roman" w:cs="Times New Roman"/>
                <w:i/>
                <w:sz w:val="22"/>
                <w:szCs w:val="22"/>
              </w:rPr>
              <w:t xml:space="preserve"> comment </w:t>
            </w:r>
            <w:r w:rsidR="0041297F">
              <w:rPr>
                <w:rFonts w:ascii="Times New Roman" w:hAnsi="Times New Roman" w:cs="Times New Roman"/>
                <w:i/>
                <w:sz w:val="22"/>
                <w:szCs w:val="22"/>
              </w:rPr>
              <w:fldChar w:fldCharType="begin"/>
            </w:r>
            <w:r w:rsidR="00903BA3">
              <w:rPr>
                <w:rFonts w:ascii="Times New Roman" w:hAnsi="Times New Roman" w:cs="Times New Roman"/>
                <w:i/>
                <w:sz w:val="22"/>
                <w:szCs w:val="22"/>
              </w:rPr>
              <w:instrText xml:space="preserve"> REF _Ref286824757 \r \h </w:instrText>
            </w:r>
            <w:r w:rsidR="0041297F">
              <w:rPr>
                <w:rFonts w:ascii="Times New Roman" w:hAnsi="Times New Roman" w:cs="Times New Roman"/>
                <w:i/>
                <w:sz w:val="22"/>
                <w:szCs w:val="22"/>
              </w:rPr>
            </w:r>
            <w:r w:rsidR="0041297F">
              <w:rPr>
                <w:rFonts w:ascii="Times New Roman" w:hAnsi="Times New Roman" w:cs="Times New Roman"/>
                <w:i/>
                <w:sz w:val="22"/>
                <w:szCs w:val="22"/>
              </w:rPr>
              <w:fldChar w:fldCharType="separate"/>
            </w:r>
            <w:r w:rsidR="00903BA3">
              <w:rPr>
                <w:rFonts w:ascii="Times New Roman" w:hAnsi="Times New Roman" w:cs="Times New Roman"/>
                <w:i/>
                <w:sz w:val="22"/>
                <w:szCs w:val="22"/>
              </w:rPr>
              <w:t>3</w:t>
            </w:r>
            <w:r w:rsidR="0041297F">
              <w:rPr>
                <w:rFonts w:ascii="Times New Roman" w:hAnsi="Times New Roman" w:cs="Times New Roman"/>
                <w:i/>
                <w:sz w:val="22"/>
                <w:szCs w:val="22"/>
              </w:rPr>
              <w:fldChar w:fldCharType="end"/>
            </w:r>
            <w:r w:rsidR="00932FA2" w:rsidRPr="00903BA3">
              <w:rPr>
                <w:rFonts w:ascii="Times New Roman" w:hAnsi="Times New Roman" w:cs="Times New Roman"/>
                <w:i/>
                <w:sz w:val="22"/>
                <w:szCs w:val="22"/>
              </w:rPr>
              <w:t xml:space="preserve"> “A</w:t>
            </w:r>
            <w:r w:rsidRPr="00903BA3">
              <w:rPr>
                <w:rFonts w:ascii="Times New Roman" w:hAnsi="Times New Roman" w:cs="Times New Roman"/>
                <w:i/>
                <w:sz w:val="22"/>
                <w:szCs w:val="22"/>
              </w:rPr>
              <w:t xml:space="preserve">ctual emissions as PTE used to net out of PSD.” </w:t>
            </w:r>
          </w:p>
          <w:p w:rsidR="000B4801" w:rsidRDefault="000B4801" w:rsidP="000B4801">
            <w:pPr>
              <w:pStyle w:val="Style6"/>
              <w:widowControl/>
              <w:spacing w:line="240" w:lineRule="auto"/>
              <w:rPr>
                <w:rFonts w:ascii="Times New Roman" w:hAnsi="Times New Roman" w:cs="Times New Roman"/>
                <w:i/>
                <w:sz w:val="22"/>
                <w:szCs w:val="22"/>
              </w:rPr>
            </w:pPr>
          </w:p>
          <w:p w:rsidR="00CA77E4" w:rsidRPr="00903BA3" w:rsidRDefault="00AE6062" w:rsidP="000B4801">
            <w:pPr>
              <w:pStyle w:val="Style6"/>
              <w:widowControl/>
              <w:spacing w:line="240" w:lineRule="auto"/>
              <w:rPr>
                <w:rFonts w:ascii="Times New Roman" w:hAnsi="Times New Roman" w:cs="Times New Roman"/>
                <w:i/>
                <w:sz w:val="22"/>
                <w:szCs w:val="22"/>
              </w:rPr>
            </w:pPr>
            <w:r w:rsidRPr="00903BA3">
              <w:rPr>
                <w:rFonts w:ascii="Times New Roman" w:hAnsi="Times New Roman" w:cs="Times New Roman"/>
                <w:i/>
                <w:sz w:val="22"/>
                <w:szCs w:val="22"/>
              </w:rPr>
              <w:t>DEQ proposes that t</w:t>
            </w:r>
            <w:r w:rsidR="00CA77E4" w:rsidRPr="00903BA3">
              <w:rPr>
                <w:rFonts w:ascii="Times New Roman" w:hAnsi="Times New Roman" w:cs="Times New Roman"/>
                <w:i/>
                <w:sz w:val="22"/>
                <w:szCs w:val="22"/>
              </w:rPr>
              <w:t>he same provision will be applied to new sources that have gone through NSR/PSD</w:t>
            </w:r>
            <w:r w:rsidR="008D538C" w:rsidRPr="00903BA3">
              <w:rPr>
                <w:rFonts w:ascii="Times New Roman" w:hAnsi="Times New Roman" w:cs="Times New Roman"/>
                <w:i/>
                <w:sz w:val="22"/>
                <w:szCs w:val="22"/>
              </w:rPr>
              <w:t xml:space="preserve">. </w:t>
            </w:r>
            <w:r w:rsidR="00CA77E4" w:rsidRPr="00903BA3">
              <w:rPr>
                <w:rFonts w:ascii="Times New Roman" w:hAnsi="Times New Roman" w:cs="Times New Roman"/>
                <w:i/>
                <w:sz w:val="22"/>
                <w:szCs w:val="22"/>
              </w:rPr>
              <w:t xml:space="preserve">The netting basis will be reset from PTE to the highest actual emissions during the 10 years after </w:t>
            </w:r>
            <w:r w:rsidR="007C7416" w:rsidRPr="00903BA3">
              <w:rPr>
                <w:rFonts w:ascii="Times New Roman" w:hAnsi="Times New Roman" w:cs="Times New Roman"/>
                <w:i/>
                <w:sz w:val="22"/>
                <w:szCs w:val="22"/>
              </w:rPr>
              <w:t>NSR/PSD permit issuance</w:t>
            </w:r>
            <w:r w:rsidR="008D538C" w:rsidRPr="00903BA3">
              <w:rPr>
                <w:rFonts w:ascii="Times New Roman" w:hAnsi="Times New Roman" w:cs="Times New Roman"/>
                <w:i/>
                <w:sz w:val="22"/>
                <w:szCs w:val="22"/>
              </w:rPr>
              <w:t xml:space="preserve">. </w:t>
            </w:r>
            <w:r w:rsidR="00CA77E4" w:rsidRPr="00903BA3">
              <w:rPr>
                <w:rFonts w:ascii="Times New Roman" w:hAnsi="Times New Roman" w:cs="Times New Roman"/>
                <w:i/>
                <w:sz w:val="22"/>
                <w:szCs w:val="22"/>
              </w:rPr>
              <w:t>An additional 5 years may be granted if it is demonstrated that a source had</w:t>
            </w:r>
            <w:r w:rsidR="00DE1045" w:rsidRPr="00903BA3">
              <w:rPr>
                <w:rFonts w:ascii="Times New Roman" w:hAnsi="Times New Roman" w:cs="Times New Roman"/>
                <w:i/>
                <w:sz w:val="22"/>
                <w:szCs w:val="22"/>
              </w:rPr>
              <w:t xml:space="preserve"> not </w:t>
            </w:r>
            <w:r w:rsidR="00CA77E4" w:rsidRPr="00903BA3">
              <w:rPr>
                <w:rFonts w:ascii="Times New Roman" w:hAnsi="Times New Roman" w:cs="Times New Roman"/>
                <w:i/>
                <w:sz w:val="22"/>
                <w:szCs w:val="22"/>
              </w:rPr>
              <w:t>achieved normal operations within the 10 year period.</w:t>
            </w:r>
          </w:p>
          <w:p w:rsidR="000B4801" w:rsidRDefault="000B4801" w:rsidP="000B4801">
            <w:pPr>
              <w:pStyle w:val="Style6"/>
              <w:widowControl/>
              <w:spacing w:line="240" w:lineRule="auto"/>
              <w:rPr>
                <w:rFonts w:ascii="Times New Roman" w:hAnsi="Times New Roman" w:cs="Times New Roman"/>
                <w:i/>
                <w:sz w:val="22"/>
                <w:szCs w:val="22"/>
              </w:rPr>
            </w:pPr>
          </w:p>
          <w:p w:rsidR="00012675" w:rsidRDefault="00CA77E4" w:rsidP="000B4801">
            <w:pPr>
              <w:pStyle w:val="Style6"/>
              <w:widowControl/>
              <w:spacing w:line="240" w:lineRule="auto"/>
              <w:rPr>
                <w:rFonts w:ascii="Times New Roman" w:hAnsi="Times New Roman" w:cs="Times New Roman"/>
                <w:i/>
                <w:sz w:val="22"/>
                <w:szCs w:val="22"/>
              </w:rPr>
            </w:pPr>
            <w:r w:rsidRPr="00903BA3">
              <w:rPr>
                <w:rFonts w:ascii="Times New Roman" w:hAnsi="Times New Roman" w:cs="Times New Roman"/>
                <w:i/>
                <w:sz w:val="22"/>
                <w:szCs w:val="22"/>
              </w:rPr>
              <w:t>This change will remove emissions from the netting basis that will likely never be emitted</w:t>
            </w:r>
            <w:r w:rsidR="008D538C" w:rsidRPr="00903BA3">
              <w:rPr>
                <w:rFonts w:ascii="Times New Roman" w:hAnsi="Times New Roman" w:cs="Times New Roman"/>
                <w:i/>
                <w:sz w:val="22"/>
                <w:szCs w:val="22"/>
              </w:rPr>
              <w:t xml:space="preserve">. </w:t>
            </w:r>
            <w:r w:rsidRPr="00903BA3">
              <w:rPr>
                <w:rFonts w:ascii="Times New Roman" w:hAnsi="Times New Roman" w:cs="Times New Roman"/>
                <w:i/>
                <w:sz w:val="22"/>
                <w:szCs w:val="22"/>
              </w:rPr>
              <w:t>It will not prevent the source from operating at the full capacity because the PSEL will not be reduced</w:t>
            </w:r>
            <w:r w:rsidR="008D538C" w:rsidRPr="00903BA3">
              <w:rPr>
                <w:rFonts w:ascii="Times New Roman" w:hAnsi="Times New Roman" w:cs="Times New Roman"/>
                <w:i/>
                <w:sz w:val="22"/>
                <w:szCs w:val="22"/>
              </w:rPr>
              <w:t xml:space="preserve">. </w:t>
            </w:r>
            <w:r w:rsidRPr="00903BA3">
              <w:rPr>
                <w:rFonts w:ascii="Times New Roman" w:hAnsi="Times New Roman" w:cs="Times New Roman"/>
                <w:i/>
                <w:sz w:val="22"/>
                <w:szCs w:val="22"/>
              </w:rPr>
              <w:t xml:space="preserve">However, it will prevent the source from using the “extra” </w:t>
            </w:r>
            <w:r w:rsidR="00AE6062" w:rsidRPr="00903BA3">
              <w:rPr>
                <w:rFonts w:ascii="Times New Roman" w:hAnsi="Times New Roman" w:cs="Times New Roman"/>
                <w:i/>
                <w:sz w:val="22"/>
                <w:szCs w:val="22"/>
              </w:rPr>
              <w:t xml:space="preserve">potential </w:t>
            </w:r>
            <w:r w:rsidRPr="00903BA3">
              <w:rPr>
                <w:rFonts w:ascii="Times New Roman" w:hAnsi="Times New Roman" w:cs="Times New Roman"/>
                <w:i/>
                <w:sz w:val="22"/>
                <w:szCs w:val="22"/>
              </w:rPr>
              <w:t>emissions for netting</w:t>
            </w:r>
            <w:r w:rsidR="0012520B" w:rsidRPr="00903BA3">
              <w:rPr>
                <w:rFonts w:ascii="Times New Roman" w:hAnsi="Times New Roman" w:cs="Times New Roman"/>
                <w:i/>
                <w:sz w:val="22"/>
                <w:szCs w:val="22"/>
              </w:rPr>
              <w:t xml:space="preserve"> </w:t>
            </w:r>
            <w:r w:rsidR="00AE6062" w:rsidRPr="00903BA3">
              <w:rPr>
                <w:rFonts w:ascii="Times New Roman" w:hAnsi="Times New Roman" w:cs="Times New Roman"/>
                <w:i/>
                <w:sz w:val="22"/>
                <w:szCs w:val="22"/>
              </w:rPr>
              <w:t xml:space="preserve">a future modification </w:t>
            </w:r>
            <w:r w:rsidR="0012520B" w:rsidRPr="00903BA3">
              <w:rPr>
                <w:rFonts w:ascii="Times New Roman" w:hAnsi="Times New Roman" w:cs="Times New Roman"/>
                <w:i/>
                <w:sz w:val="22"/>
                <w:szCs w:val="22"/>
              </w:rPr>
              <w:t>out of NSR/PSD</w:t>
            </w:r>
            <w:r w:rsidRPr="00903BA3">
              <w:rPr>
                <w:rFonts w:ascii="Times New Roman" w:hAnsi="Times New Roman" w:cs="Times New Roman"/>
                <w:i/>
                <w:sz w:val="22"/>
                <w:szCs w:val="22"/>
              </w:rPr>
              <w:t>.</w:t>
            </w:r>
          </w:p>
          <w:p w:rsidR="000B4801" w:rsidRPr="00903BA3" w:rsidRDefault="000B4801" w:rsidP="000B4801">
            <w:pPr>
              <w:pStyle w:val="Style6"/>
              <w:widowControl/>
              <w:spacing w:line="240" w:lineRule="auto"/>
              <w:rPr>
                <w:rFonts w:ascii="Times New Roman" w:hAnsi="Times New Roman" w:cs="Times New Roman"/>
                <w:i/>
                <w:sz w:val="22"/>
                <w:szCs w:val="22"/>
              </w:rPr>
            </w:pPr>
          </w:p>
        </w:tc>
      </w:tr>
      <w:tr w:rsidR="00E11F45"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11F45" w:rsidRPr="00903BA3" w:rsidRDefault="000B4801" w:rsidP="000B4801">
            <w:pPr>
              <w:ind w:right="-115"/>
              <w:rPr>
                <w:bCs/>
                <w:sz w:val="22"/>
                <w:szCs w:val="22"/>
              </w:rPr>
            </w:pPr>
            <w:r>
              <w:rPr>
                <w:sz w:val="22"/>
                <w:szCs w:val="22"/>
              </w:rPr>
              <w:lastRenderedPageBreak/>
              <w:t xml:space="preserve">8. </w:t>
            </w:r>
            <w:r w:rsidR="00E11F45" w:rsidRPr="00903BA3">
              <w:rPr>
                <w:sz w:val="22"/>
                <w:szCs w:val="22"/>
              </w:rPr>
              <w:t>Baseline emission rate definition  - corrections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982894" w:rsidRPr="00903BA3" w:rsidRDefault="00E11F45" w:rsidP="000B4801">
            <w:pPr>
              <w:rPr>
                <w:sz w:val="22"/>
                <w:szCs w:val="22"/>
              </w:rPr>
            </w:pPr>
            <w:r w:rsidRPr="00903BA3">
              <w:rPr>
                <w:sz w:val="22"/>
                <w:szCs w:val="22"/>
              </w:rPr>
              <w:t>The language in the old definition of baseline emission rate already establishes a list of the only reasons a baseline can be changed, so the text about freezing adds confusion</w:t>
            </w:r>
            <w:r w:rsidR="004A0EA4" w:rsidRPr="00903BA3">
              <w:rPr>
                <w:sz w:val="22"/>
                <w:szCs w:val="22"/>
              </w:rPr>
              <w:t xml:space="preserve">. </w:t>
            </w:r>
          </w:p>
          <w:p w:rsidR="00E11F45" w:rsidRPr="00903BA3" w:rsidRDefault="00E11F45" w:rsidP="000B4801">
            <w:pPr>
              <w:rPr>
                <w:sz w:val="22"/>
                <w:szCs w:val="22"/>
              </w:rPr>
            </w:pPr>
            <w:r w:rsidRPr="00903BA3">
              <w:rPr>
                <w:sz w:val="22"/>
                <w:szCs w:val="22"/>
              </w:rPr>
              <w:t>The second concern has to do with the use of term “the Department” in the discussion of how changes are made to the baseline rate</w:t>
            </w:r>
            <w:r w:rsidR="004A0EA4" w:rsidRPr="00903BA3">
              <w:rPr>
                <w:sz w:val="22"/>
                <w:szCs w:val="22"/>
              </w:rPr>
              <w:t xml:space="preserve">. </w:t>
            </w:r>
            <w:r w:rsidRPr="00903BA3">
              <w:rPr>
                <w:sz w:val="22"/>
                <w:szCs w:val="22"/>
              </w:rPr>
              <w:t>We are concerned that specifying that “the Department determines” could be relied on by a source in an enforcement action to argue that the baseline cannot be recalculated based on, for example, a material mistake or inaccurate statements by a source, unless it was the Department that made the determination that there was a mistake or inaccurate statements</w:t>
            </w:r>
            <w:r w:rsidR="004A0EA4" w:rsidRPr="00903BA3">
              <w:rPr>
                <w:sz w:val="22"/>
                <w:szCs w:val="22"/>
              </w:rPr>
              <w:t xml:space="preserve">. </w:t>
            </w:r>
            <w:r w:rsidRPr="00903BA3">
              <w:rPr>
                <w:sz w:val="22"/>
                <w:szCs w:val="22"/>
              </w:rPr>
              <w:t>(7)</w:t>
            </w:r>
            <w:r w:rsidRPr="00903BA3" w:rsidDel="00EB5CDF">
              <w:rPr>
                <w:sz w:val="22"/>
                <w:szCs w:val="22"/>
              </w:rPr>
              <w:t xml:space="preserve"> </w:t>
            </w:r>
          </w:p>
          <w:p w:rsidR="000B4801" w:rsidRDefault="000B4801" w:rsidP="000B4801">
            <w:pPr>
              <w:rPr>
                <w:i/>
                <w:sz w:val="22"/>
                <w:szCs w:val="22"/>
              </w:rPr>
            </w:pPr>
          </w:p>
          <w:p w:rsidR="00E11F45" w:rsidRPr="00903BA3" w:rsidRDefault="00E11F45" w:rsidP="000B4801">
            <w:pPr>
              <w:rPr>
                <w:i/>
                <w:sz w:val="22"/>
                <w:szCs w:val="22"/>
              </w:rPr>
            </w:pPr>
            <w:r w:rsidRPr="00903BA3">
              <w:rPr>
                <w:i/>
                <w:sz w:val="22"/>
                <w:szCs w:val="22"/>
              </w:rPr>
              <w:t>Response:</w:t>
            </w:r>
          </w:p>
          <w:p w:rsidR="00012675" w:rsidRDefault="00E11F45" w:rsidP="000B4801">
            <w:pPr>
              <w:rPr>
                <w:i/>
                <w:sz w:val="22"/>
                <w:szCs w:val="22"/>
              </w:rPr>
            </w:pPr>
            <w:r w:rsidRPr="00903BA3">
              <w:rPr>
                <w:i/>
                <w:sz w:val="22"/>
                <w:szCs w:val="22"/>
              </w:rPr>
              <w:t xml:space="preserve">DEQ has </w:t>
            </w:r>
            <w:r w:rsidR="008B34C4" w:rsidRPr="00903BA3">
              <w:rPr>
                <w:i/>
                <w:sz w:val="22"/>
                <w:szCs w:val="22"/>
              </w:rPr>
              <w:t>proposed</w:t>
            </w:r>
            <w:r w:rsidRPr="00903BA3">
              <w:rPr>
                <w:i/>
                <w:sz w:val="22"/>
                <w:szCs w:val="22"/>
              </w:rPr>
              <w:t xml:space="preserve"> changes to the definition of baseline emission rate to clarify when it can be changed</w:t>
            </w:r>
            <w:r w:rsidR="004A0EA4" w:rsidRPr="00903BA3">
              <w:rPr>
                <w:i/>
                <w:sz w:val="22"/>
                <w:szCs w:val="22"/>
              </w:rPr>
              <w:t xml:space="preserve">. </w:t>
            </w:r>
            <w:r w:rsidRPr="00903BA3">
              <w:rPr>
                <w:i/>
                <w:sz w:val="22"/>
                <w:szCs w:val="22"/>
              </w:rPr>
              <w:t xml:space="preserve">The original reason for freezing the baseline emission rate was to prevent sources from asking for changes based on the discovery of </w:t>
            </w:r>
            <w:r w:rsidR="00CA77E4" w:rsidRPr="00903BA3">
              <w:rPr>
                <w:i/>
                <w:sz w:val="22"/>
                <w:szCs w:val="22"/>
              </w:rPr>
              <w:t>“</w:t>
            </w:r>
            <w:r w:rsidRPr="00903BA3">
              <w:rPr>
                <w:i/>
                <w:sz w:val="22"/>
                <w:szCs w:val="22"/>
              </w:rPr>
              <w:t>new</w:t>
            </w:r>
            <w:r w:rsidR="00CA77E4" w:rsidRPr="00903BA3">
              <w:rPr>
                <w:i/>
                <w:sz w:val="22"/>
                <w:szCs w:val="22"/>
              </w:rPr>
              <w:t>”</w:t>
            </w:r>
            <w:r w:rsidRPr="00903BA3">
              <w:rPr>
                <w:i/>
                <w:sz w:val="22"/>
                <w:szCs w:val="22"/>
              </w:rPr>
              <w:t xml:space="preserve"> production information</w:t>
            </w:r>
            <w:r w:rsidR="00E47D61" w:rsidRPr="00903BA3">
              <w:rPr>
                <w:i/>
                <w:sz w:val="22"/>
                <w:szCs w:val="22"/>
              </w:rPr>
              <w:t xml:space="preserve"> that is difficult to verify </w:t>
            </w:r>
            <w:r w:rsidR="00DB2119" w:rsidRPr="00903BA3">
              <w:rPr>
                <w:i/>
                <w:sz w:val="22"/>
                <w:szCs w:val="22"/>
              </w:rPr>
              <w:t>30 years after the fact</w:t>
            </w:r>
            <w:r w:rsidRPr="00903BA3">
              <w:rPr>
                <w:i/>
                <w:sz w:val="22"/>
                <w:szCs w:val="22"/>
              </w:rPr>
              <w:t xml:space="preserve">. Therefore, changes have been </w:t>
            </w:r>
            <w:r w:rsidR="008B34C4" w:rsidRPr="00903BA3">
              <w:rPr>
                <w:i/>
                <w:sz w:val="22"/>
                <w:szCs w:val="22"/>
              </w:rPr>
              <w:t>proposed</w:t>
            </w:r>
            <w:r w:rsidRPr="00903BA3">
              <w:rPr>
                <w:i/>
                <w:sz w:val="22"/>
                <w:szCs w:val="22"/>
              </w:rPr>
              <w:t xml:space="preserve"> that </w:t>
            </w:r>
            <w:r w:rsidR="00A1047A" w:rsidRPr="00903BA3">
              <w:rPr>
                <w:i/>
                <w:sz w:val="22"/>
                <w:szCs w:val="22"/>
              </w:rPr>
              <w:t xml:space="preserve">only </w:t>
            </w:r>
            <w:r w:rsidRPr="00903BA3">
              <w:rPr>
                <w:i/>
                <w:sz w:val="22"/>
                <w:szCs w:val="22"/>
              </w:rPr>
              <w:t>allow the production basis to be changed upon discovery of a material mistake or an inaccurate statement</w:t>
            </w:r>
            <w:r w:rsidR="004A0EA4" w:rsidRPr="00903BA3">
              <w:rPr>
                <w:i/>
                <w:sz w:val="22"/>
                <w:szCs w:val="22"/>
              </w:rPr>
              <w:t xml:space="preserve">. </w:t>
            </w:r>
            <w:r w:rsidRPr="00903BA3">
              <w:rPr>
                <w:i/>
                <w:sz w:val="22"/>
                <w:szCs w:val="22"/>
              </w:rPr>
              <w:t xml:space="preserve">The </w:t>
            </w:r>
            <w:r w:rsidR="00E47D61" w:rsidRPr="00903BA3">
              <w:rPr>
                <w:i/>
                <w:sz w:val="22"/>
                <w:szCs w:val="22"/>
              </w:rPr>
              <w:t xml:space="preserve">word </w:t>
            </w:r>
            <w:r w:rsidRPr="00903BA3">
              <w:rPr>
                <w:i/>
                <w:sz w:val="22"/>
                <w:szCs w:val="22"/>
              </w:rPr>
              <w:t>“Department” has also been removed from the definition</w:t>
            </w:r>
            <w:r w:rsidR="00E47D61" w:rsidRPr="00903BA3">
              <w:rPr>
                <w:i/>
                <w:sz w:val="22"/>
                <w:szCs w:val="22"/>
              </w:rPr>
              <w:t xml:space="preserve"> to allow others to discover a material mistake</w:t>
            </w:r>
            <w:r w:rsidR="004A0EA4" w:rsidRPr="00903BA3">
              <w:rPr>
                <w:i/>
                <w:sz w:val="22"/>
                <w:szCs w:val="22"/>
              </w:rPr>
              <w:t xml:space="preserve">. </w:t>
            </w:r>
          </w:p>
          <w:p w:rsidR="000B4801" w:rsidRPr="00903BA3" w:rsidRDefault="000B4801" w:rsidP="000B4801">
            <w:pPr>
              <w:rPr>
                <w:i/>
                <w:sz w:val="22"/>
                <w:szCs w:val="22"/>
              </w:rPr>
            </w:pPr>
          </w:p>
        </w:tc>
      </w:tr>
      <w:tr w:rsidR="00180D96"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180D96" w:rsidRPr="00903BA3" w:rsidRDefault="000B4801" w:rsidP="000B4801">
            <w:pPr>
              <w:ind w:right="-115"/>
              <w:rPr>
                <w:bCs/>
                <w:sz w:val="22"/>
                <w:szCs w:val="22"/>
              </w:rPr>
            </w:pPr>
            <w:r>
              <w:rPr>
                <w:bCs/>
                <w:sz w:val="22"/>
                <w:szCs w:val="22"/>
              </w:rPr>
              <w:t>9. Greenhouse gas</w:t>
            </w:r>
            <w:r w:rsidR="00180D96" w:rsidRPr="00903BA3">
              <w:rPr>
                <w:bCs/>
                <w:sz w:val="22"/>
                <w:szCs w:val="22"/>
              </w:rPr>
              <w:t xml:space="preserve"> PSELs</w:t>
            </w:r>
            <w:r w:rsidR="00DC3DE0" w:rsidRPr="00903BA3">
              <w:rPr>
                <w:bCs/>
                <w:sz w:val="22"/>
                <w:szCs w:val="22"/>
              </w:rPr>
              <w:t xml:space="preserve"> greater than netting basis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180D96" w:rsidRDefault="00180D96" w:rsidP="000B4801">
            <w:pPr>
              <w:rPr>
                <w:color w:val="000000"/>
                <w:sz w:val="22"/>
                <w:szCs w:val="22"/>
              </w:rPr>
            </w:pPr>
            <w:r w:rsidRPr="00903BA3">
              <w:rPr>
                <w:color w:val="000000"/>
                <w:sz w:val="22"/>
                <w:szCs w:val="22"/>
              </w:rPr>
              <w:t xml:space="preserve">We request DEQ clarify that </w:t>
            </w:r>
            <w:r w:rsidR="008343C9" w:rsidRPr="00903BA3">
              <w:rPr>
                <w:color w:val="000000"/>
                <w:sz w:val="22"/>
                <w:szCs w:val="22"/>
              </w:rPr>
              <w:t xml:space="preserve">that GHG PSD does not apply </w:t>
            </w:r>
            <w:r w:rsidR="008B34C4" w:rsidRPr="00903BA3">
              <w:rPr>
                <w:color w:val="000000"/>
                <w:sz w:val="22"/>
                <w:szCs w:val="22"/>
              </w:rPr>
              <w:t xml:space="preserve">for </w:t>
            </w:r>
            <w:r w:rsidRPr="00903BA3">
              <w:rPr>
                <w:color w:val="000000"/>
                <w:sz w:val="22"/>
                <w:szCs w:val="22"/>
              </w:rPr>
              <w:t xml:space="preserve">sources that seek to establish a GHG PSEL that is greater than the significant emission rate over the netting basis </w:t>
            </w:r>
            <w:r w:rsidR="008B34C4" w:rsidRPr="00903BA3">
              <w:rPr>
                <w:color w:val="000000"/>
                <w:sz w:val="22"/>
                <w:szCs w:val="22"/>
              </w:rPr>
              <w:t>as</w:t>
            </w:r>
            <w:r w:rsidRPr="00903BA3">
              <w:rPr>
                <w:color w:val="000000"/>
                <w:sz w:val="22"/>
                <w:szCs w:val="22"/>
              </w:rPr>
              <w:t xml:space="preserve"> a result of utilizing capacity that existed in the baseline year. (1</w:t>
            </w:r>
            <w:r w:rsidR="00D2148F" w:rsidRPr="00903BA3">
              <w:rPr>
                <w:color w:val="000000"/>
                <w:sz w:val="22"/>
                <w:szCs w:val="22"/>
              </w:rPr>
              <w:t>5</w:t>
            </w:r>
            <w:r w:rsidRPr="00903BA3">
              <w:rPr>
                <w:color w:val="000000"/>
                <w:sz w:val="22"/>
                <w:szCs w:val="22"/>
              </w:rPr>
              <w:t>)</w:t>
            </w:r>
          </w:p>
          <w:p w:rsidR="000B4801" w:rsidRPr="00903BA3" w:rsidRDefault="000B4801" w:rsidP="000B4801">
            <w:pPr>
              <w:rPr>
                <w:color w:val="000000"/>
                <w:sz w:val="22"/>
                <w:szCs w:val="22"/>
              </w:rPr>
            </w:pPr>
          </w:p>
          <w:p w:rsidR="00180D96" w:rsidRPr="00903BA3" w:rsidRDefault="00180D96" w:rsidP="000B4801">
            <w:pPr>
              <w:rPr>
                <w:i/>
                <w:color w:val="000000"/>
                <w:sz w:val="22"/>
                <w:szCs w:val="22"/>
              </w:rPr>
            </w:pPr>
            <w:r w:rsidRPr="00903BA3">
              <w:rPr>
                <w:i/>
                <w:color w:val="000000"/>
                <w:sz w:val="22"/>
                <w:szCs w:val="22"/>
              </w:rPr>
              <w:t>Response:</w:t>
            </w:r>
          </w:p>
          <w:p w:rsidR="00180D96" w:rsidRDefault="00CA77E4" w:rsidP="000B4801">
            <w:pPr>
              <w:rPr>
                <w:i/>
                <w:sz w:val="22"/>
                <w:szCs w:val="22"/>
              </w:rPr>
            </w:pPr>
            <w:r w:rsidRPr="00903BA3">
              <w:rPr>
                <w:i/>
                <w:sz w:val="22"/>
                <w:szCs w:val="22"/>
              </w:rPr>
              <w:t xml:space="preserve">Section (d) of the definition of major modification in OAR 340-200-0020 clearly states that increases in hours of operation or production rates that would cause emission increases above the levels allowed in a permit and would not involve a physical change or change in method of operation in the source are not major modifications. Once the baseline emission </w:t>
            </w:r>
            <w:r w:rsidRPr="00903BA3">
              <w:rPr>
                <w:i/>
                <w:sz w:val="22"/>
                <w:szCs w:val="22"/>
              </w:rPr>
              <w:lastRenderedPageBreak/>
              <w:t>rate is established, the PSEL may be increased to utilize the full capacity in accordance with the PSEL rule</w:t>
            </w:r>
            <w:r w:rsidR="00EE3367" w:rsidRPr="00903BA3">
              <w:rPr>
                <w:i/>
                <w:sz w:val="22"/>
                <w:szCs w:val="22"/>
              </w:rPr>
              <w:t>,</w:t>
            </w:r>
            <w:r w:rsidRPr="00903BA3">
              <w:rPr>
                <w:i/>
                <w:sz w:val="22"/>
                <w:szCs w:val="22"/>
              </w:rPr>
              <w:t xml:space="preserve"> </w:t>
            </w:r>
            <w:r w:rsidR="00AF10D0" w:rsidRPr="00903BA3">
              <w:rPr>
                <w:i/>
                <w:sz w:val="22"/>
                <w:szCs w:val="22"/>
              </w:rPr>
              <w:t xml:space="preserve">OAR </w:t>
            </w:r>
            <w:r w:rsidRPr="00903BA3">
              <w:rPr>
                <w:i/>
                <w:sz w:val="22"/>
                <w:szCs w:val="22"/>
              </w:rPr>
              <w:t>340-222-041(3)(b)</w:t>
            </w:r>
            <w:r w:rsidR="008D538C" w:rsidRPr="00903BA3">
              <w:rPr>
                <w:i/>
                <w:sz w:val="22"/>
                <w:szCs w:val="22"/>
              </w:rPr>
              <w:t xml:space="preserve">. </w:t>
            </w:r>
            <w:r w:rsidRPr="00903BA3">
              <w:rPr>
                <w:i/>
                <w:sz w:val="22"/>
                <w:szCs w:val="22"/>
              </w:rPr>
              <w:t>Since there is no ambient air quality standard or PSD increment for GHG, then there would be no requirement for an air quality</w:t>
            </w:r>
            <w:r w:rsidRPr="00903BA3">
              <w:rPr>
                <w:sz w:val="22"/>
                <w:szCs w:val="22"/>
              </w:rPr>
              <w:t xml:space="preserve"> </w:t>
            </w:r>
            <w:r w:rsidRPr="00903BA3">
              <w:rPr>
                <w:i/>
                <w:sz w:val="22"/>
                <w:szCs w:val="22"/>
              </w:rPr>
              <w:t>analysis</w:t>
            </w:r>
            <w:r w:rsidR="008343C9" w:rsidRPr="00903BA3">
              <w:rPr>
                <w:i/>
                <w:sz w:val="22"/>
                <w:szCs w:val="22"/>
              </w:rPr>
              <w:t xml:space="preserve"> to approve an increase in the GHG PSEL</w:t>
            </w:r>
            <w:r w:rsidR="008D538C" w:rsidRPr="00903BA3">
              <w:rPr>
                <w:i/>
                <w:sz w:val="22"/>
                <w:szCs w:val="22"/>
              </w:rPr>
              <w:t xml:space="preserve">. </w:t>
            </w:r>
          </w:p>
          <w:p w:rsidR="000B4801" w:rsidRPr="00903BA3" w:rsidRDefault="000B4801" w:rsidP="000B4801">
            <w:pPr>
              <w:rPr>
                <w:i/>
                <w:sz w:val="22"/>
                <w:szCs w:val="22"/>
              </w:rPr>
            </w:pPr>
          </w:p>
        </w:tc>
      </w:tr>
      <w:tr w:rsidR="004665B8"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4665B8" w:rsidRPr="00903BA3" w:rsidRDefault="000B4801" w:rsidP="000B4801">
            <w:pPr>
              <w:ind w:right="-115"/>
              <w:rPr>
                <w:bCs/>
                <w:sz w:val="22"/>
                <w:szCs w:val="22"/>
              </w:rPr>
            </w:pPr>
            <w:r>
              <w:rPr>
                <w:bCs/>
                <w:sz w:val="22"/>
                <w:szCs w:val="22"/>
              </w:rPr>
              <w:lastRenderedPageBreak/>
              <w:t>10. Greenhouse gas</w:t>
            </w:r>
            <w:r w:rsidR="008660D2" w:rsidRPr="00903BA3">
              <w:rPr>
                <w:bCs/>
                <w:sz w:val="22"/>
                <w:szCs w:val="22"/>
              </w:rPr>
              <w:t xml:space="preserve"> baseline</w:t>
            </w:r>
            <w:r w:rsidR="00277163" w:rsidRPr="00903BA3">
              <w:rPr>
                <w:bCs/>
                <w:sz w:val="22"/>
                <w:szCs w:val="22"/>
              </w:rPr>
              <w:t xml:space="preserve"> emission rate establishment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665B8" w:rsidRDefault="004A330E" w:rsidP="000B4801">
            <w:pPr>
              <w:rPr>
                <w:sz w:val="22"/>
                <w:szCs w:val="22"/>
              </w:rPr>
            </w:pPr>
            <w:r w:rsidRPr="00903BA3">
              <w:rPr>
                <w:sz w:val="22"/>
                <w:szCs w:val="22"/>
              </w:rPr>
              <w:t>We request</w:t>
            </w:r>
            <w:r w:rsidR="004665B8" w:rsidRPr="00903BA3">
              <w:rPr>
                <w:sz w:val="22"/>
                <w:szCs w:val="22"/>
              </w:rPr>
              <w:t xml:space="preserve"> that the rules be revised so that the GHG baseline is established as part of the first permitting action for which an application is submitted after March 1, 2011</w:t>
            </w:r>
            <w:r w:rsidR="004A0EA4" w:rsidRPr="00903BA3">
              <w:rPr>
                <w:sz w:val="22"/>
                <w:szCs w:val="22"/>
              </w:rPr>
              <w:t xml:space="preserve">. </w:t>
            </w:r>
            <w:r w:rsidR="004665B8" w:rsidRPr="00903BA3">
              <w:rPr>
                <w:sz w:val="22"/>
                <w:szCs w:val="22"/>
              </w:rPr>
              <w:t>(1, 2, 4, 9,  11, 13, 14, 15, 16, 17)</w:t>
            </w:r>
          </w:p>
          <w:p w:rsidR="000B4801" w:rsidRPr="00903BA3" w:rsidRDefault="000B4801" w:rsidP="000B4801">
            <w:pPr>
              <w:rPr>
                <w:sz w:val="22"/>
                <w:szCs w:val="22"/>
              </w:rPr>
            </w:pPr>
          </w:p>
          <w:p w:rsidR="004665B8" w:rsidRPr="00903BA3" w:rsidRDefault="008660D2" w:rsidP="000B4801">
            <w:pPr>
              <w:rPr>
                <w:i/>
                <w:sz w:val="22"/>
                <w:szCs w:val="22"/>
              </w:rPr>
            </w:pPr>
            <w:r w:rsidRPr="00903BA3">
              <w:rPr>
                <w:i/>
                <w:sz w:val="22"/>
                <w:szCs w:val="22"/>
              </w:rPr>
              <w:t>Response:</w:t>
            </w:r>
          </w:p>
          <w:p w:rsidR="00012675" w:rsidRDefault="009C7801" w:rsidP="000B4801">
            <w:pPr>
              <w:rPr>
                <w:i/>
                <w:sz w:val="22"/>
                <w:szCs w:val="22"/>
              </w:rPr>
            </w:pPr>
            <w:r w:rsidRPr="00903BA3">
              <w:rPr>
                <w:i/>
                <w:sz w:val="22"/>
                <w:szCs w:val="22"/>
              </w:rPr>
              <w:t xml:space="preserve">Because this rulemaking package </w:t>
            </w:r>
            <w:r w:rsidR="008343C9" w:rsidRPr="00903BA3">
              <w:rPr>
                <w:i/>
                <w:sz w:val="22"/>
                <w:szCs w:val="22"/>
              </w:rPr>
              <w:t xml:space="preserve">will be considered by </w:t>
            </w:r>
            <w:r w:rsidRPr="00903BA3">
              <w:rPr>
                <w:i/>
                <w:sz w:val="22"/>
                <w:szCs w:val="22"/>
              </w:rPr>
              <w:t xml:space="preserve">the EQC in April instead of February, as previously planned, and because new or modified major sources of GHGs alone will not be required to get permits until July 1, DEQ </w:t>
            </w:r>
            <w:r w:rsidR="008343C9" w:rsidRPr="00903BA3">
              <w:rPr>
                <w:i/>
                <w:sz w:val="22"/>
                <w:szCs w:val="22"/>
              </w:rPr>
              <w:t>proposes</w:t>
            </w:r>
            <w:r w:rsidRPr="00903BA3">
              <w:rPr>
                <w:i/>
                <w:sz w:val="22"/>
                <w:szCs w:val="22"/>
              </w:rPr>
              <w:t xml:space="preserve"> to change the date when PM</w:t>
            </w:r>
            <w:r w:rsidRPr="00903BA3">
              <w:rPr>
                <w:i/>
                <w:sz w:val="22"/>
                <w:szCs w:val="22"/>
                <w:vertAlign w:val="subscript"/>
              </w:rPr>
              <w:t>2.5</w:t>
            </w:r>
            <w:r w:rsidRPr="00903BA3">
              <w:rPr>
                <w:i/>
                <w:sz w:val="22"/>
                <w:szCs w:val="22"/>
              </w:rPr>
              <w:t xml:space="preserve"> and GHGs will be added to permits</w:t>
            </w:r>
            <w:r w:rsidR="008D538C" w:rsidRPr="00903BA3">
              <w:rPr>
                <w:i/>
                <w:sz w:val="22"/>
                <w:szCs w:val="22"/>
              </w:rPr>
              <w:t xml:space="preserve">. </w:t>
            </w:r>
            <w:r w:rsidR="00857F1C" w:rsidRPr="00903BA3">
              <w:rPr>
                <w:i/>
                <w:sz w:val="22"/>
                <w:szCs w:val="22"/>
              </w:rPr>
              <w:t>Permits that are on public notice before July 1, 2011 but not issued yet will not be changed to include PM</w:t>
            </w:r>
            <w:r w:rsidR="00857F1C" w:rsidRPr="00903BA3">
              <w:rPr>
                <w:i/>
                <w:sz w:val="22"/>
                <w:szCs w:val="22"/>
                <w:vertAlign w:val="subscript"/>
              </w:rPr>
              <w:t>2.5</w:t>
            </w:r>
            <w:r w:rsidR="00857F1C" w:rsidRPr="00903BA3">
              <w:rPr>
                <w:i/>
                <w:sz w:val="22"/>
                <w:szCs w:val="22"/>
              </w:rPr>
              <w:t xml:space="preserve"> and GHGs</w:t>
            </w:r>
            <w:r w:rsidR="004A0EA4" w:rsidRPr="00903BA3">
              <w:rPr>
                <w:i/>
                <w:sz w:val="22"/>
                <w:szCs w:val="22"/>
              </w:rPr>
              <w:t xml:space="preserve">. </w:t>
            </w:r>
            <w:r w:rsidR="00A62D39" w:rsidRPr="00903BA3">
              <w:rPr>
                <w:i/>
                <w:sz w:val="22"/>
                <w:szCs w:val="22"/>
              </w:rPr>
              <w:t>Any other p</w:t>
            </w:r>
            <w:r w:rsidR="00A86085" w:rsidRPr="00903BA3">
              <w:rPr>
                <w:i/>
                <w:sz w:val="22"/>
                <w:szCs w:val="22"/>
              </w:rPr>
              <w:t xml:space="preserve">ermits </w:t>
            </w:r>
            <w:r w:rsidR="00AF10D0" w:rsidRPr="00903BA3">
              <w:rPr>
                <w:i/>
                <w:sz w:val="22"/>
                <w:szCs w:val="22"/>
              </w:rPr>
              <w:t xml:space="preserve">that are on public notice </w:t>
            </w:r>
            <w:r w:rsidR="00A62D39" w:rsidRPr="00903BA3">
              <w:rPr>
                <w:i/>
                <w:sz w:val="22"/>
                <w:szCs w:val="22"/>
              </w:rPr>
              <w:t xml:space="preserve">after </w:t>
            </w:r>
            <w:r w:rsidR="00857F1C" w:rsidRPr="00903BA3">
              <w:rPr>
                <w:i/>
                <w:sz w:val="22"/>
                <w:szCs w:val="22"/>
              </w:rPr>
              <w:t xml:space="preserve">July 1, 2011 </w:t>
            </w:r>
            <w:r w:rsidR="00FA12B8" w:rsidRPr="00903BA3">
              <w:rPr>
                <w:i/>
                <w:sz w:val="22"/>
                <w:szCs w:val="22"/>
              </w:rPr>
              <w:t>must</w:t>
            </w:r>
            <w:r w:rsidR="00857F1C" w:rsidRPr="00903BA3">
              <w:rPr>
                <w:i/>
                <w:sz w:val="22"/>
                <w:szCs w:val="22"/>
              </w:rPr>
              <w:t xml:space="preserve"> include PM</w:t>
            </w:r>
            <w:r w:rsidR="00857F1C" w:rsidRPr="00903BA3">
              <w:rPr>
                <w:i/>
                <w:sz w:val="22"/>
                <w:szCs w:val="22"/>
                <w:vertAlign w:val="subscript"/>
              </w:rPr>
              <w:t>2.5</w:t>
            </w:r>
            <w:r w:rsidR="00857F1C" w:rsidRPr="00903BA3">
              <w:rPr>
                <w:i/>
                <w:sz w:val="22"/>
                <w:szCs w:val="22"/>
              </w:rPr>
              <w:t xml:space="preserve"> and GHGs</w:t>
            </w:r>
            <w:r w:rsidR="004A0EA4" w:rsidRPr="00903BA3">
              <w:rPr>
                <w:i/>
                <w:sz w:val="22"/>
                <w:szCs w:val="22"/>
              </w:rPr>
              <w:t xml:space="preserve">. </w:t>
            </w:r>
            <w:r w:rsidR="00857F1C" w:rsidRPr="00903BA3">
              <w:rPr>
                <w:i/>
                <w:sz w:val="22"/>
                <w:szCs w:val="22"/>
              </w:rPr>
              <w:t>The</w:t>
            </w:r>
            <w:r w:rsidR="00524E82" w:rsidRPr="00903BA3">
              <w:rPr>
                <w:i/>
                <w:sz w:val="22"/>
                <w:szCs w:val="22"/>
              </w:rPr>
              <w:t xml:space="preserve"> proposed</w:t>
            </w:r>
            <w:r w:rsidR="00857F1C" w:rsidRPr="00903BA3">
              <w:rPr>
                <w:i/>
                <w:sz w:val="22"/>
                <w:szCs w:val="22"/>
              </w:rPr>
              <w:t xml:space="preserve"> rules </w:t>
            </w:r>
            <w:r w:rsidR="00524E82" w:rsidRPr="00903BA3">
              <w:rPr>
                <w:i/>
                <w:sz w:val="22"/>
                <w:szCs w:val="22"/>
              </w:rPr>
              <w:t xml:space="preserve">have </w:t>
            </w:r>
            <w:r w:rsidR="00857F1C" w:rsidRPr="00903BA3">
              <w:rPr>
                <w:i/>
                <w:sz w:val="22"/>
                <w:szCs w:val="22"/>
              </w:rPr>
              <w:t>be</w:t>
            </w:r>
            <w:r w:rsidR="00524E82" w:rsidRPr="00903BA3">
              <w:rPr>
                <w:i/>
                <w:sz w:val="22"/>
                <w:szCs w:val="22"/>
              </w:rPr>
              <w:t>en</w:t>
            </w:r>
            <w:r w:rsidR="00857F1C" w:rsidRPr="00903BA3">
              <w:rPr>
                <w:i/>
                <w:sz w:val="22"/>
                <w:szCs w:val="22"/>
              </w:rPr>
              <w:t xml:space="preserve"> changed to reflect this </w:t>
            </w:r>
            <w:r w:rsidR="00A86085" w:rsidRPr="00903BA3">
              <w:rPr>
                <w:i/>
                <w:sz w:val="22"/>
                <w:szCs w:val="22"/>
              </w:rPr>
              <w:t>change in procedure</w:t>
            </w:r>
            <w:r w:rsidR="004A0EA4" w:rsidRPr="00903BA3">
              <w:rPr>
                <w:i/>
                <w:sz w:val="22"/>
                <w:szCs w:val="22"/>
              </w:rPr>
              <w:t xml:space="preserve">. </w:t>
            </w:r>
          </w:p>
          <w:p w:rsidR="000B4801" w:rsidRPr="00903BA3" w:rsidRDefault="000B4801" w:rsidP="000B4801">
            <w:pPr>
              <w:rPr>
                <w:i/>
                <w:sz w:val="22"/>
                <w:szCs w:val="22"/>
              </w:rPr>
            </w:pPr>
          </w:p>
        </w:tc>
      </w:tr>
      <w:tr w:rsidR="00DC3DE0"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DC3DE0" w:rsidRPr="00903BA3" w:rsidRDefault="000B4801" w:rsidP="000B4801">
            <w:pPr>
              <w:rPr>
                <w:sz w:val="22"/>
                <w:szCs w:val="22"/>
              </w:rPr>
            </w:pPr>
            <w:r>
              <w:rPr>
                <w:sz w:val="22"/>
                <w:szCs w:val="22"/>
              </w:rPr>
              <w:t xml:space="preserve">11. </w:t>
            </w:r>
            <w:r w:rsidR="00DC3DE0" w:rsidRPr="00903BA3">
              <w:rPr>
                <w:sz w:val="22"/>
                <w:szCs w:val="22"/>
              </w:rPr>
              <w:t>Baseline period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C3DE0" w:rsidRDefault="00DC3DE0" w:rsidP="000B4801">
            <w:pPr>
              <w:rPr>
                <w:sz w:val="22"/>
                <w:szCs w:val="22"/>
              </w:rPr>
            </w:pPr>
            <w:r w:rsidRPr="00903BA3">
              <w:rPr>
                <w:sz w:val="22"/>
                <w:szCs w:val="22"/>
              </w:rPr>
              <w:t>We understand that the Department is considering allowing the discharger to choose a year between 2000 and 2010</w:t>
            </w:r>
            <w:r w:rsidR="004A0EA4" w:rsidRPr="00903BA3">
              <w:rPr>
                <w:sz w:val="22"/>
                <w:szCs w:val="22"/>
              </w:rPr>
              <w:t xml:space="preserve">. </w:t>
            </w:r>
            <w:r w:rsidRPr="00903BA3">
              <w:rPr>
                <w:sz w:val="22"/>
                <w:szCs w:val="22"/>
              </w:rPr>
              <w:t>We see no reason not to choose this approach so long as the source commits to the year and does not change it once the year is elected</w:t>
            </w:r>
            <w:r w:rsidR="004A0EA4" w:rsidRPr="00903BA3">
              <w:rPr>
                <w:sz w:val="22"/>
                <w:szCs w:val="22"/>
              </w:rPr>
              <w:t xml:space="preserve">. </w:t>
            </w:r>
            <w:r w:rsidRPr="00903BA3">
              <w:rPr>
                <w:sz w:val="22"/>
                <w:szCs w:val="22"/>
              </w:rPr>
              <w:t>We would favor one that provides the greatest flexibility to all permittees. (5)</w:t>
            </w:r>
          </w:p>
          <w:p w:rsidR="000B4801" w:rsidRPr="00903BA3" w:rsidRDefault="000B4801" w:rsidP="000B4801">
            <w:pPr>
              <w:rPr>
                <w:sz w:val="22"/>
                <w:szCs w:val="22"/>
              </w:rPr>
            </w:pPr>
          </w:p>
          <w:p w:rsidR="00DC3DE0" w:rsidRPr="00903BA3" w:rsidRDefault="00DC3DE0" w:rsidP="000B4801">
            <w:pPr>
              <w:ind w:left="-5" w:right="-187"/>
              <w:rPr>
                <w:i/>
                <w:sz w:val="22"/>
                <w:szCs w:val="22"/>
              </w:rPr>
            </w:pPr>
            <w:r w:rsidRPr="00903BA3">
              <w:rPr>
                <w:i/>
                <w:sz w:val="22"/>
                <w:szCs w:val="22"/>
              </w:rPr>
              <w:t>Response:</w:t>
            </w:r>
          </w:p>
          <w:p w:rsidR="00DC3DE0" w:rsidRDefault="00DC3DE0" w:rsidP="000B4801">
            <w:pPr>
              <w:rPr>
                <w:i/>
                <w:sz w:val="22"/>
                <w:szCs w:val="22"/>
              </w:rPr>
            </w:pPr>
            <w:r w:rsidRPr="00903BA3">
              <w:rPr>
                <w:i/>
                <w:sz w:val="22"/>
                <w:szCs w:val="22"/>
              </w:rPr>
              <w:t xml:space="preserve">Sources will be able to </w:t>
            </w:r>
            <w:r w:rsidR="00AF10D0" w:rsidRPr="00903BA3">
              <w:rPr>
                <w:i/>
                <w:sz w:val="22"/>
                <w:szCs w:val="22"/>
              </w:rPr>
              <w:t>make a one-</w:t>
            </w:r>
            <w:r w:rsidR="00B16AAA" w:rsidRPr="00903BA3">
              <w:rPr>
                <w:i/>
                <w:sz w:val="22"/>
                <w:szCs w:val="22"/>
              </w:rPr>
              <w:t>time choic</w:t>
            </w:r>
            <w:r w:rsidRPr="00903BA3">
              <w:rPr>
                <w:i/>
                <w:sz w:val="22"/>
                <w:szCs w:val="22"/>
              </w:rPr>
              <w:t xml:space="preserve">e </w:t>
            </w:r>
            <w:r w:rsidR="00B16AAA" w:rsidRPr="00903BA3">
              <w:rPr>
                <w:i/>
                <w:sz w:val="22"/>
                <w:szCs w:val="22"/>
              </w:rPr>
              <w:t xml:space="preserve">of </w:t>
            </w:r>
            <w:r w:rsidRPr="00903BA3">
              <w:rPr>
                <w:i/>
                <w:sz w:val="22"/>
                <w:szCs w:val="22"/>
              </w:rPr>
              <w:t>a consecutive 12-month period between the years 2000 and 2010 for the base</w:t>
            </w:r>
            <w:r w:rsidR="00B16AAA" w:rsidRPr="00903BA3">
              <w:rPr>
                <w:i/>
                <w:sz w:val="22"/>
                <w:szCs w:val="22"/>
              </w:rPr>
              <w:t>line period for greenhouse gases</w:t>
            </w:r>
            <w:r w:rsidR="004A0EA4" w:rsidRPr="00903BA3">
              <w:rPr>
                <w:i/>
                <w:sz w:val="22"/>
                <w:szCs w:val="22"/>
              </w:rPr>
              <w:t xml:space="preserve">. </w:t>
            </w:r>
            <w:r w:rsidRPr="00903BA3">
              <w:rPr>
                <w:i/>
                <w:sz w:val="22"/>
                <w:szCs w:val="22"/>
              </w:rPr>
              <w:t>The baselin</w:t>
            </w:r>
            <w:r w:rsidR="00B16AAA" w:rsidRPr="00903BA3">
              <w:rPr>
                <w:i/>
                <w:sz w:val="22"/>
                <w:szCs w:val="22"/>
              </w:rPr>
              <w:t>e period for PM2.5 will be 1977 or 19</w:t>
            </w:r>
            <w:r w:rsidRPr="00903BA3">
              <w:rPr>
                <w:i/>
                <w:sz w:val="22"/>
                <w:szCs w:val="22"/>
              </w:rPr>
              <w:t>78, the same as the other NSR/PSD pollutants</w:t>
            </w:r>
            <w:r w:rsidR="00D07F68" w:rsidRPr="00903BA3">
              <w:rPr>
                <w:i/>
                <w:sz w:val="22"/>
                <w:szCs w:val="22"/>
              </w:rPr>
              <w:t xml:space="preserve"> even though a baseline emission rate will not be established for PM</w:t>
            </w:r>
            <w:r w:rsidR="00D07F68" w:rsidRPr="00903BA3">
              <w:rPr>
                <w:i/>
                <w:sz w:val="22"/>
                <w:szCs w:val="22"/>
                <w:vertAlign w:val="subscript"/>
              </w:rPr>
              <w:t>2.5</w:t>
            </w:r>
            <w:r w:rsidR="008D538C" w:rsidRPr="00903BA3">
              <w:rPr>
                <w:i/>
                <w:sz w:val="22"/>
                <w:szCs w:val="22"/>
              </w:rPr>
              <w:t xml:space="preserve">. </w:t>
            </w:r>
            <w:r w:rsidR="00FA12B8" w:rsidRPr="00903BA3">
              <w:rPr>
                <w:i/>
                <w:sz w:val="22"/>
                <w:szCs w:val="22"/>
              </w:rPr>
              <w:t>Instead, the netting basis for PM</w:t>
            </w:r>
            <w:r w:rsidR="00FA12B8" w:rsidRPr="00903BA3">
              <w:rPr>
                <w:i/>
                <w:sz w:val="22"/>
                <w:szCs w:val="22"/>
                <w:vertAlign w:val="subscript"/>
              </w:rPr>
              <w:t>2.5</w:t>
            </w:r>
            <w:r w:rsidR="00FA12B8" w:rsidRPr="00903BA3">
              <w:rPr>
                <w:i/>
                <w:sz w:val="22"/>
                <w:szCs w:val="22"/>
              </w:rPr>
              <w:t xml:space="preserve"> will be established based on the PM</w:t>
            </w:r>
            <w:r w:rsidR="00FA12B8" w:rsidRPr="00903BA3">
              <w:rPr>
                <w:i/>
                <w:sz w:val="22"/>
                <w:szCs w:val="22"/>
                <w:vertAlign w:val="subscript"/>
              </w:rPr>
              <w:t>2.5</w:t>
            </w:r>
            <w:r w:rsidR="00FA12B8" w:rsidRPr="00903BA3">
              <w:rPr>
                <w:i/>
                <w:sz w:val="22"/>
                <w:szCs w:val="22"/>
              </w:rPr>
              <w:t xml:space="preserve"> fraction of the PM</w:t>
            </w:r>
            <w:r w:rsidR="00FA12B8" w:rsidRPr="00903BA3">
              <w:rPr>
                <w:i/>
                <w:sz w:val="22"/>
                <w:szCs w:val="22"/>
                <w:vertAlign w:val="subscript"/>
              </w:rPr>
              <w:t>10</w:t>
            </w:r>
            <w:r w:rsidR="00FA12B8" w:rsidRPr="00903BA3">
              <w:rPr>
                <w:i/>
                <w:sz w:val="22"/>
                <w:szCs w:val="22"/>
              </w:rPr>
              <w:t xml:space="preserve"> netting </w:t>
            </w:r>
            <w:r w:rsidR="00EE3367" w:rsidRPr="00903BA3">
              <w:rPr>
                <w:i/>
                <w:sz w:val="22"/>
                <w:szCs w:val="22"/>
              </w:rPr>
              <w:t xml:space="preserve">basis </w:t>
            </w:r>
            <w:r w:rsidR="00FA12B8" w:rsidRPr="00903BA3">
              <w:rPr>
                <w:i/>
                <w:sz w:val="22"/>
                <w:szCs w:val="22"/>
              </w:rPr>
              <w:t>(if one exists)</w:t>
            </w:r>
            <w:r w:rsidR="008D538C" w:rsidRPr="00903BA3">
              <w:rPr>
                <w:i/>
                <w:sz w:val="22"/>
                <w:szCs w:val="22"/>
              </w:rPr>
              <w:t xml:space="preserve">. </w:t>
            </w:r>
            <w:r w:rsidR="00FA12B8" w:rsidRPr="00903BA3">
              <w:rPr>
                <w:i/>
                <w:sz w:val="22"/>
                <w:szCs w:val="22"/>
              </w:rPr>
              <w:t>Using this approach, there is no need to establish a baseline emission rate for PM</w:t>
            </w:r>
            <w:r w:rsidR="00FA12B8" w:rsidRPr="00903BA3">
              <w:rPr>
                <w:i/>
                <w:sz w:val="22"/>
                <w:szCs w:val="22"/>
                <w:vertAlign w:val="subscript"/>
              </w:rPr>
              <w:t>2.5</w:t>
            </w:r>
            <w:r w:rsidR="00FA12B8" w:rsidRPr="00903BA3">
              <w:rPr>
                <w:i/>
                <w:sz w:val="22"/>
                <w:szCs w:val="22"/>
              </w:rPr>
              <w:t>.</w:t>
            </w:r>
          </w:p>
          <w:p w:rsidR="000B4801" w:rsidRPr="00903BA3" w:rsidRDefault="000B4801" w:rsidP="000B4801">
            <w:pPr>
              <w:rPr>
                <w:i/>
                <w:sz w:val="22"/>
                <w:szCs w:val="22"/>
              </w:rPr>
            </w:pPr>
          </w:p>
        </w:tc>
      </w:tr>
      <w:tr w:rsidR="00EE0BFF"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E0BFF" w:rsidRPr="00903BA3" w:rsidRDefault="000B4801" w:rsidP="000B4801">
            <w:pPr>
              <w:ind w:right="-108"/>
              <w:rPr>
                <w:bCs/>
                <w:sz w:val="22"/>
                <w:szCs w:val="22"/>
              </w:rPr>
            </w:pPr>
            <w:r>
              <w:rPr>
                <w:bCs/>
                <w:sz w:val="22"/>
                <w:szCs w:val="22"/>
              </w:rPr>
              <w:t xml:space="preserve">12. </w:t>
            </w:r>
            <w:r w:rsidR="00EE0BFF" w:rsidRPr="00903BA3">
              <w:rPr>
                <w:bCs/>
                <w:sz w:val="22"/>
                <w:szCs w:val="22"/>
              </w:rPr>
              <w:t>Baseline period for PM</w:t>
            </w:r>
            <w:r w:rsidR="00EE0BFF" w:rsidRPr="00903BA3">
              <w:rPr>
                <w:bCs/>
                <w:sz w:val="22"/>
                <w:szCs w:val="22"/>
                <w:vertAlign w:val="subscript"/>
              </w:rPr>
              <w:t>2.5</w:t>
            </w:r>
            <w:r w:rsidR="00EE0BFF" w:rsidRPr="00903BA3">
              <w:rPr>
                <w:bCs/>
                <w:sz w:val="22"/>
                <w:szCs w:val="22"/>
              </w:rPr>
              <w:t xml:space="preserve"> precursors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E0BFF" w:rsidRDefault="00EE0BFF" w:rsidP="000B4801">
            <w:pPr>
              <w:rPr>
                <w:sz w:val="22"/>
                <w:szCs w:val="22"/>
              </w:rPr>
            </w:pPr>
            <w:r w:rsidRPr="00903BA3">
              <w:rPr>
                <w:sz w:val="22"/>
                <w:szCs w:val="22"/>
              </w:rPr>
              <w:t>The baseline period for PM</w:t>
            </w:r>
            <w:r w:rsidRPr="00903BA3">
              <w:rPr>
                <w:sz w:val="22"/>
                <w:szCs w:val="22"/>
                <w:vertAlign w:val="subscript"/>
              </w:rPr>
              <w:t>2.5</w:t>
            </w:r>
            <w:r w:rsidRPr="00903BA3">
              <w:rPr>
                <w:sz w:val="22"/>
                <w:szCs w:val="22"/>
              </w:rPr>
              <w:t xml:space="preserve"> precursors should be consistent with the baseline period for PM</w:t>
            </w:r>
            <w:r w:rsidRPr="00903BA3">
              <w:rPr>
                <w:sz w:val="22"/>
                <w:szCs w:val="22"/>
                <w:vertAlign w:val="subscript"/>
              </w:rPr>
              <w:t>2.5</w:t>
            </w:r>
            <w:r w:rsidR="004A0EA4" w:rsidRPr="00903BA3">
              <w:rPr>
                <w:sz w:val="22"/>
                <w:szCs w:val="22"/>
              </w:rPr>
              <w:t xml:space="preserve">. </w:t>
            </w:r>
            <w:r w:rsidRPr="00903BA3">
              <w:rPr>
                <w:sz w:val="22"/>
                <w:szCs w:val="22"/>
              </w:rPr>
              <w:t>Otherwise, sources will be routinely forced into PSEL review, PSD or nonattainment NSR for PM</w:t>
            </w:r>
            <w:r w:rsidRPr="00903BA3">
              <w:rPr>
                <w:sz w:val="22"/>
                <w:szCs w:val="22"/>
                <w:vertAlign w:val="subscript"/>
              </w:rPr>
              <w:t>2.5</w:t>
            </w:r>
            <w:r w:rsidRPr="00903BA3">
              <w:rPr>
                <w:sz w:val="22"/>
                <w:szCs w:val="22"/>
              </w:rPr>
              <w:t xml:space="preserve"> precursors even though PM</w:t>
            </w:r>
            <w:r w:rsidRPr="00903BA3">
              <w:rPr>
                <w:sz w:val="22"/>
                <w:szCs w:val="22"/>
                <w:vertAlign w:val="subscript"/>
              </w:rPr>
              <w:t>2.5</w:t>
            </w:r>
            <w:r w:rsidRPr="00903BA3">
              <w:rPr>
                <w:sz w:val="22"/>
                <w:szCs w:val="22"/>
              </w:rPr>
              <w:t xml:space="preserve"> does not trigger the same review</w:t>
            </w:r>
            <w:r w:rsidR="004A0EA4" w:rsidRPr="00903BA3">
              <w:rPr>
                <w:sz w:val="22"/>
                <w:szCs w:val="22"/>
              </w:rPr>
              <w:t xml:space="preserve">. </w:t>
            </w:r>
            <w:r w:rsidRPr="00903BA3">
              <w:rPr>
                <w:sz w:val="22"/>
                <w:szCs w:val="22"/>
              </w:rPr>
              <w:t>(1, 2, 4, 11, 13, 14, 15, 17)</w:t>
            </w:r>
          </w:p>
          <w:p w:rsidR="000B4801" w:rsidRPr="00903BA3" w:rsidRDefault="000B4801" w:rsidP="000B4801">
            <w:pPr>
              <w:rPr>
                <w:sz w:val="22"/>
                <w:szCs w:val="22"/>
              </w:rPr>
            </w:pPr>
          </w:p>
          <w:p w:rsidR="00EE0BFF" w:rsidRPr="00903BA3" w:rsidRDefault="00EE0BFF" w:rsidP="000B4801">
            <w:pPr>
              <w:autoSpaceDE w:val="0"/>
              <w:autoSpaceDN w:val="0"/>
              <w:adjustRightInd w:val="0"/>
              <w:ind w:right="-180"/>
              <w:rPr>
                <w:i/>
                <w:sz w:val="22"/>
                <w:szCs w:val="22"/>
              </w:rPr>
            </w:pPr>
            <w:r w:rsidRPr="00903BA3">
              <w:rPr>
                <w:i/>
                <w:sz w:val="22"/>
                <w:szCs w:val="22"/>
              </w:rPr>
              <w:t xml:space="preserve">Response: </w:t>
            </w:r>
          </w:p>
          <w:p w:rsidR="00EE0BFF" w:rsidRDefault="00EE0BFF" w:rsidP="000B4801">
            <w:pPr>
              <w:rPr>
                <w:i/>
                <w:sz w:val="22"/>
                <w:szCs w:val="22"/>
              </w:rPr>
            </w:pPr>
            <w:r w:rsidRPr="00903BA3">
              <w:rPr>
                <w:i/>
                <w:sz w:val="22"/>
                <w:szCs w:val="22"/>
              </w:rPr>
              <w:t>PM</w:t>
            </w:r>
            <w:r w:rsidRPr="00903BA3">
              <w:rPr>
                <w:i/>
                <w:sz w:val="22"/>
                <w:szCs w:val="22"/>
                <w:vertAlign w:val="subscript"/>
              </w:rPr>
              <w:t>2.5</w:t>
            </w:r>
            <w:r w:rsidRPr="00903BA3">
              <w:rPr>
                <w:i/>
                <w:sz w:val="22"/>
                <w:szCs w:val="22"/>
              </w:rPr>
              <w:t xml:space="preserve"> precursors (SO</w:t>
            </w:r>
            <w:r w:rsidRPr="00903BA3">
              <w:rPr>
                <w:i/>
                <w:sz w:val="22"/>
                <w:szCs w:val="22"/>
                <w:vertAlign w:val="subscript"/>
              </w:rPr>
              <w:t>2</w:t>
            </w:r>
            <w:r w:rsidRPr="00903BA3">
              <w:rPr>
                <w:i/>
                <w:sz w:val="22"/>
                <w:szCs w:val="22"/>
              </w:rPr>
              <w:t xml:space="preserve"> and NO</w:t>
            </w:r>
            <w:r w:rsidRPr="00903BA3">
              <w:rPr>
                <w:i/>
                <w:sz w:val="22"/>
                <w:szCs w:val="22"/>
                <w:vertAlign w:val="subscript"/>
              </w:rPr>
              <w:t>x</w:t>
            </w:r>
            <w:r w:rsidRPr="00903BA3">
              <w:rPr>
                <w:i/>
                <w:sz w:val="22"/>
                <w:szCs w:val="22"/>
              </w:rPr>
              <w:t>) are already regulated criteria pollutants under the NSR/PSD program</w:t>
            </w:r>
            <w:r w:rsidR="004A0EA4" w:rsidRPr="00903BA3">
              <w:rPr>
                <w:i/>
                <w:sz w:val="22"/>
                <w:szCs w:val="22"/>
              </w:rPr>
              <w:t xml:space="preserve">. </w:t>
            </w:r>
            <w:r w:rsidRPr="00903BA3">
              <w:rPr>
                <w:i/>
                <w:sz w:val="22"/>
                <w:szCs w:val="22"/>
              </w:rPr>
              <w:t>Since the initial PM</w:t>
            </w:r>
            <w:r w:rsidRPr="00903BA3">
              <w:rPr>
                <w:i/>
                <w:sz w:val="22"/>
                <w:szCs w:val="22"/>
                <w:vertAlign w:val="subscript"/>
              </w:rPr>
              <w:t>2.5</w:t>
            </w:r>
            <w:r w:rsidRPr="00903BA3">
              <w:rPr>
                <w:i/>
                <w:sz w:val="22"/>
                <w:szCs w:val="22"/>
              </w:rPr>
              <w:t xml:space="preserve"> netting basis is the PM</w:t>
            </w:r>
            <w:r w:rsidRPr="00903BA3">
              <w:rPr>
                <w:i/>
                <w:sz w:val="22"/>
                <w:szCs w:val="22"/>
                <w:vertAlign w:val="subscript"/>
              </w:rPr>
              <w:t>2.5</w:t>
            </w:r>
            <w:r w:rsidRPr="00903BA3">
              <w:rPr>
                <w:i/>
                <w:sz w:val="22"/>
                <w:szCs w:val="22"/>
              </w:rPr>
              <w:t xml:space="preserve"> fraction of the PM</w:t>
            </w:r>
            <w:r w:rsidRPr="00903BA3">
              <w:rPr>
                <w:i/>
                <w:sz w:val="22"/>
                <w:szCs w:val="22"/>
                <w:vertAlign w:val="subscript"/>
              </w:rPr>
              <w:t>10</w:t>
            </w:r>
            <w:r w:rsidRPr="00903BA3">
              <w:rPr>
                <w:i/>
                <w:sz w:val="22"/>
                <w:szCs w:val="22"/>
              </w:rPr>
              <w:t xml:space="preserve"> netting basis, PM</w:t>
            </w:r>
            <w:r w:rsidRPr="00903BA3">
              <w:rPr>
                <w:i/>
                <w:sz w:val="22"/>
                <w:szCs w:val="22"/>
                <w:vertAlign w:val="subscript"/>
              </w:rPr>
              <w:t>2.5</w:t>
            </w:r>
            <w:r w:rsidRPr="00903BA3">
              <w:rPr>
                <w:i/>
                <w:sz w:val="22"/>
                <w:szCs w:val="22"/>
              </w:rPr>
              <w:t>, PM</w:t>
            </w:r>
            <w:r w:rsidRPr="00903BA3">
              <w:rPr>
                <w:i/>
                <w:sz w:val="22"/>
                <w:szCs w:val="22"/>
                <w:vertAlign w:val="subscript"/>
              </w:rPr>
              <w:t>10</w:t>
            </w:r>
            <w:r w:rsidRPr="00903BA3">
              <w:rPr>
                <w:i/>
                <w:sz w:val="22"/>
                <w:szCs w:val="22"/>
              </w:rPr>
              <w:t>, SO</w:t>
            </w:r>
            <w:r w:rsidRPr="00903BA3">
              <w:rPr>
                <w:i/>
                <w:sz w:val="22"/>
                <w:szCs w:val="22"/>
                <w:vertAlign w:val="subscript"/>
              </w:rPr>
              <w:t>2</w:t>
            </w:r>
            <w:r w:rsidRPr="00903BA3">
              <w:rPr>
                <w:i/>
                <w:sz w:val="22"/>
                <w:szCs w:val="22"/>
              </w:rPr>
              <w:t>, and NO</w:t>
            </w:r>
            <w:r w:rsidRPr="00903BA3">
              <w:rPr>
                <w:i/>
                <w:sz w:val="22"/>
                <w:szCs w:val="22"/>
                <w:vertAlign w:val="subscript"/>
              </w:rPr>
              <w:t>x</w:t>
            </w:r>
            <w:r w:rsidRPr="00903BA3">
              <w:rPr>
                <w:i/>
                <w:sz w:val="22"/>
                <w:szCs w:val="22"/>
              </w:rPr>
              <w:t xml:space="preserve"> will all have the same baseline period for most sources</w:t>
            </w:r>
            <w:r w:rsidR="004A0EA4" w:rsidRPr="00903BA3">
              <w:rPr>
                <w:i/>
                <w:sz w:val="22"/>
                <w:szCs w:val="22"/>
              </w:rPr>
              <w:t xml:space="preserve">. </w:t>
            </w:r>
            <w:r w:rsidRPr="00903BA3">
              <w:rPr>
                <w:i/>
                <w:sz w:val="22"/>
                <w:szCs w:val="22"/>
              </w:rPr>
              <w:t xml:space="preserve">If a source has triggered NSR/PSD for one pollutant and not the others, the netting basis will be based on different production rates for different pollutants, </w:t>
            </w:r>
            <w:r w:rsidR="00524E82" w:rsidRPr="00903BA3">
              <w:rPr>
                <w:i/>
                <w:sz w:val="22"/>
                <w:szCs w:val="22"/>
              </w:rPr>
              <w:t>which is consistent with</w:t>
            </w:r>
            <w:r w:rsidRPr="00903BA3">
              <w:rPr>
                <w:i/>
                <w:sz w:val="22"/>
                <w:szCs w:val="22"/>
              </w:rPr>
              <w:t xml:space="preserve"> how the program is currently implemented</w:t>
            </w:r>
            <w:r w:rsidR="004A0EA4" w:rsidRPr="00903BA3">
              <w:rPr>
                <w:i/>
                <w:sz w:val="22"/>
                <w:szCs w:val="22"/>
              </w:rPr>
              <w:t xml:space="preserve">. </w:t>
            </w:r>
            <w:r w:rsidRPr="00903BA3">
              <w:rPr>
                <w:i/>
                <w:sz w:val="22"/>
                <w:szCs w:val="22"/>
              </w:rPr>
              <w:t>Introducing different baseline years for precursors would be administratively impractical</w:t>
            </w:r>
            <w:r w:rsidR="004A0EA4" w:rsidRPr="00903BA3">
              <w:rPr>
                <w:i/>
                <w:sz w:val="22"/>
                <w:szCs w:val="22"/>
              </w:rPr>
              <w:t xml:space="preserve">. </w:t>
            </w:r>
            <w:r w:rsidR="004158AE" w:rsidRPr="00903BA3">
              <w:rPr>
                <w:i/>
                <w:sz w:val="22"/>
                <w:szCs w:val="22"/>
              </w:rPr>
              <w:t>No change to the rule is proposed in response to this comment.</w:t>
            </w:r>
          </w:p>
          <w:p w:rsidR="000B4801" w:rsidRPr="00903BA3" w:rsidRDefault="000B4801" w:rsidP="000B4801">
            <w:pPr>
              <w:rPr>
                <w:b/>
                <w:sz w:val="22"/>
                <w:szCs w:val="22"/>
                <w:u w:val="single"/>
              </w:rPr>
            </w:pPr>
          </w:p>
        </w:tc>
      </w:tr>
      <w:tr w:rsidR="00DC3DE0"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DC3DE0" w:rsidRPr="000B4801" w:rsidRDefault="000B4801" w:rsidP="000B4801">
            <w:pPr>
              <w:pStyle w:val="ListParagraph"/>
              <w:ind w:left="0" w:right="-115"/>
              <w:rPr>
                <w:bCs/>
                <w:sz w:val="22"/>
                <w:szCs w:val="22"/>
              </w:rPr>
            </w:pPr>
            <w:r w:rsidRPr="000B4801">
              <w:rPr>
                <w:sz w:val="22"/>
                <w:szCs w:val="22"/>
              </w:rPr>
              <w:t xml:space="preserve">13. </w:t>
            </w:r>
            <w:r w:rsidR="00DC3DE0" w:rsidRPr="000B4801">
              <w:rPr>
                <w:bCs/>
                <w:sz w:val="22"/>
                <w:szCs w:val="22"/>
              </w:rPr>
              <w:t xml:space="preserve">Baseline period tied to baseline </w:t>
            </w:r>
            <w:r w:rsidR="00DC3DE0" w:rsidRPr="000B4801">
              <w:rPr>
                <w:bCs/>
                <w:sz w:val="22"/>
                <w:szCs w:val="22"/>
              </w:rPr>
              <w:lastRenderedPageBreak/>
              <w:t>concentration year</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C3DE0" w:rsidRDefault="00DC3DE0" w:rsidP="000B4801">
            <w:pPr>
              <w:rPr>
                <w:sz w:val="22"/>
                <w:szCs w:val="22"/>
              </w:rPr>
            </w:pPr>
            <w:r w:rsidRPr="00903BA3">
              <w:rPr>
                <w:sz w:val="22"/>
                <w:szCs w:val="22"/>
              </w:rPr>
              <w:lastRenderedPageBreak/>
              <w:t xml:space="preserve">We are concerned that DEQ’s proposal fails to adequately match the baseline period and baseline concentrations. If individual emissions levels are not set from the same date range as the monitoring data, then DEQ’s rules will not ensure compliance with the national </w:t>
            </w:r>
            <w:r w:rsidRPr="00903BA3">
              <w:rPr>
                <w:sz w:val="22"/>
                <w:szCs w:val="22"/>
              </w:rPr>
              <w:lastRenderedPageBreak/>
              <w:t>ambient air quality standards (NAAQS) or PSD increment. If DEQ decides to implement the PM2.5 PSD program through the PSEL program, DEQ should mandate that the baseline emission rate be set for the same period for which DEQ has monitoring data, or at the very least implement stringent guidelines that direct the limited instances when a different baseline period may be chosen. (12)</w:t>
            </w:r>
          </w:p>
          <w:p w:rsidR="000B4801" w:rsidRPr="00903BA3" w:rsidRDefault="000B4801" w:rsidP="000B4801">
            <w:pPr>
              <w:rPr>
                <w:sz w:val="22"/>
                <w:szCs w:val="22"/>
              </w:rPr>
            </w:pPr>
          </w:p>
          <w:p w:rsidR="00DC3DE0" w:rsidRPr="00903BA3" w:rsidRDefault="00DC3DE0" w:rsidP="000B4801">
            <w:pPr>
              <w:autoSpaceDE w:val="0"/>
              <w:autoSpaceDN w:val="0"/>
              <w:adjustRightInd w:val="0"/>
              <w:ind w:right="-180"/>
              <w:rPr>
                <w:i/>
                <w:sz w:val="22"/>
                <w:szCs w:val="22"/>
              </w:rPr>
            </w:pPr>
            <w:r w:rsidRPr="00903BA3">
              <w:rPr>
                <w:i/>
                <w:sz w:val="22"/>
                <w:szCs w:val="22"/>
              </w:rPr>
              <w:t>Response:</w:t>
            </w:r>
          </w:p>
          <w:p w:rsidR="00414F4A" w:rsidRPr="00903BA3" w:rsidRDefault="00524E82" w:rsidP="000B4801">
            <w:pPr>
              <w:autoSpaceDE w:val="0"/>
              <w:autoSpaceDN w:val="0"/>
              <w:adjustRightInd w:val="0"/>
              <w:rPr>
                <w:i/>
                <w:sz w:val="22"/>
                <w:szCs w:val="22"/>
              </w:rPr>
            </w:pPr>
            <w:r w:rsidRPr="00903BA3">
              <w:rPr>
                <w:i/>
                <w:sz w:val="22"/>
                <w:szCs w:val="22"/>
              </w:rPr>
              <w:t xml:space="preserve">DEQ believes </w:t>
            </w:r>
            <w:r w:rsidR="00414F4A" w:rsidRPr="00903BA3">
              <w:rPr>
                <w:i/>
                <w:sz w:val="22"/>
                <w:szCs w:val="22"/>
              </w:rPr>
              <w:t>that it is not feasible</w:t>
            </w:r>
            <w:r w:rsidRPr="00903BA3">
              <w:rPr>
                <w:i/>
                <w:sz w:val="22"/>
                <w:szCs w:val="22"/>
              </w:rPr>
              <w:t xml:space="preserve"> to </w:t>
            </w:r>
            <w:r w:rsidR="00375407" w:rsidRPr="00903BA3">
              <w:rPr>
                <w:i/>
                <w:sz w:val="22"/>
                <w:szCs w:val="22"/>
              </w:rPr>
              <w:t>link the baseline period and the baseline concentration year</w:t>
            </w:r>
            <w:r w:rsidR="008D538C" w:rsidRPr="00903BA3">
              <w:rPr>
                <w:i/>
                <w:sz w:val="22"/>
                <w:szCs w:val="22"/>
              </w:rPr>
              <w:t xml:space="preserve">. </w:t>
            </w:r>
            <w:r w:rsidR="00414F4A" w:rsidRPr="00903BA3">
              <w:rPr>
                <w:i/>
                <w:sz w:val="22"/>
                <w:szCs w:val="22"/>
              </w:rPr>
              <w:t xml:space="preserve">Instead, DEQ </w:t>
            </w:r>
            <w:r w:rsidR="00AB5679" w:rsidRPr="00903BA3">
              <w:rPr>
                <w:i/>
                <w:sz w:val="22"/>
                <w:szCs w:val="22"/>
              </w:rPr>
              <w:t xml:space="preserve">determines the actual emissions of sources </w:t>
            </w:r>
            <w:r w:rsidR="00414F4A" w:rsidRPr="00903BA3">
              <w:rPr>
                <w:i/>
                <w:sz w:val="22"/>
                <w:szCs w:val="22"/>
              </w:rPr>
              <w:t>during the baseline concentration year at the time that a PSD increment analysis is conducted.</w:t>
            </w:r>
          </w:p>
          <w:p w:rsidR="00A24CCF" w:rsidRPr="00903BA3" w:rsidRDefault="00A24CCF" w:rsidP="000B4801">
            <w:pPr>
              <w:autoSpaceDE w:val="0"/>
              <w:autoSpaceDN w:val="0"/>
              <w:adjustRightInd w:val="0"/>
              <w:rPr>
                <w:i/>
                <w:sz w:val="22"/>
                <w:szCs w:val="22"/>
              </w:rPr>
            </w:pPr>
            <w:r w:rsidRPr="00903BA3">
              <w:rPr>
                <w:i/>
                <w:sz w:val="22"/>
                <w:szCs w:val="22"/>
              </w:rPr>
              <w:t>The baseline period for emissions is the year that DEQ starts counting emissions increases and decreases from a source toward applicability of the NSR/PSD program.</w:t>
            </w:r>
            <w:r w:rsidR="00414F4A" w:rsidRPr="00903BA3">
              <w:rPr>
                <w:i/>
                <w:sz w:val="22"/>
                <w:szCs w:val="22"/>
              </w:rPr>
              <w:t xml:space="preserve"> It is a fixed period for each pollutant, regardless of the source’s location</w:t>
            </w:r>
            <w:r w:rsidR="008D538C" w:rsidRPr="00903BA3">
              <w:rPr>
                <w:i/>
                <w:sz w:val="22"/>
                <w:szCs w:val="22"/>
              </w:rPr>
              <w:t xml:space="preserve">. </w:t>
            </w:r>
          </w:p>
          <w:p w:rsidR="000B4801" w:rsidRDefault="000B4801" w:rsidP="000B4801">
            <w:pPr>
              <w:autoSpaceDE w:val="0"/>
              <w:autoSpaceDN w:val="0"/>
              <w:adjustRightInd w:val="0"/>
              <w:rPr>
                <w:i/>
                <w:sz w:val="22"/>
                <w:szCs w:val="22"/>
              </w:rPr>
            </w:pPr>
          </w:p>
          <w:p w:rsidR="00403368" w:rsidRPr="00903BA3" w:rsidRDefault="00403368" w:rsidP="000B4801">
            <w:pPr>
              <w:autoSpaceDE w:val="0"/>
              <w:autoSpaceDN w:val="0"/>
              <w:adjustRightInd w:val="0"/>
              <w:rPr>
                <w:i/>
                <w:sz w:val="22"/>
                <w:szCs w:val="22"/>
              </w:rPr>
            </w:pPr>
            <w:r w:rsidRPr="00903BA3">
              <w:rPr>
                <w:i/>
                <w:sz w:val="22"/>
                <w:szCs w:val="22"/>
              </w:rPr>
              <w:t xml:space="preserve">The baseline concentration year is the year that DEQ starts counting emissions increases and decreases in an area for assessing </w:t>
            </w:r>
            <w:r w:rsidR="00F506AB" w:rsidRPr="00903BA3">
              <w:rPr>
                <w:i/>
                <w:sz w:val="22"/>
                <w:szCs w:val="22"/>
              </w:rPr>
              <w:t>consumption of</w:t>
            </w:r>
            <w:r w:rsidRPr="00903BA3">
              <w:rPr>
                <w:i/>
                <w:sz w:val="22"/>
                <w:szCs w:val="22"/>
              </w:rPr>
              <w:t xml:space="preserve"> the PSD increment</w:t>
            </w:r>
            <w:r w:rsidR="00AB5679" w:rsidRPr="00903BA3">
              <w:rPr>
                <w:i/>
                <w:sz w:val="22"/>
                <w:szCs w:val="22"/>
              </w:rPr>
              <w:t>, and it varies by pollutant and area of the state</w:t>
            </w:r>
            <w:r w:rsidR="008D538C" w:rsidRPr="00903BA3">
              <w:rPr>
                <w:i/>
                <w:sz w:val="22"/>
                <w:szCs w:val="22"/>
              </w:rPr>
              <w:t xml:space="preserve">. </w:t>
            </w:r>
            <w:r w:rsidR="00AB5679" w:rsidRPr="00903BA3">
              <w:rPr>
                <w:i/>
                <w:sz w:val="22"/>
                <w:szCs w:val="22"/>
              </w:rPr>
              <w:t xml:space="preserve"> </w:t>
            </w:r>
            <w:r w:rsidRPr="00903BA3">
              <w:rPr>
                <w:i/>
                <w:sz w:val="22"/>
                <w:szCs w:val="22"/>
              </w:rPr>
              <w:t>Default baseline concentration years for assessing degradation of air quality are based on when DEQ initially made the determination</w:t>
            </w:r>
            <w:r w:rsidR="00E8059B" w:rsidRPr="00903BA3">
              <w:rPr>
                <w:i/>
                <w:sz w:val="22"/>
                <w:szCs w:val="22"/>
              </w:rPr>
              <w:t xml:space="preserve"> that</w:t>
            </w:r>
            <w:r w:rsidRPr="00903BA3">
              <w:rPr>
                <w:i/>
                <w:sz w:val="22"/>
                <w:szCs w:val="22"/>
              </w:rPr>
              <w:t xml:space="preserve"> areas </w:t>
            </w:r>
            <w:r w:rsidR="00AB5679" w:rsidRPr="00903BA3">
              <w:rPr>
                <w:i/>
                <w:sz w:val="22"/>
                <w:szCs w:val="22"/>
              </w:rPr>
              <w:t xml:space="preserve">of the state </w:t>
            </w:r>
            <w:r w:rsidRPr="00903BA3">
              <w:rPr>
                <w:i/>
                <w:sz w:val="22"/>
                <w:szCs w:val="22"/>
              </w:rPr>
              <w:t>were in attainment or nonattainment with an ambient air quality standard</w:t>
            </w:r>
            <w:r w:rsidR="008D538C" w:rsidRPr="00903BA3">
              <w:rPr>
                <w:i/>
                <w:sz w:val="22"/>
                <w:szCs w:val="22"/>
              </w:rPr>
              <w:t xml:space="preserve">. </w:t>
            </w:r>
            <w:r w:rsidRPr="00903BA3">
              <w:rPr>
                <w:i/>
                <w:sz w:val="22"/>
                <w:szCs w:val="22"/>
              </w:rPr>
              <w:t xml:space="preserve">Baseline concentration years have also been established for specific areas that were not in attainment with a standard but subsequently were re-designated to attainment. </w:t>
            </w:r>
          </w:p>
          <w:p w:rsidR="000B4801" w:rsidRDefault="000B4801" w:rsidP="000B4801">
            <w:pPr>
              <w:autoSpaceDE w:val="0"/>
              <w:autoSpaceDN w:val="0"/>
              <w:adjustRightInd w:val="0"/>
              <w:rPr>
                <w:i/>
                <w:sz w:val="22"/>
                <w:szCs w:val="22"/>
              </w:rPr>
            </w:pPr>
          </w:p>
          <w:p w:rsidR="00403368" w:rsidRPr="00903BA3" w:rsidRDefault="00403368" w:rsidP="000B4801">
            <w:pPr>
              <w:autoSpaceDE w:val="0"/>
              <w:autoSpaceDN w:val="0"/>
              <w:adjustRightInd w:val="0"/>
              <w:rPr>
                <w:i/>
                <w:sz w:val="22"/>
                <w:szCs w:val="22"/>
              </w:rPr>
            </w:pPr>
            <w:r w:rsidRPr="00903BA3">
              <w:rPr>
                <w:i/>
                <w:sz w:val="22"/>
                <w:szCs w:val="22"/>
              </w:rPr>
              <w:t>Because the baseline concentration years are different for different pollutants and the baseline periods do not correspond to the baseline concentration years, DEQ does not rely on the baseline emission rates associated with a baseline period to assess the impacts of emission increases in an area</w:t>
            </w:r>
            <w:r w:rsidR="008D538C" w:rsidRPr="00903BA3">
              <w:rPr>
                <w:i/>
                <w:sz w:val="22"/>
                <w:szCs w:val="22"/>
              </w:rPr>
              <w:t xml:space="preserve">. </w:t>
            </w:r>
            <w:r w:rsidRPr="00903BA3">
              <w:rPr>
                <w:i/>
                <w:sz w:val="22"/>
                <w:szCs w:val="22"/>
              </w:rPr>
              <w:t>The analysis is case-by-case depending on the source and the range of influence of its emissions</w:t>
            </w:r>
            <w:r w:rsidR="008D538C" w:rsidRPr="00903BA3">
              <w:rPr>
                <w:i/>
                <w:sz w:val="22"/>
                <w:szCs w:val="22"/>
              </w:rPr>
              <w:t xml:space="preserve">. </w:t>
            </w:r>
            <w:r w:rsidRPr="00903BA3">
              <w:rPr>
                <w:i/>
                <w:sz w:val="22"/>
                <w:szCs w:val="22"/>
              </w:rPr>
              <w:t>If the emission increases from a new or modified source cause an impact greater than the significant impact level for a pollutant, then the emission increases since the baseline concentration year from other nearby sources must be evaluated along with the emissions from the new or modified source to determine whether a PSD increment could potentially be exceeded</w:t>
            </w:r>
            <w:r w:rsidR="008D538C" w:rsidRPr="00903BA3">
              <w:rPr>
                <w:i/>
                <w:sz w:val="22"/>
                <w:szCs w:val="22"/>
              </w:rPr>
              <w:t xml:space="preserve">. </w:t>
            </w:r>
            <w:r w:rsidRPr="00903BA3">
              <w:rPr>
                <w:i/>
                <w:sz w:val="22"/>
                <w:szCs w:val="22"/>
              </w:rPr>
              <w:t>Only the emission increases (and decreases) since the baseline concentration year must be evaluated, but in many cases, the total allowable emissions of the sources is used to evaluate the impacts as a conservative analysis</w:t>
            </w:r>
            <w:r w:rsidR="008D538C" w:rsidRPr="00903BA3">
              <w:rPr>
                <w:i/>
                <w:sz w:val="22"/>
                <w:szCs w:val="22"/>
              </w:rPr>
              <w:t xml:space="preserve">. </w:t>
            </w:r>
            <w:r w:rsidRPr="00903BA3">
              <w:rPr>
                <w:i/>
                <w:sz w:val="22"/>
                <w:szCs w:val="22"/>
              </w:rPr>
              <w:t xml:space="preserve">The inventory of emission increases since the baseline period may be evaluated in more detail if the initial conservative analysis indicates that the PSD increment could potentially be exceeded. </w:t>
            </w:r>
          </w:p>
          <w:p w:rsidR="000B4801" w:rsidRDefault="000B4801" w:rsidP="000B4801">
            <w:pPr>
              <w:autoSpaceDE w:val="0"/>
              <w:autoSpaceDN w:val="0"/>
              <w:adjustRightInd w:val="0"/>
              <w:rPr>
                <w:i/>
                <w:sz w:val="22"/>
                <w:szCs w:val="22"/>
              </w:rPr>
            </w:pPr>
          </w:p>
          <w:p w:rsidR="00AB5679" w:rsidRPr="00903BA3" w:rsidRDefault="00AB5679" w:rsidP="000B4801">
            <w:pPr>
              <w:autoSpaceDE w:val="0"/>
              <w:autoSpaceDN w:val="0"/>
              <w:adjustRightInd w:val="0"/>
              <w:rPr>
                <w:i/>
                <w:sz w:val="22"/>
                <w:szCs w:val="22"/>
              </w:rPr>
            </w:pPr>
            <w:r w:rsidRPr="00903BA3">
              <w:rPr>
                <w:i/>
                <w:sz w:val="22"/>
                <w:szCs w:val="22"/>
              </w:rPr>
              <w:t xml:space="preserve">In this rulemaking DEQ </w:t>
            </w:r>
            <w:r w:rsidR="008536B5" w:rsidRPr="00903BA3">
              <w:rPr>
                <w:i/>
                <w:sz w:val="22"/>
                <w:szCs w:val="22"/>
              </w:rPr>
              <w:t>proposes 2007 as the baseline concentration year for PM</w:t>
            </w:r>
            <w:r w:rsidR="008536B5" w:rsidRPr="00903BA3">
              <w:rPr>
                <w:i/>
                <w:sz w:val="22"/>
                <w:szCs w:val="22"/>
                <w:vertAlign w:val="subscript"/>
              </w:rPr>
              <w:t xml:space="preserve">2.5 </w:t>
            </w:r>
            <w:r w:rsidR="008536B5" w:rsidRPr="00903BA3">
              <w:rPr>
                <w:i/>
                <w:sz w:val="22"/>
                <w:szCs w:val="22"/>
              </w:rPr>
              <w:t xml:space="preserve">because 2007 is the middle year of the 3 years (2006 through 2008) when ambient monitoring was conducted to determine whether areas of the state </w:t>
            </w:r>
            <w:r w:rsidR="000672D5" w:rsidRPr="00903BA3">
              <w:rPr>
                <w:i/>
                <w:sz w:val="22"/>
                <w:szCs w:val="22"/>
              </w:rPr>
              <w:t>ar</w:t>
            </w:r>
            <w:r w:rsidR="008536B5" w:rsidRPr="00903BA3">
              <w:rPr>
                <w:i/>
                <w:sz w:val="22"/>
                <w:szCs w:val="22"/>
              </w:rPr>
              <w:t>e in attainment or nonattainment with the standards</w:t>
            </w:r>
            <w:r w:rsidR="008D538C" w:rsidRPr="00903BA3">
              <w:rPr>
                <w:i/>
                <w:sz w:val="22"/>
                <w:szCs w:val="22"/>
              </w:rPr>
              <w:t xml:space="preserve">. </w:t>
            </w:r>
            <w:r w:rsidR="008536B5" w:rsidRPr="00903BA3">
              <w:rPr>
                <w:i/>
                <w:sz w:val="22"/>
                <w:szCs w:val="22"/>
              </w:rPr>
              <w:t xml:space="preserve">DEQ </w:t>
            </w:r>
            <w:r w:rsidRPr="00903BA3">
              <w:rPr>
                <w:i/>
                <w:sz w:val="22"/>
                <w:szCs w:val="22"/>
              </w:rPr>
              <w:t xml:space="preserve">does not propose establishing a baseline concentration year for GHG because there is no ambient air quality standard for GHG. </w:t>
            </w:r>
          </w:p>
          <w:p w:rsidR="000B4801" w:rsidRDefault="000B4801" w:rsidP="000B4801">
            <w:pPr>
              <w:autoSpaceDE w:val="0"/>
              <w:autoSpaceDN w:val="0"/>
              <w:adjustRightInd w:val="0"/>
              <w:rPr>
                <w:i/>
                <w:sz w:val="22"/>
                <w:szCs w:val="22"/>
              </w:rPr>
            </w:pPr>
          </w:p>
          <w:p w:rsidR="00DC3DE0" w:rsidRDefault="00B332BD" w:rsidP="000B4801">
            <w:pPr>
              <w:autoSpaceDE w:val="0"/>
              <w:autoSpaceDN w:val="0"/>
              <w:adjustRightInd w:val="0"/>
              <w:rPr>
                <w:i/>
                <w:sz w:val="22"/>
                <w:szCs w:val="22"/>
              </w:rPr>
            </w:pPr>
            <w:r w:rsidRPr="00903BA3">
              <w:rPr>
                <w:i/>
                <w:sz w:val="22"/>
                <w:szCs w:val="22"/>
              </w:rPr>
              <w:t>The baseline concentration year is not used in determining whether a NAAQS could potentially be exceeded. For the NAAQS analysis, the emissions from the proposed new or modified source along with other source emissions in the nearby area are modeled and the impacts are added to the background concentration to determine whether a NAAQS could potentially be exceeded.</w:t>
            </w:r>
            <w:r w:rsidR="00781511" w:rsidRPr="00903BA3">
              <w:rPr>
                <w:i/>
                <w:sz w:val="22"/>
                <w:szCs w:val="22"/>
              </w:rPr>
              <w:t xml:space="preserve"> </w:t>
            </w:r>
            <w:r w:rsidR="00A21C65" w:rsidRPr="00903BA3">
              <w:rPr>
                <w:i/>
                <w:sz w:val="22"/>
                <w:szCs w:val="22"/>
              </w:rPr>
              <w:t>No change to the rule is proposed in response to this comment.</w:t>
            </w:r>
          </w:p>
          <w:p w:rsidR="000B4801" w:rsidRPr="00903BA3" w:rsidRDefault="000B4801" w:rsidP="000B4801">
            <w:pPr>
              <w:autoSpaceDE w:val="0"/>
              <w:autoSpaceDN w:val="0"/>
              <w:adjustRightInd w:val="0"/>
              <w:rPr>
                <w:i/>
                <w:sz w:val="22"/>
                <w:szCs w:val="22"/>
              </w:rPr>
            </w:pPr>
          </w:p>
        </w:tc>
      </w:tr>
      <w:tr w:rsidR="0051452D"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1452D" w:rsidRPr="00903BA3" w:rsidRDefault="000B4801" w:rsidP="000B4801">
            <w:pPr>
              <w:ind w:right="-115"/>
              <w:rPr>
                <w:bCs/>
                <w:sz w:val="22"/>
                <w:szCs w:val="22"/>
              </w:rPr>
            </w:pPr>
            <w:r>
              <w:rPr>
                <w:sz w:val="22"/>
                <w:szCs w:val="22"/>
              </w:rPr>
              <w:lastRenderedPageBreak/>
              <w:t xml:space="preserve">14. </w:t>
            </w:r>
            <w:r w:rsidR="00E57F86" w:rsidRPr="00903BA3">
              <w:rPr>
                <w:sz w:val="22"/>
                <w:szCs w:val="22"/>
              </w:rPr>
              <w:t>F</w:t>
            </w:r>
            <w:r w:rsidR="0051452D" w:rsidRPr="00903BA3">
              <w:rPr>
                <w:sz w:val="22"/>
                <w:szCs w:val="22"/>
              </w:rPr>
              <w:t>ederal</w:t>
            </w:r>
            <w:r w:rsidR="001B19BA" w:rsidRPr="00903BA3">
              <w:rPr>
                <w:sz w:val="22"/>
                <w:szCs w:val="22"/>
              </w:rPr>
              <w:t xml:space="preserve"> m</w:t>
            </w:r>
            <w:r w:rsidR="0051452D" w:rsidRPr="00903BA3">
              <w:rPr>
                <w:sz w:val="22"/>
                <w:szCs w:val="22"/>
              </w:rPr>
              <w:t xml:space="preserve">ajor </w:t>
            </w:r>
            <w:r w:rsidR="001B19BA" w:rsidRPr="00903BA3">
              <w:rPr>
                <w:sz w:val="22"/>
                <w:szCs w:val="22"/>
              </w:rPr>
              <w:t>s</w:t>
            </w:r>
            <w:r w:rsidR="0051452D" w:rsidRPr="00903BA3">
              <w:rPr>
                <w:sz w:val="22"/>
                <w:szCs w:val="22"/>
              </w:rPr>
              <w:t>ource</w:t>
            </w:r>
            <w:r w:rsidR="00E57F86" w:rsidRPr="00903BA3">
              <w:rPr>
                <w:sz w:val="22"/>
                <w:szCs w:val="22"/>
              </w:rPr>
              <w:t xml:space="preserve">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4454F" w:rsidRDefault="0051452D" w:rsidP="000B4801">
            <w:pPr>
              <w:autoSpaceDE w:val="0"/>
              <w:autoSpaceDN w:val="0"/>
              <w:adjustRightInd w:val="0"/>
              <w:rPr>
                <w:sz w:val="22"/>
                <w:szCs w:val="22"/>
              </w:rPr>
            </w:pPr>
            <w:r w:rsidRPr="00903BA3">
              <w:rPr>
                <w:bCs/>
                <w:sz w:val="22"/>
                <w:szCs w:val="22"/>
              </w:rPr>
              <w:t xml:space="preserve">OAR </w:t>
            </w:r>
            <w:r w:rsidRPr="00903BA3">
              <w:rPr>
                <w:sz w:val="22"/>
                <w:szCs w:val="22"/>
              </w:rPr>
              <w:t>340-200-0020(54): The revision to the definition of "Federal Major Source" is not consistent with the EPA requirements as set forth in the "Tailoring Rule." Essentially, there is a two-part test in order to determine a Federal Major Source with respect to GHGs. First, GHGs must be a regulated air pollutant</w:t>
            </w:r>
            <w:r w:rsidR="00D4454F" w:rsidRPr="00903BA3">
              <w:rPr>
                <w:sz w:val="22"/>
                <w:szCs w:val="22"/>
              </w:rPr>
              <w:t>,</w:t>
            </w:r>
            <w:r w:rsidRPr="00903BA3">
              <w:rPr>
                <w:sz w:val="22"/>
                <w:szCs w:val="22"/>
              </w:rPr>
              <w:t xml:space="preserve"> that is the source must have the potential to emit 100,000 tpy or more on a CO</w:t>
            </w:r>
            <w:r w:rsidRPr="00903BA3">
              <w:rPr>
                <w:sz w:val="22"/>
                <w:szCs w:val="22"/>
                <w:vertAlign w:val="subscript"/>
              </w:rPr>
              <w:t>2</w:t>
            </w:r>
            <w:r w:rsidRPr="00903BA3">
              <w:rPr>
                <w:sz w:val="22"/>
                <w:szCs w:val="22"/>
              </w:rPr>
              <w:t xml:space="preserve"> equivalent (CO</w:t>
            </w:r>
            <w:r w:rsidRPr="00903BA3">
              <w:rPr>
                <w:sz w:val="22"/>
                <w:szCs w:val="22"/>
                <w:vertAlign w:val="subscript"/>
              </w:rPr>
              <w:t>2</w:t>
            </w:r>
            <w:r w:rsidRPr="00903BA3">
              <w:rPr>
                <w:sz w:val="22"/>
                <w:szCs w:val="22"/>
              </w:rPr>
              <w:t xml:space="preserve">e) basis. Then the source must also have the potential to emit 100 or 250 tpy or more </w:t>
            </w:r>
            <w:r w:rsidR="00353084" w:rsidRPr="00903BA3">
              <w:rPr>
                <w:sz w:val="22"/>
                <w:szCs w:val="22"/>
              </w:rPr>
              <w:t xml:space="preserve">of an individual GHG </w:t>
            </w:r>
            <w:r w:rsidRPr="00903BA3">
              <w:rPr>
                <w:sz w:val="22"/>
                <w:szCs w:val="22"/>
              </w:rPr>
              <w:t xml:space="preserve">on a mass basis. </w:t>
            </w:r>
            <w:r w:rsidR="00C7143F" w:rsidRPr="00903BA3">
              <w:rPr>
                <w:sz w:val="22"/>
                <w:szCs w:val="22"/>
              </w:rPr>
              <w:t>(</w:t>
            </w:r>
            <w:r w:rsidR="00D4454F" w:rsidRPr="00903BA3">
              <w:rPr>
                <w:sz w:val="22"/>
                <w:szCs w:val="22"/>
              </w:rPr>
              <w:t>1, 2, 4, 7, 9, 11, 13, 14, 17</w:t>
            </w:r>
            <w:r w:rsidR="007D2A64" w:rsidRPr="00903BA3">
              <w:rPr>
                <w:sz w:val="22"/>
                <w:szCs w:val="22"/>
              </w:rPr>
              <w:t>, 23</w:t>
            </w:r>
            <w:r w:rsidR="00D4454F" w:rsidRPr="00903BA3">
              <w:rPr>
                <w:sz w:val="22"/>
                <w:szCs w:val="22"/>
              </w:rPr>
              <w:t>)</w:t>
            </w:r>
          </w:p>
          <w:p w:rsidR="000B4801" w:rsidRPr="00903BA3" w:rsidRDefault="000B4801" w:rsidP="000B4801">
            <w:pPr>
              <w:autoSpaceDE w:val="0"/>
              <w:autoSpaceDN w:val="0"/>
              <w:adjustRightInd w:val="0"/>
              <w:rPr>
                <w:sz w:val="22"/>
                <w:szCs w:val="22"/>
              </w:rPr>
            </w:pPr>
          </w:p>
          <w:p w:rsidR="0051452D" w:rsidRPr="00903BA3" w:rsidRDefault="0051452D" w:rsidP="000B4801">
            <w:pPr>
              <w:autoSpaceDE w:val="0"/>
              <w:autoSpaceDN w:val="0"/>
              <w:adjustRightInd w:val="0"/>
              <w:rPr>
                <w:i/>
                <w:sz w:val="22"/>
                <w:szCs w:val="22"/>
              </w:rPr>
            </w:pPr>
            <w:r w:rsidRPr="00903BA3">
              <w:rPr>
                <w:i/>
                <w:sz w:val="22"/>
                <w:szCs w:val="22"/>
              </w:rPr>
              <w:t>Response:</w:t>
            </w:r>
          </w:p>
          <w:p w:rsidR="00B0047C" w:rsidRDefault="000F1312" w:rsidP="000B4801">
            <w:pPr>
              <w:autoSpaceDE w:val="0"/>
              <w:autoSpaceDN w:val="0"/>
              <w:adjustRightInd w:val="0"/>
              <w:rPr>
                <w:i/>
                <w:sz w:val="22"/>
                <w:szCs w:val="22"/>
              </w:rPr>
            </w:pPr>
            <w:r w:rsidRPr="00903BA3">
              <w:rPr>
                <w:i/>
                <w:sz w:val="22"/>
                <w:szCs w:val="22"/>
              </w:rPr>
              <w:t xml:space="preserve">The change was made to the proposed rule as suggested. </w:t>
            </w:r>
          </w:p>
          <w:p w:rsidR="000B4801" w:rsidRPr="00903BA3" w:rsidRDefault="000B4801" w:rsidP="000B4801">
            <w:pPr>
              <w:autoSpaceDE w:val="0"/>
              <w:autoSpaceDN w:val="0"/>
              <w:adjustRightInd w:val="0"/>
              <w:rPr>
                <w:bCs/>
                <w:sz w:val="22"/>
                <w:szCs w:val="22"/>
              </w:rPr>
            </w:pPr>
          </w:p>
        </w:tc>
      </w:tr>
      <w:tr w:rsidR="007F3E5D" w:rsidRPr="00903BA3" w:rsidTr="009270A0">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7F3E5D" w:rsidRPr="00903BA3" w:rsidRDefault="000B4801" w:rsidP="000B4801">
            <w:pPr>
              <w:rPr>
                <w:sz w:val="22"/>
                <w:szCs w:val="22"/>
              </w:rPr>
            </w:pPr>
            <w:r>
              <w:rPr>
                <w:sz w:val="22"/>
                <w:szCs w:val="22"/>
              </w:rPr>
              <w:t xml:space="preserve">15. </w:t>
            </w:r>
            <w:r w:rsidR="00B454AB" w:rsidRPr="00903BA3">
              <w:rPr>
                <w:sz w:val="22"/>
                <w:szCs w:val="22"/>
              </w:rPr>
              <w:t>F</w:t>
            </w:r>
            <w:r w:rsidR="007F3E5D" w:rsidRPr="00903BA3">
              <w:rPr>
                <w:sz w:val="22"/>
                <w:szCs w:val="22"/>
              </w:rPr>
              <w:t>ederal major source, major source and major modification</w:t>
            </w:r>
            <w:r w:rsidR="00D6239C" w:rsidRPr="00903BA3">
              <w:rPr>
                <w:sz w:val="22"/>
                <w:szCs w:val="22"/>
              </w:rPr>
              <w:t xml:space="preserve"> </w:t>
            </w:r>
            <w:r w:rsidR="001762AF" w:rsidRPr="00903BA3">
              <w:rPr>
                <w:sz w:val="22"/>
                <w:szCs w:val="22"/>
              </w:rPr>
              <w:t>de</w:t>
            </w:r>
            <w:r w:rsidR="00D6239C" w:rsidRPr="00903BA3">
              <w:rPr>
                <w:sz w:val="22"/>
                <w:szCs w:val="22"/>
              </w:rPr>
              <w:t xml:space="preserve">finitions regarding fugitive emissions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C04EC" w:rsidRDefault="00F65F4D" w:rsidP="000B4801">
            <w:pPr>
              <w:rPr>
                <w:sz w:val="22"/>
                <w:szCs w:val="22"/>
              </w:rPr>
            </w:pPr>
            <w:r w:rsidRPr="00903BA3">
              <w:rPr>
                <w:sz w:val="22"/>
                <w:szCs w:val="22"/>
              </w:rPr>
              <w:t>We</w:t>
            </w:r>
            <w:r w:rsidR="007F3E5D" w:rsidRPr="00903BA3">
              <w:rPr>
                <w:sz w:val="22"/>
                <w:szCs w:val="22"/>
              </w:rPr>
              <w:t xml:space="preserve"> request that DEQ revise the definition of “major source” to exclude fugitive emissions from consideration except in relation to sources in one of the designated source categories</w:t>
            </w:r>
            <w:r w:rsidR="004A0EA4" w:rsidRPr="00903BA3">
              <w:rPr>
                <w:sz w:val="22"/>
                <w:szCs w:val="22"/>
              </w:rPr>
              <w:t xml:space="preserve">. </w:t>
            </w:r>
            <w:r w:rsidR="007F3E5D" w:rsidRPr="00903BA3">
              <w:rPr>
                <w:sz w:val="22"/>
                <w:szCs w:val="22"/>
              </w:rPr>
              <w:t>EPA’s Tailoring Rule is clear that fugitive GHG emissions need only be considered in determining PSD and Title V applicability for sources within one of the designated source categories</w:t>
            </w:r>
            <w:r w:rsidR="004A0EA4" w:rsidRPr="00903BA3">
              <w:rPr>
                <w:sz w:val="22"/>
                <w:szCs w:val="22"/>
              </w:rPr>
              <w:t xml:space="preserve">. </w:t>
            </w:r>
            <w:r w:rsidR="007F3E5D" w:rsidRPr="00903BA3">
              <w:rPr>
                <w:sz w:val="22"/>
                <w:szCs w:val="22"/>
              </w:rPr>
              <w:t>Nonetheless, although DEQ has stated that it intends to be no more stringent than that Tailoring Rule requires, it is proposing that fugitive GHG emissions must be included for all sources when determining PSD or Title V applicability</w:t>
            </w:r>
            <w:r w:rsidR="004A0EA4" w:rsidRPr="00903BA3">
              <w:rPr>
                <w:sz w:val="22"/>
                <w:szCs w:val="22"/>
              </w:rPr>
              <w:t xml:space="preserve">. </w:t>
            </w:r>
            <w:r w:rsidR="00FC04EC" w:rsidRPr="00903BA3">
              <w:rPr>
                <w:sz w:val="22"/>
                <w:szCs w:val="22"/>
              </w:rPr>
              <w:t xml:space="preserve">(1, 2, 4, </w:t>
            </w:r>
            <w:r w:rsidR="00231353" w:rsidRPr="00903BA3">
              <w:rPr>
                <w:sz w:val="22"/>
                <w:szCs w:val="22"/>
              </w:rPr>
              <w:t xml:space="preserve">9, </w:t>
            </w:r>
            <w:r w:rsidR="00FC04EC" w:rsidRPr="00903BA3">
              <w:rPr>
                <w:sz w:val="22"/>
                <w:szCs w:val="22"/>
              </w:rPr>
              <w:t>11, 13</w:t>
            </w:r>
            <w:r w:rsidR="00F51667" w:rsidRPr="00903BA3">
              <w:rPr>
                <w:sz w:val="22"/>
                <w:szCs w:val="22"/>
              </w:rPr>
              <w:t>, 14</w:t>
            </w:r>
            <w:r w:rsidR="00231353" w:rsidRPr="00903BA3">
              <w:rPr>
                <w:sz w:val="22"/>
                <w:szCs w:val="22"/>
              </w:rPr>
              <w:t>, 16, 17</w:t>
            </w:r>
            <w:r w:rsidR="007D2A64" w:rsidRPr="00903BA3">
              <w:rPr>
                <w:sz w:val="22"/>
                <w:szCs w:val="22"/>
              </w:rPr>
              <w:t>, 23</w:t>
            </w:r>
            <w:r w:rsidR="00FC04EC" w:rsidRPr="00903BA3">
              <w:rPr>
                <w:sz w:val="22"/>
                <w:szCs w:val="22"/>
              </w:rPr>
              <w:t>)</w:t>
            </w:r>
          </w:p>
          <w:p w:rsidR="000B4801" w:rsidRPr="00903BA3" w:rsidRDefault="000B4801" w:rsidP="000B4801">
            <w:pPr>
              <w:rPr>
                <w:sz w:val="22"/>
                <w:szCs w:val="22"/>
              </w:rPr>
            </w:pPr>
          </w:p>
          <w:p w:rsidR="007F3E5D" w:rsidRPr="00903BA3" w:rsidRDefault="007F3E5D" w:rsidP="000B4801">
            <w:pPr>
              <w:rPr>
                <w:i/>
                <w:sz w:val="22"/>
                <w:szCs w:val="22"/>
              </w:rPr>
            </w:pPr>
            <w:r w:rsidRPr="00903BA3">
              <w:rPr>
                <w:i/>
                <w:sz w:val="22"/>
                <w:szCs w:val="22"/>
              </w:rPr>
              <w:t>Response:</w:t>
            </w:r>
          </w:p>
          <w:p w:rsidR="00480169" w:rsidRPr="00903BA3" w:rsidRDefault="00480169" w:rsidP="000B4801">
            <w:pPr>
              <w:pStyle w:val="NormalWeb"/>
              <w:spacing w:before="0" w:beforeAutospacing="0" w:after="0" w:afterAutospacing="0"/>
              <w:rPr>
                <w:i/>
                <w:sz w:val="22"/>
                <w:szCs w:val="22"/>
              </w:rPr>
            </w:pPr>
            <w:r w:rsidRPr="00903BA3">
              <w:rPr>
                <w:i/>
                <w:sz w:val="22"/>
                <w:szCs w:val="22"/>
              </w:rPr>
              <w:t xml:space="preserve">Fugitive emissions have always been included in determining whether a source is a major source </w:t>
            </w:r>
            <w:r w:rsidR="00353084" w:rsidRPr="00903BA3">
              <w:rPr>
                <w:i/>
                <w:sz w:val="22"/>
                <w:szCs w:val="22"/>
              </w:rPr>
              <w:t xml:space="preserve">in Oregon </w:t>
            </w:r>
            <w:r w:rsidRPr="00903BA3">
              <w:rPr>
                <w:i/>
                <w:sz w:val="22"/>
                <w:szCs w:val="22"/>
              </w:rPr>
              <w:t xml:space="preserve">in accordance with OAR </w:t>
            </w:r>
            <w:r w:rsidRPr="00903BA3">
              <w:rPr>
                <w:bCs/>
                <w:i/>
                <w:sz w:val="22"/>
                <w:szCs w:val="22"/>
              </w:rPr>
              <w:t>340-224-0100:</w:t>
            </w:r>
          </w:p>
          <w:p w:rsidR="007F3E5D" w:rsidRPr="00903BA3" w:rsidRDefault="007F3E5D" w:rsidP="000B4801">
            <w:pPr>
              <w:pStyle w:val="NormalWeb"/>
              <w:spacing w:before="0" w:beforeAutospacing="0" w:after="0" w:afterAutospacing="0"/>
              <w:ind w:left="720"/>
              <w:rPr>
                <w:i/>
                <w:sz w:val="22"/>
                <w:szCs w:val="22"/>
              </w:rPr>
            </w:pPr>
            <w:r w:rsidRPr="00903BA3">
              <w:rPr>
                <w:i/>
                <w:sz w:val="22"/>
                <w:szCs w:val="22"/>
              </w:rPr>
              <w:t>“Fugitive emissions are included in the calculation of emission rates of all air contaminants. Fugitive emissions are subject to the same control requirements and analyses required for emissions from identifiable stacks or vents.”</w:t>
            </w:r>
          </w:p>
          <w:p w:rsidR="000B4801" w:rsidRDefault="000B4801" w:rsidP="000B4801">
            <w:pPr>
              <w:rPr>
                <w:i/>
                <w:sz w:val="22"/>
                <w:szCs w:val="22"/>
              </w:rPr>
            </w:pPr>
          </w:p>
          <w:p w:rsidR="007F3E5D" w:rsidRDefault="008A58E0" w:rsidP="000B4801">
            <w:pPr>
              <w:rPr>
                <w:i/>
                <w:sz w:val="22"/>
                <w:szCs w:val="22"/>
              </w:rPr>
            </w:pPr>
            <w:r w:rsidRPr="00903BA3">
              <w:rPr>
                <w:i/>
                <w:sz w:val="22"/>
                <w:szCs w:val="22"/>
              </w:rPr>
              <w:t>In Oregon,</w:t>
            </w:r>
            <w:r w:rsidR="00D2672C" w:rsidRPr="00903BA3">
              <w:rPr>
                <w:i/>
                <w:sz w:val="22"/>
                <w:szCs w:val="22"/>
              </w:rPr>
              <w:t xml:space="preserve"> fugitive emissions</w:t>
            </w:r>
            <w:r w:rsidRPr="00903BA3">
              <w:rPr>
                <w:i/>
                <w:sz w:val="22"/>
                <w:szCs w:val="22"/>
              </w:rPr>
              <w:t xml:space="preserve"> means</w:t>
            </w:r>
            <w:r w:rsidR="00C7143F" w:rsidRPr="00903BA3">
              <w:rPr>
                <w:i/>
                <w:sz w:val="22"/>
                <w:szCs w:val="22"/>
              </w:rPr>
              <w:t xml:space="preserve"> emissions of any air contaminant which escape to the atmosphere from any point or area that is not identifiable as a stack, vent, duct, or equivalent opening</w:t>
            </w:r>
            <w:r w:rsidR="004A0EA4" w:rsidRPr="00903BA3">
              <w:rPr>
                <w:i/>
                <w:sz w:val="22"/>
                <w:szCs w:val="22"/>
              </w:rPr>
              <w:t xml:space="preserve">. </w:t>
            </w:r>
            <w:r w:rsidRPr="00903BA3">
              <w:rPr>
                <w:i/>
                <w:sz w:val="22"/>
                <w:szCs w:val="22"/>
              </w:rPr>
              <w:t>In the federal program, f</w:t>
            </w:r>
            <w:r w:rsidR="00C7143F" w:rsidRPr="00903BA3">
              <w:rPr>
                <w:i/>
                <w:iCs/>
                <w:sz w:val="22"/>
                <w:szCs w:val="22"/>
              </w:rPr>
              <w:t xml:space="preserve">ugitive emissions </w:t>
            </w:r>
            <w:r w:rsidR="00C7143F" w:rsidRPr="00903BA3">
              <w:rPr>
                <w:i/>
                <w:sz w:val="22"/>
                <w:szCs w:val="22"/>
              </w:rPr>
              <w:t xml:space="preserve">means those emissions which could not reasonably pass through a stack, chimney, vent, or other functionally equivalent opening. </w:t>
            </w:r>
            <w:r w:rsidR="00D2672C" w:rsidRPr="00903BA3">
              <w:rPr>
                <w:i/>
                <w:sz w:val="22"/>
                <w:szCs w:val="22"/>
              </w:rPr>
              <w:t xml:space="preserve">If DEQ were to change the </w:t>
            </w:r>
            <w:r w:rsidR="00B411AF" w:rsidRPr="00903BA3">
              <w:rPr>
                <w:i/>
                <w:sz w:val="22"/>
                <w:szCs w:val="22"/>
              </w:rPr>
              <w:t>way fugitive emissions are handled, then the definition would also need to be changed</w:t>
            </w:r>
            <w:r w:rsidR="004A0EA4" w:rsidRPr="00903BA3">
              <w:rPr>
                <w:i/>
                <w:sz w:val="22"/>
                <w:szCs w:val="22"/>
              </w:rPr>
              <w:t xml:space="preserve">. </w:t>
            </w:r>
            <w:r w:rsidR="00480169" w:rsidRPr="00903BA3">
              <w:rPr>
                <w:i/>
                <w:sz w:val="22"/>
                <w:szCs w:val="22"/>
              </w:rPr>
              <w:t xml:space="preserve">The proposed revisions to the definitions of federal major source and major source ensure that they are consistent with OAR 340-224-0100. </w:t>
            </w:r>
            <w:r w:rsidR="00B411AF" w:rsidRPr="00903BA3">
              <w:rPr>
                <w:i/>
                <w:sz w:val="22"/>
                <w:szCs w:val="22"/>
              </w:rPr>
              <w:t>This is a clarification of the rules and is not a change in implementation or policy</w:t>
            </w:r>
            <w:r w:rsidR="004A0EA4" w:rsidRPr="00903BA3">
              <w:rPr>
                <w:i/>
                <w:sz w:val="22"/>
                <w:szCs w:val="22"/>
              </w:rPr>
              <w:t xml:space="preserve">. </w:t>
            </w:r>
            <w:r w:rsidR="00C9026A" w:rsidRPr="00903BA3">
              <w:rPr>
                <w:i/>
                <w:sz w:val="22"/>
                <w:szCs w:val="22"/>
              </w:rPr>
              <w:t>Including fugitive emissions in the calculation of all emission rates is also more protective of the environment</w:t>
            </w:r>
            <w:r w:rsidR="008D538C" w:rsidRPr="00903BA3">
              <w:rPr>
                <w:i/>
                <w:sz w:val="22"/>
                <w:szCs w:val="22"/>
              </w:rPr>
              <w:t>.</w:t>
            </w:r>
            <w:r w:rsidR="000B4801">
              <w:rPr>
                <w:i/>
                <w:sz w:val="22"/>
                <w:szCs w:val="22"/>
              </w:rPr>
              <w:t xml:space="preserve"> </w:t>
            </w:r>
            <w:r w:rsidR="00A21C65" w:rsidRPr="00903BA3">
              <w:rPr>
                <w:i/>
                <w:sz w:val="22"/>
                <w:szCs w:val="22"/>
              </w:rPr>
              <w:t>No change to the rule is proposed in response to this comment.</w:t>
            </w:r>
          </w:p>
          <w:p w:rsidR="000B4801" w:rsidRPr="00903BA3" w:rsidRDefault="000B4801" w:rsidP="000B4801">
            <w:pPr>
              <w:rPr>
                <w:rFonts w:eastAsiaTheme="minorHAnsi"/>
                <w:color w:val="000000"/>
                <w:sz w:val="22"/>
                <w:szCs w:val="22"/>
              </w:rPr>
            </w:pPr>
          </w:p>
        </w:tc>
      </w:tr>
      <w:tr w:rsidR="0051452D" w:rsidRPr="00903BA3" w:rsidTr="00065341">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1452D" w:rsidRPr="00903BA3" w:rsidRDefault="000B4801" w:rsidP="000B4801">
            <w:pPr>
              <w:ind w:right="-108"/>
              <w:rPr>
                <w:bCs/>
                <w:sz w:val="22"/>
                <w:szCs w:val="22"/>
              </w:rPr>
            </w:pPr>
            <w:r>
              <w:rPr>
                <w:bCs/>
                <w:sz w:val="22"/>
                <w:szCs w:val="22"/>
              </w:rPr>
              <w:t xml:space="preserve">16. </w:t>
            </w:r>
            <w:r w:rsidR="0051452D" w:rsidRPr="00903BA3">
              <w:rPr>
                <w:bCs/>
                <w:sz w:val="22"/>
                <w:szCs w:val="22"/>
              </w:rPr>
              <w:t>Greenhouse gas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D5612" w:rsidRPr="00903BA3" w:rsidRDefault="0051452D" w:rsidP="000B4801">
            <w:pPr>
              <w:rPr>
                <w:sz w:val="22"/>
                <w:szCs w:val="22"/>
              </w:rPr>
            </w:pPr>
            <w:r w:rsidRPr="00903BA3">
              <w:rPr>
                <w:sz w:val="22"/>
                <w:szCs w:val="22"/>
              </w:rPr>
              <w:t>DEQ should revise the proposed definition of “greenhouse gas” to exclude CO</w:t>
            </w:r>
            <w:r w:rsidRPr="00903BA3">
              <w:rPr>
                <w:sz w:val="22"/>
                <w:szCs w:val="22"/>
                <w:vertAlign w:val="subscript"/>
              </w:rPr>
              <w:t>2</w:t>
            </w:r>
            <w:r w:rsidRPr="00903BA3">
              <w:rPr>
                <w:sz w:val="22"/>
                <w:szCs w:val="22"/>
              </w:rPr>
              <w:t xml:space="preserve"> emissions from biomass effective upon the date that EPA authorizes the removal of biomass GHG emissions from PSD consideration</w:t>
            </w:r>
            <w:r w:rsidR="004A0EA4" w:rsidRPr="00903BA3">
              <w:rPr>
                <w:sz w:val="22"/>
                <w:szCs w:val="22"/>
              </w:rPr>
              <w:t xml:space="preserve">. </w:t>
            </w:r>
            <w:r w:rsidRPr="00903BA3">
              <w:rPr>
                <w:sz w:val="22"/>
                <w:szCs w:val="22"/>
              </w:rPr>
              <w:t>EPA has promised to finalize its decision in 2011 on whether biomass related CO</w:t>
            </w:r>
            <w:r w:rsidRPr="00903BA3">
              <w:rPr>
                <w:sz w:val="22"/>
                <w:szCs w:val="22"/>
                <w:vertAlign w:val="subscript"/>
              </w:rPr>
              <w:t>2</w:t>
            </w:r>
            <w:r w:rsidRPr="00903BA3">
              <w:rPr>
                <w:sz w:val="22"/>
                <w:szCs w:val="22"/>
              </w:rPr>
              <w:t xml:space="preserve"> emissions must be counted in determining PSD applicability</w:t>
            </w:r>
            <w:r w:rsidR="004A0EA4" w:rsidRPr="00903BA3">
              <w:rPr>
                <w:sz w:val="22"/>
                <w:szCs w:val="22"/>
              </w:rPr>
              <w:t xml:space="preserve">. </w:t>
            </w:r>
            <w:r w:rsidRPr="00903BA3">
              <w:rPr>
                <w:sz w:val="22"/>
                <w:szCs w:val="22"/>
              </w:rPr>
              <w:t>If EPA concludes that the CO</w:t>
            </w:r>
            <w:r w:rsidRPr="00903BA3">
              <w:rPr>
                <w:sz w:val="22"/>
                <w:szCs w:val="22"/>
                <w:vertAlign w:val="subscript"/>
              </w:rPr>
              <w:t>2</w:t>
            </w:r>
            <w:r w:rsidRPr="00903BA3">
              <w:rPr>
                <w:sz w:val="22"/>
                <w:szCs w:val="22"/>
              </w:rPr>
              <w:t xml:space="preserve"> emissions from biomass should not be counted, then, consistent with Oregon’s policy of promoting responsible utilization of biomass, the Oregon rules should automatically implement the EPA position</w:t>
            </w:r>
            <w:r w:rsidR="004A0EA4" w:rsidRPr="00903BA3">
              <w:rPr>
                <w:sz w:val="22"/>
                <w:szCs w:val="22"/>
              </w:rPr>
              <w:t xml:space="preserve">. </w:t>
            </w:r>
            <w:r w:rsidR="00FC04EC" w:rsidRPr="00903BA3">
              <w:rPr>
                <w:sz w:val="22"/>
                <w:szCs w:val="22"/>
              </w:rPr>
              <w:t>(1, 2, 4, 11, 13</w:t>
            </w:r>
            <w:r w:rsidR="00F51667" w:rsidRPr="00903BA3">
              <w:rPr>
                <w:sz w:val="22"/>
                <w:szCs w:val="22"/>
              </w:rPr>
              <w:t>, 14</w:t>
            </w:r>
            <w:r w:rsidR="00231353" w:rsidRPr="00903BA3">
              <w:rPr>
                <w:sz w:val="22"/>
                <w:szCs w:val="22"/>
              </w:rPr>
              <w:t>, 15, 17</w:t>
            </w:r>
            <w:r w:rsidR="007D2A64" w:rsidRPr="00903BA3">
              <w:rPr>
                <w:sz w:val="22"/>
                <w:szCs w:val="22"/>
              </w:rPr>
              <w:t>, 23</w:t>
            </w:r>
            <w:r w:rsidR="00FC04EC" w:rsidRPr="00903BA3">
              <w:rPr>
                <w:sz w:val="22"/>
                <w:szCs w:val="22"/>
              </w:rPr>
              <w:t>)</w:t>
            </w:r>
            <w:r w:rsidR="00DD5612" w:rsidRPr="00903BA3">
              <w:rPr>
                <w:sz w:val="22"/>
                <w:szCs w:val="22"/>
              </w:rPr>
              <w:t xml:space="preserve"> </w:t>
            </w:r>
          </w:p>
          <w:p w:rsidR="000B4801" w:rsidRDefault="000B4801" w:rsidP="000B4801">
            <w:pPr>
              <w:pStyle w:val="Style2"/>
              <w:widowControl/>
              <w:spacing w:line="240" w:lineRule="auto"/>
              <w:rPr>
                <w:rStyle w:val="FontStyle15"/>
              </w:rPr>
            </w:pPr>
          </w:p>
          <w:p w:rsidR="0051452D" w:rsidRPr="00903BA3" w:rsidRDefault="0051452D" w:rsidP="000B4801">
            <w:pPr>
              <w:pStyle w:val="Style2"/>
              <w:widowControl/>
              <w:spacing w:line="240" w:lineRule="auto"/>
              <w:rPr>
                <w:rStyle w:val="FontStyle15"/>
              </w:rPr>
            </w:pPr>
            <w:r w:rsidRPr="00903BA3">
              <w:rPr>
                <w:rStyle w:val="FontStyle15"/>
              </w:rPr>
              <w:t xml:space="preserve">As </w:t>
            </w:r>
            <w:r w:rsidR="00DA32C4" w:rsidRPr="00903BA3">
              <w:rPr>
                <w:rStyle w:val="FontStyle15"/>
              </w:rPr>
              <w:t xml:space="preserve">[former] </w:t>
            </w:r>
            <w:r w:rsidRPr="00903BA3">
              <w:rPr>
                <w:rStyle w:val="FontStyle15"/>
              </w:rPr>
              <w:t xml:space="preserve">Governor Kulongoski has repeatedly stated, biomass is key to Oregon's economic future as well as to reducing greenhouse gas emissions. DEQ should adopt rules that ensure that as soon as possible, the regulations will reflect the preference for the </w:t>
            </w:r>
            <w:r w:rsidRPr="00903BA3">
              <w:rPr>
                <w:rStyle w:val="FontStyle15"/>
              </w:rPr>
              <w:lastRenderedPageBreak/>
              <w:t xml:space="preserve">burning of renewable biomass as opposed to non-renewable fossil fuel. </w:t>
            </w:r>
            <w:r w:rsidR="004343C3" w:rsidRPr="00903BA3">
              <w:rPr>
                <w:rStyle w:val="FontStyle15"/>
              </w:rPr>
              <w:t>(16)</w:t>
            </w:r>
          </w:p>
          <w:p w:rsidR="000B4801" w:rsidRDefault="000B4801" w:rsidP="000B4801">
            <w:pPr>
              <w:pStyle w:val="Style2"/>
              <w:widowControl/>
              <w:spacing w:line="240" w:lineRule="auto"/>
              <w:rPr>
                <w:rStyle w:val="FontStyle15"/>
                <w:i/>
              </w:rPr>
            </w:pPr>
          </w:p>
          <w:p w:rsidR="0051452D" w:rsidRPr="00903BA3" w:rsidRDefault="0051452D" w:rsidP="000B4801">
            <w:pPr>
              <w:pStyle w:val="Style2"/>
              <w:widowControl/>
              <w:spacing w:line="240" w:lineRule="auto"/>
              <w:rPr>
                <w:rStyle w:val="FontStyle15"/>
                <w:i/>
              </w:rPr>
            </w:pPr>
            <w:r w:rsidRPr="00903BA3">
              <w:rPr>
                <w:rStyle w:val="FontStyle15"/>
                <w:i/>
              </w:rPr>
              <w:t>Response:</w:t>
            </w:r>
          </w:p>
          <w:p w:rsidR="00802424" w:rsidRPr="00903BA3" w:rsidRDefault="00802424" w:rsidP="000B4801">
            <w:pPr>
              <w:autoSpaceDE w:val="0"/>
              <w:autoSpaceDN w:val="0"/>
              <w:adjustRightInd w:val="0"/>
              <w:rPr>
                <w:i/>
                <w:color w:val="000000"/>
                <w:sz w:val="22"/>
                <w:szCs w:val="22"/>
              </w:rPr>
            </w:pPr>
            <w:r w:rsidRPr="00903BA3">
              <w:rPr>
                <w:i/>
                <w:color w:val="000000"/>
                <w:sz w:val="22"/>
                <w:szCs w:val="22"/>
              </w:rPr>
              <w:t xml:space="preserve">On </w:t>
            </w:r>
            <w:r w:rsidR="004C7C82" w:rsidRPr="00903BA3">
              <w:rPr>
                <w:i/>
                <w:color w:val="000000"/>
                <w:sz w:val="22"/>
                <w:szCs w:val="22"/>
              </w:rPr>
              <w:t>01/12/2011</w:t>
            </w:r>
            <w:r w:rsidRPr="00903BA3">
              <w:rPr>
                <w:i/>
                <w:color w:val="000000"/>
                <w:sz w:val="22"/>
                <w:szCs w:val="22"/>
              </w:rPr>
              <w:t xml:space="preserve">, </w:t>
            </w:r>
            <w:r w:rsidR="004C7C82" w:rsidRPr="00903BA3">
              <w:rPr>
                <w:i/>
                <w:color w:val="000000"/>
                <w:sz w:val="22"/>
                <w:szCs w:val="22"/>
              </w:rPr>
              <w:t xml:space="preserve">EPA </w:t>
            </w:r>
            <w:r w:rsidRPr="00903BA3">
              <w:rPr>
                <w:i/>
                <w:color w:val="000000"/>
                <w:sz w:val="22"/>
                <w:szCs w:val="22"/>
              </w:rPr>
              <w:t xml:space="preserve">announced </w:t>
            </w:r>
            <w:r w:rsidR="004C7C82" w:rsidRPr="00903BA3">
              <w:rPr>
                <w:i/>
                <w:color w:val="000000"/>
                <w:sz w:val="22"/>
                <w:szCs w:val="22"/>
              </w:rPr>
              <w:t>its plan to defer, for three years, greenhouse gas permitting requirements for carbon dioxide (CO2) emissions from biomass-fired and other biogenic sources. By July 2011, EPA plans to complete a rulemaking</w:t>
            </w:r>
            <w:r w:rsidR="00DA32C4" w:rsidRPr="00903BA3">
              <w:rPr>
                <w:i/>
                <w:color w:val="000000"/>
                <w:sz w:val="22"/>
                <w:szCs w:val="22"/>
              </w:rPr>
              <w:t xml:space="preserve"> to implement this deferral</w:t>
            </w:r>
            <w:r w:rsidR="004C7C82" w:rsidRPr="00903BA3">
              <w:rPr>
                <w:i/>
                <w:color w:val="000000"/>
                <w:sz w:val="22"/>
                <w:szCs w:val="22"/>
              </w:rPr>
              <w:t xml:space="preserve">. During the three-year period, the </w:t>
            </w:r>
            <w:r w:rsidR="00DA32C4" w:rsidRPr="00903BA3">
              <w:rPr>
                <w:i/>
                <w:color w:val="000000"/>
                <w:sz w:val="22"/>
                <w:szCs w:val="22"/>
              </w:rPr>
              <w:t>EPA plans to</w:t>
            </w:r>
            <w:r w:rsidR="004C7C82" w:rsidRPr="00903BA3">
              <w:rPr>
                <w:i/>
                <w:color w:val="000000"/>
                <w:sz w:val="22"/>
                <w:szCs w:val="22"/>
              </w:rPr>
              <w:t xml:space="preserve"> seek input on critical scientific issues from its partners within the federal government and from outside scientists who have relevant expertise.</w:t>
            </w:r>
            <w:r w:rsidRPr="00903BA3">
              <w:rPr>
                <w:i/>
                <w:color w:val="000000"/>
                <w:sz w:val="22"/>
                <w:szCs w:val="22"/>
              </w:rPr>
              <w:t xml:space="preserve"> </w:t>
            </w:r>
            <w:r w:rsidR="004C7C82" w:rsidRPr="00903BA3">
              <w:rPr>
                <w:i/>
                <w:color w:val="000000"/>
                <w:sz w:val="22"/>
                <w:szCs w:val="22"/>
              </w:rPr>
              <w:t xml:space="preserve">Before the end of the three-year period, the agency intends to issue a second rulemaking that determines how these emissions should be treated or counted under GHG permitting requirements. </w:t>
            </w:r>
          </w:p>
          <w:p w:rsidR="000B4801" w:rsidRDefault="000B4801" w:rsidP="000B4801">
            <w:pPr>
              <w:autoSpaceDE w:val="0"/>
              <w:autoSpaceDN w:val="0"/>
              <w:adjustRightInd w:val="0"/>
              <w:rPr>
                <w:i/>
                <w:color w:val="000000"/>
                <w:sz w:val="22"/>
                <w:szCs w:val="22"/>
              </w:rPr>
            </w:pPr>
          </w:p>
          <w:p w:rsidR="00802424" w:rsidRPr="00903BA3" w:rsidRDefault="00802424" w:rsidP="000B4801">
            <w:pPr>
              <w:autoSpaceDE w:val="0"/>
              <w:autoSpaceDN w:val="0"/>
              <w:adjustRightInd w:val="0"/>
              <w:rPr>
                <w:i/>
                <w:color w:val="000000"/>
                <w:sz w:val="22"/>
                <w:szCs w:val="22"/>
              </w:rPr>
            </w:pPr>
            <w:r w:rsidRPr="00903BA3">
              <w:rPr>
                <w:i/>
                <w:color w:val="000000"/>
                <w:sz w:val="22"/>
                <w:szCs w:val="22"/>
              </w:rPr>
              <w:t xml:space="preserve">EPA </w:t>
            </w:r>
            <w:r w:rsidR="004C7C82" w:rsidRPr="00903BA3">
              <w:rPr>
                <w:i/>
                <w:color w:val="000000"/>
                <w:sz w:val="22"/>
                <w:szCs w:val="22"/>
              </w:rPr>
              <w:t xml:space="preserve">will also </w:t>
            </w:r>
            <w:r w:rsidR="00DA32C4" w:rsidRPr="00903BA3">
              <w:rPr>
                <w:i/>
                <w:color w:val="000000"/>
                <w:sz w:val="22"/>
                <w:szCs w:val="22"/>
              </w:rPr>
              <w:t xml:space="preserve">plan to </w:t>
            </w:r>
            <w:r w:rsidR="004C7C82" w:rsidRPr="00903BA3">
              <w:rPr>
                <w:i/>
                <w:color w:val="000000"/>
                <w:sz w:val="22"/>
                <w:szCs w:val="22"/>
              </w:rPr>
              <w:t xml:space="preserve">issue guidance shortly that will provide a basis that state or local permitting authorities may use to conclude that the use of biomass as fuel is the best available control technology for GHG emissions until the agency can complete an action on the three-year deferral in July. </w:t>
            </w:r>
          </w:p>
          <w:p w:rsidR="000B4801" w:rsidRDefault="000B4801" w:rsidP="000B4801">
            <w:pPr>
              <w:rPr>
                <w:i/>
                <w:sz w:val="22"/>
                <w:szCs w:val="22"/>
              </w:rPr>
            </w:pPr>
          </w:p>
          <w:p w:rsidR="00012675" w:rsidRDefault="00B84521" w:rsidP="000B4801">
            <w:pPr>
              <w:rPr>
                <w:i/>
                <w:sz w:val="22"/>
                <w:szCs w:val="22"/>
              </w:rPr>
            </w:pPr>
            <w:r w:rsidRPr="00903BA3">
              <w:rPr>
                <w:i/>
                <w:sz w:val="22"/>
                <w:szCs w:val="22"/>
              </w:rPr>
              <w:t xml:space="preserve">DEQ has </w:t>
            </w:r>
            <w:r w:rsidR="00DA32C4" w:rsidRPr="00903BA3">
              <w:rPr>
                <w:i/>
                <w:sz w:val="22"/>
                <w:szCs w:val="22"/>
              </w:rPr>
              <w:t>proposed a change to</w:t>
            </w:r>
            <w:r w:rsidRPr="00903BA3">
              <w:rPr>
                <w:i/>
                <w:sz w:val="22"/>
                <w:szCs w:val="22"/>
              </w:rPr>
              <w:t xml:space="preserve"> the definitions of </w:t>
            </w:r>
            <w:r w:rsidR="00A21C65" w:rsidRPr="00903BA3">
              <w:rPr>
                <w:i/>
                <w:sz w:val="22"/>
                <w:szCs w:val="22"/>
              </w:rPr>
              <w:t>“</w:t>
            </w:r>
            <w:r w:rsidR="00524E82" w:rsidRPr="00903BA3">
              <w:rPr>
                <w:i/>
                <w:sz w:val="22"/>
                <w:szCs w:val="22"/>
              </w:rPr>
              <w:t>greenhouse gases</w:t>
            </w:r>
            <w:r w:rsidR="00A21C65" w:rsidRPr="00903BA3">
              <w:rPr>
                <w:i/>
                <w:sz w:val="22"/>
                <w:szCs w:val="22"/>
              </w:rPr>
              <w:t>”</w:t>
            </w:r>
            <w:r w:rsidRPr="00903BA3">
              <w:rPr>
                <w:i/>
                <w:sz w:val="22"/>
                <w:szCs w:val="22"/>
              </w:rPr>
              <w:t xml:space="preserve"> to</w:t>
            </w:r>
            <w:r w:rsidR="00524E82" w:rsidRPr="00903BA3">
              <w:rPr>
                <w:i/>
                <w:sz w:val="22"/>
                <w:szCs w:val="22"/>
              </w:rPr>
              <w:t xml:space="preserve"> </w:t>
            </w:r>
            <w:r w:rsidR="00A21C65" w:rsidRPr="00903BA3">
              <w:rPr>
                <w:i/>
                <w:sz w:val="22"/>
                <w:szCs w:val="22"/>
              </w:rPr>
              <w:t xml:space="preserve">exempt </w:t>
            </w:r>
            <w:r w:rsidRPr="00903BA3">
              <w:rPr>
                <w:i/>
                <w:sz w:val="22"/>
                <w:szCs w:val="22"/>
              </w:rPr>
              <w:t>CO</w:t>
            </w:r>
            <w:r w:rsidRPr="00903BA3">
              <w:rPr>
                <w:i/>
                <w:sz w:val="22"/>
                <w:szCs w:val="22"/>
                <w:vertAlign w:val="subscript"/>
              </w:rPr>
              <w:t>2</w:t>
            </w:r>
            <w:r w:rsidRPr="00903BA3">
              <w:rPr>
                <w:i/>
                <w:sz w:val="22"/>
                <w:szCs w:val="22"/>
              </w:rPr>
              <w:t xml:space="preserve"> derived from biomass</w:t>
            </w:r>
            <w:r w:rsidR="00DA32C4" w:rsidRPr="00903BA3">
              <w:rPr>
                <w:i/>
                <w:sz w:val="22"/>
                <w:szCs w:val="22"/>
              </w:rPr>
              <w:t xml:space="preserve"> from PSD and Title V permitting during the three-year EPA deferral period</w:t>
            </w:r>
            <w:r w:rsidR="004A0EA4" w:rsidRPr="00903BA3">
              <w:rPr>
                <w:i/>
                <w:sz w:val="22"/>
                <w:szCs w:val="22"/>
              </w:rPr>
              <w:t xml:space="preserve">. </w:t>
            </w:r>
          </w:p>
          <w:p w:rsidR="000B4801" w:rsidRPr="00903BA3" w:rsidRDefault="000B4801" w:rsidP="000B4801">
            <w:pPr>
              <w:rPr>
                <w:i/>
                <w:sz w:val="22"/>
                <w:szCs w:val="22"/>
              </w:rPr>
            </w:pPr>
          </w:p>
        </w:tc>
      </w:tr>
      <w:tr w:rsidR="00D6239C"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D6239C" w:rsidRPr="00903BA3" w:rsidRDefault="000B4801" w:rsidP="000B4801">
            <w:pPr>
              <w:ind w:right="-115"/>
              <w:rPr>
                <w:bCs/>
                <w:sz w:val="22"/>
                <w:szCs w:val="22"/>
              </w:rPr>
            </w:pPr>
            <w:r>
              <w:rPr>
                <w:rStyle w:val="FontStyle15"/>
              </w:rPr>
              <w:lastRenderedPageBreak/>
              <w:t xml:space="preserve">17. </w:t>
            </w:r>
            <w:r w:rsidR="00D6239C" w:rsidRPr="00903BA3">
              <w:rPr>
                <w:rStyle w:val="FontStyle15"/>
              </w:rPr>
              <w:t>Sequestering of carbon based emissions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6239C" w:rsidRDefault="00D6239C" w:rsidP="000B4801">
            <w:pPr>
              <w:pStyle w:val="Style5"/>
              <w:widowControl/>
              <w:spacing w:line="274" w:lineRule="exact"/>
              <w:rPr>
                <w:rFonts w:ascii="Times New Roman" w:hAnsi="Times New Roman" w:cs="Times New Roman"/>
                <w:sz w:val="22"/>
                <w:szCs w:val="22"/>
              </w:rPr>
            </w:pPr>
            <w:r w:rsidRPr="00903BA3">
              <w:rPr>
                <w:rStyle w:val="FontStyle15"/>
              </w:rPr>
              <w:t xml:space="preserve">Many company owners will be faced with higher fees and administrative costs, without realizing the benefit of forest ownership that sequesters </w:t>
            </w:r>
            <w:r w:rsidRPr="00903BA3">
              <w:rPr>
                <w:rStyle w:val="FontStyle19"/>
                <w:rFonts w:ascii="Times New Roman" w:hAnsi="Times New Roman" w:cs="Times New Roman"/>
                <w:b w:val="0"/>
                <w:sz w:val="22"/>
                <w:szCs w:val="22"/>
              </w:rPr>
              <w:t>CO</w:t>
            </w:r>
            <w:r w:rsidRPr="00903BA3">
              <w:rPr>
                <w:rStyle w:val="FontStyle19"/>
                <w:rFonts w:ascii="Times New Roman" w:hAnsi="Times New Roman" w:cs="Times New Roman"/>
                <w:b w:val="0"/>
                <w:sz w:val="22"/>
                <w:szCs w:val="22"/>
                <w:vertAlign w:val="subscript"/>
              </w:rPr>
              <w:t>2</w:t>
            </w:r>
            <w:r w:rsidRPr="00903BA3">
              <w:rPr>
                <w:rStyle w:val="FontStyle19"/>
                <w:rFonts w:ascii="Times New Roman" w:hAnsi="Times New Roman" w:cs="Times New Roman"/>
                <w:sz w:val="22"/>
                <w:szCs w:val="22"/>
              </w:rPr>
              <w:t xml:space="preserve"> </w:t>
            </w:r>
            <w:r w:rsidRPr="00903BA3">
              <w:rPr>
                <w:rStyle w:val="FontStyle15"/>
              </w:rPr>
              <w:t>and GHG emissions. Starting</w:t>
            </w:r>
            <w:r w:rsidR="00A21C65" w:rsidRPr="00903BA3">
              <w:rPr>
                <w:rStyle w:val="FontStyle15"/>
              </w:rPr>
              <w:t xml:space="preserve"> in </w:t>
            </w:r>
            <w:r w:rsidRPr="00903BA3">
              <w:rPr>
                <w:rStyle w:val="FontStyle15"/>
              </w:rPr>
              <w:t xml:space="preserve">2011 many forest owners in New Zealand have the options of receiving "carbon credits" and using these credits as offsets or selling them and receiving income for the sequestering of carbon based emissions. The current ODEQ and EPA policies do not take these issues into </w:t>
            </w:r>
            <w:r w:rsidR="00DA32C4" w:rsidRPr="00903BA3">
              <w:rPr>
                <w:rStyle w:val="FontStyle15"/>
              </w:rPr>
              <w:t xml:space="preserve">account </w:t>
            </w:r>
            <w:r w:rsidRPr="00903BA3">
              <w:rPr>
                <w:rStyle w:val="FontStyle15"/>
              </w:rPr>
              <w:t>for parties that own CO</w:t>
            </w:r>
            <w:r w:rsidRPr="00903BA3">
              <w:rPr>
                <w:rStyle w:val="FontStyle15"/>
                <w:vertAlign w:val="subscript"/>
              </w:rPr>
              <w:t>2</w:t>
            </w:r>
            <w:r w:rsidRPr="00903BA3">
              <w:rPr>
                <w:rStyle w:val="FontStyle15"/>
              </w:rPr>
              <w:t xml:space="preserve"> sequestering assets</w:t>
            </w:r>
            <w:r w:rsidR="004A0EA4" w:rsidRPr="00903BA3">
              <w:rPr>
                <w:rStyle w:val="FontStyle15"/>
              </w:rPr>
              <w:t xml:space="preserve">. </w:t>
            </w:r>
            <w:r w:rsidRPr="00903BA3">
              <w:rPr>
                <w:rFonts w:ascii="Times New Roman" w:hAnsi="Times New Roman" w:cs="Times New Roman"/>
                <w:sz w:val="22"/>
                <w:szCs w:val="22"/>
              </w:rPr>
              <w:t>(8)</w:t>
            </w:r>
          </w:p>
          <w:p w:rsidR="000B4801" w:rsidRPr="00903BA3" w:rsidRDefault="000B4801" w:rsidP="000B4801">
            <w:pPr>
              <w:pStyle w:val="Style5"/>
              <w:widowControl/>
              <w:spacing w:line="274" w:lineRule="exact"/>
              <w:rPr>
                <w:rFonts w:ascii="Times New Roman" w:hAnsi="Times New Roman" w:cs="Times New Roman"/>
                <w:sz w:val="22"/>
                <w:szCs w:val="22"/>
              </w:rPr>
            </w:pPr>
          </w:p>
          <w:p w:rsidR="00D6239C" w:rsidRPr="00903BA3" w:rsidRDefault="00D6239C" w:rsidP="000B4801">
            <w:pPr>
              <w:pStyle w:val="Style5"/>
              <w:widowControl/>
              <w:spacing w:line="274" w:lineRule="exact"/>
              <w:rPr>
                <w:rFonts w:ascii="Times New Roman" w:hAnsi="Times New Roman" w:cs="Times New Roman"/>
                <w:i/>
                <w:sz w:val="22"/>
                <w:szCs w:val="22"/>
              </w:rPr>
            </w:pPr>
            <w:r w:rsidRPr="00903BA3">
              <w:rPr>
                <w:rFonts w:ascii="Times New Roman" w:hAnsi="Times New Roman" w:cs="Times New Roman"/>
                <w:i/>
                <w:sz w:val="22"/>
                <w:szCs w:val="22"/>
              </w:rPr>
              <w:t>Response:</w:t>
            </w:r>
          </w:p>
          <w:p w:rsidR="00012675" w:rsidRDefault="00DA32C4" w:rsidP="000B4801">
            <w:pPr>
              <w:pStyle w:val="Style5"/>
              <w:widowControl/>
              <w:spacing w:line="274" w:lineRule="exact"/>
              <w:rPr>
                <w:rFonts w:ascii="Times New Roman" w:hAnsi="Times New Roman" w:cs="Times New Roman"/>
                <w:i/>
                <w:sz w:val="22"/>
                <w:szCs w:val="22"/>
              </w:rPr>
            </w:pPr>
            <w:r w:rsidRPr="00903BA3">
              <w:rPr>
                <w:rFonts w:ascii="Times New Roman" w:hAnsi="Times New Roman" w:cs="Times New Roman"/>
                <w:i/>
                <w:sz w:val="22"/>
                <w:szCs w:val="22"/>
              </w:rPr>
              <w:t xml:space="preserve">As noted in the comment, </w:t>
            </w:r>
            <w:r w:rsidR="00D6239C" w:rsidRPr="00903BA3">
              <w:rPr>
                <w:rFonts w:ascii="Times New Roman" w:hAnsi="Times New Roman" w:cs="Times New Roman"/>
                <w:i/>
                <w:sz w:val="22"/>
                <w:szCs w:val="22"/>
              </w:rPr>
              <w:t xml:space="preserve">EPA did not address </w:t>
            </w:r>
            <w:r w:rsidR="00D6239C" w:rsidRPr="00903BA3">
              <w:rPr>
                <w:rStyle w:val="FontStyle15"/>
                <w:i/>
              </w:rPr>
              <w:t>CO</w:t>
            </w:r>
            <w:r w:rsidR="00D6239C" w:rsidRPr="00903BA3">
              <w:rPr>
                <w:rStyle w:val="FontStyle15"/>
                <w:i/>
                <w:vertAlign w:val="subscript"/>
              </w:rPr>
              <w:t>2</w:t>
            </w:r>
            <w:r w:rsidR="00D6239C" w:rsidRPr="00903BA3">
              <w:rPr>
                <w:rStyle w:val="FontStyle15"/>
                <w:i/>
              </w:rPr>
              <w:t xml:space="preserve"> sequestering in the greenhouse gas tailoring rule</w:t>
            </w:r>
            <w:r w:rsidR="00A21C65" w:rsidRPr="00903BA3">
              <w:rPr>
                <w:rStyle w:val="FontStyle15"/>
                <w:i/>
              </w:rPr>
              <w:t xml:space="preserve">. </w:t>
            </w:r>
            <w:r w:rsidR="00E30246" w:rsidRPr="00903BA3">
              <w:rPr>
                <w:rStyle w:val="FontStyle15"/>
                <w:i/>
              </w:rPr>
              <w:t>Because offsets are not required under the PSD program, the PSD program does not create a market for carbon credits and it is not necessary for DEQ to address CO</w:t>
            </w:r>
            <w:r w:rsidR="00064345" w:rsidRPr="00903BA3">
              <w:rPr>
                <w:rStyle w:val="FontStyle15"/>
                <w:i/>
                <w:vertAlign w:val="subscript"/>
              </w:rPr>
              <w:t>2</w:t>
            </w:r>
            <w:r w:rsidR="00E30246" w:rsidRPr="00903BA3">
              <w:rPr>
                <w:rStyle w:val="FontStyle15"/>
                <w:i/>
              </w:rPr>
              <w:t xml:space="preserve"> sequestering in this rulemaking.</w:t>
            </w:r>
            <w:r w:rsidR="00A21C65" w:rsidRPr="00903BA3">
              <w:rPr>
                <w:rStyle w:val="FontStyle15"/>
                <w:i/>
              </w:rPr>
              <w:t xml:space="preserve"> </w:t>
            </w:r>
            <w:r w:rsidR="00D6239C" w:rsidRPr="00903BA3">
              <w:rPr>
                <w:rStyle w:val="FontStyle15"/>
                <w:i/>
              </w:rPr>
              <w:t xml:space="preserve">If EPA </w:t>
            </w:r>
            <w:r w:rsidR="00E30246" w:rsidRPr="00903BA3">
              <w:rPr>
                <w:rStyle w:val="FontStyle15"/>
                <w:i/>
              </w:rPr>
              <w:t>establishes a requirement for carbon credits</w:t>
            </w:r>
            <w:r w:rsidR="00D6239C" w:rsidRPr="00903BA3">
              <w:rPr>
                <w:rStyle w:val="FontStyle15"/>
                <w:i/>
              </w:rPr>
              <w:t xml:space="preserve"> in a future rulemaking, DEQ will </w:t>
            </w:r>
            <w:r w:rsidR="00E30246" w:rsidRPr="00903BA3">
              <w:rPr>
                <w:rStyle w:val="FontStyle15"/>
                <w:i/>
              </w:rPr>
              <w:t>assess the need for state rules at that time</w:t>
            </w:r>
            <w:r w:rsidR="004A0EA4" w:rsidRPr="00903BA3">
              <w:rPr>
                <w:rStyle w:val="FontStyle15"/>
                <w:i/>
              </w:rPr>
              <w:t xml:space="preserve">. </w:t>
            </w:r>
            <w:r w:rsidR="00A21C65" w:rsidRPr="00903BA3">
              <w:rPr>
                <w:rFonts w:ascii="Times New Roman" w:hAnsi="Times New Roman" w:cs="Times New Roman"/>
                <w:i/>
                <w:sz w:val="22"/>
                <w:szCs w:val="22"/>
              </w:rPr>
              <w:t>No change to the rule is proposed in response to this comment.</w:t>
            </w:r>
            <w:r w:rsidR="004A0EA4" w:rsidRPr="00903BA3">
              <w:rPr>
                <w:rFonts w:ascii="Times New Roman" w:hAnsi="Times New Roman" w:cs="Times New Roman"/>
                <w:i/>
                <w:sz w:val="22"/>
                <w:szCs w:val="22"/>
              </w:rPr>
              <w:t xml:space="preserve"> </w:t>
            </w:r>
          </w:p>
          <w:p w:rsidR="000B4801" w:rsidRPr="00903BA3" w:rsidRDefault="000B4801" w:rsidP="000B4801">
            <w:pPr>
              <w:pStyle w:val="Style5"/>
              <w:widowControl/>
              <w:spacing w:line="274" w:lineRule="exact"/>
              <w:rPr>
                <w:rFonts w:ascii="Times New Roman" w:hAnsi="Times New Roman" w:cs="Times New Roman"/>
                <w:i/>
                <w:sz w:val="22"/>
                <w:szCs w:val="22"/>
              </w:rPr>
            </w:pPr>
          </w:p>
        </w:tc>
      </w:tr>
      <w:tr w:rsidR="00255984" w:rsidRPr="00903BA3" w:rsidTr="00F428DE">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255984" w:rsidRPr="00903BA3" w:rsidRDefault="000B4801" w:rsidP="000B4801">
            <w:pPr>
              <w:pStyle w:val="ListParagraph"/>
              <w:ind w:left="0" w:right="-115"/>
              <w:rPr>
                <w:bCs/>
                <w:sz w:val="22"/>
                <w:szCs w:val="22"/>
              </w:rPr>
            </w:pPr>
            <w:r>
              <w:rPr>
                <w:sz w:val="22"/>
                <w:szCs w:val="22"/>
              </w:rPr>
              <w:t xml:space="preserve">18. </w:t>
            </w:r>
            <w:r w:rsidR="00255984" w:rsidRPr="00903BA3">
              <w:rPr>
                <w:bCs/>
                <w:sz w:val="22"/>
                <w:szCs w:val="22"/>
              </w:rPr>
              <w:t xml:space="preserve">Major modification definition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255984" w:rsidRDefault="00255984" w:rsidP="000B4801">
            <w:pPr>
              <w:rPr>
                <w:sz w:val="22"/>
                <w:szCs w:val="22"/>
              </w:rPr>
            </w:pPr>
            <w:r w:rsidRPr="00903BA3">
              <w:rPr>
                <w:sz w:val="22"/>
                <w:szCs w:val="22"/>
              </w:rPr>
              <w:t xml:space="preserve">In Oregon, to qualify as a major modification, a change must result in "an increase in the PSEL" over the significant emission rate over the netting basis. </w:t>
            </w:r>
            <w:r w:rsidR="009C02E9" w:rsidRPr="00903BA3">
              <w:rPr>
                <w:sz w:val="22"/>
                <w:szCs w:val="22"/>
              </w:rPr>
              <w:t>T</w:t>
            </w:r>
            <w:r w:rsidRPr="00903BA3">
              <w:rPr>
                <w:sz w:val="22"/>
                <w:szCs w:val="22"/>
              </w:rPr>
              <w:t>he focus of the determination must be on whether actual emissions increase, not whether the permit limit changes. (12)</w:t>
            </w:r>
          </w:p>
          <w:p w:rsidR="000B4801" w:rsidRPr="00903BA3" w:rsidRDefault="000B4801" w:rsidP="000B4801">
            <w:pPr>
              <w:rPr>
                <w:sz w:val="22"/>
                <w:szCs w:val="22"/>
              </w:rPr>
            </w:pPr>
          </w:p>
          <w:p w:rsidR="00255984" w:rsidRPr="00903BA3" w:rsidRDefault="00255984" w:rsidP="000B4801">
            <w:pPr>
              <w:rPr>
                <w:i/>
                <w:sz w:val="22"/>
                <w:szCs w:val="22"/>
              </w:rPr>
            </w:pPr>
            <w:r w:rsidRPr="00903BA3">
              <w:rPr>
                <w:i/>
                <w:sz w:val="22"/>
                <w:szCs w:val="22"/>
              </w:rPr>
              <w:t>Response:</w:t>
            </w:r>
          </w:p>
          <w:p w:rsidR="00A21C65" w:rsidRDefault="00A21C65" w:rsidP="000B4801">
            <w:pPr>
              <w:autoSpaceDE w:val="0"/>
              <w:autoSpaceDN w:val="0"/>
              <w:adjustRightInd w:val="0"/>
              <w:rPr>
                <w:i/>
                <w:color w:val="000000"/>
                <w:sz w:val="22"/>
                <w:szCs w:val="22"/>
              </w:rPr>
            </w:pPr>
            <w:r w:rsidRPr="00903BA3">
              <w:rPr>
                <w:i/>
                <w:sz w:val="22"/>
                <w:szCs w:val="22"/>
              </w:rPr>
              <w:t xml:space="preserve">The use </w:t>
            </w:r>
            <w:r w:rsidR="00474E86" w:rsidRPr="00903BA3">
              <w:rPr>
                <w:i/>
                <w:sz w:val="22"/>
                <w:szCs w:val="22"/>
              </w:rPr>
              <w:t xml:space="preserve">of </w:t>
            </w:r>
            <w:r w:rsidRPr="00903BA3">
              <w:rPr>
                <w:i/>
                <w:sz w:val="22"/>
                <w:szCs w:val="22"/>
              </w:rPr>
              <w:t xml:space="preserve">the PSEL to define </w:t>
            </w:r>
            <w:r w:rsidR="00474E86" w:rsidRPr="00903BA3">
              <w:rPr>
                <w:i/>
                <w:sz w:val="22"/>
                <w:szCs w:val="22"/>
              </w:rPr>
              <w:t xml:space="preserve">whether </w:t>
            </w:r>
            <w:r w:rsidRPr="00903BA3">
              <w:rPr>
                <w:i/>
                <w:sz w:val="22"/>
                <w:szCs w:val="22"/>
              </w:rPr>
              <w:t xml:space="preserve">a facility’s </w:t>
            </w:r>
            <w:r w:rsidR="00474E86" w:rsidRPr="00903BA3">
              <w:rPr>
                <w:i/>
                <w:sz w:val="22"/>
                <w:szCs w:val="22"/>
              </w:rPr>
              <w:t>changes qualify as a major modification is the basis of Oregon’s NSR/PSD program</w:t>
            </w:r>
            <w:r w:rsidR="008D538C" w:rsidRPr="00903BA3">
              <w:rPr>
                <w:i/>
                <w:sz w:val="22"/>
                <w:szCs w:val="22"/>
              </w:rPr>
              <w:t xml:space="preserve">. </w:t>
            </w:r>
            <w:r w:rsidR="00474E86" w:rsidRPr="00903BA3">
              <w:rPr>
                <w:i/>
                <w:color w:val="000000"/>
                <w:sz w:val="22"/>
                <w:szCs w:val="22"/>
              </w:rPr>
              <w:t>EPA evaluated and initially approved the DEQ NSR program in 1982</w:t>
            </w:r>
            <w:r w:rsidR="00A744F0" w:rsidRPr="00903BA3">
              <w:rPr>
                <w:i/>
                <w:color w:val="000000"/>
                <w:sz w:val="22"/>
                <w:szCs w:val="22"/>
              </w:rPr>
              <w:t xml:space="preserve"> and </w:t>
            </w:r>
            <w:r w:rsidR="00987E86" w:rsidRPr="00903BA3">
              <w:rPr>
                <w:i/>
                <w:color w:val="000000"/>
                <w:sz w:val="22"/>
                <w:szCs w:val="22"/>
              </w:rPr>
              <w:t>more recently</w:t>
            </w:r>
            <w:r w:rsidR="00A744F0" w:rsidRPr="00903BA3">
              <w:rPr>
                <w:i/>
                <w:color w:val="000000"/>
                <w:sz w:val="22"/>
                <w:szCs w:val="22"/>
              </w:rPr>
              <w:t xml:space="preserve"> in 2003 </w:t>
            </w:r>
            <w:r w:rsidR="00474E86" w:rsidRPr="00903BA3">
              <w:rPr>
                <w:i/>
                <w:color w:val="000000"/>
                <w:sz w:val="22"/>
                <w:szCs w:val="22"/>
              </w:rPr>
              <w:t>as being equivalent or more stringent than EPA’s regulations on a program basis</w:t>
            </w:r>
            <w:r w:rsidR="008D538C" w:rsidRPr="00903BA3">
              <w:rPr>
                <w:i/>
                <w:color w:val="000000"/>
                <w:sz w:val="22"/>
                <w:szCs w:val="22"/>
              </w:rPr>
              <w:t xml:space="preserve">. </w:t>
            </w:r>
          </w:p>
          <w:p w:rsidR="000B4801" w:rsidRPr="00903BA3" w:rsidRDefault="000B4801" w:rsidP="000B4801">
            <w:pPr>
              <w:autoSpaceDE w:val="0"/>
              <w:autoSpaceDN w:val="0"/>
              <w:adjustRightInd w:val="0"/>
              <w:rPr>
                <w:i/>
                <w:color w:val="000000"/>
                <w:sz w:val="22"/>
                <w:szCs w:val="22"/>
              </w:rPr>
            </w:pPr>
          </w:p>
          <w:p w:rsidR="00ED2CE1" w:rsidRPr="00903BA3" w:rsidRDefault="00255984" w:rsidP="000B4801">
            <w:pPr>
              <w:tabs>
                <w:tab w:val="left" w:pos="6175"/>
              </w:tabs>
              <w:rPr>
                <w:i/>
                <w:sz w:val="22"/>
                <w:szCs w:val="22"/>
              </w:rPr>
            </w:pPr>
            <w:r w:rsidRPr="00903BA3">
              <w:rPr>
                <w:i/>
                <w:sz w:val="22"/>
                <w:szCs w:val="22"/>
              </w:rPr>
              <w:t xml:space="preserve">When determining whether NSR/PSD is triggered, DEQ requires sources to use projected </w:t>
            </w:r>
            <w:r w:rsidRPr="00903BA3">
              <w:rPr>
                <w:i/>
                <w:sz w:val="22"/>
                <w:szCs w:val="22"/>
              </w:rPr>
              <w:lastRenderedPageBreak/>
              <w:t>potential emissions from the modification rather than projected actual emissions, as required by EPA</w:t>
            </w:r>
            <w:r w:rsidR="004A0EA4" w:rsidRPr="00903BA3">
              <w:rPr>
                <w:i/>
                <w:sz w:val="22"/>
                <w:szCs w:val="22"/>
              </w:rPr>
              <w:t xml:space="preserve">. </w:t>
            </w:r>
            <w:r w:rsidRPr="00903BA3">
              <w:rPr>
                <w:i/>
                <w:sz w:val="22"/>
                <w:szCs w:val="22"/>
              </w:rPr>
              <w:t xml:space="preserve">DEQ’s approach is more stringent </w:t>
            </w:r>
            <w:r w:rsidR="00216CEA" w:rsidRPr="00903BA3">
              <w:rPr>
                <w:i/>
                <w:sz w:val="22"/>
                <w:szCs w:val="22"/>
              </w:rPr>
              <w:t>because</w:t>
            </w:r>
            <w:r w:rsidRPr="00903BA3">
              <w:rPr>
                <w:i/>
                <w:sz w:val="22"/>
                <w:szCs w:val="22"/>
              </w:rPr>
              <w:t xml:space="preserve"> sources </w:t>
            </w:r>
            <w:r w:rsidR="00216CEA" w:rsidRPr="00903BA3">
              <w:rPr>
                <w:i/>
                <w:sz w:val="22"/>
                <w:szCs w:val="22"/>
              </w:rPr>
              <w:t>would</w:t>
            </w:r>
            <w:r w:rsidRPr="00903BA3">
              <w:rPr>
                <w:i/>
                <w:sz w:val="22"/>
                <w:szCs w:val="22"/>
              </w:rPr>
              <w:t xml:space="preserve"> trigger NSR/PSD earlier </w:t>
            </w:r>
            <w:r w:rsidR="00F342A7" w:rsidRPr="00903BA3">
              <w:rPr>
                <w:i/>
                <w:sz w:val="22"/>
                <w:szCs w:val="22"/>
              </w:rPr>
              <w:t>since</w:t>
            </w:r>
            <w:r w:rsidRPr="00903BA3">
              <w:rPr>
                <w:i/>
                <w:sz w:val="22"/>
                <w:szCs w:val="22"/>
              </w:rPr>
              <w:t xml:space="preserve"> potential emissions are higher than actual emissions</w:t>
            </w:r>
            <w:r w:rsidR="004A0EA4" w:rsidRPr="00903BA3">
              <w:rPr>
                <w:i/>
                <w:sz w:val="22"/>
                <w:szCs w:val="22"/>
              </w:rPr>
              <w:t xml:space="preserve">. </w:t>
            </w:r>
          </w:p>
          <w:p w:rsidR="000B4801" w:rsidRDefault="000B4801" w:rsidP="000B4801">
            <w:pPr>
              <w:rPr>
                <w:i/>
                <w:sz w:val="22"/>
                <w:szCs w:val="22"/>
              </w:rPr>
            </w:pPr>
          </w:p>
          <w:p w:rsidR="00A21C65" w:rsidRDefault="00A21C65" w:rsidP="000B4801">
            <w:pPr>
              <w:rPr>
                <w:bCs/>
                <w:i/>
                <w:sz w:val="22"/>
                <w:szCs w:val="22"/>
              </w:rPr>
            </w:pPr>
            <w:r w:rsidRPr="00903BA3">
              <w:rPr>
                <w:i/>
                <w:sz w:val="22"/>
                <w:szCs w:val="22"/>
              </w:rPr>
              <w:t xml:space="preserve">Changes to the definition of major modification are proposed to clarify that the trigger for NSR/PSD is a “PSEL that exceeds the netting basis by an amount that is equal to or greater than the significant emission rate.”  The current definition of major modification says that there must be a PSEL “increase” over the netting basis. This change is proposed to clarify past practice in implementing the NSR/PSD program. In some cases the PSEL could even decrease from the permitted value and NSR/PSD would still be triggered if the resultant PSEL is more than the netting basis by a SER. </w:t>
            </w:r>
            <w:r w:rsidR="008C77F7" w:rsidRPr="00903BA3">
              <w:rPr>
                <w:i/>
                <w:sz w:val="22"/>
                <w:szCs w:val="22"/>
              </w:rPr>
              <w:t xml:space="preserve">See the response to comment </w:t>
            </w:r>
            <w:fldSimple w:instr=" REF _Ref285017732 \r \h  \* MERGEFORMAT ">
              <w:r w:rsidR="00752276" w:rsidRPr="00903BA3">
                <w:rPr>
                  <w:i/>
                  <w:sz w:val="22"/>
                  <w:szCs w:val="22"/>
                </w:rPr>
                <w:t>25</w:t>
              </w:r>
            </w:fldSimple>
            <w:r w:rsidR="008C77F7" w:rsidRPr="00903BA3">
              <w:rPr>
                <w:i/>
                <w:sz w:val="22"/>
                <w:szCs w:val="22"/>
              </w:rPr>
              <w:t xml:space="preserve"> “</w:t>
            </w:r>
            <w:r w:rsidR="008C77F7" w:rsidRPr="00903BA3">
              <w:rPr>
                <w:bCs/>
                <w:i/>
                <w:sz w:val="22"/>
                <w:szCs w:val="22"/>
              </w:rPr>
              <w:t>Netting basis definition.”</w:t>
            </w:r>
          </w:p>
          <w:p w:rsidR="000B4801" w:rsidRPr="00903BA3" w:rsidRDefault="000B4801" w:rsidP="000B4801">
            <w:pPr>
              <w:rPr>
                <w:i/>
                <w:sz w:val="22"/>
                <w:szCs w:val="22"/>
              </w:rPr>
            </w:pPr>
          </w:p>
        </w:tc>
      </w:tr>
      <w:tr w:rsidR="00487C2E"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487C2E" w:rsidRPr="00903BA3" w:rsidRDefault="000B4801" w:rsidP="000B4801">
            <w:pPr>
              <w:ind w:right="-115"/>
              <w:rPr>
                <w:bCs/>
                <w:sz w:val="22"/>
                <w:szCs w:val="22"/>
              </w:rPr>
            </w:pPr>
            <w:r>
              <w:rPr>
                <w:bCs/>
                <w:sz w:val="22"/>
                <w:szCs w:val="22"/>
              </w:rPr>
              <w:lastRenderedPageBreak/>
              <w:t xml:space="preserve">19. </w:t>
            </w:r>
            <w:r w:rsidR="00487C2E" w:rsidRPr="00903BA3">
              <w:rPr>
                <w:bCs/>
                <w:sz w:val="22"/>
                <w:szCs w:val="22"/>
              </w:rPr>
              <w:t>Major modification definition allows automatic netting</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87C2E" w:rsidRDefault="00487C2E" w:rsidP="000B4801">
            <w:pPr>
              <w:rPr>
                <w:sz w:val="22"/>
                <w:szCs w:val="22"/>
              </w:rPr>
            </w:pPr>
            <w:r w:rsidRPr="00903BA3">
              <w:rPr>
                <w:sz w:val="22"/>
                <w:szCs w:val="22"/>
              </w:rPr>
              <w:t xml:space="preserve">A problem with Oregon's program is that it requires a "major modification" to result in </w:t>
            </w:r>
            <w:r w:rsidR="00EA54B3" w:rsidRPr="00903BA3">
              <w:rPr>
                <w:sz w:val="22"/>
                <w:szCs w:val="22"/>
              </w:rPr>
              <w:t xml:space="preserve">an </w:t>
            </w:r>
            <w:r w:rsidRPr="00903BA3">
              <w:rPr>
                <w:sz w:val="22"/>
                <w:szCs w:val="22"/>
              </w:rPr>
              <w:t xml:space="preserve">increase in permitted (not actual) emissions that is equivalent to an increase over the SER on a plant-wide basis. Instead of focusing on the pollution increase from the new emissions unit, Oregon's program determines whether an emissions increase is significant by reference to the entire facility. In this way, Oregon's program features "automatic netting" based on a permit limit from the 1970s, or in the case of one of </w:t>
            </w:r>
            <w:r w:rsidR="00382E6C" w:rsidRPr="00903BA3">
              <w:rPr>
                <w:sz w:val="22"/>
                <w:szCs w:val="22"/>
              </w:rPr>
              <w:t xml:space="preserve">the </w:t>
            </w:r>
            <w:r w:rsidRPr="00903BA3">
              <w:rPr>
                <w:sz w:val="22"/>
                <w:szCs w:val="22"/>
              </w:rPr>
              <w:t>proposed rules, from the more recent baseline period. Thus, so long as the source had a PSEL in excess of emissions projected from the source after a physical or operational change, and never banked those emissions, no PSD permit is required. (12)</w:t>
            </w:r>
          </w:p>
          <w:p w:rsidR="000B4801" w:rsidRPr="00903BA3" w:rsidRDefault="000B4801" w:rsidP="000B4801">
            <w:pPr>
              <w:rPr>
                <w:sz w:val="22"/>
                <w:szCs w:val="22"/>
              </w:rPr>
            </w:pPr>
          </w:p>
          <w:p w:rsidR="00487C2E" w:rsidRPr="00903BA3" w:rsidRDefault="00487C2E" w:rsidP="000B4801">
            <w:pPr>
              <w:rPr>
                <w:i/>
                <w:sz w:val="22"/>
                <w:szCs w:val="22"/>
              </w:rPr>
            </w:pPr>
            <w:r w:rsidRPr="00903BA3">
              <w:rPr>
                <w:i/>
                <w:sz w:val="22"/>
                <w:szCs w:val="22"/>
              </w:rPr>
              <w:t>Response:</w:t>
            </w:r>
          </w:p>
          <w:p w:rsidR="00EA54B3" w:rsidRPr="00903BA3" w:rsidRDefault="00487C2E" w:rsidP="000B4801">
            <w:pPr>
              <w:rPr>
                <w:i/>
                <w:sz w:val="22"/>
                <w:szCs w:val="22"/>
              </w:rPr>
            </w:pPr>
            <w:r w:rsidRPr="00903BA3">
              <w:rPr>
                <w:i/>
                <w:sz w:val="22"/>
                <w:szCs w:val="22"/>
              </w:rPr>
              <w:t>Oregon’s NSR/PSD program</w:t>
            </w:r>
            <w:r w:rsidR="003234EC" w:rsidRPr="00903BA3">
              <w:rPr>
                <w:i/>
                <w:sz w:val="22"/>
                <w:szCs w:val="22"/>
              </w:rPr>
              <w:t xml:space="preserve"> does</w:t>
            </w:r>
            <w:r w:rsidRPr="00903BA3">
              <w:rPr>
                <w:i/>
                <w:sz w:val="22"/>
                <w:szCs w:val="22"/>
              </w:rPr>
              <w:t xml:space="preserve"> look at increases over the netting basis for the whole facility rather than individual emissions units. </w:t>
            </w:r>
            <w:r w:rsidR="003234EC" w:rsidRPr="00903BA3">
              <w:rPr>
                <w:i/>
                <w:sz w:val="22"/>
                <w:szCs w:val="22"/>
              </w:rPr>
              <w:t>However</w:t>
            </w:r>
            <w:r w:rsidRPr="00903BA3">
              <w:rPr>
                <w:i/>
                <w:sz w:val="22"/>
                <w:szCs w:val="22"/>
              </w:rPr>
              <w:t>, sources must accumulate ALL increases and decreases from ALL emissions units in determining whether NSR/PSD is triggered</w:t>
            </w:r>
            <w:r w:rsidR="004A0EA4" w:rsidRPr="00903BA3">
              <w:rPr>
                <w:i/>
                <w:sz w:val="22"/>
                <w:szCs w:val="22"/>
              </w:rPr>
              <w:t xml:space="preserve">. </w:t>
            </w:r>
            <w:r w:rsidR="00EA54B3" w:rsidRPr="00903BA3">
              <w:rPr>
                <w:i/>
                <w:sz w:val="22"/>
                <w:szCs w:val="22"/>
              </w:rPr>
              <w:t>This approach eliminates the ability of sources to disaggregate changes at a facility that are involved in a project (</w:t>
            </w:r>
            <w:r w:rsidR="002814D1" w:rsidRPr="00903BA3">
              <w:rPr>
                <w:i/>
                <w:sz w:val="22"/>
                <w:szCs w:val="22"/>
              </w:rPr>
              <w:t xml:space="preserve">possible under </w:t>
            </w:r>
            <w:r w:rsidR="00EA54B3" w:rsidRPr="00903BA3">
              <w:rPr>
                <w:i/>
                <w:sz w:val="22"/>
                <w:szCs w:val="22"/>
              </w:rPr>
              <w:t>the federal program)</w:t>
            </w:r>
            <w:r w:rsidR="002814D1" w:rsidRPr="00903BA3">
              <w:rPr>
                <w:i/>
                <w:sz w:val="22"/>
                <w:szCs w:val="22"/>
              </w:rPr>
              <w:t xml:space="preserve"> in order to avoid NSR/PSD</w:t>
            </w:r>
            <w:r w:rsidR="008D538C" w:rsidRPr="00903BA3">
              <w:rPr>
                <w:i/>
                <w:sz w:val="22"/>
                <w:szCs w:val="22"/>
              </w:rPr>
              <w:t xml:space="preserve">. </w:t>
            </w:r>
            <w:r w:rsidRPr="00903BA3">
              <w:rPr>
                <w:i/>
                <w:sz w:val="22"/>
                <w:szCs w:val="22"/>
              </w:rPr>
              <w:t>If NSR/PSD is triggered, sources are required to apply retrofit Best Available Control Technology to all the emissions units that contributed to the increase, not just the current project</w:t>
            </w:r>
            <w:r w:rsidR="004A0EA4" w:rsidRPr="00903BA3">
              <w:rPr>
                <w:i/>
                <w:sz w:val="22"/>
                <w:szCs w:val="22"/>
              </w:rPr>
              <w:t xml:space="preserve">. </w:t>
            </w:r>
          </w:p>
          <w:p w:rsidR="000B4801" w:rsidRDefault="000B4801" w:rsidP="000B4801">
            <w:pPr>
              <w:autoSpaceDE w:val="0"/>
              <w:autoSpaceDN w:val="0"/>
              <w:adjustRightInd w:val="0"/>
              <w:rPr>
                <w:i/>
                <w:sz w:val="22"/>
                <w:szCs w:val="22"/>
              </w:rPr>
            </w:pPr>
          </w:p>
          <w:p w:rsidR="00487C2E" w:rsidRPr="00903BA3" w:rsidRDefault="00766337" w:rsidP="000B4801">
            <w:pPr>
              <w:autoSpaceDE w:val="0"/>
              <w:autoSpaceDN w:val="0"/>
              <w:adjustRightInd w:val="0"/>
              <w:rPr>
                <w:i/>
                <w:color w:val="000000"/>
                <w:sz w:val="22"/>
                <w:szCs w:val="22"/>
              </w:rPr>
            </w:pPr>
            <w:r w:rsidRPr="00903BA3">
              <w:rPr>
                <w:i/>
                <w:sz w:val="22"/>
                <w:szCs w:val="22"/>
              </w:rPr>
              <w:t xml:space="preserve">In </w:t>
            </w:r>
            <w:r w:rsidR="00390B37" w:rsidRPr="00903BA3">
              <w:rPr>
                <w:i/>
                <w:sz w:val="22"/>
                <w:szCs w:val="22"/>
              </w:rPr>
              <w:t>2001</w:t>
            </w:r>
            <w:r w:rsidRPr="00903BA3">
              <w:rPr>
                <w:i/>
                <w:sz w:val="22"/>
                <w:szCs w:val="22"/>
              </w:rPr>
              <w:t xml:space="preserve">, Oregon’s PSEL and NSR rules were changed to </w:t>
            </w:r>
            <w:r w:rsidR="00390B37" w:rsidRPr="00903BA3">
              <w:rPr>
                <w:i/>
                <w:sz w:val="22"/>
                <w:szCs w:val="22"/>
              </w:rPr>
              <w:t xml:space="preserve">reduce the concern described by the commenter as “automatic netting.” </w:t>
            </w:r>
            <w:r w:rsidR="00987E86" w:rsidRPr="00903BA3">
              <w:rPr>
                <w:i/>
                <w:color w:val="000000"/>
                <w:sz w:val="22"/>
                <w:szCs w:val="22"/>
              </w:rPr>
              <w:t xml:space="preserve">When a source shuts down an emissions unit, those emissions can potentially make the netting basis higher than the </w:t>
            </w:r>
            <w:r w:rsidR="003E4841" w:rsidRPr="00903BA3">
              <w:rPr>
                <w:i/>
                <w:color w:val="000000"/>
                <w:sz w:val="22"/>
                <w:szCs w:val="22"/>
              </w:rPr>
              <w:t>source’s current PTE</w:t>
            </w:r>
            <w:r w:rsidR="00987E86" w:rsidRPr="00903BA3">
              <w:rPr>
                <w:i/>
                <w:color w:val="000000"/>
                <w:sz w:val="22"/>
                <w:szCs w:val="22"/>
              </w:rPr>
              <w:t xml:space="preserve">.  </w:t>
            </w:r>
            <w:r w:rsidR="00487C2E" w:rsidRPr="00903BA3">
              <w:rPr>
                <w:i/>
                <w:color w:val="000000"/>
                <w:sz w:val="22"/>
                <w:szCs w:val="22"/>
              </w:rPr>
              <w:t xml:space="preserve">Unassigned emissions are the difference between the netting basis and what a source could emit based on its current physical and operational design. The PSEL rules were changed to limit unassigned emissions, and to establish the process for reducing unassigned emissions and the netting basis. </w:t>
            </w:r>
            <w:r w:rsidR="002814D1" w:rsidRPr="00903BA3">
              <w:rPr>
                <w:i/>
                <w:color w:val="000000"/>
                <w:sz w:val="22"/>
                <w:szCs w:val="22"/>
              </w:rPr>
              <w:t>Unassigned e</w:t>
            </w:r>
            <w:r w:rsidR="00487C2E" w:rsidRPr="00903BA3">
              <w:rPr>
                <w:i/>
                <w:color w:val="000000"/>
                <w:sz w:val="22"/>
                <w:szCs w:val="22"/>
              </w:rPr>
              <w:t>missions that are removed from the netting basis cannot be used in future netting actions</w:t>
            </w:r>
            <w:r w:rsidRPr="00903BA3">
              <w:rPr>
                <w:i/>
                <w:color w:val="000000"/>
                <w:sz w:val="22"/>
                <w:szCs w:val="22"/>
              </w:rPr>
              <w:t>, nor can they be sold or banked</w:t>
            </w:r>
            <w:r w:rsidR="004A0EA4" w:rsidRPr="00903BA3">
              <w:rPr>
                <w:i/>
                <w:color w:val="000000"/>
                <w:sz w:val="22"/>
                <w:szCs w:val="22"/>
              </w:rPr>
              <w:t xml:space="preserve">. </w:t>
            </w:r>
          </w:p>
          <w:p w:rsidR="000B4801" w:rsidRDefault="000B4801" w:rsidP="000B4801">
            <w:pPr>
              <w:rPr>
                <w:i/>
                <w:sz w:val="22"/>
                <w:szCs w:val="22"/>
              </w:rPr>
            </w:pPr>
          </w:p>
          <w:p w:rsidR="00012675" w:rsidRDefault="00487C2E" w:rsidP="000B4801">
            <w:pPr>
              <w:rPr>
                <w:i/>
                <w:sz w:val="22"/>
                <w:szCs w:val="22"/>
              </w:rPr>
            </w:pPr>
            <w:r w:rsidRPr="00903BA3">
              <w:rPr>
                <w:i/>
                <w:sz w:val="22"/>
                <w:szCs w:val="22"/>
              </w:rPr>
              <w:t>The propos</w:t>
            </w:r>
            <w:r w:rsidR="00390B37" w:rsidRPr="00903BA3">
              <w:rPr>
                <w:i/>
                <w:sz w:val="22"/>
                <w:szCs w:val="22"/>
              </w:rPr>
              <w:t>al</w:t>
            </w:r>
            <w:r w:rsidRPr="00903BA3">
              <w:rPr>
                <w:i/>
                <w:sz w:val="22"/>
                <w:szCs w:val="22"/>
              </w:rPr>
              <w:t xml:space="preserve"> </w:t>
            </w:r>
            <w:r w:rsidR="00390B37" w:rsidRPr="00903BA3">
              <w:rPr>
                <w:i/>
                <w:sz w:val="22"/>
                <w:szCs w:val="22"/>
              </w:rPr>
              <w:t>to reset</w:t>
            </w:r>
            <w:r w:rsidRPr="00903BA3">
              <w:rPr>
                <w:i/>
                <w:sz w:val="22"/>
                <w:szCs w:val="22"/>
              </w:rPr>
              <w:t xml:space="preserve"> actual emissions and netting basis </w:t>
            </w:r>
            <w:r w:rsidR="00390B37" w:rsidRPr="00903BA3">
              <w:rPr>
                <w:i/>
                <w:sz w:val="22"/>
                <w:szCs w:val="22"/>
              </w:rPr>
              <w:t>described in response to comment 3</w:t>
            </w:r>
            <w:r w:rsidRPr="00903BA3">
              <w:rPr>
                <w:i/>
                <w:sz w:val="22"/>
                <w:szCs w:val="22"/>
              </w:rPr>
              <w:t xml:space="preserve"> will </w:t>
            </w:r>
            <w:r w:rsidR="003234EC" w:rsidRPr="00903BA3">
              <w:rPr>
                <w:i/>
                <w:sz w:val="22"/>
                <w:szCs w:val="22"/>
              </w:rPr>
              <w:t xml:space="preserve">further </w:t>
            </w:r>
            <w:r w:rsidRPr="00903BA3">
              <w:rPr>
                <w:i/>
                <w:sz w:val="22"/>
                <w:szCs w:val="22"/>
              </w:rPr>
              <w:t>reduce the opportunity for “automatic netting.”</w:t>
            </w:r>
            <w:r w:rsidR="002814D1" w:rsidRPr="00903BA3">
              <w:rPr>
                <w:i/>
                <w:sz w:val="22"/>
                <w:szCs w:val="22"/>
              </w:rPr>
              <w:t xml:space="preserve"> </w:t>
            </w:r>
            <w:r w:rsidR="00A21C65" w:rsidRPr="00903BA3">
              <w:rPr>
                <w:i/>
                <w:sz w:val="22"/>
                <w:szCs w:val="22"/>
              </w:rPr>
              <w:t>No change to the rule is proposed in response to this comment.</w:t>
            </w:r>
            <w:r w:rsidR="004A0EA4" w:rsidRPr="00903BA3">
              <w:rPr>
                <w:i/>
                <w:sz w:val="22"/>
                <w:szCs w:val="22"/>
              </w:rPr>
              <w:t xml:space="preserve"> </w:t>
            </w:r>
          </w:p>
          <w:p w:rsidR="000B4801" w:rsidRPr="00903BA3" w:rsidRDefault="000B4801" w:rsidP="000B4801">
            <w:pPr>
              <w:rPr>
                <w:i/>
                <w:sz w:val="22"/>
                <w:szCs w:val="22"/>
              </w:rPr>
            </w:pPr>
          </w:p>
        </w:tc>
      </w:tr>
      <w:tr w:rsidR="00BD0650" w:rsidRPr="00903BA3" w:rsidTr="00C060F1">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BD0650" w:rsidRPr="00903BA3" w:rsidRDefault="000B4801" w:rsidP="000B4801">
            <w:pPr>
              <w:ind w:right="-115"/>
              <w:rPr>
                <w:bCs/>
                <w:sz w:val="22"/>
                <w:szCs w:val="22"/>
              </w:rPr>
            </w:pPr>
            <w:r>
              <w:rPr>
                <w:bCs/>
                <w:sz w:val="22"/>
                <w:szCs w:val="22"/>
              </w:rPr>
              <w:t xml:space="preserve">20. </w:t>
            </w:r>
            <w:r w:rsidR="00BD0650" w:rsidRPr="00903BA3">
              <w:rPr>
                <w:bCs/>
                <w:sz w:val="22"/>
                <w:szCs w:val="22"/>
              </w:rPr>
              <w:t xml:space="preserve">Major modification definition – </w:t>
            </w:r>
            <w:r w:rsidR="00BD0650" w:rsidRPr="00903BA3">
              <w:rPr>
                <w:bCs/>
                <w:sz w:val="22"/>
                <w:szCs w:val="22"/>
              </w:rPr>
              <w:lastRenderedPageBreak/>
              <w:t xml:space="preserve">before PSD program established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BD0650" w:rsidRPr="00903BA3" w:rsidRDefault="00BD0650" w:rsidP="000B4801">
            <w:pPr>
              <w:rPr>
                <w:sz w:val="22"/>
                <w:szCs w:val="22"/>
              </w:rPr>
            </w:pPr>
            <w:r w:rsidRPr="00903BA3">
              <w:rPr>
                <w:sz w:val="22"/>
                <w:szCs w:val="22"/>
              </w:rPr>
              <w:lastRenderedPageBreak/>
              <w:t>What is particularly confusing is how a source could legally qualify for the definition of “major modification” that requires that source</w:t>
            </w:r>
            <w:r w:rsidR="003F48D1" w:rsidRPr="00903BA3">
              <w:rPr>
                <w:sz w:val="22"/>
                <w:szCs w:val="22"/>
              </w:rPr>
              <w:t>s</w:t>
            </w:r>
            <w:r w:rsidRPr="00903BA3">
              <w:rPr>
                <w:sz w:val="22"/>
                <w:szCs w:val="22"/>
              </w:rPr>
              <w:t xml:space="preserve"> have “obtained all permits to construct and operate after the applicable baseline period but have not undergone New Source Review?”  </w:t>
            </w:r>
            <w:r w:rsidR="00837AD8" w:rsidRPr="00903BA3">
              <w:rPr>
                <w:sz w:val="22"/>
                <w:szCs w:val="22"/>
              </w:rPr>
              <w:lastRenderedPageBreak/>
              <w:t>If a source was permitted during the baseline period and had not begun normal operation, it should only get PTE if it “commenced” construction during the baseline period</w:t>
            </w:r>
            <w:r w:rsidR="008D538C" w:rsidRPr="00903BA3">
              <w:rPr>
                <w:sz w:val="22"/>
                <w:szCs w:val="22"/>
              </w:rPr>
              <w:t xml:space="preserve">. </w:t>
            </w:r>
            <w:r w:rsidR="00837AD8" w:rsidRPr="00903BA3">
              <w:rPr>
                <w:sz w:val="22"/>
                <w:szCs w:val="22"/>
              </w:rPr>
              <w:t>(12)</w:t>
            </w:r>
          </w:p>
          <w:p w:rsidR="000B4801" w:rsidRDefault="000B4801" w:rsidP="000B4801">
            <w:pPr>
              <w:rPr>
                <w:i/>
                <w:sz w:val="22"/>
                <w:szCs w:val="22"/>
              </w:rPr>
            </w:pPr>
          </w:p>
          <w:p w:rsidR="00BD0650" w:rsidRPr="00903BA3" w:rsidRDefault="00BD0650" w:rsidP="000B4801">
            <w:pPr>
              <w:rPr>
                <w:i/>
                <w:sz w:val="22"/>
                <w:szCs w:val="22"/>
              </w:rPr>
            </w:pPr>
            <w:r w:rsidRPr="00903BA3">
              <w:rPr>
                <w:i/>
                <w:sz w:val="22"/>
                <w:szCs w:val="22"/>
              </w:rPr>
              <w:t xml:space="preserve">Response: </w:t>
            </w:r>
          </w:p>
          <w:p w:rsidR="00BD0650" w:rsidRPr="00903BA3" w:rsidRDefault="00BD0650" w:rsidP="000B4801">
            <w:pPr>
              <w:rPr>
                <w:i/>
                <w:sz w:val="22"/>
                <w:szCs w:val="22"/>
              </w:rPr>
            </w:pPr>
            <w:r w:rsidRPr="00903BA3">
              <w:rPr>
                <w:i/>
                <w:sz w:val="22"/>
                <w:szCs w:val="22"/>
              </w:rPr>
              <w:t xml:space="preserve"> DEQ and EPA anticipated the possibility that a source that was permitted to construct would not begin construction immediately as provided for in OAR 340-224-0030 (2)(a):</w:t>
            </w:r>
          </w:p>
          <w:p w:rsidR="00BD0650" w:rsidRPr="00903BA3" w:rsidRDefault="00BD0650" w:rsidP="000B4801">
            <w:pPr>
              <w:ind w:left="720"/>
              <w:rPr>
                <w:sz w:val="22"/>
                <w:szCs w:val="22"/>
              </w:rPr>
            </w:pPr>
            <w:r w:rsidRPr="00903BA3">
              <w:rPr>
                <w:i/>
                <w:sz w:val="22"/>
                <w:szCs w:val="22"/>
              </w:rPr>
              <w:t>Approval to construct becomes invalid if construction is not commenced within 18 months after the Department issues such approval, if construction is discontinued for a period of 18 months or more, or if construction is not completed within 18 months of the scheduled time. The Department may extend the 18-month period for good cause.</w:t>
            </w:r>
            <w:r w:rsidRPr="00903BA3">
              <w:rPr>
                <w:sz w:val="22"/>
                <w:szCs w:val="22"/>
              </w:rPr>
              <w:t xml:space="preserve"> </w:t>
            </w:r>
          </w:p>
          <w:p w:rsidR="000B4801" w:rsidRDefault="000B4801" w:rsidP="000B4801">
            <w:pPr>
              <w:rPr>
                <w:i/>
                <w:sz w:val="22"/>
                <w:szCs w:val="22"/>
              </w:rPr>
            </w:pPr>
          </w:p>
          <w:p w:rsidR="000B4801" w:rsidRDefault="00BD0650" w:rsidP="000B4801">
            <w:pPr>
              <w:rPr>
                <w:i/>
                <w:sz w:val="22"/>
                <w:szCs w:val="22"/>
              </w:rPr>
            </w:pPr>
            <w:r w:rsidRPr="00903BA3">
              <w:rPr>
                <w:i/>
                <w:sz w:val="22"/>
                <w:szCs w:val="22"/>
              </w:rPr>
              <w:t>A PSD permit is valid if the above criteria are met</w:t>
            </w:r>
            <w:r w:rsidR="008D538C" w:rsidRPr="00903BA3">
              <w:rPr>
                <w:i/>
                <w:sz w:val="22"/>
                <w:szCs w:val="22"/>
              </w:rPr>
              <w:t xml:space="preserve">. </w:t>
            </w:r>
            <w:r w:rsidRPr="00903BA3">
              <w:rPr>
                <w:i/>
                <w:sz w:val="22"/>
                <w:szCs w:val="22"/>
              </w:rPr>
              <w:t>Otherwise, the PSD permit would be terminated and a new permit would be required if construction were not commenced within the allowed time period.</w:t>
            </w:r>
            <w:r w:rsidR="0030306E" w:rsidRPr="00903BA3">
              <w:rPr>
                <w:i/>
                <w:sz w:val="22"/>
                <w:szCs w:val="22"/>
              </w:rPr>
              <w:t xml:space="preserve"> </w:t>
            </w:r>
            <w:r w:rsidR="00A21C65" w:rsidRPr="00903BA3">
              <w:rPr>
                <w:i/>
                <w:sz w:val="22"/>
                <w:szCs w:val="22"/>
              </w:rPr>
              <w:t>No change to the rule is proposed in response to this comment</w:t>
            </w:r>
            <w:r w:rsidR="000B4801">
              <w:rPr>
                <w:i/>
                <w:sz w:val="22"/>
                <w:szCs w:val="22"/>
              </w:rPr>
              <w:t>.</w:t>
            </w:r>
          </w:p>
          <w:p w:rsidR="00BD0650" w:rsidRPr="00903BA3" w:rsidRDefault="008D538C" w:rsidP="000B4801">
            <w:pPr>
              <w:rPr>
                <w:i/>
                <w:sz w:val="22"/>
                <w:szCs w:val="22"/>
              </w:rPr>
            </w:pPr>
            <w:r w:rsidRPr="00903BA3">
              <w:rPr>
                <w:i/>
                <w:sz w:val="22"/>
                <w:szCs w:val="22"/>
              </w:rPr>
              <w:t xml:space="preserve"> </w:t>
            </w:r>
          </w:p>
        </w:tc>
      </w:tr>
      <w:tr w:rsidR="00487C2E"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487C2E" w:rsidRPr="00903BA3" w:rsidRDefault="000B4801" w:rsidP="000B4801">
            <w:pPr>
              <w:ind w:right="-115"/>
              <w:rPr>
                <w:bCs/>
                <w:sz w:val="22"/>
                <w:szCs w:val="22"/>
              </w:rPr>
            </w:pPr>
            <w:r>
              <w:rPr>
                <w:bCs/>
                <w:sz w:val="22"/>
                <w:szCs w:val="22"/>
              </w:rPr>
              <w:lastRenderedPageBreak/>
              <w:t xml:space="preserve">21. </w:t>
            </w:r>
            <w:r w:rsidR="00487C2E" w:rsidRPr="00903BA3">
              <w:rPr>
                <w:bCs/>
                <w:sz w:val="22"/>
                <w:szCs w:val="22"/>
              </w:rPr>
              <w:t>Major modification definition</w:t>
            </w:r>
            <w:r w:rsidR="001762AF" w:rsidRPr="00903BA3">
              <w:rPr>
                <w:bCs/>
                <w:sz w:val="22"/>
                <w:szCs w:val="22"/>
              </w:rPr>
              <w:t xml:space="preserve"> – revised language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87C2E" w:rsidRDefault="00487C2E" w:rsidP="000B4801">
            <w:pPr>
              <w:rPr>
                <w:sz w:val="22"/>
                <w:szCs w:val="22"/>
              </w:rPr>
            </w:pPr>
            <w:r w:rsidRPr="00903BA3">
              <w:rPr>
                <w:sz w:val="22"/>
                <w:szCs w:val="22"/>
              </w:rPr>
              <w:t>Under the definition of “Major Modification”, we found the new language in subparagraph (d) confusing</w:t>
            </w:r>
            <w:r w:rsidR="004A0EA4" w:rsidRPr="00903BA3">
              <w:rPr>
                <w:sz w:val="22"/>
                <w:szCs w:val="22"/>
              </w:rPr>
              <w:t xml:space="preserve">. </w:t>
            </w:r>
            <w:r w:rsidRPr="00903BA3">
              <w:rPr>
                <w:sz w:val="22"/>
                <w:szCs w:val="22"/>
              </w:rPr>
              <w:t>Based on the new language in the definition of “actual emissions” we understand that Oregon wants to allow a source to either reset the netting basis or exclude a portion of the netting basis when determining whether a new proposed change would be a major modification</w:t>
            </w:r>
            <w:r w:rsidR="004A0EA4" w:rsidRPr="00903BA3">
              <w:rPr>
                <w:sz w:val="22"/>
                <w:szCs w:val="22"/>
              </w:rPr>
              <w:t xml:space="preserve">. </w:t>
            </w:r>
            <w:r w:rsidRPr="00903BA3">
              <w:rPr>
                <w:sz w:val="22"/>
                <w:szCs w:val="22"/>
              </w:rPr>
              <w:t>We recommend that this provision more clearly spell out how a major modification would be determined when the netting basis hasn’t been reset (i.e., how you exclude a portion of the netting basis). (7)</w:t>
            </w:r>
          </w:p>
          <w:p w:rsidR="000B4801" w:rsidRPr="00903BA3" w:rsidRDefault="000B4801" w:rsidP="000B4801">
            <w:pPr>
              <w:rPr>
                <w:sz w:val="22"/>
                <w:szCs w:val="22"/>
              </w:rPr>
            </w:pPr>
          </w:p>
          <w:p w:rsidR="00487C2E" w:rsidRPr="00903BA3" w:rsidRDefault="00487C2E" w:rsidP="000B4801">
            <w:pPr>
              <w:rPr>
                <w:i/>
                <w:sz w:val="22"/>
                <w:szCs w:val="22"/>
              </w:rPr>
            </w:pPr>
            <w:r w:rsidRPr="00903BA3">
              <w:rPr>
                <w:i/>
                <w:sz w:val="22"/>
                <w:szCs w:val="22"/>
              </w:rPr>
              <w:t>Response:</w:t>
            </w:r>
          </w:p>
          <w:p w:rsidR="00487C2E" w:rsidRDefault="00487C2E" w:rsidP="000B4801">
            <w:pPr>
              <w:rPr>
                <w:i/>
                <w:sz w:val="22"/>
                <w:szCs w:val="22"/>
              </w:rPr>
            </w:pPr>
            <w:r w:rsidRPr="00903BA3">
              <w:rPr>
                <w:i/>
                <w:sz w:val="22"/>
                <w:szCs w:val="22"/>
              </w:rPr>
              <w:t xml:space="preserve">Changes have been made to this portion of the </w:t>
            </w:r>
            <w:r w:rsidR="003F48D1" w:rsidRPr="00903BA3">
              <w:rPr>
                <w:i/>
                <w:sz w:val="22"/>
                <w:szCs w:val="22"/>
              </w:rPr>
              <w:t xml:space="preserve">proposed </w:t>
            </w:r>
            <w:r w:rsidRPr="00903BA3">
              <w:rPr>
                <w:i/>
                <w:sz w:val="22"/>
                <w:szCs w:val="22"/>
              </w:rPr>
              <w:t>definition of major modification to clarify the intent</w:t>
            </w:r>
            <w:r w:rsidR="004A0EA4" w:rsidRPr="00903BA3">
              <w:rPr>
                <w:i/>
                <w:sz w:val="22"/>
                <w:szCs w:val="22"/>
              </w:rPr>
              <w:t xml:space="preserve">. </w:t>
            </w:r>
            <w:r w:rsidRPr="00903BA3">
              <w:rPr>
                <w:i/>
                <w:sz w:val="22"/>
                <w:szCs w:val="22"/>
              </w:rPr>
              <w:t xml:space="preserve">For existing greenhouse gas sources and sources that add new equipment that are permitted at their potential to emit, the netting basis </w:t>
            </w:r>
            <w:r w:rsidR="000329C1" w:rsidRPr="00903BA3">
              <w:rPr>
                <w:i/>
                <w:sz w:val="22"/>
                <w:szCs w:val="22"/>
              </w:rPr>
              <w:t>an</w:t>
            </w:r>
            <w:r w:rsidR="00982A96" w:rsidRPr="00903BA3">
              <w:rPr>
                <w:i/>
                <w:sz w:val="22"/>
                <w:szCs w:val="22"/>
              </w:rPr>
              <w:t>d</w:t>
            </w:r>
            <w:r w:rsidR="000329C1" w:rsidRPr="00903BA3">
              <w:rPr>
                <w:i/>
                <w:sz w:val="22"/>
                <w:szCs w:val="22"/>
              </w:rPr>
              <w:t xml:space="preserve"> the PSEL </w:t>
            </w:r>
            <w:r w:rsidRPr="00903BA3">
              <w:rPr>
                <w:i/>
                <w:sz w:val="22"/>
                <w:szCs w:val="22"/>
              </w:rPr>
              <w:t xml:space="preserve">from these </w:t>
            </w:r>
            <w:r w:rsidR="00A201AA" w:rsidRPr="00903BA3">
              <w:rPr>
                <w:i/>
                <w:sz w:val="22"/>
                <w:szCs w:val="22"/>
              </w:rPr>
              <w:t>equipment</w:t>
            </w:r>
            <w:r w:rsidRPr="00903BA3">
              <w:rPr>
                <w:i/>
                <w:sz w:val="22"/>
                <w:szCs w:val="22"/>
              </w:rPr>
              <w:t xml:space="preserve"> will need to be tracked separately from the existing netting basis </w:t>
            </w:r>
            <w:r w:rsidR="000329C1" w:rsidRPr="00903BA3">
              <w:rPr>
                <w:i/>
                <w:sz w:val="22"/>
                <w:szCs w:val="22"/>
              </w:rPr>
              <w:t xml:space="preserve">and PSEL </w:t>
            </w:r>
            <w:r w:rsidRPr="00903BA3">
              <w:rPr>
                <w:i/>
                <w:sz w:val="22"/>
                <w:szCs w:val="22"/>
              </w:rPr>
              <w:t>of existing equipment</w:t>
            </w:r>
            <w:r w:rsidR="004A0EA4" w:rsidRPr="00903BA3">
              <w:rPr>
                <w:i/>
                <w:sz w:val="22"/>
                <w:szCs w:val="22"/>
              </w:rPr>
              <w:t xml:space="preserve">. </w:t>
            </w:r>
          </w:p>
          <w:p w:rsidR="000B4801" w:rsidRPr="00903BA3" w:rsidRDefault="000B4801" w:rsidP="000B4801">
            <w:pPr>
              <w:rPr>
                <w:i/>
                <w:sz w:val="22"/>
                <w:szCs w:val="22"/>
              </w:rPr>
            </w:pPr>
          </w:p>
        </w:tc>
      </w:tr>
      <w:tr w:rsidR="001E1E9F" w:rsidRPr="00903BA3" w:rsidTr="006E02A4">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1E1E9F" w:rsidRPr="00903BA3" w:rsidRDefault="000B4801" w:rsidP="000B4801">
            <w:pPr>
              <w:ind w:right="-115"/>
              <w:rPr>
                <w:bCs/>
                <w:sz w:val="22"/>
                <w:szCs w:val="22"/>
              </w:rPr>
            </w:pPr>
            <w:r>
              <w:rPr>
                <w:sz w:val="22"/>
                <w:szCs w:val="22"/>
              </w:rPr>
              <w:t xml:space="preserve">22. </w:t>
            </w:r>
            <w:r w:rsidR="008D56AC" w:rsidRPr="00903BA3">
              <w:rPr>
                <w:sz w:val="22"/>
                <w:szCs w:val="22"/>
              </w:rPr>
              <w:t>Major s</w:t>
            </w:r>
            <w:r w:rsidR="001E1E9F" w:rsidRPr="00903BA3">
              <w:rPr>
                <w:sz w:val="22"/>
                <w:szCs w:val="22"/>
              </w:rPr>
              <w:t>ource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1E1E9F" w:rsidRDefault="001E1E9F" w:rsidP="000B4801">
            <w:pPr>
              <w:rPr>
                <w:sz w:val="22"/>
                <w:szCs w:val="22"/>
              </w:rPr>
            </w:pPr>
            <w:r w:rsidRPr="00903BA3">
              <w:rPr>
                <w:bCs/>
                <w:sz w:val="22"/>
                <w:szCs w:val="22"/>
              </w:rPr>
              <w:t xml:space="preserve">OAR </w:t>
            </w:r>
            <w:r w:rsidRPr="00903BA3">
              <w:rPr>
                <w:sz w:val="22"/>
                <w:szCs w:val="22"/>
              </w:rPr>
              <w:t>340-200-0020(70): The revision to the definition of "Major Source" has the same problem as the revised definition of "Federal Major Source" in that it doesn't correctly reflect the two-part test for GHGs. In addition, the 100,000 tpy threshold needs to include language specifying that it is measured as CO</w:t>
            </w:r>
            <w:r w:rsidRPr="00903BA3">
              <w:rPr>
                <w:sz w:val="22"/>
                <w:szCs w:val="22"/>
                <w:vertAlign w:val="subscript"/>
              </w:rPr>
              <w:t>2</w:t>
            </w:r>
            <w:r w:rsidRPr="00903BA3">
              <w:rPr>
                <w:sz w:val="22"/>
                <w:szCs w:val="22"/>
              </w:rPr>
              <w:t xml:space="preserve"> equivalent (CO</w:t>
            </w:r>
            <w:r w:rsidRPr="00903BA3">
              <w:rPr>
                <w:sz w:val="22"/>
                <w:szCs w:val="22"/>
                <w:vertAlign w:val="subscript"/>
              </w:rPr>
              <w:t>2</w:t>
            </w:r>
            <w:r w:rsidRPr="00903BA3">
              <w:rPr>
                <w:sz w:val="22"/>
                <w:szCs w:val="22"/>
              </w:rPr>
              <w:t>e). (1, 2, 4, 7, 11, 13, 14, 15, 17)</w:t>
            </w:r>
          </w:p>
          <w:p w:rsidR="000B4801" w:rsidRPr="00903BA3" w:rsidRDefault="000B4801" w:rsidP="000B4801">
            <w:pPr>
              <w:rPr>
                <w:sz w:val="22"/>
                <w:szCs w:val="22"/>
              </w:rPr>
            </w:pPr>
          </w:p>
          <w:p w:rsidR="001E1E9F" w:rsidRPr="00903BA3" w:rsidRDefault="001E1E9F" w:rsidP="000B4801">
            <w:pPr>
              <w:autoSpaceDE w:val="0"/>
              <w:autoSpaceDN w:val="0"/>
              <w:adjustRightInd w:val="0"/>
              <w:rPr>
                <w:i/>
                <w:sz w:val="22"/>
                <w:szCs w:val="22"/>
              </w:rPr>
            </w:pPr>
            <w:r w:rsidRPr="00903BA3">
              <w:rPr>
                <w:i/>
                <w:sz w:val="22"/>
                <w:szCs w:val="22"/>
              </w:rPr>
              <w:t>Response:</w:t>
            </w:r>
          </w:p>
          <w:p w:rsidR="001E1E9F" w:rsidRDefault="00A21C65" w:rsidP="000B4801">
            <w:pPr>
              <w:autoSpaceDE w:val="0"/>
              <w:autoSpaceDN w:val="0"/>
              <w:adjustRightInd w:val="0"/>
              <w:rPr>
                <w:i/>
                <w:sz w:val="22"/>
                <w:szCs w:val="22"/>
              </w:rPr>
            </w:pPr>
            <w:r w:rsidRPr="00903BA3">
              <w:rPr>
                <w:i/>
                <w:sz w:val="22"/>
                <w:szCs w:val="22"/>
              </w:rPr>
              <w:t>The change was made to the proposed rule as suggested.</w:t>
            </w:r>
          </w:p>
          <w:p w:rsidR="000B4801" w:rsidRPr="00903BA3" w:rsidRDefault="000B4801" w:rsidP="000B4801">
            <w:pPr>
              <w:autoSpaceDE w:val="0"/>
              <w:autoSpaceDN w:val="0"/>
              <w:adjustRightInd w:val="0"/>
              <w:rPr>
                <w:sz w:val="22"/>
                <w:szCs w:val="22"/>
              </w:rPr>
            </w:pPr>
          </w:p>
        </w:tc>
      </w:tr>
      <w:tr w:rsidR="0051452D" w:rsidRPr="00903BA3" w:rsidTr="00065341">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1452D" w:rsidRPr="00903BA3" w:rsidRDefault="000B4801" w:rsidP="000B4801">
            <w:pPr>
              <w:ind w:right="-115"/>
              <w:rPr>
                <w:bCs/>
                <w:sz w:val="22"/>
                <w:szCs w:val="22"/>
              </w:rPr>
            </w:pPr>
            <w:r>
              <w:rPr>
                <w:bCs/>
                <w:sz w:val="22"/>
                <w:szCs w:val="22"/>
              </w:rPr>
              <w:t xml:space="preserve">23. </w:t>
            </w:r>
            <w:r w:rsidR="0051452D" w:rsidRPr="00903BA3">
              <w:rPr>
                <w:bCs/>
                <w:sz w:val="22"/>
                <w:szCs w:val="22"/>
              </w:rPr>
              <w:t>Major source definition</w:t>
            </w:r>
            <w:r w:rsidR="001E1E9F" w:rsidRPr="00903BA3">
              <w:rPr>
                <w:bCs/>
                <w:sz w:val="22"/>
                <w:szCs w:val="22"/>
              </w:rPr>
              <w:t xml:space="preserve"> to include emission decreases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C04EC" w:rsidRDefault="002572CF" w:rsidP="000B4801">
            <w:pPr>
              <w:rPr>
                <w:sz w:val="22"/>
                <w:szCs w:val="22"/>
              </w:rPr>
            </w:pPr>
            <w:r w:rsidRPr="00903BA3">
              <w:rPr>
                <w:sz w:val="22"/>
                <w:szCs w:val="22"/>
              </w:rPr>
              <w:t>We</w:t>
            </w:r>
            <w:r w:rsidR="0051452D" w:rsidRPr="00903BA3">
              <w:rPr>
                <w:sz w:val="22"/>
                <w:szCs w:val="22"/>
              </w:rPr>
              <w:t xml:space="preserve"> request that DEQ revise the proposed revisions to the definition of “major source” to allow the inclusion of emissions decreases</w:t>
            </w:r>
            <w:r w:rsidR="004A0EA4" w:rsidRPr="00903BA3">
              <w:rPr>
                <w:sz w:val="22"/>
                <w:szCs w:val="22"/>
              </w:rPr>
              <w:t xml:space="preserve">. </w:t>
            </w:r>
            <w:r w:rsidR="0051452D" w:rsidRPr="00903BA3">
              <w:rPr>
                <w:sz w:val="22"/>
                <w:szCs w:val="22"/>
              </w:rPr>
              <w:t>Given Oregon’s unique means of applying the term “major source” including future increases and excluding future decreases in emissions would force sources that were making net reductions to be considered major sources and be subject to requirements such as nonattainment new source review</w:t>
            </w:r>
            <w:r w:rsidR="004A0EA4" w:rsidRPr="00903BA3">
              <w:rPr>
                <w:sz w:val="22"/>
                <w:szCs w:val="22"/>
              </w:rPr>
              <w:t xml:space="preserve">. </w:t>
            </w:r>
            <w:r w:rsidR="00FC04EC" w:rsidRPr="00903BA3">
              <w:rPr>
                <w:sz w:val="22"/>
                <w:szCs w:val="22"/>
              </w:rPr>
              <w:t>(1, 2, 4, 11, 13</w:t>
            </w:r>
            <w:r w:rsidR="00F51667" w:rsidRPr="00903BA3">
              <w:rPr>
                <w:sz w:val="22"/>
                <w:szCs w:val="22"/>
              </w:rPr>
              <w:t>, 14</w:t>
            </w:r>
            <w:r w:rsidR="00231353" w:rsidRPr="00903BA3">
              <w:rPr>
                <w:sz w:val="22"/>
                <w:szCs w:val="22"/>
              </w:rPr>
              <w:t>, 15, 17</w:t>
            </w:r>
            <w:r w:rsidR="007D2A64" w:rsidRPr="00903BA3">
              <w:rPr>
                <w:sz w:val="22"/>
                <w:szCs w:val="22"/>
              </w:rPr>
              <w:t>, 23</w:t>
            </w:r>
            <w:r w:rsidR="00FC04EC" w:rsidRPr="00903BA3">
              <w:rPr>
                <w:sz w:val="22"/>
                <w:szCs w:val="22"/>
              </w:rPr>
              <w:t>)</w:t>
            </w:r>
          </w:p>
          <w:p w:rsidR="000B4801" w:rsidRPr="00903BA3" w:rsidRDefault="000B4801" w:rsidP="000B4801">
            <w:pPr>
              <w:rPr>
                <w:sz w:val="22"/>
                <w:szCs w:val="22"/>
              </w:rPr>
            </w:pPr>
          </w:p>
          <w:p w:rsidR="0007654E" w:rsidRPr="00903BA3" w:rsidRDefault="0007654E" w:rsidP="000B4801">
            <w:pPr>
              <w:rPr>
                <w:i/>
                <w:sz w:val="22"/>
                <w:szCs w:val="22"/>
              </w:rPr>
            </w:pPr>
            <w:r w:rsidRPr="00903BA3">
              <w:rPr>
                <w:i/>
                <w:sz w:val="22"/>
                <w:szCs w:val="22"/>
              </w:rPr>
              <w:t>Response:</w:t>
            </w:r>
          </w:p>
          <w:p w:rsidR="00D70EFC" w:rsidRDefault="002C126B" w:rsidP="000B4801">
            <w:pPr>
              <w:rPr>
                <w:i/>
                <w:sz w:val="22"/>
                <w:szCs w:val="22"/>
              </w:rPr>
            </w:pPr>
            <w:r w:rsidRPr="00903BA3">
              <w:rPr>
                <w:i/>
                <w:sz w:val="22"/>
                <w:szCs w:val="22"/>
              </w:rPr>
              <w:t xml:space="preserve">DEQ agrees that emission decreases should be in the calculation of potential to emit of a </w:t>
            </w:r>
            <w:r w:rsidRPr="00903BA3">
              <w:rPr>
                <w:i/>
                <w:sz w:val="22"/>
                <w:szCs w:val="22"/>
              </w:rPr>
              <w:lastRenderedPageBreak/>
              <w:t>source</w:t>
            </w:r>
            <w:r w:rsidR="004A0EA4" w:rsidRPr="00903BA3">
              <w:rPr>
                <w:i/>
                <w:sz w:val="22"/>
                <w:szCs w:val="22"/>
              </w:rPr>
              <w:t xml:space="preserve">. </w:t>
            </w:r>
            <w:r w:rsidRPr="00903BA3">
              <w:rPr>
                <w:i/>
                <w:sz w:val="22"/>
                <w:szCs w:val="22"/>
              </w:rPr>
              <w:t>The change will also be made to the definition of federal major source</w:t>
            </w:r>
            <w:r w:rsidR="004A0EA4" w:rsidRPr="00903BA3">
              <w:rPr>
                <w:i/>
                <w:sz w:val="22"/>
                <w:szCs w:val="22"/>
              </w:rPr>
              <w:t xml:space="preserve">. </w:t>
            </w:r>
          </w:p>
          <w:p w:rsidR="000B4801" w:rsidRPr="00903BA3" w:rsidRDefault="000B4801" w:rsidP="000B4801">
            <w:pPr>
              <w:rPr>
                <w:i/>
                <w:sz w:val="22"/>
                <w:szCs w:val="22"/>
              </w:rPr>
            </w:pPr>
          </w:p>
        </w:tc>
      </w:tr>
      <w:tr w:rsidR="00487C2E"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487C2E" w:rsidRPr="00903BA3" w:rsidRDefault="000B4801" w:rsidP="000B4801">
            <w:pPr>
              <w:ind w:right="-115"/>
              <w:rPr>
                <w:bCs/>
                <w:sz w:val="22"/>
                <w:szCs w:val="22"/>
              </w:rPr>
            </w:pPr>
            <w:bookmarkStart w:id="5" w:name="_Ref283934858"/>
            <w:r>
              <w:rPr>
                <w:sz w:val="22"/>
                <w:szCs w:val="22"/>
              </w:rPr>
              <w:lastRenderedPageBreak/>
              <w:t xml:space="preserve">24. </w:t>
            </w:r>
            <w:bookmarkEnd w:id="5"/>
            <w:r w:rsidR="00487C2E" w:rsidRPr="00903BA3">
              <w:rPr>
                <w:sz w:val="22"/>
                <w:szCs w:val="22"/>
              </w:rPr>
              <w:t>Netting basis definition allows thirty-year "lookback" period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CC17DA" w:rsidRDefault="00487C2E" w:rsidP="000B4801">
            <w:pPr>
              <w:rPr>
                <w:sz w:val="22"/>
                <w:szCs w:val="22"/>
              </w:rPr>
            </w:pPr>
            <w:r w:rsidRPr="00903BA3">
              <w:rPr>
                <w:sz w:val="22"/>
                <w:szCs w:val="22"/>
              </w:rPr>
              <w:t xml:space="preserve">Another problem with Oregon's PSEL approach is that the PSEL is not based on projected or actual emissions during a time-frame that is contemporaneous with the physical or operational change in question, but during the "baseline period."  The baseline emission rate is then adjusted as rules change and future permitting decisions are made. The adjusted baseline is referred to as the “netting basis.”  The resultant "netting basis" in many cases may not reflect actual emissions at any time that is reasonably contemporaneous with the physical or operational change in question. In fact, the "netting basis" reflects a thirty-year "lookback" period, in clear contravention of the federal regulatory floor. </w:t>
            </w:r>
            <w:r w:rsidR="00CC17DA" w:rsidRPr="00903BA3">
              <w:rPr>
                <w:sz w:val="22"/>
                <w:szCs w:val="22"/>
              </w:rPr>
              <w:t>Thus, the PSELs are unenforceable on a practical level. (12)</w:t>
            </w:r>
          </w:p>
          <w:p w:rsidR="000B4801" w:rsidRPr="00903BA3" w:rsidRDefault="000B4801" w:rsidP="000B4801">
            <w:pPr>
              <w:rPr>
                <w:sz w:val="22"/>
                <w:szCs w:val="22"/>
              </w:rPr>
            </w:pPr>
          </w:p>
          <w:p w:rsidR="00CC17DA" w:rsidRPr="00903BA3" w:rsidRDefault="00CC17DA" w:rsidP="000B4801">
            <w:pPr>
              <w:rPr>
                <w:i/>
                <w:sz w:val="22"/>
                <w:szCs w:val="22"/>
              </w:rPr>
            </w:pPr>
            <w:r w:rsidRPr="00903BA3">
              <w:rPr>
                <w:i/>
                <w:sz w:val="22"/>
                <w:szCs w:val="22"/>
              </w:rPr>
              <w:t>Response:</w:t>
            </w:r>
          </w:p>
          <w:p w:rsidR="00CC17DA" w:rsidRDefault="00CC17DA" w:rsidP="000B4801">
            <w:pPr>
              <w:pStyle w:val="Style2"/>
              <w:widowControl/>
              <w:spacing w:line="269" w:lineRule="exact"/>
              <w:rPr>
                <w:rFonts w:ascii="Times New Roman" w:hAnsi="Times New Roman" w:cs="Times New Roman"/>
                <w:i/>
                <w:sz w:val="22"/>
                <w:szCs w:val="22"/>
              </w:rPr>
            </w:pPr>
            <w:r w:rsidRPr="00903BA3">
              <w:rPr>
                <w:rFonts w:ascii="Times New Roman" w:hAnsi="Times New Roman" w:cs="Times New Roman"/>
                <w:i/>
                <w:sz w:val="22"/>
                <w:szCs w:val="22"/>
              </w:rPr>
              <w:t xml:space="preserve">DEQ </w:t>
            </w:r>
            <w:r w:rsidR="00A32488" w:rsidRPr="00903BA3">
              <w:rPr>
                <w:rFonts w:ascii="Times New Roman" w:hAnsi="Times New Roman" w:cs="Times New Roman"/>
                <w:i/>
                <w:sz w:val="22"/>
                <w:szCs w:val="22"/>
              </w:rPr>
              <w:t xml:space="preserve">does </w:t>
            </w:r>
            <w:r w:rsidRPr="00903BA3">
              <w:rPr>
                <w:rFonts w:ascii="Times New Roman" w:hAnsi="Times New Roman" w:cs="Times New Roman"/>
                <w:i/>
                <w:sz w:val="22"/>
                <w:szCs w:val="22"/>
              </w:rPr>
              <w:t xml:space="preserve">agree that the netting basis may or may not reflect actual emissions that are contemporaneous with the physical or operational change in question. However, </w:t>
            </w:r>
            <w:r w:rsidR="00A32488" w:rsidRPr="00903BA3">
              <w:rPr>
                <w:rFonts w:ascii="Times New Roman" w:hAnsi="Times New Roman" w:cs="Times New Roman"/>
                <w:i/>
                <w:sz w:val="22"/>
                <w:szCs w:val="22"/>
              </w:rPr>
              <w:t>this does not mean the federal program is more stringent than the Oregon program.</w:t>
            </w:r>
            <w:r w:rsidR="003F48D1" w:rsidRPr="00903BA3">
              <w:rPr>
                <w:rFonts w:ascii="Times New Roman" w:hAnsi="Times New Roman" w:cs="Times New Roman"/>
                <w:i/>
                <w:sz w:val="22"/>
                <w:szCs w:val="22"/>
              </w:rPr>
              <w:t xml:space="preserve"> While modifications at individual facilities may be evaluated differently under the federal and Oregon programs, EPA has determined that the</w:t>
            </w:r>
            <w:r w:rsidR="00E718D3" w:rsidRPr="00903BA3">
              <w:rPr>
                <w:rFonts w:ascii="Times New Roman" w:hAnsi="Times New Roman" w:cs="Times New Roman"/>
                <w:i/>
                <w:sz w:val="22"/>
                <w:szCs w:val="22"/>
              </w:rPr>
              <w:t xml:space="preserve"> programs are equivalent overall</w:t>
            </w:r>
            <w:r w:rsidR="008D538C" w:rsidRPr="00903BA3">
              <w:rPr>
                <w:rFonts w:ascii="Times New Roman" w:hAnsi="Times New Roman" w:cs="Times New Roman"/>
                <w:i/>
                <w:sz w:val="22"/>
                <w:szCs w:val="22"/>
              </w:rPr>
              <w:t xml:space="preserve">. </w:t>
            </w:r>
            <w:r w:rsidRPr="00903BA3">
              <w:rPr>
                <w:rFonts w:ascii="Times New Roman" w:hAnsi="Times New Roman" w:cs="Times New Roman"/>
                <w:i/>
                <w:sz w:val="22"/>
                <w:szCs w:val="22"/>
              </w:rPr>
              <w:t>PSELs and netting basis provide a simple and enforceable mechanism for evaluating whether sources are subject to NSR/PSD as a result of physical changes or changes in the method of operation</w:t>
            </w:r>
            <w:r w:rsidR="008D538C" w:rsidRPr="00903BA3">
              <w:rPr>
                <w:rFonts w:ascii="Times New Roman" w:hAnsi="Times New Roman" w:cs="Times New Roman"/>
                <w:i/>
                <w:sz w:val="22"/>
                <w:szCs w:val="22"/>
              </w:rPr>
              <w:t xml:space="preserve">. </w:t>
            </w:r>
          </w:p>
          <w:p w:rsidR="000B4801" w:rsidRPr="00903BA3" w:rsidRDefault="000B4801" w:rsidP="000B4801">
            <w:pPr>
              <w:pStyle w:val="Style2"/>
              <w:widowControl/>
              <w:spacing w:line="269" w:lineRule="exact"/>
              <w:rPr>
                <w:rFonts w:ascii="Times New Roman" w:hAnsi="Times New Roman" w:cs="Times New Roman"/>
                <w:i/>
                <w:sz w:val="22"/>
                <w:szCs w:val="22"/>
              </w:rPr>
            </w:pPr>
          </w:p>
          <w:p w:rsidR="00CC17DA" w:rsidRDefault="00841E05" w:rsidP="000B4801">
            <w:pPr>
              <w:rPr>
                <w:i/>
                <w:sz w:val="22"/>
                <w:szCs w:val="22"/>
              </w:rPr>
            </w:pPr>
            <w:r w:rsidRPr="00903BA3">
              <w:rPr>
                <w:i/>
                <w:sz w:val="22"/>
                <w:szCs w:val="22"/>
              </w:rPr>
              <w:t>At the time of a</w:t>
            </w:r>
            <w:r w:rsidR="00CC17DA" w:rsidRPr="00903BA3">
              <w:rPr>
                <w:i/>
                <w:sz w:val="22"/>
                <w:szCs w:val="22"/>
              </w:rPr>
              <w:t xml:space="preserve"> physical or operational change</w:t>
            </w:r>
            <w:r w:rsidRPr="00903BA3">
              <w:rPr>
                <w:i/>
                <w:sz w:val="22"/>
                <w:szCs w:val="22"/>
              </w:rPr>
              <w:t>, actual emissions</w:t>
            </w:r>
            <w:r w:rsidR="00CC17DA" w:rsidRPr="00903BA3">
              <w:rPr>
                <w:i/>
                <w:sz w:val="22"/>
                <w:szCs w:val="22"/>
              </w:rPr>
              <w:t xml:space="preserve"> may be more or less than the netting basis</w:t>
            </w:r>
            <w:r w:rsidR="008D538C" w:rsidRPr="00903BA3">
              <w:rPr>
                <w:i/>
                <w:sz w:val="22"/>
                <w:szCs w:val="22"/>
              </w:rPr>
              <w:t xml:space="preserve">. </w:t>
            </w:r>
            <w:r w:rsidR="00CC17DA" w:rsidRPr="00903BA3">
              <w:rPr>
                <w:i/>
                <w:sz w:val="22"/>
                <w:szCs w:val="22"/>
              </w:rPr>
              <w:t>This is because the PSEL could have been increased to allow utilization of existing capacity</w:t>
            </w:r>
            <w:r w:rsidR="005A4F45" w:rsidRPr="00903BA3">
              <w:rPr>
                <w:i/>
                <w:sz w:val="22"/>
                <w:szCs w:val="22"/>
              </w:rPr>
              <w:t>,</w:t>
            </w:r>
            <w:r w:rsidR="00CC17DA" w:rsidRPr="00903BA3">
              <w:rPr>
                <w:i/>
                <w:sz w:val="22"/>
                <w:szCs w:val="22"/>
              </w:rPr>
              <w:t xml:space="preserve"> and the source may be operating at higher capacity than in the baseline period</w:t>
            </w:r>
            <w:r w:rsidR="00E718D3" w:rsidRPr="00903BA3">
              <w:rPr>
                <w:i/>
                <w:sz w:val="22"/>
                <w:szCs w:val="22"/>
              </w:rPr>
              <w:t xml:space="preserve"> or the emissions may have decreased due to voluntary reductions</w:t>
            </w:r>
            <w:r w:rsidR="008D538C" w:rsidRPr="00903BA3">
              <w:rPr>
                <w:i/>
                <w:sz w:val="22"/>
                <w:szCs w:val="22"/>
              </w:rPr>
              <w:t xml:space="preserve">. </w:t>
            </w:r>
            <w:r w:rsidR="00CC17DA" w:rsidRPr="00903BA3">
              <w:rPr>
                <w:i/>
                <w:sz w:val="22"/>
                <w:szCs w:val="22"/>
              </w:rPr>
              <w:t xml:space="preserve">If the </w:t>
            </w:r>
            <w:r w:rsidR="005A4F45" w:rsidRPr="00903BA3">
              <w:rPr>
                <w:i/>
                <w:sz w:val="22"/>
                <w:szCs w:val="22"/>
              </w:rPr>
              <w:t xml:space="preserve">contemporaneous </w:t>
            </w:r>
            <w:r w:rsidR="00CC17DA" w:rsidRPr="00903BA3">
              <w:rPr>
                <w:i/>
                <w:sz w:val="22"/>
                <w:szCs w:val="22"/>
              </w:rPr>
              <w:t xml:space="preserve">actual emissions are greater than the netting basis, </w:t>
            </w:r>
            <w:r w:rsidR="00792C31" w:rsidRPr="00903BA3">
              <w:rPr>
                <w:i/>
                <w:sz w:val="22"/>
                <w:szCs w:val="22"/>
              </w:rPr>
              <w:t xml:space="preserve">this component of </w:t>
            </w:r>
            <w:r w:rsidR="00CC17DA" w:rsidRPr="00903BA3">
              <w:rPr>
                <w:i/>
                <w:sz w:val="22"/>
                <w:szCs w:val="22"/>
              </w:rPr>
              <w:t xml:space="preserve">the </w:t>
            </w:r>
            <w:r w:rsidR="00E718D3" w:rsidRPr="00903BA3">
              <w:rPr>
                <w:i/>
                <w:sz w:val="22"/>
                <w:szCs w:val="22"/>
              </w:rPr>
              <w:t xml:space="preserve">Oregon </w:t>
            </w:r>
            <w:r w:rsidR="00CC17DA" w:rsidRPr="00903BA3">
              <w:rPr>
                <w:i/>
                <w:sz w:val="22"/>
                <w:szCs w:val="22"/>
              </w:rPr>
              <w:t xml:space="preserve">NSR/PSD test is a more </w:t>
            </w:r>
            <w:r w:rsidR="00E718D3" w:rsidRPr="00903BA3">
              <w:rPr>
                <w:i/>
                <w:sz w:val="22"/>
                <w:szCs w:val="22"/>
              </w:rPr>
              <w:t>stringent</w:t>
            </w:r>
            <w:r w:rsidR="00CC17DA" w:rsidRPr="00903BA3">
              <w:rPr>
                <w:i/>
                <w:sz w:val="22"/>
                <w:szCs w:val="22"/>
              </w:rPr>
              <w:t xml:space="preserve"> test</w:t>
            </w:r>
            <w:r w:rsidR="00E718D3" w:rsidRPr="00903BA3">
              <w:rPr>
                <w:i/>
                <w:sz w:val="22"/>
                <w:szCs w:val="22"/>
              </w:rPr>
              <w:t xml:space="preserve"> than the federal</w:t>
            </w:r>
            <w:r w:rsidR="00205B45" w:rsidRPr="00903BA3">
              <w:rPr>
                <w:i/>
                <w:sz w:val="22"/>
                <w:szCs w:val="22"/>
              </w:rPr>
              <w:t>.</w:t>
            </w:r>
            <w:r w:rsidR="00CC17DA" w:rsidRPr="00903BA3">
              <w:rPr>
                <w:i/>
                <w:sz w:val="22"/>
                <w:szCs w:val="22"/>
              </w:rPr>
              <w:t xml:space="preserve"> If the </w:t>
            </w:r>
            <w:r w:rsidR="00803D81" w:rsidRPr="00903BA3">
              <w:rPr>
                <w:i/>
                <w:sz w:val="22"/>
                <w:szCs w:val="22"/>
              </w:rPr>
              <w:t xml:space="preserve">contemporaneous </w:t>
            </w:r>
            <w:r w:rsidR="00CC17DA" w:rsidRPr="00903BA3">
              <w:rPr>
                <w:i/>
                <w:sz w:val="22"/>
                <w:szCs w:val="22"/>
              </w:rPr>
              <w:t>actual emissions are less than the netting basis</w:t>
            </w:r>
            <w:r w:rsidR="00E718D3" w:rsidRPr="00903BA3">
              <w:rPr>
                <w:i/>
                <w:sz w:val="22"/>
                <w:szCs w:val="22"/>
              </w:rPr>
              <w:t>,</w:t>
            </w:r>
            <w:r w:rsidR="00CC17DA" w:rsidRPr="00903BA3">
              <w:rPr>
                <w:i/>
                <w:sz w:val="22"/>
                <w:szCs w:val="22"/>
              </w:rPr>
              <w:t xml:space="preserve"> </w:t>
            </w:r>
            <w:r w:rsidR="00792C31" w:rsidRPr="00903BA3">
              <w:rPr>
                <w:i/>
                <w:sz w:val="22"/>
                <w:szCs w:val="22"/>
              </w:rPr>
              <w:t xml:space="preserve">this component of </w:t>
            </w:r>
            <w:r w:rsidR="00CC17DA" w:rsidRPr="00903BA3">
              <w:rPr>
                <w:i/>
                <w:sz w:val="22"/>
                <w:szCs w:val="22"/>
              </w:rPr>
              <w:t xml:space="preserve">the </w:t>
            </w:r>
            <w:r w:rsidR="00E718D3" w:rsidRPr="00903BA3">
              <w:rPr>
                <w:i/>
                <w:sz w:val="22"/>
                <w:szCs w:val="22"/>
              </w:rPr>
              <w:t xml:space="preserve">Oregon </w:t>
            </w:r>
            <w:r w:rsidR="00CC17DA" w:rsidRPr="00903BA3">
              <w:rPr>
                <w:i/>
                <w:sz w:val="22"/>
                <w:szCs w:val="22"/>
              </w:rPr>
              <w:t xml:space="preserve">NSR/PSD test may be less </w:t>
            </w:r>
            <w:r w:rsidR="00E718D3" w:rsidRPr="00903BA3">
              <w:rPr>
                <w:i/>
                <w:sz w:val="22"/>
                <w:szCs w:val="22"/>
              </w:rPr>
              <w:t>stringent than the federal</w:t>
            </w:r>
            <w:r w:rsidR="008D538C" w:rsidRPr="00903BA3">
              <w:rPr>
                <w:i/>
                <w:sz w:val="22"/>
                <w:szCs w:val="22"/>
              </w:rPr>
              <w:t xml:space="preserve">. </w:t>
            </w:r>
            <w:r w:rsidR="00CC17DA" w:rsidRPr="00903BA3">
              <w:rPr>
                <w:i/>
                <w:sz w:val="22"/>
                <w:szCs w:val="22"/>
              </w:rPr>
              <w:t xml:space="preserve">In </w:t>
            </w:r>
            <w:r w:rsidR="00792C31" w:rsidRPr="00903BA3">
              <w:rPr>
                <w:i/>
                <w:sz w:val="22"/>
                <w:szCs w:val="22"/>
              </w:rPr>
              <w:t>both cases, however</w:t>
            </w:r>
            <w:r w:rsidR="00CC17DA" w:rsidRPr="00903BA3">
              <w:rPr>
                <w:i/>
                <w:sz w:val="22"/>
                <w:szCs w:val="22"/>
              </w:rPr>
              <w:t xml:space="preserve">, using the PTE after the physical change in the NSR/PSD test makes the </w:t>
            </w:r>
            <w:r w:rsidR="00792C31" w:rsidRPr="00903BA3">
              <w:rPr>
                <w:i/>
                <w:sz w:val="22"/>
                <w:szCs w:val="22"/>
              </w:rPr>
              <w:t xml:space="preserve">Oregon </w:t>
            </w:r>
            <w:r w:rsidR="00CC17DA" w:rsidRPr="00903BA3">
              <w:rPr>
                <w:i/>
                <w:sz w:val="22"/>
                <w:szCs w:val="22"/>
              </w:rPr>
              <w:t xml:space="preserve">test more likely to trigger NSR/PSD than if the projected actual emissions were used </w:t>
            </w:r>
            <w:r w:rsidR="00792C31" w:rsidRPr="00903BA3">
              <w:rPr>
                <w:i/>
                <w:sz w:val="22"/>
                <w:szCs w:val="22"/>
              </w:rPr>
              <w:t xml:space="preserve">as </w:t>
            </w:r>
            <w:r w:rsidR="00CC17DA" w:rsidRPr="00903BA3">
              <w:rPr>
                <w:i/>
                <w:sz w:val="22"/>
                <w:szCs w:val="22"/>
              </w:rPr>
              <w:t xml:space="preserve">in the </w:t>
            </w:r>
            <w:r w:rsidR="00792C31" w:rsidRPr="00903BA3">
              <w:rPr>
                <w:i/>
                <w:sz w:val="22"/>
                <w:szCs w:val="22"/>
              </w:rPr>
              <w:t xml:space="preserve">federal </w:t>
            </w:r>
            <w:r w:rsidR="00CC17DA" w:rsidRPr="00903BA3">
              <w:rPr>
                <w:i/>
                <w:sz w:val="22"/>
                <w:szCs w:val="22"/>
              </w:rPr>
              <w:t>test.</w:t>
            </w:r>
          </w:p>
          <w:p w:rsidR="000B4801" w:rsidRPr="00903BA3" w:rsidRDefault="000B4801" w:rsidP="000B4801">
            <w:pPr>
              <w:rPr>
                <w:i/>
                <w:sz w:val="22"/>
                <w:szCs w:val="22"/>
              </w:rPr>
            </w:pPr>
          </w:p>
          <w:p w:rsidR="007B44E6" w:rsidRDefault="007B44E6" w:rsidP="000B4801">
            <w:pPr>
              <w:rPr>
                <w:i/>
                <w:sz w:val="22"/>
                <w:szCs w:val="22"/>
              </w:rPr>
            </w:pPr>
            <w:r w:rsidRPr="00903BA3">
              <w:rPr>
                <w:i/>
                <w:sz w:val="22"/>
                <w:szCs w:val="22"/>
              </w:rPr>
              <w:t>DEQ does not agree that PSELs are unenforceable</w:t>
            </w:r>
            <w:r w:rsidR="008D538C" w:rsidRPr="00903BA3">
              <w:rPr>
                <w:i/>
                <w:sz w:val="22"/>
                <w:szCs w:val="22"/>
              </w:rPr>
              <w:t xml:space="preserve">. </w:t>
            </w:r>
            <w:r w:rsidRPr="00903BA3">
              <w:rPr>
                <w:i/>
                <w:sz w:val="22"/>
                <w:szCs w:val="22"/>
              </w:rPr>
              <w:t>Each permit includes compliance monitoring in accordance with OAR 340-222-0080</w:t>
            </w:r>
            <w:r w:rsidR="008D538C" w:rsidRPr="00903BA3">
              <w:rPr>
                <w:i/>
                <w:sz w:val="22"/>
                <w:szCs w:val="22"/>
              </w:rPr>
              <w:t xml:space="preserve">. </w:t>
            </w:r>
            <w:r w:rsidR="00841E05" w:rsidRPr="00903BA3">
              <w:rPr>
                <w:i/>
                <w:sz w:val="22"/>
                <w:szCs w:val="22"/>
              </w:rPr>
              <w:t>This monitoring meets the federal requirement to be practically enforceable because it can be determined on at least a monthly basis</w:t>
            </w:r>
            <w:r w:rsidR="008D538C" w:rsidRPr="00903BA3">
              <w:rPr>
                <w:i/>
                <w:sz w:val="22"/>
                <w:szCs w:val="22"/>
              </w:rPr>
              <w:t xml:space="preserve">. </w:t>
            </w:r>
            <w:r w:rsidRPr="00903BA3">
              <w:rPr>
                <w:i/>
                <w:sz w:val="22"/>
                <w:szCs w:val="22"/>
              </w:rPr>
              <w:t>If a source violates the PSEL, DEQ is able to take direct enforcement action against the source</w:t>
            </w:r>
            <w:r w:rsidR="008D538C" w:rsidRPr="00903BA3">
              <w:rPr>
                <w:i/>
                <w:sz w:val="22"/>
                <w:szCs w:val="22"/>
              </w:rPr>
              <w:t xml:space="preserve">. </w:t>
            </w:r>
          </w:p>
          <w:p w:rsidR="000B4801" w:rsidRPr="00903BA3" w:rsidRDefault="000B4801" w:rsidP="000B4801">
            <w:pPr>
              <w:rPr>
                <w:i/>
                <w:sz w:val="22"/>
                <w:szCs w:val="22"/>
                <w:highlight w:val="yellow"/>
              </w:rPr>
            </w:pPr>
          </w:p>
        </w:tc>
      </w:tr>
      <w:tr w:rsidR="00487C2E"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487C2E" w:rsidRPr="00903BA3" w:rsidRDefault="000B4801" w:rsidP="000B4801">
            <w:pPr>
              <w:ind w:right="-115"/>
              <w:rPr>
                <w:bCs/>
                <w:sz w:val="22"/>
                <w:szCs w:val="22"/>
              </w:rPr>
            </w:pPr>
            <w:bookmarkStart w:id="6" w:name="_Ref285017732"/>
            <w:r>
              <w:rPr>
                <w:bCs/>
                <w:sz w:val="22"/>
                <w:szCs w:val="22"/>
              </w:rPr>
              <w:t xml:space="preserve">25. </w:t>
            </w:r>
            <w:bookmarkEnd w:id="6"/>
            <w:r w:rsidR="00487C2E" w:rsidRPr="00903BA3">
              <w:rPr>
                <w:bCs/>
                <w:sz w:val="22"/>
                <w:szCs w:val="22"/>
              </w:rPr>
              <w:t>Netting basis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87C2E" w:rsidRDefault="00487C2E" w:rsidP="000B4801">
            <w:pPr>
              <w:rPr>
                <w:sz w:val="22"/>
                <w:szCs w:val="22"/>
              </w:rPr>
            </w:pPr>
            <w:r w:rsidRPr="00903BA3">
              <w:rPr>
                <w:sz w:val="22"/>
                <w:szCs w:val="22"/>
              </w:rPr>
              <w:t>DEQ recently released an interpretation of “netting basis” in regards to PGE’s Boardman plant. This interpretation stated that decreases required by rule would take effect on the netting basis upon adoption by the agency. PGE had announced plans to build an entirely new generating facility at the Boardman site. Without this new DEQ interpretation of netting basis, PGE could have constructed that new facility without ever subjecting it to PSD review because their actual emissions were massively below their allowable emissions</w:t>
            </w:r>
            <w:r w:rsidR="008D538C" w:rsidRPr="00903BA3">
              <w:rPr>
                <w:sz w:val="22"/>
                <w:szCs w:val="22"/>
              </w:rPr>
              <w:t xml:space="preserve">. </w:t>
            </w:r>
            <w:r w:rsidR="00452C6C" w:rsidRPr="00903BA3">
              <w:rPr>
                <w:sz w:val="22"/>
                <w:szCs w:val="22"/>
              </w:rPr>
              <w:t>P</w:t>
            </w:r>
            <w:r w:rsidRPr="00903BA3">
              <w:rPr>
                <w:sz w:val="22"/>
                <w:szCs w:val="22"/>
              </w:rPr>
              <w:t>GE would not have had to increase their PSEL to allow operation of the new facility, and therefore would not trigger PSD review.</w:t>
            </w:r>
          </w:p>
          <w:p w:rsidR="000B4801" w:rsidRPr="00903BA3" w:rsidRDefault="000B4801" w:rsidP="000B4801">
            <w:pPr>
              <w:rPr>
                <w:sz w:val="22"/>
                <w:szCs w:val="22"/>
              </w:rPr>
            </w:pPr>
          </w:p>
          <w:p w:rsidR="00487C2E" w:rsidRDefault="00487C2E" w:rsidP="000B4801">
            <w:pPr>
              <w:rPr>
                <w:sz w:val="22"/>
                <w:szCs w:val="22"/>
              </w:rPr>
            </w:pPr>
            <w:r w:rsidRPr="00903BA3">
              <w:rPr>
                <w:sz w:val="22"/>
                <w:szCs w:val="22"/>
              </w:rPr>
              <w:t>As commenters pointed out in response to DEQ’s proposed permit for PGE Boardman</w:t>
            </w:r>
            <w:r w:rsidR="00672F9B" w:rsidRPr="00903BA3">
              <w:rPr>
                <w:sz w:val="22"/>
                <w:szCs w:val="22"/>
              </w:rPr>
              <w:t>,</w:t>
            </w:r>
            <w:r w:rsidRPr="00903BA3">
              <w:rPr>
                <w:sz w:val="22"/>
                <w:szCs w:val="22"/>
              </w:rPr>
              <w:t xml:space="preserve"> </w:t>
            </w:r>
            <w:r w:rsidRPr="00903BA3">
              <w:rPr>
                <w:sz w:val="22"/>
                <w:szCs w:val="22"/>
              </w:rPr>
              <w:lastRenderedPageBreak/>
              <w:t>which advanced this new interpretation, the interpretation would lead to absurd results, potentially subjecting facilities to PSD review for projects that decreased emissions.</w:t>
            </w:r>
            <w:r w:rsidR="00623B37" w:rsidRPr="00903BA3">
              <w:rPr>
                <w:sz w:val="22"/>
                <w:szCs w:val="22"/>
              </w:rPr>
              <w:t xml:space="preserve"> </w:t>
            </w:r>
            <w:r w:rsidRPr="00903BA3">
              <w:rPr>
                <w:sz w:val="22"/>
                <w:szCs w:val="22"/>
              </w:rPr>
              <w:t>(12)</w:t>
            </w:r>
          </w:p>
          <w:p w:rsidR="000B4801" w:rsidRPr="00903BA3" w:rsidRDefault="000B4801" w:rsidP="000B4801">
            <w:pPr>
              <w:rPr>
                <w:sz w:val="22"/>
                <w:szCs w:val="22"/>
              </w:rPr>
            </w:pPr>
          </w:p>
          <w:p w:rsidR="00487C2E" w:rsidRPr="00903BA3" w:rsidRDefault="00487C2E" w:rsidP="000B4801">
            <w:pPr>
              <w:rPr>
                <w:i/>
                <w:sz w:val="22"/>
                <w:szCs w:val="22"/>
              </w:rPr>
            </w:pPr>
            <w:r w:rsidRPr="00903BA3">
              <w:rPr>
                <w:i/>
                <w:sz w:val="22"/>
                <w:szCs w:val="22"/>
              </w:rPr>
              <w:t>Response:</w:t>
            </w:r>
          </w:p>
          <w:p w:rsidR="00C454F1" w:rsidRPr="00903BA3" w:rsidRDefault="00672F9B" w:rsidP="000B4801">
            <w:pPr>
              <w:rPr>
                <w:i/>
                <w:sz w:val="22"/>
                <w:szCs w:val="22"/>
              </w:rPr>
            </w:pPr>
            <w:r w:rsidRPr="00903BA3">
              <w:rPr>
                <w:i/>
                <w:sz w:val="22"/>
                <w:szCs w:val="22"/>
              </w:rPr>
              <w:t>A combination of existing rules together require that the netting basis be reduced at the time an emission standard is adopted, whereas the PSEL is reduced at the time a source is required to comply with the new emission standard. In response to the situation noted in the comment, DEQ developed an internal management directive to clarify how these rules work together</w:t>
            </w:r>
            <w:r w:rsidR="008D538C" w:rsidRPr="00903BA3">
              <w:rPr>
                <w:i/>
                <w:sz w:val="22"/>
                <w:szCs w:val="22"/>
              </w:rPr>
              <w:t xml:space="preserve">. </w:t>
            </w:r>
            <w:r w:rsidR="007013DF" w:rsidRPr="00903BA3">
              <w:rPr>
                <w:i/>
                <w:sz w:val="22"/>
                <w:szCs w:val="22"/>
              </w:rPr>
              <w:t>I</w:t>
            </w:r>
            <w:r w:rsidR="00C454F1" w:rsidRPr="00903BA3">
              <w:rPr>
                <w:i/>
                <w:sz w:val="22"/>
                <w:szCs w:val="22"/>
              </w:rPr>
              <w:t>f the netting basis is not reduced at the time the rule requiring a reduction is adopted, the source could reduce emissions prior to the compliance date (in this case, up to 7 years later) and use the emission reductions to avoid PSD for other projects</w:t>
            </w:r>
            <w:r w:rsidR="008D538C" w:rsidRPr="00903BA3">
              <w:rPr>
                <w:i/>
                <w:sz w:val="22"/>
                <w:szCs w:val="22"/>
              </w:rPr>
              <w:t xml:space="preserve">. </w:t>
            </w:r>
            <w:r w:rsidR="007013DF" w:rsidRPr="00903BA3">
              <w:rPr>
                <w:i/>
                <w:sz w:val="22"/>
                <w:szCs w:val="22"/>
              </w:rPr>
              <w:t>This would result in a source using a rule-required reduction in netting, which is not allowed under Oregon’s federally approved State Implementation Plan</w:t>
            </w:r>
            <w:r w:rsidR="008D538C" w:rsidRPr="00903BA3">
              <w:rPr>
                <w:i/>
                <w:sz w:val="22"/>
                <w:szCs w:val="22"/>
              </w:rPr>
              <w:t xml:space="preserve">. </w:t>
            </w:r>
          </w:p>
          <w:p w:rsidR="000B4801" w:rsidRDefault="000B4801" w:rsidP="000B4801">
            <w:pPr>
              <w:rPr>
                <w:i/>
                <w:sz w:val="22"/>
                <w:szCs w:val="22"/>
              </w:rPr>
            </w:pPr>
          </w:p>
          <w:p w:rsidR="00797A80" w:rsidRPr="00903BA3" w:rsidRDefault="00816B16" w:rsidP="000B4801">
            <w:pPr>
              <w:rPr>
                <w:i/>
                <w:sz w:val="22"/>
                <w:szCs w:val="22"/>
              </w:rPr>
            </w:pPr>
            <w:r w:rsidRPr="00903BA3">
              <w:rPr>
                <w:i/>
                <w:sz w:val="22"/>
                <w:szCs w:val="22"/>
              </w:rPr>
              <w:t>The commenter mentioned that facilities could be subject to PSD review for projects that decreased emissions</w:t>
            </w:r>
            <w:r w:rsidR="00452C6C" w:rsidRPr="00903BA3">
              <w:rPr>
                <w:i/>
                <w:sz w:val="22"/>
                <w:szCs w:val="22"/>
              </w:rPr>
              <w:t>, which</w:t>
            </w:r>
            <w:r w:rsidRPr="00903BA3">
              <w:rPr>
                <w:i/>
                <w:sz w:val="22"/>
                <w:szCs w:val="22"/>
              </w:rPr>
              <w:t xml:space="preserve"> is correct. The two part test for whether a major modification is triggered is a physical change or a change in the method of operation and a PSEL that results in an increase over the netting basis by more than the significant emission rate. A source’s projected PSEL from the major modification could actually decrease from its current PSEL and still trigger NSR/PS</w:t>
            </w:r>
            <w:r w:rsidR="00F13228" w:rsidRPr="00903BA3">
              <w:rPr>
                <w:i/>
                <w:sz w:val="22"/>
                <w:szCs w:val="22"/>
              </w:rPr>
              <w:t>D</w:t>
            </w:r>
            <w:r w:rsidR="008D538C" w:rsidRPr="00903BA3">
              <w:rPr>
                <w:i/>
                <w:sz w:val="22"/>
                <w:szCs w:val="22"/>
              </w:rPr>
              <w:t xml:space="preserve">. </w:t>
            </w:r>
            <w:r w:rsidR="00F13228" w:rsidRPr="00903BA3">
              <w:rPr>
                <w:i/>
                <w:sz w:val="22"/>
                <w:szCs w:val="22"/>
              </w:rPr>
              <w:t>This is because a source</w:t>
            </w:r>
            <w:r w:rsidR="005209E1" w:rsidRPr="00903BA3">
              <w:rPr>
                <w:i/>
                <w:sz w:val="22"/>
                <w:szCs w:val="22"/>
              </w:rPr>
              <w:t>’s</w:t>
            </w:r>
            <w:r w:rsidR="00F13228" w:rsidRPr="00903BA3">
              <w:rPr>
                <w:i/>
                <w:sz w:val="22"/>
                <w:szCs w:val="22"/>
              </w:rPr>
              <w:t xml:space="preserve"> </w:t>
            </w:r>
            <w:r w:rsidR="005209E1" w:rsidRPr="00903BA3">
              <w:rPr>
                <w:i/>
                <w:sz w:val="22"/>
                <w:szCs w:val="22"/>
              </w:rPr>
              <w:t xml:space="preserve">PSEL can be higher than the netting basis due to the </w:t>
            </w:r>
            <w:r w:rsidR="00F13228" w:rsidRPr="00903BA3">
              <w:rPr>
                <w:i/>
                <w:sz w:val="22"/>
                <w:szCs w:val="22"/>
              </w:rPr>
              <w:t>us</w:t>
            </w:r>
            <w:r w:rsidR="005209E1" w:rsidRPr="00903BA3">
              <w:rPr>
                <w:i/>
                <w:sz w:val="22"/>
                <w:szCs w:val="22"/>
              </w:rPr>
              <w:t xml:space="preserve">e of </w:t>
            </w:r>
            <w:r w:rsidR="00F13228" w:rsidRPr="00903BA3">
              <w:rPr>
                <w:i/>
                <w:sz w:val="22"/>
                <w:szCs w:val="22"/>
              </w:rPr>
              <w:t xml:space="preserve">existing capacity as long as </w:t>
            </w:r>
            <w:r w:rsidR="00672F9B" w:rsidRPr="00903BA3">
              <w:rPr>
                <w:i/>
                <w:sz w:val="22"/>
                <w:szCs w:val="22"/>
              </w:rPr>
              <w:t>it</w:t>
            </w:r>
            <w:r w:rsidR="00F13228" w:rsidRPr="00903BA3">
              <w:rPr>
                <w:i/>
                <w:sz w:val="22"/>
                <w:szCs w:val="22"/>
              </w:rPr>
              <w:t xml:space="preserve"> </w:t>
            </w:r>
            <w:r w:rsidR="00672F9B" w:rsidRPr="00903BA3">
              <w:rPr>
                <w:i/>
                <w:sz w:val="22"/>
                <w:szCs w:val="22"/>
              </w:rPr>
              <w:t>has</w:t>
            </w:r>
            <w:r w:rsidR="00F13228" w:rsidRPr="00903BA3">
              <w:rPr>
                <w:i/>
                <w:sz w:val="22"/>
                <w:szCs w:val="22"/>
              </w:rPr>
              <w:t xml:space="preserve"> not made a physical change or a change in the method of operation at the facility</w:t>
            </w:r>
            <w:r w:rsidR="008D538C" w:rsidRPr="00903BA3">
              <w:rPr>
                <w:i/>
                <w:sz w:val="22"/>
                <w:szCs w:val="22"/>
              </w:rPr>
              <w:t xml:space="preserve">. </w:t>
            </w:r>
            <w:r w:rsidR="005209E1" w:rsidRPr="00903BA3">
              <w:rPr>
                <w:i/>
                <w:sz w:val="22"/>
                <w:szCs w:val="22"/>
              </w:rPr>
              <w:t xml:space="preserve">The PSEL can also be higher than the netting basis because of previously approved increases </w:t>
            </w:r>
            <w:r w:rsidR="00255965" w:rsidRPr="00903BA3">
              <w:rPr>
                <w:i/>
                <w:sz w:val="22"/>
                <w:szCs w:val="22"/>
              </w:rPr>
              <w:t xml:space="preserve">due to physical modifications </w:t>
            </w:r>
            <w:r w:rsidR="005209E1" w:rsidRPr="00903BA3">
              <w:rPr>
                <w:i/>
                <w:sz w:val="22"/>
                <w:szCs w:val="22"/>
              </w:rPr>
              <w:t>that did not trigger NSR/PSD</w:t>
            </w:r>
            <w:r w:rsidR="008D538C" w:rsidRPr="00903BA3">
              <w:rPr>
                <w:i/>
                <w:sz w:val="22"/>
                <w:szCs w:val="22"/>
              </w:rPr>
              <w:t xml:space="preserve">. </w:t>
            </w:r>
            <w:r w:rsidR="005209E1" w:rsidRPr="00903BA3">
              <w:rPr>
                <w:i/>
                <w:sz w:val="22"/>
                <w:szCs w:val="22"/>
              </w:rPr>
              <w:t>If the source then makes a physical change or change in the method of operation, the new PSEL can be lower than the existing PSEL but over the netting basis by more than a significant emission rate</w:t>
            </w:r>
            <w:r w:rsidR="008D538C" w:rsidRPr="00903BA3">
              <w:rPr>
                <w:i/>
                <w:sz w:val="22"/>
                <w:szCs w:val="22"/>
              </w:rPr>
              <w:t xml:space="preserve">. </w:t>
            </w:r>
            <w:r w:rsidR="005209E1" w:rsidRPr="00903BA3">
              <w:rPr>
                <w:i/>
                <w:sz w:val="22"/>
                <w:szCs w:val="22"/>
              </w:rPr>
              <w:t>Increases in the PSEL from the use of existing capacity must be tracked separately from increases due to physical modifications</w:t>
            </w:r>
            <w:r w:rsidR="008D538C" w:rsidRPr="00903BA3">
              <w:rPr>
                <w:i/>
                <w:sz w:val="22"/>
                <w:szCs w:val="22"/>
              </w:rPr>
              <w:t xml:space="preserve">. </w:t>
            </w:r>
          </w:p>
          <w:p w:rsidR="000B4801" w:rsidRDefault="000B4801" w:rsidP="000B4801">
            <w:pPr>
              <w:rPr>
                <w:i/>
                <w:sz w:val="22"/>
                <w:szCs w:val="22"/>
              </w:rPr>
            </w:pPr>
          </w:p>
          <w:p w:rsidR="00672F9B" w:rsidRPr="00903BA3" w:rsidRDefault="00672F9B" w:rsidP="000B4801">
            <w:pPr>
              <w:rPr>
                <w:i/>
                <w:sz w:val="22"/>
                <w:szCs w:val="22"/>
              </w:rPr>
            </w:pPr>
            <w:r w:rsidRPr="00903BA3">
              <w:rPr>
                <w:i/>
                <w:sz w:val="22"/>
                <w:szCs w:val="22"/>
              </w:rPr>
              <w:t>Example:</w:t>
            </w:r>
          </w:p>
          <w:tbl>
            <w:tblPr>
              <w:tblStyle w:val="TableGrid"/>
              <w:tblW w:w="8070" w:type="dxa"/>
              <w:tblLayout w:type="fixed"/>
              <w:tblLook w:val="04A0"/>
            </w:tblPr>
            <w:tblGrid>
              <w:gridCol w:w="780"/>
              <w:gridCol w:w="1260"/>
              <w:gridCol w:w="2070"/>
              <w:gridCol w:w="1800"/>
              <w:gridCol w:w="1080"/>
              <w:gridCol w:w="1080"/>
            </w:tblGrid>
            <w:tr w:rsidR="001F0131" w:rsidRPr="00903BA3" w:rsidTr="00797A80">
              <w:trPr>
                <w:trHeight w:val="917"/>
              </w:trPr>
              <w:tc>
                <w:tcPr>
                  <w:tcW w:w="780" w:type="dxa"/>
                </w:tcPr>
                <w:p w:rsidR="001F0131" w:rsidRPr="00903BA3" w:rsidRDefault="001F0131" w:rsidP="000B4801">
                  <w:pPr>
                    <w:jc w:val="center"/>
                    <w:rPr>
                      <w:rFonts w:ascii="Times New Roman" w:hAnsi="Times New Roman" w:cs="Times New Roman"/>
                      <w:i/>
                    </w:rPr>
                  </w:pPr>
                  <w:r w:rsidRPr="00903BA3">
                    <w:rPr>
                      <w:rFonts w:ascii="Times New Roman" w:hAnsi="Times New Roman" w:cs="Times New Roman"/>
                      <w:i/>
                    </w:rPr>
                    <w:t>Year</w:t>
                  </w:r>
                </w:p>
              </w:tc>
              <w:tc>
                <w:tcPr>
                  <w:tcW w:w="1260" w:type="dxa"/>
                </w:tcPr>
                <w:p w:rsidR="001F0131" w:rsidRPr="00903BA3" w:rsidRDefault="001F0131" w:rsidP="000B4801">
                  <w:pPr>
                    <w:jc w:val="center"/>
                    <w:rPr>
                      <w:rFonts w:ascii="Times New Roman" w:hAnsi="Times New Roman" w:cs="Times New Roman"/>
                      <w:i/>
                    </w:rPr>
                  </w:pPr>
                  <w:r w:rsidRPr="00903BA3">
                    <w:rPr>
                      <w:rFonts w:ascii="Times New Roman" w:hAnsi="Times New Roman" w:cs="Times New Roman"/>
                      <w:i/>
                    </w:rPr>
                    <w:t>Netting Basis</w:t>
                  </w:r>
                </w:p>
                <w:p w:rsidR="001F0131" w:rsidRPr="00903BA3" w:rsidRDefault="001F0131" w:rsidP="000B4801">
                  <w:pPr>
                    <w:jc w:val="center"/>
                    <w:rPr>
                      <w:rFonts w:ascii="Times New Roman" w:hAnsi="Times New Roman" w:cs="Times New Roman"/>
                      <w:i/>
                    </w:rPr>
                  </w:pPr>
                  <w:r w:rsidRPr="00903BA3">
                    <w:rPr>
                      <w:rFonts w:ascii="Times New Roman" w:hAnsi="Times New Roman" w:cs="Times New Roman"/>
                      <w:i/>
                    </w:rPr>
                    <w:t>(tpy)</w:t>
                  </w:r>
                </w:p>
              </w:tc>
              <w:tc>
                <w:tcPr>
                  <w:tcW w:w="2070" w:type="dxa"/>
                </w:tcPr>
                <w:p w:rsidR="00AC25FF" w:rsidRPr="00903BA3" w:rsidRDefault="001F0131" w:rsidP="000B4801">
                  <w:pPr>
                    <w:jc w:val="center"/>
                    <w:rPr>
                      <w:rFonts w:ascii="Times New Roman" w:hAnsi="Times New Roman" w:cs="Times New Roman"/>
                      <w:i/>
                    </w:rPr>
                  </w:pPr>
                  <w:r w:rsidRPr="00903BA3">
                    <w:rPr>
                      <w:rFonts w:ascii="Times New Roman" w:hAnsi="Times New Roman" w:cs="Times New Roman"/>
                      <w:i/>
                    </w:rPr>
                    <w:t xml:space="preserve">PSEL increase </w:t>
                  </w:r>
                  <w:r w:rsidR="00AC25FF" w:rsidRPr="00903BA3">
                    <w:rPr>
                      <w:rFonts w:ascii="Times New Roman" w:hAnsi="Times New Roman" w:cs="Times New Roman"/>
                      <w:i/>
                    </w:rPr>
                    <w:t>[</w:t>
                  </w:r>
                  <w:r w:rsidRPr="00903BA3">
                    <w:rPr>
                      <w:rFonts w:ascii="Times New Roman" w:hAnsi="Times New Roman" w:cs="Times New Roman"/>
                      <w:i/>
                    </w:rPr>
                    <w:t>existing capacity</w:t>
                  </w:r>
                  <w:r w:rsidR="00AC25FF" w:rsidRPr="00903BA3">
                    <w:rPr>
                      <w:rFonts w:ascii="Times New Roman" w:hAnsi="Times New Roman" w:cs="Times New Roman"/>
                      <w:i/>
                    </w:rPr>
                    <w:t>]</w:t>
                  </w:r>
                </w:p>
                <w:p w:rsidR="001F0131" w:rsidRPr="00903BA3" w:rsidRDefault="001F0131" w:rsidP="000B4801">
                  <w:pPr>
                    <w:jc w:val="center"/>
                    <w:rPr>
                      <w:rFonts w:ascii="Times New Roman" w:hAnsi="Times New Roman" w:cs="Times New Roman"/>
                      <w:i/>
                    </w:rPr>
                  </w:pPr>
                  <w:r w:rsidRPr="00903BA3">
                    <w:rPr>
                      <w:rFonts w:ascii="Times New Roman" w:hAnsi="Times New Roman" w:cs="Times New Roman"/>
                      <w:i/>
                    </w:rPr>
                    <w:t>(tpy)</w:t>
                  </w:r>
                </w:p>
              </w:tc>
              <w:tc>
                <w:tcPr>
                  <w:tcW w:w="1800" w:type="dxa"/>
                </w:tcPr>
                <w:p w:rsidR="00AC25FF" w:rsidRPr="00903BA3" w:rsidRDefault="001F0131" w:rsidP="000B4801">
                  <w:pPr>
                    <w:jc w:val="center"/>
                    <w:rPr>
                      <w:rFonts w:ascii="Times New Roman" w:hAnsi="Times New Roman" w:cs="Times New Roman"/>
                      <w:i/>
                    </w:rPr>
                  </w:pPr>
                  <w:r w:rsidRPr="00903BA3">
                    <w:rPr>
                      <w:rFonts w:ascii="Times New Roman" w:hAnsi="Times New Roman" w:cs="Times New Roman"/>
                      <w:i/>
                    </w:rPr>
                    <w:t xml:space="preserve">PSEL increase </w:t>
                  </w:r>
                  <w:r w:rsidR="00AC25FF" w:rsidRPr="00903BA3">
                    <w:rPr>
                      <w:rFonts w:ascii="Times New Roman" w:hAnsi="Times New Roman" w:cs="Times New Roman"/>
                      <w:i/>
                    </w:rPr>
                    <w:t>[</w:t>
                  </w:r>
                  <w:r w:rsidRPr="00903BA3">
                    <w:rPr>
                      <w:rFonts w:ascii="Times New Roman" w:hAnsi="Times New Roman" w:cs="Times New Roman"/>
                      <w:i/>
                    </w:rPr>
                    <w:t>new equipment</w:t>
                  </w:r>
                  <w:r w:rsidR="00AC25FF" w:rsidRPr="00903BA3">
                    <w:rPr>
                      <w:rFonts w:ascii="Times New Roman" w:hAnsi="Times New Roman" w:cs="Times New Roman"/>
                      <w:i/>
                    </w:rPr>
                    <w:t>]</w:t>
                  </w:r>
                </w:p>
                <w:p w:rsidR="001F0131" w:rsidRPr="00903BA3" w:rsidRDefault="001F0131" w:rsidP="000B4801">
                  <w:pPr>
                    <w:jc w:val="center"/>
                    <w:rPr>
                      <w:rFonts w:ascii="Times New Roman" w:hAnsi="Times New Roman" w:cs="Times New Roman"/>
                      <w:i/>
                    </w:rPr>
                  </w:pPr>
                  <w:r w:rsidRPr="00903BA3">
                    <w:rPr>
                      <w:rFonts w:ascii="Times New Roman" w:hAnsi="Times New Roman" w:cs="Times New Roman"/>
                      <w:i/>
                    </w:rPr>
                    <w:t>(tpy)</w:t>
                  </w:r>
                </w:p>
              </w:tc>
              <w:tc>
                <w:tcPr>
                  <w:tcW w:w="1080" w:type="dxa"/>
                </w:tcPr>
                <w:p w:rsidR="00AC25FF" w:rsidRPr="00903BA3" w:rsidRDefault="001F0131" w:rsidP="000B4801">
                  <w:pPr>
                    <w:jc w:val="center"/>
                    <w:rPr>
                      <w:rFonts w:ascii="Times New Roman" w:hAnsi="Times New Roman" w:cs="Times New Roman"/>
                      <w:i/>
                    </w:rPr>
                  </w:pPr>
                  <w:r w:rsidRPr="00903BA3">
                    <w:rPr>
                      <w:rFonts w:ascii="Times New Roman" w:hAnsi="Times New Roman" w:cs="Times New Roman"/>
                      <w:i/>
                    </w:rPr>
                    <w:t>PSEL</w:t>
                  </w:r>
                </w:p>
                <w:p w:rsidR="001F0131" w:rsidRPr="00903BA3" w:rsidRDefault="001F0131" w:rsidP="000B4801">
                  <w:pPr>
                    <w:jc w:val="center"/>
                    <w:rPr>
                      <w:rFonts w:ascii="Times New Roman" w:hAnsi="Times New Roman" w:cs="Times New Roman"/>
                      <w:i/>
                    </w:rPr>
                  </w:pPr>
                  <w:r w:rsidRPr="00903BA3">
                    <w:rPr>
                      <w:rFonts w:ascii="Times New Roman" w:hAnsi="Times New Roman" w:cs="Times New Roman"/>
                      <w:i/>
                    </w:rPr>
                    <w:t>(tpy)</w:t>
                  </w:r>
                </w:p>
              </w:tc>
              <w:tc>
                <w:tcPr>
                  <w:tcW w:w="1080" w:type="dxa"/>
                </w:tcPr>
                <w:p w:rsidR="00AC25FF" w:rsidRPr="00903BA3" w:rsidRDefault="001F0131" w:rsidP="000B4801">
                  <w:pPr>
                    <w:jc w:val="center"/>
                    <w:rPr>
                      <w:rFonts w:ascii="Times New Roman" w:hAnsi="Times New Roman" w:cs="Times New Roman"/>
                      <w:i/>
                    </w:rPr>
                  </w:pPr>
                  <w:r w:rsidRPr="00903BA3">
                    <w:rPr>
                      <w:rFonts w:ascii="Times New Roman" w:hAnsi="Times New Roman" w:cs="Times New Roman"/>
                      <w:i/>
                    </w:rPr>
                    <w:t>SER</w:t>
                  </w:r>
                </w:p>
                <w:p w:rsidR="001F0131" w:rsidRPr="00903BA3" w:rsidRDefault="001F0131" w:rsidP="000B4801">
                  <w:pPr>
                    <w:jc w:val="center"/>
                    <w:rPr>
                      <w:rFonts w:ascii="Times New Roman" w:hAnsi="Times New Roman" w:cs="Times New Roman"/>
                      <w:i/>
                    </w:rPr>
                  </w:pPr>
                  <w:r w:rsidRPr="00903BA3">
                    <w:rPr>
                      <w:rFonts w:ascii="Times New Roman" w:hAnsi="Times New Roman" w:cs="Times New Roman"/>
                      <w:i/>
                    </w:rPr>
                    <w:t>(tpy)</w:t>
                  </w:r>
                </w:p>
              </w:tc>
            </w:tr>
            <w:tr w:rsidR="001F0131" w:rsidRPr="00903BA3" w:rsidTr="00797A80">
              <w:tc>
                <w:tcPr>
                  <w:tcW w:w="780" w:type="dxa"/>
                </w:tcPr>
                <w:p w:rsidR="001F0131" w:rsidRPr="00903BA3" w:rsidRDefault="001F0131" w:rsidP="000B4801">
                  <w:pPr>
                    <w:rPr>
                      <w:rFonts w:ascii="Times New Roman" w:hAnsi="Times New Roman" w:cs="Times New Roman"/>
                      <w:i/>
                    </w:rPr>
                  </w:pPr>
                  <w:r w:rsidRPr="00903BA3">
                    <w:rPr>
                      <w:rFonts w:ascii="Times New Roman" w:hAnsi="Times New Roman" w:cs="Times New Roman"/>
                      <w:i/>
                    </w:rPr>
                    <w:t>2000</w:t>
                  </w:r>
                </w:p>
              </w:tc>
              <w:tc>
                <w:tcPr>
                  <w:tcW w:w="1260" w:type="dxa"/>
                </w:tcPr>
                <w:p w:rsidR="001F0131" w:rsidRPr="00903BA3" w:rsidRDefault="001F0131" w:rsidP="000B4801">
                  <w:pPr>
                    <w:rPr>
                      <w:rFonts w:ascii="Times New Roman" w:hAnsi="Times New Roman" w:cs="Times New Roman"/>
                      <w:i/>
                    </w:rPr>
                  </w:pPr>
                  <w:r w:rsidRPr="00903BA3">
                    <w:rPr>
                      <w:rFonts w:ascii="Times New Roman" w:hAnsi="Times New Roman" w:cs="Times New Roman"/>
                      <w:i/>
                    </w:rPr>
                    <w:t>100</w:t>
                  </w:r>
                </w:p>
              </w:tc>
              <w:tc>
                <w:tcPr>
                  <w:tcW w:w="2070" w:type="dxa"/>
                </w:tcPr>
                <w:p w:rsidR="001F0131" w:rsidRPr="00903BA3" w:rsidRDefault="001F0131" w:rsidP="000B4801">
                  <w:pPr>
                    <w:rPr>
                      <w:rFonts w:ascii="Times New Roman" w:hAnsi="Times New Roman" w:cs="Times New Roman"/>
                      <w:i/>
                    </w:rPr>
                  </w:pPr>
                  <w:r w:rsidRPr="00903BA3">
                    <w:rPr>
                      <w:rFonts w:ascii="Times New Roman" w:hAnsi="Times New Roman" w:cs="Times New Roman"/>
                      <w:i/>
                    </w:rPr>
                    <w:t>30</w:t>
                  </w:r>
                </w:p>
              </w:tc>
              <w:tc>
                <w:tcPr>
                  <w:tcW w:w="1800" w:type="dxa"/>
                </w:tcPr>
                <w:p w:rsidR="001F0131" w:rsidRPr="00903BA3" w:rsidRDefault="001F0131" w:rsidP="000B4801">
                  <w:pPr>
                    <w:rPr>
                      <w:rFonts w:ascii="Times New Roman" w:hAnsi="Times New Roman" w:cs="Times New Roman"/>
                      <w:i/>
                    </w:rPr>
                  </w:pPr>
                  <w:r w:rsidRPr="00903BA3">
                    <w:rPr>
                      <w:rFonts w:ascii="Times New Roman" w:hAnsi="Times New Roman" w:cs="Times New Roman"/>
                      <w:i/>
                    </w:rPr>
                    <w:t>20</w:t>
                  </w:r>
                </w:p>
              </w:tc>
              <w:tc>
                <w:tcPr>
                  <w:tcW w:w="1080" w:type="dxa"/>
                </w:tcPr>
                <w:p w:rsidR="001F0131" w:rsidRPr="00903BA3" w:rsidRDefault="001F0131" w:rsidP="000B4801">
                  <w:pPr>
                    <w:rPr>
                      <w:rFonts w:ascii="Times New Roman" w:hAnsi="Times New Roman" w:cs="Times New Roman"/>
                      <w:i/>
                    </w:rPr>
                  </w:pPr>
                  <w:r w:rsidRPr="00903BA3">
                    <w:rPr>
                      <w:rFonts w:ascii="Times New Roman" w:hAnsi="Times New Roman" w:cs="Times New Roman"/>
                      <w:i/>
                    </w:rPr>
                    <w:t xml:space="preserve">150 </w:t>
                  </w:r>
                </w:p>
              </w:tc>
              <w:tc>
                <w:tcPr>
                  <w:tcW w:w="1080" w:type="dxa"/>
                </w:tcPr>
                <w:p w:rsidR="001F0131" w:rsidRPr="00903BA3" w:rsidRDefault="001F0131" w:rsidP="000B4801">
                  <w:pPr>
                    <w:rPr>
                      <w:rFonts w:ascii="Times New Roman" w:hAnsi="Times New Roman" w:cs="Times New Roman"/>
                      <w:i/>
                    </w:rPr>
                  </w:pPr>
                  <w:r w:rsidRPr="00903BA3">
                    <w:rPr>
                      <w:rFonts w:ascii="Times New Roman" w:hAnsi="Times New Roman" w:cs="Times New Roman"/>
                      <w:i/>
                    </w:rPr>
                    <w:t>40</w:t>
                  </w:r>
                </w:p>
              </w:tc>
            </w:tr>
            <w:tr w:rsidR="001F0131" w:rsidRPr="00903BA3" w:rsidTr="00797A80">
              <w:tc>
                <w:tcPr>
                  <w:tcW w:w="780" w:type="dxa"/>
                </w:tcPr>
                <w:p w:rsidR="001F0131" w:rsidRPr="00903BA3" w:rsidRDefault="001F0131" w:rsidP="000B4801">
                  <w:pPr>
                    <w:rPr>
                      <w:rFonts w:ascii="Times New Roman" w:hAnsi="Times New Roman" w:cs="Times New Roman"/>
                      <w:i/>
                    </w:rPr>
                  </w:pPr>
                  <w:r w:rsidRPr="00903BA3">
                    <w:rPr>
                      <w:rFonts w:ascii="Times New Roman" w:hAnsi="Times New Roman" w:cs="Times New Roman"/>
                      <w:i/>
                    </w:rPr>
                    <w:t>2009</w:t>
                  </w:r>
                </w:p>
              </w:tc>
              <w:tc>
                <w:tcPr>
                  <w:tcW w:w="1260" w:type="dxa"/>
                </w:tcPr>
                <w:p w:rsidR="001F0131" w:rsidRPr="00903BA3" w:rsidRDefault="001F0131" w:rsidP="000B4801">
                  <w:pPr>
                    <w:rPr>
                      <w:rFonts w:ascii="Times New Roman" w:hAnsi="Times New Roman" w:cs="Times New Roman"/>
                      <w:i/>
                    </w:rPr>
                  </w:pPr>
                  <w:r w:rsidRPr="00903BA3">
                    <w:rPr>
                      <w:rFonts w:ascii="Times New Roman" w:hAnsi="Times New Roman" w:cs="Times New Roman"/>
                      <w:i/>
                    </w:rPr>
                    <w:t>100</w:t>
                  </w:r>
                </w:p>
              </w:tc>
              <w:tc>
                <w:tcPr>
                  <w:tcW w:w="2070" w:type="dxa"/>
                </w:tcPr>
                <w:p w:rsidR="001F0131" w:rsidRPr="00903BA3" w:rsidRDefault="001F0131" w:rsidP="000B4801">
                  <w:pPr>
                    <w:rPr>
                      <w:rFonts w:ascii="Times New Roman" w:hAnsi="Times New Roman" w:cs="Times New Roman"/>
                      <w:i/>
                    </w:rPr>
                  </w:pPr>
                  <w:r w:rsidRPr="00903BA3">
                    <w:rPr>
                      <w:rFonts w:ascii="Times New Roman" w:hAnsi="Times New Roman" w:cs="Times New Roman"/>
                      <w:i/>
                    </w:rPr>
                    <w:t>0</w:t>
                  </w:r>
                </w:p>
              </w:tc>
              <w:tc>
                <w:tcPr>
                  <w:tcW w:w="1800" w:type="dxa"/>
                </w:tcPr>
                <w:p w:rsidR="001F0131" w:rsidRPr="00903BA3" w:rsidRDefault="001F0131" w:rsidP="000B4801">
                  <w:pPr>
                    <w:rPr>
                      <w:rFonts w:ascii="Times New Roman" w:hAnsi="Times New Roman" w:cs="Times New Roman"/>
                      <w:i/>
                    </w:rPr>
                  </w:pPr>
                  <w:r w:rsidRPr="00903BA3">
                    <w:rPr>
                      <w:rFonts w:ascii="Times New Roman" w:hAnsi="Times New Roman" w:cs="Times New Roman"/>
                      <w:i/>
                    </w:rPr>
                    <w:t>45</w:t>
                  </w:r>
                </w:p>
              </w:tc>
              <w:tc>
                <w:tcPr>
                  <w:tcW w:w="1080" w:type="dxa"/>
                </w:tcPr>
                <w:p w:rsidR="001F0131" w:rsidRPr="00903BA3" w:rsidRDefault="001F0131" w:rsidP="000B4801">
                  <w:pPr>
                    <w:rPr>
                      <w:rFonts w:ascii="Times New Roman" w:hAnsi="Times New Roman" w:cs="Times New Roman"/>
                      <w:i/>
                    </w:rPr>
                  </w:pPr>
                  <w:r w:rsidRPr="00903BA3">
                    <w:rPr>
                      <w:rFonts w:ascii="Times New Roman" w:hAnsi="Times New Roman" w:cs="Times New Roman"/>
                      <w:i/>
                    </w:rPr>
                    <w:t xml:space="preserve">145 </w:t>
                  </w:r>
                </w:p>
              </w:tc>
              <w:tc>
                <w:tcPr>
                  <w:tcW w:w="1080" w:type="dxa"/>
                </w:tcPr>
                <w:p w:rsidR="001F0131" w:rsidRPr="00903BA3" w:rsidRDefault="001F0131" w:rsidP="000B4801">
                  <w:pPr>
                    <w:rPr>
                      <w:rFonts w:ascii="Times New Roman" w:hAnsi="Times New Roman" w:cs="Times New Roman"/>
                      <w:i/>
                    </w:rPr>
                  </w:pPr>
                  <w:r w:rsidRPr="00903BA3">
                    <w:rPr>
                      <w:rFonts w:ascii="Times New Roman" w:hAnsi="Times New Roman" w:cs="Times New Roman"/>
                      <w:i/>
                    </w:rPr>
                    <w:t>40</w:t>
                  </w:r>
                </w:p>
              </w:tc>
            </w:tr>
          </w:tbl>
          <w:p w:rsidR="00487C2E" w:rsidRDefault="005F7C3A" w:rsidP="000B4801">
            <w:pPr>
              <w:rPr>
                <w:i/>
                <w:sz w:val="22"/>
                <w:szCs w:val="22"/>
              </w:rPr>
            </w:pPr>
            <w:r w:rsidRPr="00903BA3">
              <w:rPr>
                <w:i/>
                <w:sz w:val="22"/>
                <w:szCs w:val="22"/>
              </w:rPr>
              <w:t>In the example above, NSR/PSD was not triggered in 2000 because the increase in PSEL over the netting basis for new equipment (20 tpy) was not over the SER</w:t>
            </w:r>
            <w:r w:rsidR="008D538C" w:rsidRPr="00903BA3">
              <w:rPr>
                <w:i/>
                <w:sz w:val="22"/>
                <w:szCs w:val="22"/>
              </w:rPr>
              <w:t xml:space="preserve">. </w:t>
            </w:r>
            <w:r w:rsidRPr="00903BA3">
              <w:rPr>
                <w:i/>
                <w:sz w:val="22"/>
                <w:szCs w:val="22"/>
              </w:rPr>
              <w:t>The change in 2009 did trigger NSR/PSD since the increase in the PSEL over the netting basis for new equipment (45 tpy) was greater than the SER</w:t>
            </w:r>
            <w:r w:rsidR="00E43EE9" w:rsidRPr="00903BA3">
              <w:rPr>
                <w:i/>
                <w:sz w:val="22"/>
                <w:szCs w:val="22"/>
              </w:rPr>
              <w:t xml:space="preserve"> even though the PSEL decreased from 150 tpy to 145 tpy</w:t>
            </w:r>
            <w:r w:rsidR="008D538C" w:rsidRPr="00903BA3">
              <w:rPr>
                <w:i/>
                <w:sz w:val="22"/>
                <w:szCs w:val="22"/>
              </w:rPr>
              <w:t xml:space="preserve">. </w:t>
            </w:r>
            <w:r w:rsidR="00452C6C" w:rsidRPr="00903BA3">
              <w:rPr>
                <w:i/>
                <w:sz w:val="22"/>
                <w:szCs w:val="22"/>
              </w:rPr>
              <w:t>This clarification was made in the definition of major modification</w:t>
            </w:r>
            <w:r w:rsidR="00B14540" w:rsidRPr="00903BA3">
              <w:rPr>
                <w:i/>
                <w:sz w:val="22"/>
                <w:szCs w:val="22"/>
              </w:rPr>
              <w:t xml:space="preserve"> (s</w:t>
            </w:r>
            <w:r w:rsidR="00816B16" w:rsidRPr="00903BA3">
              <w:rPr>
                <w:i/>
                <w:sz w:val="22"/>
                <w:szCs w:val="22"/>
              </w:rPr>
              <w:t xml:space="preserve">ee the </w:t>
            </w:r>
            <w:r w:rsidR="00B14540" w:rsidRPr="00903BA3">
              <w:rPr>
                <w:i/>
                <w:sz w:val="22"/>
                <w:szCs w:val="22"/>
              </w:rPr>
              <w:t>response</w:t>
            </w:r>
            <w:r w:rsidR="00816B16" w:rsidRPr="00903BA3">
              <w:rPr>
                <w:i/>
                <w:sz w:val="22"/>
                <w:szCs w:val="22"/>
              </w:rPr>
              <w:t xml:space="preserve"> in </w:t>
            </w:r>
            <w:r w:rsidR="00452C6C" w:rsidRPr="00903BA3">
              <w:rPr>
                <w:i/>
                <w:sz w:val="22"/>
                <w:szCs w:val="22"/>
              </w:rPr>
              <w:t>comment</w:t>
            </w:r>
            <w:r w:rsidR="00B14540" w:rsidRPr="00903BA3">
              <w:rPr>
                <w:i/>
                <w:sz w:val="22"/>
                <w:szCs w:val="22"/>
              </w:rPr>
              <w:t xml:space="preserve"> </w:t>
            </w:r>
            <w:fldSimple w:instr=" REF _Ref283932866 \r \h  \* MERGEFORMAT ">
              <w:r w:rsidR="00752276" w:rsidRPr="00903BA3">
                <w:rPr>
                  <w:i/>
                  <w:sz w:val="22"/>
                  <w:szCs w:val="22"/>
                </w:rPr>
                <w:t>18</w:t>
              </w:r>
            </w:fldSimple>
            <w:r w:rsidR="00B14540" w:rsidRPr="00903BA3">
              <w:rPr>
                <w:i/>
                <w:sz w:val="22"/>
                <w:szCs w:val="22"/>
              </w:rPr>
              <w:t xml:space="preserve"> “major modification definition”)</w:t>
            </w:r>
            <w:r w:rsidR="008D538C" w:rsidRPr="00903BA3">
              <w:rPr>
                <w:i/>
                <w:sz w:val="22"/>
                <w:szCs w:val="22"/>
              </w:rPr>
              <w:t xml:space="preserve">. </w:t>
            </w:r>
          </w:p>
          <w:p w:rsidR="000B4801" w:rsidRPr="00903BA3" w:rsidRDefault="000B4801" w:rsidP="000B4801">
            <w:pPr>
              <w:rPr>
                <w:i/>
                <w:sz w:val="22"/>
                <w:szCs w:val="22"/>
              </w:rPr>
            </w:pPr>
          </w:p>
        </w:tc>
      </w:tr>
      <w:tr w:rsidR="0051452D"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1452D" w:rsidRPr="00903BA3" w:rsidRDefault="000B4801" w:rsidP="000B4801">
            <w:pPr>
              <w:ind w:right="-115"/>
              <w:rPr>
                <w:bCs/>
                <w:sz w:val="22"/>
                <w:szCs w:val="22"/>
              </w:rPr>
            </w:pPr>
            <w:r>
              <w:rPr>
                <w:sz w:val="22"/>
                <w:szCs w:val="22"/>
              </w:rPr>
              <w:lastRenderedPageBreak/>
              <w:t xml:space="preserve">26. </w:t>
            </w:r>
            <w:r w:rsidR="00DA15C7" w:rsidRPr="00903BA3">
              <w:rPr>
                <w:sz w:val="22"/>
                <w:szCs w:val="22"/>
              </w:rPr>
              <w:t xml:space="preserve">Ozone </w:t>
            </w:r>
            <w:r w:rsidR="00A04D17" w:rsidRPr="00903BA3">
              <w:rPr>
                <w:sz w:val="22"/>
                <w:szCs w:val="22"/>
              </w:rPr>
              <w:t>p</w:t>
            </w:r>
            <w:r w:rsidR="00DA15C7" w:rsidRPr="00903BA3">
              <w:rPr>
                <w:sz w:val="22"/>
                <w:szCs w:val="22"/>
              </w:rPr>
              <w:t>recursor</w:t>
            </w:r>
            <w:r w:rsidR="00A04D17" w:rsidRPr="00903BA3">
              <w:rPr>
                <w:sz w:val="22"/>
                <w:szCs w:val="22"/>
              </w:rPr>
              <w:t xml:space="preserve">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Default="0051452D" w:rsidP="000B4801">
            <w:pPr>
              <w:autoSpaceDE w:val="0"/>
              <w:autoSpaceDN w:val="0"/>
              <w:adjustRightInd w:val="0"/>
              <w:rPr>
                <w:sz w:val="22"/>
                <w:szCs w:val="22"/>
              </w:rPr>
            </w:pPr>
            <w:r w:rsidRPr="00903BA3">
              <w:rPr>
                <w:bCs/>
                <w:sz w:val="22"/>
                <w:szCs w:val="22"/>
              </w:rPr>
              <w:t xml:space="preserve">OAR </w:t>
            </w:r>
            <w:r w:rsidRPr="00903BA3">
              <w:rPr>
                <w:sz w:val="22"/>
                <w:szCs w:val="22"/>
              </w:rPr>
              <w:t>340-200-0020(84): The new definition of "Ozone Precursor" should include language regarding the measurement methods similar to the language in the definition of "PM</w:t>
            </w:r>
            <w:r w:rsidRPr="00903BA3">
              <w:rPr>
                <w:sz w:val="22"/>
                <w:szCs w:val="22"/>
                <w:vertAlign w:val="subscript"/>
              </w:rPr>
              <w:t>10</w:t>
            </w:r>
            <w:r w:rsidRPr="00903BA3">
              <w:rPr>
                <w:sz w:val="22"/>
                <w:szCs w:val="22"/>
              </w:rPr>
              <w:t>" when used in context of emissions especially to distinguish between ambient NO</w:t>
            </w:r>
            <w:r w:rsidRPr="00903BA3">
              <w:rPr>
                <w:sz w:val="22"/>
                <w:szCs w:val="22"/>
                <w:vertAlign w:val="subscript"/>
              </w:rPr>
              <w:t>2</w:t>
            </w:r>
            <w:r w:rsidRPr="00903BA3">
              <w:rPr>
                <w:sz w:val="22"/>
                <w:szCs w:val="22"/>
              </w:rPr>
              <w:t xml:space="preserve"> and NO</w:t>
            </w:r>
            <w:r w:rsidRPr="00903BA3">
              <w:rPr>
                <w:sz w:val="22"/>
                <w:szCs w:val="22"/>
                <w:vertAlign w:val="subscript"/>
              </w:rPr>
              <w:t>x</w:t>
            </w:r>
            <w:r w:rsidR="00D60D5D" w:rsidRPr="00903BA3">
              <w:rPr>
                <w:sz w:val="22"/>
                <w:szCs w:val="22"/>
              </w:rPr>
              <w:t xml:space="preserve"> emissions. (7</w:t>
            </w:r>
            <w:r w:rsidRPr="00903BA3">
              <w:rPr>
                <w:sz w:val="22"/>
                <w:szCs w:val="22"/>
              </w:rPr>
              <w:t>)</w:t>
            </w:r>
          </w:p>
          <w:p w:rsidR="000B4801" w:rsidRPr="00903BA3" w:rsidRDefault="000B4801" w:rsidP="000B4801">
            <w:pPr>
              <w:autoSpaceDE w:val="0"/>
              <w:autoSpaceDN w:val="0"/>
              <w:adjustRightInd w:val="0"/>
              <w:rPr>
                <w:sz w:val="22"/>
                <w:szCs w:val="22"/>
              </w:rPr>
            </w:pPr>
          </w:p>
          <w:p w:rsidR="0051452D" w:rsidRPr="00903BA3" w:rsidRDefault="0051452D" w:rsidP="000B4801">
            <w:pPr>
              <w:autoSpaceDE w:val="0"/>
              <w:autoSpaceDN w:val="0"/>
              <w:adjustRightInd w:val="0"/>
              <w:rPr>
                <w:i/>
                <w:sz w:val="22"/>
                <w:szCs w:val="22"/>
              </w:rPr>
            </w:pPr>
            <w:r w:rsidRPr="00903BA3">
              <w:rPr>
                <w:i/>
                <w:sz w:val="22"/>
                <w:szCs w:val="22"/>
              </w:rPr>
              <w:t>Response:</w:t>
            </w:r>
          </w:p>
          <w:p w:rsidR="00414903" w:rsidRDefault="00A21C65" w:rsidP="000B4801">
            <w:pPr>
              <w:autoSpaceDE w:val="0"/>
              <w:autoSpaceDN w:val="0"/>
              <w:adjustRightInd w:val="0"/>
              <w:rPr>
                <w:i/>
                <w:sz w:val="22"/>
                <w:szCs w:val="22"/>
              </w:rPr>
            </w:pPr>
            <w:r w:rsidRPr="00903BA3">
              <w:rPr>
                <w:i/>
                <w:sz w:val="22"/>
                <w:szCs w:val="22"/>
              </w:rPr>
              <w:t>The change was made to the proposed rule as suggested.</w:t>
            </w:r>
          </w:p>
          <w:p w:rsidR="000B4801" w:rsidRPr="00903BA3" w:rsidRDefault="000B4801" w:rsidP="000B4801">
            <w:pPr>
              <w:autoSpaceDE w:val="0"/>
              <w:autoSpaceDN w:val="0"/>
              <w:adjustRightInd w:val="0"/>
              <w:rPr>
                <w:sz w:val="22"/>
                <w:szCs w:val="22"/>
              </w:rPr>
            </w:pPr>
          </w:p>
        </w:tc>
      </w:tr>
      <w:tr w:rsidR="0051452D"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1452D" w:rsidRPr="00903BA3" w:rsidRDefault="000B4801" w:rsidP="000B4801">
            <w:pPr>
              <w:ind w:right="-115"/>
              <w:rPr>
                <w:bCs/>
                <w:sz w:val="22"/>
                <w:szCs w:val="22"/>
              </w:rPr>
            </w:pPr>
            <w:r>
              <w:rPr>
                <w:sz w:val="22"/>
                <w:szCs w:val="22"/>
              </w:rPr>
              <w:lastRenderedPageBreak/>
              <w:t xml:space="preserve">27. </w:t>
            </w:r>
            <w:r w:rsidR="00DA15C7" w:rsidRPr="00903BA3">
              <w:rPr>
                <w:sz w:val="22"/>
                <w:szCs w:val="22"/>
              </w:rPr>
              <w:t>Conditional test method citation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Default="0051452D" w:rsidP="000B4801">
            <w:pPr>
              <w:autoSpaceDE w:val="0"/>
              <w:autoSpaceDN w:val="0"/>
              <w:adjustRightInd w:val="0"/>
              <w:rPr>
                <w:sz w:val="22"/>
                <w:szCs w:val="22"/>
              </w:rPr>
            </w:pPr>
            <w:r w:rsidRPr="00903BA3">
              <w:rPr>
                <w:bCs/>
                <w:sz w:val="22"/>
                <w:szCs w:val="22"/>
              </w:rPr>
              <w:t xml:space="preserve">OAR </w:t>
            </w:r>
            <w:r w:rsidRPr="00903BA3">
              <w:rPr>
                <w:sz w:val="22"/>
                <w:szCs w:val="22"/>
              </w:rPr>
              <w:t>340-200-0020(95)(b): We assume ODEQ removed the conditional test method (CTM) citation because CTMs are no longer being developed. We recommend that other test method (OTM) 027 for PM</w:t>
            </w:r>
            <w:r w:rsidRPr="00903BA3">
              <w:rPr>
                <w:sz w:val="22"/>
                <w:szCs w:val="22"/>
                <w:vertAlign w:val="subscript"/>
              </w:rPr>
              <w:t>2.5</w:t>
            </w:r>
            <w:r w:rsidRPr="00903BA3">
              <w:rPr>
                <w:sz w:val="22"/>
                <w:szCs w:val="22"/>
              </w:rPr>
              <w:t xml:space="preserve"> and PM</w:t>
            </w:r>
            <w:r w:rsidRPr="00903BA3">
              <w:rPr>
                <w:sz w:val="22"/>
                <w:szCs w:val="22"/>
                <w:vertAlign w:val="subscript"/>
              </w:rPr>
              <w:t>10</w:t>
            </w:r>
            <w:r w:rsidRPr="00903BA3">
              <w:rPr>
                <w:sz w:val="22"/>
                <w:szCs w:val="22"/>
              </w:rPr>
              <w:t>, that has superceded CTM 040, be cited here. As with the current definitions of "PM" and "PM</w:t>
            </w:r>
            <w:r w:rsidRPr="00903BA3">
              <w:rPr>
                <w:sz w:val="22"/>
                <w:szCs w:val="22"/>
                <w:vertAlign w:val="subscript"/>
              </w:rPr>
              <w:t>10</w:t>
            </w:r>
            <w:r w:rsidRPr="00903BA3">
              <w:rPr>
                <w:sz w:val="22"/>
                <w:szCs w:val="22"/>
              </w:rPr>
              <w:t>," this definition needs to reference the appropriate EPA or ODEQ emissions measurement method in order to distinguish ambient PM</w:t>
            </w:r>
            <w:r w:rsidRPr="00903BA3">
              <w:rPr>
                <w:sz w:val="22"/>
                <w:szCs w:val="22"/>
                <w:vertAlign w:val="subscript"/>
              </w:rPr>
              <w:t>2.5</w:t>
            </w:r>
            <w:r w:rsidRPr="00903BA3">
              <w:rPr>
                <w:sz w:val="22"/>
                <w:szCs w:val="22"/>
              </w:rPr>
              <w:t xml:space="preserve"> from PM</w:t>
            </w:r>
            <w:r w:rsidRPr="00903BA3">
              <w:rPr>
                <w:sz w:val="22"/>
                <w:szCs w:val="22"/>
                <w:vertAlign w:val="subscript"/>
              </w:rPr>
              <w:t>2.5</w:t>
            </w:r>
            <w:r w:rsidR="00D60D5D" w:rsidRPr="00903BA3">
              <w:rPr>
                <w:sz w:val="22"/>
                <w:szCs w:val="22"/>
              </w:rPr>
              <w:t xml:space="preserve"> emissions. (7</w:t>
            </w:r>
            <w:r w:rsidRPr="00903BA3">
              <w:rPr>
                <w:sz w:val="22"/>
                <w:szCs w:val="22"/>
              </w:rPr>
              <w:t>)</w:t>
            </w:r>
          </w:p>
          <w:p w:rsidR="000B4801" w:rsidRPr="00903BA3" w:rsidRDefault="000B4801" w:rsidP="000B4801">
            <w:pPr>
              <w:autoSpaceDE w:val="0"/>
              <w:autoSpaceDN w:val="0"/>
              <w:adjustRightInd w:val="0"/>
              <w:rPr>
                <w:sz w:val="22"/>
                <w:szCs w:val="22"/>
              </w:rPr>
            </w:pPr>
          </w:p>
          <w:p w:rsidR="0051452D" w:rsidRPr="00903BA3" w:rsidRDefault="0051452D" w:rsidP="000B4801">
            <w:pPr>
              <w:autoSpaceDE w:val="0"/>
              <w:autoSpaceDN w:val="0"/>
              <w:adjustRightInd w:val="0"/>
              <w:rPr>
                <w:i/>
                <w:sz w:val="22"/>
                <w:szCs w:val="22"/>
              </w:rPr>
            </w:pPr>
            <w:r w:rsidRPr="00903BA3">
              <w:rPr>
                <w:i/>
                <w:sz w:val="22"/>
                <w:szCs w:val="22"/>
              </w:rPr>
              <w:t>Response:</w:t>
            </w:r>
          </w:p>
          <w:p w:rsidR="00012675" w:rsidRDefault="00DB4981" w:rsidP="000B4801">
            <w:pPr>
              <w:autoSpaceDE w:val="0"/>
              <w:autoSpaceDN w:val="0"/>
              <w:adjustRightInd w:val="0"/>
              <w:rPr>
                <w:i/>
                <w:sz w:val="22"/>
                <w:szCs w:val="22"/>
              </w:rPr>
            </w:pPr>
            <w:r w:rsidRPr="00903BA3">
              <w:rPr>
                <w:i/>
                <w:sz w:val="22"/>
                <w:szCs w:val="22"/>
              </w:rPr>
              <w:t>EPA reference test methods for PM</w:t>
            </w:r>
            <w:r w:rsidRPr="00903BA3">
              <w:rPr>
                <w:i/>
                <w:sz w:val="22"/>
                <w:szCs w:val="22"/>
                <w:vertAlign w:val="subscript"/>
              </w:rPr>
              <w:t>10</w:t>
            </w:r>
            <w:r w:rsidRPr="00903BA3">
              <w:rPr>
                <w:i/>
                <w:sz w:val="22"/>
                <w:szCs w:val="22"/>
              </w:rPr>
              <w:t xml:space="preserve"> and PM</w:t>
            </w:r>
            <w:r w:rsidRPr="00903BA3">
              <w:rPr>
                <w:i/>
                <w:sz w:val="22"/>
                <w:szCs w:val="22"/>
                <w:vertAlign w:val="subscript"/>
              </w:rPr>
              <w:t>2.5</w:t>
            </w:r>
            <w:r w:rsidRPr="00903BA3">
              <w:rPr>
                <w:i/>
                <w:sz w:val="22"/>
                <w:szCs w:val="22"/>
              </w:rPr>
              <w:t xml:space="preserve"> (</w:t>
            </w:r>
            <w:r w:rsidRPr="00903BA3">
              <w:rPr>
                <w:b/>
                <w:bCs/>
                <w:i/>
                <w:sz w:val="22"/>
                <w:szCs w:val="22"/>
              </w:rPr>
              <w:t>Methods 201A and 202 - Methods for Measurement of Filterable PM10 and PM2.5 and Measurement of Condensable PM Emissions from Stationary Sources</w:t>
            </w:r>
            <w:r w:rsidRPr="00903BA3">
              <w:rPr>
                <w:i/>
                <w:sz w:val="22"/>
                <w:szCs w:val="22"/>
              </w:rPr>
              <w:t>) were promulgated on December 1, 2010 and became effective on January 1, 2011</w:t>
            </w:r>
            <w:r w:rsidR="008D538C" w:rsidRPr="00903BA3">
              <w:rPr>
                <w:i/>
                <w:sz w:val="22"/>
                <w:szCs w:val="22"/>
              </w:rPr>
              <w:t xml:space="preserve">. </w:t>
            </w:r>
            <w:r w:rsidRPr="00903BA3">
              <w:rPr>
                <w:i/>
                <w:sz w:val="22"/>
                <w:szCs w:val="22"/>
              </w:rPr>
              <w:t xml:space="preserve">These revised EPA methods have replaced Other Test Method (OTM) 27 and 28 and </w:t>
            </w:r>
            <w:r w:rsidR="004336F1" w:rsidRPr="00903BA3">
              <w:rPr>
                <w:i/>
                <w:sz w:val="22"/>
                <w:szCs w:val="22"/>
              </w:rPr>
              <w:t>have been</w:t>
            </w:r>
            <w:r w:rsidRPr="00903BA3">
              <w:rPr>
                <w:i/>
                <w:sz w:val="22"/>
                <w:szCs w:val="22"/>
              </w:rPr>
              <w:t xml:space="preserve"> added to the </w:t>
            </w:r>
            <w:r w:rsidR="004336F1" w:rsidRPr="00903BA3">
              <w:rPr>
                <w:i/>
                <w:sz w:val="22"/>
                <w:szCs w:val="22"/>
              </w:rPr>
              <w:t xml:space="preserve">proposed </w:t>
            </w:r>
            <w:r w:rsidRPr="00903BA3">
              <w:rPr>
                <w:i/>
                <w:sz w:val="22"/>
                <w:szCs w:val="22"/>
              </w:rPr>
              <w:t>definitions of PM</w:t>
            </w:r>
            <w:r w:rsidRPr="00903BA3">
              <w:rPr>
                <w:i/>
                <w:sz w:val="22"/>
                <w:szCs w:val="22"/>
                <w:vertAlign w:val="subscript"/>
              </w:rPr>
              <w:t>10</w:t>
            </w:r>
            <w:r w:rsidRPr="00903BA3">
              <w:rPr>
                <w:i/>
                <w:sz w:val="22"/>
                <w:szCs w:val="22"/>
              </w:rPr>
              <w:t xml:space="preserve"> and PM</w:t>
            </w:r>
            <w:r w:rsidRPr="00903BA3">
              <w:rPr>
                <w:i/>
                <w:sz w:val="22"/>
                <w:szCs w:val="22"/>
                <w:vertAlign w:val="subscript"/>
              </w:rPr>
              <w:t>2.5</w:t>
            </w:r>
            <w:r w:rsidRPr="00903BA3">
              <w:rPr>
                <w:i/>
                <w:sz w:val="22"/>
                <w:szCs w:val="22"/>
              </w:rPr>
              <w:t>.</w:t>
            </w:r>
          </w:p>
          <w:p w:rsidR="000B4801" w:rsidRPr="00903BA3" w:rsidRDefault="000B4801" w:rsidP="000B4801">
            <w:pPr>
              <w:autoSpaceDE w:val="0"/>
              <w:autoSpaceDN w:val="0"/>
              <w:adjustRightInd w:val="0"/>
              <w:rPr>
                <w:i/>
                <w:sz w:val="22"/>
                <w:szCs w:val="22"/>
              </w:rPr>
            </w:pPr>
          </w:p>
        </w:tc>
      </w:tr>
      <w:tr w:rsidR="0051452D"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1452D" w:rsidRPr="00903BA3" w:rsidRDefault="000B4801" w:rsidP="000B4801">
            <w:pPr>
              <w:ind w:right="-115"/>
              <w:rPr>
                <w:bCs/>
                <w:sz w:val="22"/>
                <w:szCs w:val="22"/>
              </w:rPr>
            </w:pPr>
            <w:r>
              <w:rPr>
                <w:sz w:val="22"/>
                <w:szCs w:val="22"/>
              </w:rPr>
              <w:t xml:space="preserve">28. </w:t>
            </w:r>
            <w:r w:rsidR="00511199" w:rsidRPr="00903BA3">
              <w:rPr>
                <w:sz w:val="22"/>
                <w:szCs w:val="22"/>
              </w:rPr>
              <w:t>Regulated air pollutant</w:t>
            </w:r>
            <w:r w:rsidR="0095755D" w:rsidRPr="00903BA3">
              <w:rPr>
                <w:sz w:val="22"/>
                <w:szCs w:val="22"/>
              </w:rPr>
              <w:t xml:space="preserve"> defin</w:t>
            </w:r>
            <w:r w:rsidR="001762AF" w:rsidRPr="00903BA3">
              <w:rPr>
                <w:sz w:val="22"/>
                <w:szCs w:val="22"/>
              </w:rPr>
              <w:t>i</w:t>
            </w:r>
            <w:r w:rsidR="0095755D" w:rsidRPr="00903BA3">
              <w:rPr>
                <w:sz w:val="22"/>
                <w:szCs w:val="22"/>
              </w:rPr>
              <w:t>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Default="0051452D" w:rsidP="000B4801">
            <w:pPr>
              <w:autoSpaceDE w:val="0"/>
              <w:autoSpaceDN w:val="0"/>
              <w:adjustRightInd w:val="0"/>
              <w:rPr>
                <w:sz w:val="22"/>
                <w:szCs w:val="22"/>
              </w:rPr>
            </w:pPr>
            <w:r w:rsidRPr="00903BA3">
              <w:rPr>
                <w:bCs/>
                <w:sz w:val="22"/>
                <w:szCs w:val="22"/>
              </w:rPr>
              <w:t xml:space="preserve">OAR </w:t>
            </w:r>
            <w:r w:rsidRPr="00903BA3">
              <w:rPr>
                <w:sz w:val="22"/>
                <w:szCs w:val="22"/>
              </w:rPr>
              <w:t>340-200-0020(103)(a)(B): It isn't clear that the provision in the definition of "Regulated air pollutant" or "Regulated Pollutant" that references the national ambient air quality standards (103)(a)(B) includes any precursors to such pollutants. This sho</w:t>
            </w:r>
            <w:r w:rsidR="00D60D5D" w:rsidRPr="00903BA3">
              <w:rPr>
                <w:sz w:val="22"/>
                <w:szCs w:val="22"/>
              </w:rPr>
              <w:t>uld be clarified in the text. (7</w:t>
            </w:r>
            <w:r w:rsidRPr="00903BA3">
              <w:rPr>
                <w:sz w:val="22"/>
                <w:szCs w:val="22"/>
              </w:rPr>
              <w:t>)</w:t>
            </w:r>
          </w:p>
          <w:p w:rsidR="000B4801" w:rsidRPr="00903BA3" w:rsidRDefault="000B4801" w:rsidP="000B4801">
            <w:pPr>
              <w:autoSpaceDE w:val="0"/>
              <w:autoSpaceDN w:val="0"/>
              <w:adjustRightInd w:val="0"/>
              <w:rPr>
                <w:sz w:val="22"/>
                <w:szCs w:val="22"/>
              </w:rPr>
            </w:pPr>
          </w:p>
          <w:p w:rsidR="0051452D" w:rsidRPr="00903BA3" w:rsidRDefault="0051452D" w:rsidP="000B4801">
            <w:pPr>
              <w:autoSpaceDE w:val="0"/>
              <w:autoSpaceDN w:val="0"/>
              <w:adjustRightInd w:val="0"/>
              <w:ind w:right="572"/>
              <w:rPr>
                <w:i/>
                <w:sz w:val="22"/>
                <w:szCs w:val="22"/>
              </w:rPr>
            </w:pPr>
            <w:r w:rsidRPr="00903BA3">
              <w:rPr>
                <w:i/>
                <w:sz w:val="22"/>
                <w:szCs w:val="22"/>
              </w:rPr>
              <w:t>Response:</w:t>
            </w:r>
          </w:p>
          <w:p w:rsidR="009A2C55" w:rsidRDefault="00A21C65" w:rsidP="000B4801">
            <w:pPr>
              <w:autoSpaceDE w:val="0"/>
              <w:autoSpaceDN w:val="0"/>
              <w:adjustRightInd w:val="0"/>
              <w:ind w:right="572"/>
              <w:rPr>
                <w:i/>
                <w:sz w:val="22"/>
                <w:szCs w:val="22"/>
              </w:rPr>
            </w:pPr>
            <w:r w:rsidRPr="00903BA3">
              <w:rPr>
                <w:i/>
                <w:sz w:val="22"/>
                <w:szCs w:val="22"/>
              </w:rPr>
              <w:t>The change was made to the proposed rule as suggested.</w:t>
            </w:r>
            <w:r w:rsidR="009A2C55" w:rsidRPr="00903BA3">
              <w:rPr>
                <w:i/>
                <w:sz w:val="22"/>
                <w:szCs w:val="22"/>
              </w:rPr>
              <w:t xml:space="preserve"> </w:t>
            </w:r>
          </w:p>
          <w:p w:rsidR="000B4801" w:rsidRPr="00903BA3" w:rsidRDefault="000B4801" w:rsidP="000B4801">
            <w:pPr>
              <w:autoSpaceDE w:val="0"/>
              <w:autoSpaceDN w:val="0"/>
              <w:adjustRightInd w:val="0"/>
              <w:ind w:right="572"/>
              <w:rPr>
                <w:sz w:val="22"/>
                <w:szCs w:val="22"/>
              </w:rPr>
            </w:pPr>
          </w:p>
        </w:tc>
      </w:tr>
      <w:tr w:rsidR="0051452D"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1452D" w:rsidRPr="00903BA3" w:rsidRDefault="000B4801" w:rsidP="000B4801">
            <w:pPr>
              <w:ind w:right="-115"/>
              <w:rPr>
                <w:bCs/>
                <w:sz w:val="22"/>
                <w:szCs w:val="22"/>
              </w:rPr>
            </w:pPr>
            <w:r>
              <w:rPr>
                <w:sz w:val="22"/>
                <w:szCs w:val="22"/>
              </w:rPr>
              <w:t xml:space="preserve">28. </w:t>
            </w:r>
            <w:r w:rsidR="0051024A">
              <w:rPr>
                <w:sz w:val="22"/>
                <w:szCs w:val="22"/>
              </w:rPr>
              <w:t>Volatile organic c</w:t>
            </w:r>
            <w:r w:rsidR="00511199" w:rsidRPr="00903BA3">
              <w:rPr>
                <w:sz w:val="22"/>
                <w:szCs w:val="22"/>
              </w:rPr>
              <w:t>ompounds</w:t>
            </w:r>
            <w:r w:rsidR="0007654E" w:rsidRPr="00903BA3">
              <w:rPr>
                <w:sz w:val="22"/>
                <w:szCs w:val="22"/>
              </w:rPr>
              <w:t xml:space="preserve">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Default="0051452D" w:rsidP="000B4801">
            <w:pPr>
              <w:autoSpaceDE w:val="0"/>
              <w:autoSpaceDN w:val="0"/>
              <w:adjustRightInd w:val="0"/>
              <w:rPr>
                <w:sz w:val="22"/>
                <w:szCs w:val="22"/>
              </w:rPr>
            </w:pPr>
            <w:r w:rsidRPr="00903BA3">
              <w:rPr>
                <w:sz w:val="22"/>
                <w:szCs w:val="22"/>
              </w:rPr>
              <w:t>OAR 340-200-0020(148)(d): Note that paragraph (d) in the definition of “Volatile Organic Compounds”</w:t>
            </w:r>
            <w:r w:rsidR="00065341" w:rsidRPr="00903BA3">
              <w:rPr>
                <w:sz w:val="22"/>
                <w:szCs w:val="22"/>
              </w:rPr>
              <w:t xml:space="preserve"> </w:t>
            </w:r>
            <w:r w:rsidRPr="00903BA3">
              <w:rPr>
                <w:sz w:val="22"/>
                <w:szCs w:val="22"/>
              </w:rPr>
              <w:t>appears to be missing the last line. The EPA definition of the term in 40 CFR5l.100 includes a few more words and the identification of the actual compound subject to the provis</w:t>
            </w:r>
            <w:r w:rsidR="00FC04EC" w:rsidRPr="00903BA3">
              <w:rPr>
                <w:sz w:val="22"/>
                <w:szCs w:val="22"/>
              </w:rPr>
              <w:t>ion. (7</w:t>
            </w:r>
            <w:r w:rsidRPr="00903BA3">
              <w:rPr>
                <w:sz w:val="22"/>
                <w:szCs w:val="22"/>
              </w:rPr>
              <w:t>)</w:t>
            </w:r>
          </w:p>
          <w:p w:rsidR="000B4801" w:rsidRPr="00903BA3" w:rsidRDefault="000B4801" w:rsidP="000B4801">
            <w:pPr>
              <w:autoSpaceDE w:val="0"/>
              <w:autoSpaceDN w:val="0"/>
              <w:adjustRightInd w:val="0"/>
              <w:rPr>
                <w:sz w:val="22"/>
                <w:szCs w:val="22"/>
              </w:rPr>
            </w:pPr>
          </w:p>
          <w:p w:rsidR="0051452D" w:rsidRPr="00903BA3" w:rsidRDefault="0051452D" w:rsidP="000B4801">
            <w:pPr>
              <w:ind w:left="64" w:right="-180"/>
              <w:rPr>
                <w:i/>
                <w:sz w:val="22"/>
                <w:szCs w:val="22"/>
              </w:rPr>
            </w:pPr>
            <w:r w:rsidRPr="00903BA3">
              <w:rPr>
                <w:i/>
                <w:sz w:val="22"/>
                <w:szCs w:val="22"/>
              </w:rPr>
              <w:t>Response:</w:t>
            </w:r>
          </w:p>
          <w:p w:rsidR="009A2C55" w:rsidRDefault="009A2C55" w:rsidP="000B4801">
            <w:pPr>
              <w:ind w:left="64" w:right="-180"/>
              <w:rPr>
                <w:i/>
                <w:sz w:val="22"/>
                <w:szCs w:val="22"/>
              </w:rPr>
            </w:pPr>
            <w:r w:rsidRPr="00903BA3">
              <w:rPr>
                <w:i/>
                <w:sz w:val="22"/>
                <w:szCs w:val="22"/>
              </w:rPr>
              <w:t>The c</w:t>
            </w:r>
            <w:r w:rsidR="004F263C" w:rsidRPr="00903BA3">
              <w:rPr>
                <w:i/>
                <w:sz w:val="22"/>
                <w:szCs w:val="22"/>
              </w:rPr>
              <w:t>orrection</w:t>
            </w:r>
            <w:r w:rsidRPr="00903BA3">
              <w:rPr>
                <w:i/>
                <w:sz w:val="22"/>
                <w:szCs w:val="22"/>
              </w:rPr>
              <w:t xml:space="preserve"> </w:t>
            </w:r>
            <w:r w:rsidR="007B44E6" w:rsidRPr="00903BA3">
              <w:rPr>
                <w:i/>
                <w:sz w:val="22"/>
                <w:szCs w:val="22"/>
              </w:rPr>
              <w:t>was made to the proposed rule as suggested.</w:t>
            </w:r>
          </w:p>
          <w:p w:rsidR="000B4801" w:rsidRPr="00903BA3" w:rsidRDefault="000B4801" w:rsidP="000B4801">
            <w:pPr>
              <w:ind w:left="64" w:right="-180"/>
              <w:rPr>
                <w:i/>
                <w:sz w:val="22"/>
                <w:szCs w:val="22"/>
              </w:rPr>
            </w:pPr>
          </w:p>
        </w:tc>
      </w:tr>
      <w:tr w:rsidR="0051452D"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1452D" w:rsidRPr="00903BA3" w:rsidRDefault="000B4801" w:rsidP="000B4801">
            <w:pPr>
              <w:ind w:right="-115"/>
              <w:rPr>
                <w:bCs/>
                <w:sz w:val="22"/>
                <w:szCs w:val="22"/>
              </w:rPr>
            </w:pPr>
            <w:r>
              <w:rPr>
                <w:bCs/>
                <w:sz w:val="22"/>
                <w:szCs w:val="22"/>
              </w:rPr>
              <w:t xml:space="preserve">29. </w:t>
            </w:r>
            <w:r w:rsidR="0051452D" w:rsidRPr="00903BA3">
              <w:rPr>
                <w:bCs/>
                <w:sz w:val="22"/>
                <w:szCs w:val="22"/>
              </w:rPr>
              <w:t>Significant impact levels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0555D4" w:rsidRDefault="0051452D" w:rsidP="000B4801">
            <w:pPr>
              <w:autoSpaceDE w:val="0"/>
              <w:autoSpaceDN w:val="0"/>
              <w:adjustRightInd w:val="0"/>
              <w:rPr>
                <w:sz w:val="22"/>
                <w:szCs w:val="22"/>
              </w:rPr>
            </w:pPr>
            <w:r w:rsidRPr="00903BA3">
              <w:rPr>
                <w:sz w:val="22"/>
                <w:szCs w:val="22"/>
              </w:rPr>
              <w:t>OAR 340-200, new Table 1: The new Table 1 SIGNIFICANT AIR QUALITY IMPACT includes Class III impact levels for SO</w:t>
            </w:r>
            <w:r w:rsidRPr="00903BA3">
              <w:rPr>
                <w:sz w:val="22"/>
                <w:szCs w:val="22"/>
                <w:vertAlign w:val="subscript"/>
              </w:rPr>
              <w:t>2</w:t>
            </w:r>
            <w:r w:rsidRPr="00903BA3">
              <w:rPr>
                <w:sz w:val="22"/>
                <w:szCs w:val="22"/>
              </w:rPr>
              <w:t xml:space="preserve"> that are higher than the Class II impact levels est</w:t>
            </w:r>
            <w:r w:rsidR="007E46F3" w:rsidRPr="00903BA3">
              <w:rPr>
                <w:sz w:val="22"/>
                <w:szCs w:val="22"/>
              </w:rPr>
              <w:t>ablished by EPA</w:t>
            </w:r>
            <w:r w:rsidRPr="00903BA3">
              <w:rPr>
                <w:sz w:val="22"/>
                <w:szCs w:val="22"/>
              </w:rPr>
              <w:t xml:space="preserve">. Oregon will need to submit a demonstration that such higher levels will still ensure protection of the NAAQS in Class III areas. </w:t>
            </w:r>
          </w:p>
          <w:p w:rsidR="000B4801" w:rsidRPr="00903BA3" w:rsidRDefault="000B4801" w:rsidP="000B4801">
            <w:pPr>
              <w:autoSpaceDE w:val="0"/>
              <w:autoSpaceDN w:val="0"/>
              <w:adjustRightInd w:val="0"/>
              <w:rPr>
                <w:sz w:val="22"/>
                <w:szCs w:val="22"/>
              </w:rPr>
            </w:pPr>
          </w:p>
          <w:p w:rsidR="0051452D" w:rsidRDefault="0051452D" w:rsidP="000B4801">
            <w:pPr>
              <w:autoSpaceDE w:val="0"/>
              <w:autoSpaceDN w:val="0"/>
              <w:adjustRightInd w:val="0"/>
              <w:rPr>
                <w:sz w:val="22"/>
                <w:szCs w:val="22"/>
              </w:rPr>
            </w:pPr>
            <w:r w:rsidRPr="00903BA3">
              <w:rPr>
                <w:sz w:val="22"/>
                <w:szCs w:val="22"/>
              </w:rPr>
              <w:t>Also new Table 1 specifies Significant Air Quality Impact values for PM</w:t>
            </w:r>
            <w:r w:rsidRPr="00903BA3">
              <w:rPr>
                <w:sz w:val="22"/>
                <w:szCs w:val="22"/>
                <w:vertAlign w:val="subscript"/>
              </w:rPr>
              <w:t>2.5</w:t>
            </w:r>
            <w:r w:rsidRPr="00903BA3">
              <w:rPr>
                <w:sz w:val="22"/>
                <w:szCs w:val="22"/>
              </w:rPr>
              <w:t xml:space="preserve"> of 0.2 ug/m3 (annual arithmetic mean) and 1.0 ug/m3 (24-hour average) respectively. These differ from the corresponding Class II and III areas PM</w:t>
            </w:r>
            <w:r w:rsidRPr="00903BA3">
              <w:rPr>
                <w:sz w:val="22"/>
                <w:szCs w:val="22"/>
                <w:vertAlign w:val="subscript"/>
              </w:rPr>
              <w:t>2.5</w:t>
            </w:r>
            <w:r w:rsidRPr="00903BA3">
              <w:rPr>
                <w:sz w:val="22"/>
                <w:szCs w:val="22"/>
              </w:rPr>
              <w:t xml:space="preserve"> SILs of 0.3 ug/m3 (annual arithmetic mean) and 1.2 ug/m3 (24-hour average) established by EPA. Please clarify why these values are different</w:t>
            </w:r>
            <w:r w:rsidR="000555D4" w:rsidRPr="00903BA3">
              <w:rPr>
                <w:sz w:val="22"/>
                <w:szCs w:val="22"/>
              </w:rPr>
              <w:t>.</w:t>
            </w:r>
            <w:r w:rsidRPr="00903BA3">
              <w:rPr>
                <w:sz w:val="22"/>
                <w:szCs w:val="22"/>
              </w:rPr>
              <w:t xml:space="preserve"> (7)</w:t>
            </w:r>
          </w:p>
          <w:p w:rsidR="000B4801" w:rsidRPr="00903BA3" w:rsidRDefault="000B4801" w:rsidP="000B4801">
            <w:pPr>
              <w:autoSpaceDE w:val="0"/>
              <w:autoSpaceDN w:val="0"/>
              <w:adjustRightInd w:val="0"/>
              <w:rPr>
                <w:sz w:val="22"/>
                <w:szCs w:val="22"/>
              </w:rPr>
            </w:pPr>
          </w:p>
          <w:p w:rsidR="00FC04EC" w:rsidRDefault="00FE01C3" w:rsidP="000B4801">
            <w:pPr>
              <w:rPr>
                <w:sz w:val="22"/>
                <w:szCs w:val="22"/>
              </w:rPr>
            </w:pPr>
            <w:r w:rsidRPr="00903BA3">
              <w:rPr>
                <w:sz w:val="22"/>
                <w:szCs w:val="22"/>
              </w:rPr>
              <w:t>We</w:t>
            </w:r>
            <w:r w:rsidR="0051452D" w:rsidRPr="00903BA3">
              <w:rPr>
                <w:sz w:val="22"/>
                <w:szCs w:val="22"/>
              </w:rPr>
              <w:t xml:space="preserve"> believe that DEQ should establish PM</w:t>
            </w:r>
            <w:r w:rsidR="0051452D" w:rsidRPr="00903BA3">
              <w:rPr>
                <w:sz w:val="22"/>
                <w:szCs w:val="22"/>
                <w:vertAlign w:val="subscript"/>
              </w:rPr>
              <w:t>2.5</w:t>
            </w:r>
            <w:r w:rsidR="0051452D" w:rsidRPr="00903BA3">
              <w:rPr>
                <w:sz w:val="22"/>
                <w:szCs w:val="22"/>
              </w:rPr>
              <w:t xml:space="preserve"> SILs consistent with the federal SILs</w:t>
            </w:r>
            <w:r w:rsidR="004A0EA4" w:rsidRPr="00903BA3">
              <w:rPr>
                <w:sz w:val="22"/>
                <w:szCs w:val="22"/>
              </w:rPr>
              <w:t xml:space="preserve">. </w:t>
            </w:r>
            <w:r w:rsidR="00FC04EC" w:rsidRPr="00903BA3">
              <w:rPr>
                <w:sz w:val="22"/>
                <w:szCs w:val="22"/>
              </w:rPr>
              <w:t xml:space="preserve">(1, 2, 4, </w:t>
            </w:r>
            <w:r w:rsidR="000555D4" w:rsidRPr="00903BA3">
              <w:rPr>
                <w:sz w:val="22"/>
                <w:szCs w:val="22"/>
              </w:rPr>
              <w:t xml:space="preserve">10, </w:t>
            </w:r>
            <w:r w:rsidR="00FC04EC" w:rsidRPr="00903BA3">
              <w:rPr>
                <w:sz w:val="22"/>
                <w:szCs w:val="22"/>
              </w:rPr>
              <w:t>11, 13</w:t>
            </w:r>
            <w:r w:rsidR="00231353" w:rsidRPr="00903BA3">
              <w:rPr>
                <w:sz w:val="22"/>
                <w:szCs w:val="22"/>
              </w:rPr>
              <w:t>, 14, 15, 17</w:t>
            </w:r>
            <w:r w:rsidR="00FC04EC" w:rsidRPr="00903BA3">
              <w:rPr>
                <w:sz w:val="22"/>
                <w:szCs w:val="22"/>
              </w:rPr>
              <w:t>)</w:t>
            </w:r>
          </w:p>
          <w:p w:rsidR="000B4801" w:rsidRPr="00903BA3" w:rsidRDefault="000B4801" w:rsidP="000B4801">
            <w:pPr>
              <w:rPr>
                <w:sz w:val="22"/>
                <w:szCs w:val="22"/>
              </w:rPr>
            </w:pPr>
          </w:p>
          <w:p w:rsidR="0051452D" w:rsidRPr="00903BA3" w:rsidRDefault="0051452D" w:rsidP="000B4801">
            <w:pPr>
              <w:autoSpaceDE w:val="0"/>
              <w:autoSpaceDN w:val="0"/>
              <w:adjustRightInd w:val="0"/>
              <w:rPr>
                <w:i/>
                <w:sz w:val="22"/>
                <w:szCs w:val="22"/>
              </w:rPr>
            </w:pPr>
            <w:r w:rsidRPr="00903BA3">
              <w:rPr>
                <w:i/>
                <w:sz w:val="22"/>
                <w:szCs w:val="22"/>
              </w:rPr>
              <w:t>Response:</w:t>
            </w:r>
          </w:p>
          <w:p w:rsidR="0051452D" w:rsidRPr="00903BA3" w:rsidRDefault="0051452D" w:rsidP="000B4801">
            <w:pPr>
              <w:ind w:right="-180"/>
              <w:rPr>
                <w:i/>
                <w:sz w:val="22"/>
                <w:szCs w:val="22"/>
              </w:rPr>
            </w:pPr>
            <w:r w:rsidRPr="00903BA3">
              <w:rPr>
                <w:i/>
                <w:sz w:val="22"/>
                <w:szCs w:val="22"/>
              </w:rPr>
              <w:t>The Class III SO</w:t>
            </w:r>
            <w:r w:rsidRPr="00903BA3">
              <w:rPr>
                <w:i/>
                <w:sz w:val="22"/>
                <w:szCs w:val="22"/>
                <w:vertAlign w:val="subscript"/>
              </w:rPr>
              <w:t>2</w:t>
            </w:r>
            <w:r w:rsidRPr="00903BA3">
              <w:rPr>
                <w:i/>
                <w:sz w:val="22"/>
                <w:szCs w:val="22"/>
              </w:rPr>
              <w:t xml:space="preserve"> S</w:t>
            </w:r>
            <w:r w:rsidR="00065341" w:rsidRPr="00903BA3">
              <w:rPr>
                <w:i/>
                <w:sz w:val="22"/>
                <w:szCs w:val="22"/>
              </w:rPr>
              <w:t>ILs will be changed to match EPA’s</w:t>
            </w:r>
            <w:r w:rsidRPr="00903BA3">
              <w:rPr>
                <w:i/>
                <w:sz w:val="22"/>
                <w:szCs w:val="22"/>
              </w:rPr>
              <w:t xml:space="preserve"> Class </w:t>
            </w:r>
            <w:r w:rsidR="007E5234" w:rsidRPr="00903BA3">
              <w:rPr>
                <w:i/>
                <w:sz w:val="22"/>
                <w:szCs w:val="22"/>
              </w:rPr>
              <w:t>I</w:t>
            </w:r>
            <w:r w:rsidRPr="00903BA3">
              <w:rPr>
                <w:i/>
                <w:sz w:val="22"/>
                <w:szCs w:val="22"/>
              </w:rPr>
              <w:t>I SO</w:t>
            </w:r>
            <w:r w:rsidRPr="00903BA3">
              <w:rPr>
                <w:i/>
                <w:sz w:val="22"/>
                <w:szCs w:val="22"/>
                <w:vertAlign w:val="subscript"/>
              </w:rPr>
              <w:t>2</w:t>
            </w:r>
            <w:r w:rsidRPr="00903BA3">
              <w:rPr>
                <w:i/>
                <w:sz w:val="22"/>
                <w:szCs w:val="22"/>
              </w:rPr>
              <w:t xml:space="preserve"> SILs</w:t>
            </w:r>
            <w:r w:rsidR="004A0EA4" w:rsidRPr="00903BA3">
              <w:rPr>
                <w:i/>
                <w:sz w:val="22"/>
                <w:szCs w:val="22"/>
              </w:rPr>
              <w:t xml:space="preserve">. </w:t>
            </w:r>
          </w:p>
          <w:p w:rsidR="00012675" w:rsidRDefault="0051452D" w:rsidP="000B480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i/>
                <w:sz w:val="22"/>
                <w:szCs w:val="22"/>
              </w:rPr>
            </w:pPr>
            <w:r w:rsidRPr="00903BA3">
              <w:rPr>
                <w:i/>
                <w:sz w:val="22"/>
                <w:szCs w:val="22"/>
              </w:rPr>
              <w:t>DEQ’s Class II and Class III SILs for PM</w:t>
            </w:r>
            <w:r w:rsidR="000555D4" w:rsidRPr="00903BA3">
              <w:rPr>
                <w:i/>
                <w:sz w:val="22"/>
                <w:szCs w:val="22"/>
                <w:vertAlign w:val="subscript"/>
              </w:rPr>
              <w:t>2.5</w:t>
            </w:r>
            <w:r w:rsidRPr="00903BA3">
              <w:rPr>
                <w:i/>
                <w:sz w:val="22"/>
                <w:szCs w:val="22"/>
              </w:rPr>
              <w:t xml:space="preserve"> </w:t>
            </w:r>
            <w:r w:rsidR="000555D4" w:rsidRPr="00903BA3">
              <w:rPr>
                <w:i/>
                <w:sz w:val="22"/>
                <w:szCs w:val="22"/>
              </w:rPr>
              <w:t xml:space="preserve">adopted in the </w:t>
            </w:r>
            <w:r w:rsidR="004336F1" w:rsidRPr="00903BA3">
              <w:rPr>
                <w:i/>
                <w:sz w:val="22"/>
                <w:szCs w:val="22"/>
              </w:rPr>
              <w:t>August 2010</w:t>
            </w:r>
            <w:r w:rsidR="000555D4" w:rsidRPr="00903BA3">
              <w:rPr>
                <w:i/>
                <w:sz w:val="22"/>
                <w:szCs w:val="22"/>
              </w:rPr>
              <w:t xml:space="preserve"> temporary rules </w:t>
            </w:r>
            <w:r w:rsidRPr="00903BA3">
              <w:rPr>
                <w:i/>
                <w:sz w:val="22"/>
                <w:szCs w:val="22"/>
              </w:rPr>
              <w:t xml:space="preserve">are lower than EPA’s values </w:t>
            </w:r>
            <w:r w:rsidR="004336F1" w:rsidRPr="00903BA3">
              <w:rPr>
                <w:i/>
                <w:sz w:val="22"/>
                <w:szCs w:val="22"/>
              </w:rPr>
              <w:t>to be consistent with the</w:t>
            </w:r>
            <w:r w:rsidRPr="00903BA3">
              <w:rPr>
                <w:i/>
                <w:sz w:val="22"/>
                <w:szCs w:val="22"/>
              </w:rPr>
              <w:t xml:space="preserve"> lower</w:t>
            </w:r>
            <w:r w:rsidR="004336F1" w:rsidRPr="00903BA3">
              <w:rPr>
                <w:i/>
                <w:sz w:val="22"/>
                <w:szCs w:val="22"/>
              </w:rPr>
              <w:t xml:space="preserve"> SIL</w:t>
            </w:r>
            <w:r w:rsidRPr="00903BA3">
              <w:rPr>
                <w:i/>
                <w:sz w:val="22"/>
                <w:szCs w:val="22"/>
              </w:rPr>
              <w:t xml:space="preserve"> levels</w:t>
            </w:r>
            <w:r w:rsidR="004336F1" w:rsidRPr="00903BA3">
              <w:rPr>
                <w:i/>
                <w:sz w:val="22"/>
                <w:szCs w:val="22"/>
              </w:rPr>
              <w:t xml:space="preserve"> adopted</w:t>
            </w:r>
            <w:r w:rsidRPr="00903BA3">
              <w:rPr>
                <w:i/>
                <w:sz w:val="22"/>
                <w:szCs w:val="22"/>
              </w:rPr>
              <w:t xml:space="preserve"> in the early </w:t>
            </w:r>
            <w:r w:rsidRPr="00903BA3">
              <w:rPr>
                <w:i/>
                <w:sz w:val="22"/>
                <w:szCs w:val="22"/>
              </w:rPr>
              <w:lastRenderedPageBreak/>
              <w:t>1990’s for PM</w:t>
            </w:r>
            <w:r w:rsidRPr="00903BA3">
              <w:rPr>
                <w:i/>
                <w:sz w:val="22"/>
                <w:szCs w:val="22"/>
                <w:vertAlign w:val="subscript"/>
              </w:rPr>
              <w:t>10</w:t>
            </w:r>
            <w:r w:rsidRPr="00903BA3">
              <w:rPr>
                <w:i/>
                <w:sz w:val="22"/>
                <w:szCs w:val="22"/>
              </w:rPr>
              <w:t xml:space="preserve"> due to significant air quality problems in the Medford area</w:t>
            </w:r>
            <w:r w:rsidR="004A0EA4" w:rsidRPr="00903BA3">
              <w:rPr>
                <w:i/>
                <w:sz w:val="22"/>
                <w:szCs w:val="22"/>
              </w:rPr>
              <w:t xml:space="preserve">. </w:t>
            </w:r>
            <w:r w:rsidR="000555D4" w:rsidRPr="00903BA3">
              <w:rPr>
                <w:i/>
                <w:sz w:val="22"/>
                <w:szCs w:val="22"/>
              </w:rPr>
              <w:t xml:space="preserve">Upon reconsideration, DEQ </w:t>
            </w:r>
            <w:r w:rsidR="004336F1" w:rsidRPr="00903BA3">
              <w:rPr>
                <w:i/>
                <w:sz w:val="22"/>
                <w:szCs w:val="22"/>
              </w:rPr>
              <w:t>proposes</w:t>
            </w:r>
            <w:r w:rsidR="000555D4" w:rsidRPr="00903BA3">
              <w:rPr>
                <w:i/>
                <w:sz w:val="22"/>
                <w:szCs w:val="22"/>
              </w:rPr>
              <w:t xml:space="preserve"> to adopt EPA’s PM</w:t>
            </w:r>
            <w:r w:rsidR="000555D4" w:rsidRPr="00903BA3">
              <w:rPr>
                <w:i/>
                <w:sz w:val="22"/>
                <w:szCs w:val="22"/>
                <w:vertAlign w:val="subscript"/>
              </w:rPr>
              <w:t>2.5</w:t>
            </w:r>
            <w:r w:rsidR="000555D4" w:rsidRPr="00903BA3">
              <w:rPr>
                <w:i/>
                <w:sz w:val="22"/>
                <w:szCs w:val="22"/>
              </w:rPr>
              <w:t xml:space="preserve"> SILs for all areas</w:t>
            </w:r>
            <w:r w:rsidR="004A0EA4" w:rsidRPr="00903BA3">
              <w:rPr>
                <w:i/>
                <w:sz w:val="22"/>
                <w:szCs w:val="22"/>
              </w:rPr>
              <w:t xml:space="preserve">. </w:t>
            </w:r>
            <w:r w:rsidR="00797A80" w:rsidRPr="00903BA3">
              <w:rPr>
                <w:i/>
                <w:sz w:val="22"/>
                <w:szCs w:val="22"/>
              </w:rPr>
              <w:t>The change was made to the proposed rule as suggested</w:t>
            </w:r>
            <w:r w:rsidR="004A0EA4" w:rsidRPr="00903BA3">
              <w:rPr>
                <w:i/>
                <w:sz w:val="22"/>
                <w:szCs w:val="22"/>
              </w:rPr>
              <w:t xml:space="preserve">. </w:t>
            </w:r>
          </w:p>
          <w:p w:rsidR="000B4801" w:rsidRPr="00903BA3" w:rsidRDefault="000B4801" w:rsidP="000B480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i/>
                <w:sz w:val="22"/>
                <w:szCs w:val="22"/>
              </w:rPr>
            </w:pPr>
          </w:p>
        </w:tc>
      </w:tr>
      <w:tr w:rsidR="0051452D"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1452D" w:rsidRPr="00903BA3" w:rsidRDefault="000B4801" w:rsidP="000B4801">
            <w:pPr>
              <w:ind w:right="-115"/>
              <w:rPr>
                <w:bCs/>
                <w:sz w:val="22"/>
                <w:szCs w:val="22"/>
              </w:rPr>
            </w:pPr>
            <w:r>
              <w:rPr>
                <w:bCs/>
                <w:sz w:val="22"/>
                <w:szCs w:val="22"/>
              </w:rPr>
              <w:lastRenderedPageBreak/>
              <w:t xml:space="preserve">30. </w:t>
            </w:r>
            <w:r w:rsidR="00065341" w:rsidRPr="00903BA3">
              <w:rPr>
                <w:bCs/>
                <w:sz w:val="22"/>
                <w:szCs w:val="22"/>
              </w:rPr>
              <w:t>Error in Table 1</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C04EC" w:rsidRDefault="0051452D" w:rsidP="000B4801">
            <w:pPr>
              <w:rPr>
                <w:sz w:val="22"/>
                <w:szCs w:val="22"/>
              </w:rPr>
            </w:pPr>
            <w:r w:rsidRPr="00903BA3">
              <w:rPr>
                <w:sz w:val="22"/>
                <w:szCs w:val="22"/>
              </w:rPr>
              <w:t>OAR 340-202-0210, Table 1: There is a typo in Table 1. For Class I areas, the PM</w:t>
            </w:r>
            <w:r w:rsidRPr="00903BA3">
              <w:rPr>
                <w:sz w:val="22"/>
                <w:szCs w:val="22"/>
                <w:vertAlign w:val="subscript"/>
              </w:rPr>
              <w:t>10</w:t>
            </w:r>
            <w:r w:rsidRPr="00903BA3">
              <w:rPr>
                <w:sz w:val="22"/>
                <w:szCs w:val="22"/>
              </w:rPr>
              <w:t xml:space="preserve"> increments should be 4 and 8 ug/m</w:t>
            </w:r>
            <w:r w:rsidRPr="00903BA3">
              <w:rPr>
                <w:sz w:val="22"/>
                <w:szCs w:val="22"/>
                <w:vertAlign w:val="superscript"/>
              </w:rPr>
              <w:t>3</w:t>
            </w:r>
            <w:r w:rsidRPr="00903BA3">
              <w:rPr>
                <w:sz w:val="22"/>
                <w:szCs w:val="22"/>
              </w:rPr>
              <w:t xml:space="preserve"> respectively for the annual arithmetic mean and 24-hour maximum respectively. </w:t>
            </w:r>
            <w:r w:rsidR="00FC04EC" w:rsidRPr="00903BA3">
              <w:rPr>
                <w:sz w:val="22"/>
                <w:szCs w:val="22"/>
              </w:rPr>
              <w:t>(1, 2, 4, 11, 13</w:t>
            </w:r>
            <w:r w:rsidR="00AF659A" w:rsidRPr="00903BA3">
              <w:rPr>
                <w:sz w:val="22"/>
                <w:szCs w:val="22"/>
              </w:rPr>
              <w:t>, 14, 17</w:t>
            </w:r>
            <w:r w:rsidR="00FC04EC" w:rsidRPr="00903BA3">
              <w:rPr>
                <w:sz w:val="22"/>
                <w:szCs w:val="22"/>
              </w:rPr>
              <w:t>)</w:t>
            </w:r>
          </w:p>
          <w:p w:rsidR="00607C83" w:rsidRPr="00903BA3" w:rsidRDefault="00607C83" w:rsidP="000B4801">
            <w:pPr>
              <w:rPr>
                <w:sz w:val="22"/>
                <w:szCs w:val="22"/>
              </w:rPr>
            </w:pPr>
          </w:p>
          <w:p w:rsidR="0051452D" w:rsidRPr="00903BA3" w:rsidRDefault="0051452D" w:rsidP="000B4801">
            <w:pPr>
              <w:autoSpaceDE w:val="0"/>
              <w:autoSpaceDN w:val="0"/>
              <w:adjustRightInd w:val="0"/>
              <w:ind w:right="377"/>
              <w:rPr>
                <w:i/>
                <w:sz w:val="22"/>
                <w:szCs w:val="22"/>
              </w:rPr>
            </w:pPr>
            <w:r w:rsidRPr="00903BA3">
              <w:rPr>
                <w:i/>
                <w:sz w:val="22"/>
                <w:szCs w:val="22"/>
              </w:rPr>
              <w:t>Response:</w:t>
            </w:r>
          </w:p>
          <w:p w:rsidR="0051452D" w:rsidRDefault="0051452D" w:rsidP="000B4801">
            <w:pPr>
              <w:autoSpaceDE w:val="0"/>
              <w:autoSpaceDN w:val="0"/>
              <w:adjustRightInd w:val="0"/>
              <w:ind w:right="377"/>
              <w:rPr>
                <w:i/>
                <w:sz w:val="22"/>
                <w:szCs w:val="22"/>
              </w:rPr>
            </w:pPr>
            <w:r w:rsidRPr="00903BA3">
              <w:rPr>
                <w:i/>
                <w:sz w:val="22"/>
                <w:szCs w:val="22"/>
              </w:rPr>
              <w:t xml:space="preserve">The changes </w:t>
            </w:r>
            <w:r w:rsidR="007B44E6" w:rsidRPr="00903BA3">
              <w:rPr>
                <w:i/>
                <w:sz w:val="22"/>
                <w:szCs w:val="22"/>
              </w:rPr>
              <w:t>were made to the proposed rule as suggested.</w:t>
            </w:r>
          </w:p>
          <w:p w:rsidR="00607C83" w:rsidRPr="00903BA3" w:rsidRDefault="00607C83" w:rsidP="000B4801">
            <w:pPr>
              <w:autoSpaceDE w:val="0"/>
              <w:autoSpaceDN w:val="0"/>
              <w:adjustRightInd w:val="0"/>
              <w:ind w:right="377"/>
              <w:rPr>
                <w:i/>
                <w:sz w:val="22"/>
                <w:szCs w:val="22"/>
              </w:rPr>
            </w:pPr>
          </w:p>
        </w:tc>
      </w:tr>
      <w:tr w:rsidR="0051452D"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51452D" w:rsidRPr="00903BA3" w:rsidRDefault="00607C83" w:rsidP="00607C83">
            <w:pPr>
              <w:ind w:right="-115"/>
              <w:rPr>
                <w:bCs/>
                <w:sz w:val="22"/>
                <w:szCs w:val="22"/>
              </w:rPr>
            </w:pPr>
            <w:r>
              <w:rPr>
                <w:bCs/>
                <w:sz w:val="22"/>
                <w:szCs w:val="22"/>
              </w:rPr>
              <w:t xml:space="preserve">31. Greenhouse gas </w:t>
            </w:r>
            <w:r w:rsidR="00065341" w:rsidRPr="00903BA3">
              <w:rPr>
                <w:bCs/>
                <w:sz w:val="22"/>
                <w:szCs w:val="22"/>
              </w:rPr>
              <w:t>in CO</w:t>
            </w:r>
            <w:r w:rsidR="00065341" w:rsidRPr="00903BA3">
              <w:rPr>
                <w:bCs/>
                <w:sz w:val="22"/>
                <w:szCs w:val="22"/>
                <w:vertAlign w:val="subscript"/>
              </w:rPr>
              <w:t>2</w:t>
            </w:r>
            <w:r w:rsidR="00065341" w:rsidRPr="00903BA3">
              <w:rPr>
                <w:bCs/>
                <w:sz w:val="22"/>
                <w:szCs w:val="22"/>
              </w:rPr>
              <w:t>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Default="0051452D" w:rsidP="000B4801">
            <w:pPr>
              <w:autoSpaceDE w:val="0"/>
              <w:autoSpaceDN w:val="0"/>
              <w:adjustRightInd w:val="0"/>
              <w:rPr>
                <w:sz w:val="22"/>
                <w:szCs w:val="22"/>
              </w:rPr>
            </w:pPr>
            <w:r w:rsidRPr="00903BA3">
              <w:rPr>
                <w:sz w:val="22"/>
                <w:szCs w:val="22"/>
              </w:rPr>
              <w:t>OAR 340-216-0020, Table 1 Part C (No.5): It must be clear that the 100,000 tons of GHG here is in terms of CO</w:t>
            </w:r>
            <w:r w:rsidRPr="00903BA3">
              <w:rPr>
                <w:sz w:val="22"/>
                <w:szCs w:val="22"/>
                <w:vertAlign w:val="subscript"/>
              </w:rPr>
              <w:t>2</w:t>
            </w:r>
            <w:r w:rsidRPr="00903BA3">
              <w:rPr>
                <w:sz w:val="22"/>
                <w:szCs w:val="22"/>
              </w:rPr>
              <w:t xml:space="preserve"> equivalent (CO</w:t>
            </w:r>
            <w:r w:rsidRPr="00903BA3">
              <w:rPr>
                <w:sz w:val="22"/>
                <w:szCs w:val="22"/>
                <w:vertAlign w:val="subscript"/>
              </w:rPr>
              <w:t>2</w:t>
            </w:r>
            <w:r w:rsidRPr="00903BA3">
              <w:rPr>
                <w:sz w:val="22"/>
                <w:szCs w:val="22"/>
              </w:rPr>
              <w:t>e), not mass emissions. See comments on OAR 340-200 above regarding GHG emission thresholds. (1)</w:t>
            </w:r>
          </w:p>
          <w:p w:rsidR="00607C83" w:rsidRDefault="00607C83" w:rsidP="000B4801">
            <w:pPr>
              <w:ind w:left="64" w:right="-180"/>
              <w:rPr>
                <w:sz w:val="22"/>
                <w:szCs w:val="22"/>
              </w:rPr>
            </w:pPr>
          </w:p>
          <w:p w:rsidR="0051452D" w:rsidRPr="00903BA3" w:rsidRDefault="0051452D" w:rsidP="000B4801">
            <w:pPr>
              <w:ind w:left="64" w:right="-180"/>
              <w:rPr>
                <w:i/>
                <w:sz w:val="22"/>
                <w:szCs w:val="22"/>
              </w:rPr>
            </w:pPr>
            <w:r w:rsidRPr="00903BA3">
              <w:rPr>
                <w:i/>
                <w:sz w:val="22"/>
                <w:szCs w:val="22"/>
              </w:rPr>
              <w:t>Response:</w:t>
            </w:r>
          </w:p>
          <w:p w:rsidR="00065341" w:rsidRDefault="00A21C65" w:rsidP="000B4801">
            <w:pPr>
              <w:ind w:left="64" w:right="-180"/>
              <w:rPr>
                <w:i/>
                <w:sz w:val="22"/>
                <w:szCs w:val="22"/>
              </w:rPr>
            </w:pPr>
            <w:r w:rsidRPr="00903BA3">
              <w:rPr>
                <w:i/>
                <w:sz w:val="22"/>
                <w:szCs w:val="22"/>
              </w:rPr>
              <w:t>The change was made to the proposed rule as suggested.</w:t>
            </w:r>
            <w:r w:rsidR="004A0EA4" w:rsidRPr="00903BA3">
              <w:rPr>
                <w:i/>
                <w:sz w:val="22"/>
                <w:szCs w:val="22"/>
              </w:rPr>
              <w:t xml:space="preserve"> </w:t>
            </w:r>
          </w:p>
          <w:p w:rsidR="00607C83" w:rsidRPr="00903BA3" w:rsidRDefault="00607C83" w:rsidP="000B4801">
            <w:pPr>
              <w:ind w:left="64" w:right="-180"/>
              <w:rPr>
                <w:i/>
                <w:sz w:val="22"/>
                <w:szCs w:val="22"/>
              </w:rPr>
            </w:pPr>
          </w:p>
        </w:tc>
      </w:tr>
      <w:tr w:rsidR="00487C2E"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487C2E" w:rsidRPr="00903BA3" w:rsidRDefault="00607C83" w:rsidP="00607C83">
            <w:pPr>
              <w:ind w:right="-115"/>
              <w:rPr>
                <w:bCs/>
                <w:sz w:val="22"/>
                <w:szCs w:val="22"/>
              </w:rPr>
            </w:pPr>
            <w:r>
              <w:rPr>
                <w:sz w:val="22"/>
                <w:szCs w:val="22"/>
              </w:rPr>
              <w:t xml:space="preserve">32. </w:t>
            </w:r>
            <w:r w:rsidR="00487C2E" w:rsidRPr="00903BA3">
              <w:rPr>
                <w:sz w:val="22"/>
                <w:szCs w:val="22"/>
              </w:rPr>
              <w:t>PM</w:t>
            </w:r>
            <w:r w:rsidR="00487C2E" w:rsidRPr="00903BA3">
              <w:rPr>
                <w:sz w:val="22"/>
                <w:szCs w:val="22"/>
                <w:vertAlign w:val="subscript"/>
              </w:rPr>
              <w:t>2.5</w:t>
            </w:r>
            <w:r w:rsidR="00487C2E" w:rsidRPr="00903BA3">
              <w:rPr>
                <w:sz w:val="22"/>
                <w:szCs w:val="22"/>
              </w:rPr>
              <w:t xml:space="preserve"> </w:t>
            </w:r>
            <w:r w:rsidR="00487C2E" w:rsidRPr="00903BA3">
              <w:rPr>
                <w:bCs/>
                <w:sz w:val="22"/>
                <w:szCs w:val="22"/>
              </w:rPr>
              <w:t>significant emission rate in Medford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87C2E" w:rsidRDefault="00487C2E" w:rsidP="000B4801">
            <w:pPr>
              <w:rPr>
                <w:sz w:val="22"/>
                <w:szCs w:val="22"/>
              </w:rPr>
            </w:pPr>
            <w:r w:rsidRPr="00903BA3">
              <w:rPr>
                <w:sz w:val="22"/>
                <w:szCs w:val="22"/>
              </w:rPr>
              <w:t>We suggest that DEQ clarify the significant emission rates applicable for PM</w:t>
            </w:r>
            <w:r w:rsidRPr="00903BA3">
              <w:rPr>
                <w:sz w:val="22"/>
                <w:szCs w:val="22"/>
                <w:vertAlign w:val="subscript"/>
              </w:rPr>
              <w:t>2.5</w:t>
            </w:r>
            <w:r w:rsidRPr="00903BA3">
              <w:rPr>
                <w:sz w:val="22"/>
                <w:szCs w:val="22"/>
              </w:rPr>
              <w:t xml:space="preserve"> in Medford</w:t>
            </w:r>
            <w:r w:rsidR="004A0EA4" w:rsidRPr="00903BA3">
              <w:rPr>
                <w:sz w:val="22"/>
                <w:szCs w:val="22"/>
              </w:rPr>
              <w:t xml:space="preserve">. </w:t>
            </w:r>
            <w:r w:rsidRPr="00903BA3">
              <w:rPr>
                <w:sz w:val="22"/>
                <w:szCs w:val="22"/>
              </w:rPr>
              <w:t>The rates identified are for PM</w:t>
            </w:r>
            <w:r w:rsidRPr="00903BA3">
              <w:rPr>
                <w:sz w:val="22"/>
                <w:szCs w:val="22"/>
                <w:vertAlign w:val="subscript"/>
              </w:rPr>
              <w:t>10</w:t>
            </w:r>
            <w:r w:rsidRPr="00903BA3">
              <w:rPr>
                <w:sz w:val="22"/>
                <w:szCs w:val="22"/>
              </w:rPr>
              <w:t>/PM</w:t>
            </w:r>
            <w:r w:rsidRPr="00903BA3">
              <w:rPr>
                <w:sz w:val="22"/>
                <w:szCs w:val="22"/>
                <w:vertAlign w:val="subscript"/>
              </w:rPr>
              <w:t>2.5</w:t>
            </w:r>
            <w:r w:rsidRPr="00903BA3">
              <w:rPr>
                <w:sz w:val="22"/>
                <w:szCs w:val="22"/>
              </w:rPr>
              <w:t xml:space="preserve"> without any indication as to whether that is direct PM</w:t>
            </w:r>
            <w:r w:rsidRPr="00903BA3">
              <w:rPr>
                <w:sz w:val="22"/>
                <w:szCs w:val="22"/>
                <w:vertAlign w:val="subscript"/>
              </w:rPr>
              <w:t>2.5</w:t>
            </w:r>
            <w:r w:rsidRPr="00903BA3">
              <w:rPr>
                <w:sz w:val="22"/>
                <w:szCs w:val="22"/>
              </w:rPr>
              <w:t>, precursors or some combination of the two</w:t>
            </w:r>
            <w:r w:rsidR="004A0EA4" w:rsidRPr="00903BA3">
              <w:rPr>
                <w:sz w:val="22"/>
                <w:szCs w:val="22"/>
              </w:rPr>
              <w:t xml:space="preserve">. </w:t>
            </w:r>
            <w:r w:rsidRPr="00903BA3">
              <w:rPr>
                <w:sz w:val="22"/>
                <w:szCs w:val="22"/>
              </w:rPr>
              <w:t>Due to the different regulation of PM</w:t>
            </w:r>
            <w:r w:rsidRPr="00903BA3">
              <w:rPr>
                <w:sz w:val="22"/>
                <w:szCs w:val="22"/>
                <w:vertAlign w:val="subscript"/>
              </w:rPr>
              <w:t>2.5</w:t>
            </w:r>
            <w:r w:rsidRPr="00903BA3">
              <w:rPr>
                <w:sz w:val="22"/>
                <w:szCs w:val="22"/>
              </w:rPr>
              <w:t>, we do not believe that the Medford significant emission rates should include PM</w:t>
            </w:r>
            <w:r w:rsidRPr="00903BA3">
              <w:rPr>
                <w:sz w:val="22"/>
                <w:szCs w:val="22"/>
                <w:vertAlign w:val="subscript"/>
              </w:rPr>
              <w:t>2.5</w:t>
            </w:r>
            <w:r w:rsidRPr="00903BA3">
              <w:rPr>
                <w:sz w:val="22"/>
                <w:szCs w:val="22"/>
              </w:rPr>
              <w:t xml:space="preserve"> at all. </w:t>
            </w:r>
            <w:r w:rsidR="00E60FC7" w:rsidRPr="00903BA3">
              <w:rPr>
                <w:sz w:val="22"/>
                <w:szCs w:val="22"/>
              </w:rPr>
              <w:t>(1, 3, 13, 23)</w:t>
            </w:r>
          </w:p>
          <w:p w:rsidR="00607C83" w:rsidRPr="00903BA3" w:rsidRDefault="00607C83" w:rsidP="000B4801">
            <w:pPr>
              <w:rPr>
                <w:sz w:val="22"/>
                <w:szCs w:val="22"/>
              </w:rPr>
            </w:pPr>
          </w:p>
          <w:p w:rsidR="00687200" w:rsidRPr="00903BA3" w:rsidRDefault="00487C2E" w:rsidP="000B4801">
            <w:pPr>
              <w:rPr>
                <w:i/>
                <w:sz w:val="22"/>
                <w:szCs w:val="22"/>
              </w:rPr>
            </w:pPr>
            <w:r w:rsidRPr="00903BA3">
              <w:rPr>
                <w:i/>
                <w:sz w:val="22"/>
                <w:szCs w:val="22"/>
              </w:rPr>
              <w:t>Response:</w:t>
            </w:r>
          </w:p>
          <w:p w:rsidR="00487C2E" w:rsidRDefault="00A21C65" w:rsidP="000B4801">
            <w:pPr>
              <w:rPr>
                <w:i/>
                <w:sz w:val="22"/>
                <w:szCs w:val="22"/>
              </w:rPr>
            </w:pPr>
            <w:r w:rsidRPr="00903BA3">
              <w:rPr>
                <w:i/>
                <w:sz w:val="22"/>
                <w:szCs w:val="22"/>
              </w:rPr>
              <w:t>The change was made to the proposed rule as suggested.</w:t>
            </w:r>
            <w:r w:rsidR="003E1F9F" w:rsidRPr="00903BA3">
              <w:rPr>
                <w:i/>
                <w:sz w:val="22"/>
                <w:szCs w:val="22"/>
              </w:rPr>
              <w:t xml:space="preserve"> </w:t>
            </w:r>
          </w:p>
          <w:p w:rsidR="00607C83" w:rsidRPr="00903BA3" w:rsidRDefault="00607C83" w:rsidP="000B4801">
            <w:pPr>
              <w:rPr>
                <w:color w:val="1F497D"/>
                <w:sz w:val="22"/>
                <w:szCs w:val="22"/>
              </w:rPr>
            </w:pPr>
          </w:p>
        </w:tc>
      </w:tr>
      <w:tr w:rsidR="00D47073"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D47073" w:rsidRPr="00903BA3" w:rsidRDefault="00607C83" w:rsidP="00607C83">
            <w:pPr>
              <w:ind w:right="-115"/>
              <w:rPr>
                <w:bCs/>
                <w:sz w:val="22"/>
                <w:szCs w:val="22"/>
              </w:rPr>
            </w:pPr>
            <w:r>
              <w:rPr>
                <w:bCs/>
                <w:sz w:val="22"/>
                <w:szCs w:val="22"/>
              </w:rPr>
              <w:t xml:space="preserve">33. </w:t>
            </w:r>
            <w:r w:rsidR="00D47073" w:rsidRPr="00903BA3">
              <w:rPr>
                <w:bCs/>
                <w:sz w:val="22"/>
                <w:szCs w:val="22"/>
              </w:rPr>
              <w:t>Reporting requirement</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47073" w:rsidRDefault="00D47073" w:rsidP="000B4801">
            <w:pPr>
              <w:rPr>
                <w:sz w:val="22"/>
                <w:szCs w:val="22"/>
              </w:rPr>
            </w:pPr>
            <w:r w:rsidRPr="00903BA3">
              <w:rPr>
                <w:sz w:val="22"/>
                <w:szCs w:val="22"/>
              </w:rPr>
              <w:t>OAR 340-218-0040(2) requires that Title V applicants supplement their applications during the time period where the application is being evaluated and acted on</w:t>
            </w:r>
            <w:r w:rsidR="004A0EA4" w:rsidRPr="00903BA3">
              <w:rPr>
                <w:sz w:val="22"/>
                <w:szCs w:val="22"/>
              </w:rPr>
              <w:t xml:space="preserve">. </w:t>
            </w:r>
            <w:r w:rsidRPr="00903BA3">
              <w:rPr>
                <w:sz w:val="22"/>
                <w:szCs w:val="22"/>
              </w:rPr>
              <w:t>This is very different from the apparently open ended requirement being proposed for ACDP sources. Because of the potential</w:t>
            </w:r>
            <w:r w:rsidR="00AA2A85" w:rsidRPr="00903BA3">
              <w:rPr>
                <w:sz w:val="22"/>
                <w:szCs w:val="22"/>
              </w:rPr>
              <w:t>ly</w:t>
            </w:r>
            <w:r w:rsidRPr="00903BA3">
              <w:rPr>
                <w:sz w:val="22"/>
                <w:szCs w:val="22"/>
              </w:rPr>
              <w:t xml:space="preserve"> far reaching impacts of this regulation, and the lack of discussion about it prior to proposal, </w:t>
            </w:r>
            <w:r w:rsidR="002F0612" w:rsidRPr="00903BA3">
              <w:rPr>
                <w:sz w:val="22"/>
                <w:szCs w:val="22"/>
              </w:rPr>
              <w:t>we strongly urge</w:t>
            </w:r>
            <w:r w:rsidRPr="00903BA3">
              <w:rPr>
                <w:sz w:val="22"/>
                <w:szCs w:val="22"/>
              </w:rPr>
              <w:t xml:space="preserve"> the Department to withdraw the provision</w:t>
            </w:r>
            <w:r w:rsidR="004A0EA4" w:rsidRPr="00903BA3">
              <w:rPr>
                <w:sz w:val="22"/>
                <w:szCs w:val="22"/>
              </w:rPr>
              <w:t xml:space="preserve">. </w:t>
            </w:r>
            <w:r w:rsidRPr="00903BA3">
              <w:rPr>
                <w:sz w:val="22"/>
                <w:szCs w:val="22"/>
              </w:rPr>
              <w:t>If DEQ retains the provision, we request that similar language from the Title V rules be added so that it is clear that this requirement applies while the permit application is under review</w:t>
            </w:r>
            <w:r w:rsidR="004A0EA4" w:rsidRPr="00903BA3">
              <w:rPr>
                <w:sz w:val="22"/>
                <w:szCs w:val="22"/>
              </w:rPr>
              <w:t xml:space="preserve">. </w:t>
            </w:r>
            <w:r w:rsidRPr="00903BA3">
              <w:rPr>
                <w:sz w:val="22"/>
                <w:szCs w:val="22"/>
              </w:rPr>
              <w:t>(1, 2, 4, 11, 13, 14, 15, 17)</w:t>
            </w:r>
          </w:p>
          <w:p w:rsidR="00607C83" w:rsidRPr="00903BA3" w:rsidRDefault="00607C83" w:rsidP="000B4801">
            <w:pPr>
              <w:rPr>
                <w:sz w:val="22"/>
                <w:szCs w:val="22"/>
              </w:rPr>
            </w:pPr>
          </w:p>
          <w:p w:rsidR="00D47073" w:rsidRPr="00903BA3" w:rsidRDefault="00D47073" w:rsidP="000B4801">
            <w:pPr>
              <w:pStyle w:val="NormalWeb"/>
              <w:spacing w:before="0" w:beforeAutospacing="0" w:after="0" w:afterAutospacing="0"/>
              <w:rPr>
                <w:i/>
                <w:sz w:val="22"/>
                <w:szCs w:val="22"/>
              </w:rPr>
            </w:pPr>
            <w:r w:rsidRPr="00903BA3">
              <w:rPr>
                <w:i/>
                <w:sz w:val="22"/>
                <w:szCs w:val="22"/>
              </w:rPr>
              <w:t xml:space="preserve">Response:  </w:t>
            </w:r>
          </w:p>
          <w:p w:rsidR="00D47073" w:rsidRPr="00903BA3" w:rsidRDefault="00D47073" w:rsidP="000B4801">
            <w:pPr>
              <w:pStyle w:val="NormalWeb"/>
              <w:spacing w:before="0" w:beforeAutospacing="0" w:after="0" w:afterAutospacing="0"/>
              <w:rPr>
                <w:i/>
                <w:sz w:val="22"/>
                <w:szCs w:val="22"/>
              </w:rPr>
            </w:pPr>
            <w:r w:rsidRPr="00903BA3">
              <w:rPr>
                <w:i/>
                <w:sz w:val="22"/>
                <w:szCs w:val="22"/>
              </w:rPr>
              <w:t>The added language for Air Contaminant Discharge Permit applications comes directly from the Title V permit application requirements</w:t>
            </w:r>
            <w:r w:rsidR="00D74D40" w:rsidRPr="00903BA3">
              <w:rPr>
                <w:i/>
                <w:sz w:val="22"/>
                <w:szCs w:val="22"/>
              </w:rPr>
              <w:t xml:space="preserve"> in</w:t>
            </w:r>
            <w:r w:rsidRPr="00903BA3">
              <w:rPr>
                <w:i/>
                <w:sz w:val="22"/>
                <w:szCs w:val="22"/>
              </w:rPr>
              <w:t xml:space="preserve"> OAR 340-218-0040(2):  Duty to supplement or correct application. </w:t>
            </w:r>
            <w:r w:rsidRPr="00903BA3">
              <w:rPr>
                <w:i/>
                <w:sz w:val="22"/>
                <w:szCs w:val="22"/>
                <w:u w:val="single"/>
              </w:rPr>
              <w:t>Any applicant who fails to submit any relevant facts or who has submitted incorrect information in a permit application must, upon becoming aware of such failure or incorrect submittal, promptly submit such supplementary facts or corrected information.</w:t>
            </w:r>
            <w:r w:rsidRPr="00903BA3">
              <w:rPr>
                <w:i/>
                <w:sz w:val="22"/>
                <w:szCs w:val="22"/>
              </w:rPr>
              <w:t xml:space="preserve"> In addition, an applicant must provide additional information as necessary to address any requirements that become applicable to the source after the date it filed a complete application but prior to release of a draft permit. </w:t>
            </w:r>
          </w:p>
          <w:p w:rsidR="00607C83" w:rsidRDefault="00607C83" w:rsidP="000B4801">
            <w:pPr>
              <w:pStyle w:val="NormalWeb"/>
              <w:spacing w:before="0" w:beforeAutospacing="0" w:after="0" w:afterAutospacing="0"/>
              <w:rPr>
                <w:i/>
                <w:sz w:val="22"/>
                <w:szCs w:val="22"/>
              </w:rPr>
            </w:pPr>
          </w:p>
          <w:p w:rsidR="00012675" w:rsidRDefault="00D47073" w:rsidP="000B4801">
            <w:pPr>
              <w:pStyle w:val="NormalWeb"/>
              <w:spacing w:before="0" w:beforeAutospacing="0" w:after="0" w:afterAutospacing="0"/>
              <w:rPr>
                <w:i/>
                <w:sz w:val="22"/>
                <w:szCs w:val="22"/>
              </w:rPr>
            </w:pPr>
            <w:r w:rsidRPr="00903BA3">
              <w:rPr>
                <w:i/>
                <w:sz w:val="22"/>
                <w:szCs w:val="22"/>
              </w:rPr>
              <w:t>The duty to supplement or correct information extends beyond the period in which the application is being considered and acted upon</w:t>
            </w:r>
            <w:r w:rsidR="004A0EA4" w:rsidRPr="00903BA3">
              <w:rPr>
                <w:i/>
                <w:sz w:val="22"/>
                <w:szCs w:val="22"/>
              </w:rPr>
              <w:t xml:space="preserve">. </w:t>
            </w:r>
            <w:r w:rsidRPr="00903BA3">
              <w:rPr>
                <w:i/>
                <w:sz w:val="22"/>
                <w:szCs w:val="22"/>
              </w:rPr>
              <w:t xml:space="preserve">If it were limited to the evaluation period, an applicant could conceal certain facts and upon permit issuance could argue that is was </w:t>
            </w:r>
            <w:r w:rsidRPr="00903BA3">
              <w:rPr>
                <w:i/>
                <w:sz w:val="22"/>
                <w:szCs w:val="22"/>
              </w:rPr>
              <w:lastRenderedPageBreak/>
              <w:t>relieved of the obligation to supplement or correct</w:t>
            </w:r>
            <w:r w:rsidR="004A0EA4" w:rsidRPr="00903BA3">
              <w:rPr>
                <w:i/>
                <w:sz w:val="22"/>
                <w:szCs w:val="22"/>
              </w:rPr>
              <w:t xml:space="preserve">. </w:t>
            </w:r>
            <w:r w:rsidRPr="00903BA3">
              <w:rPr>
                <w:i/>
                <w:sz w:val="22"/>
                <w:szCs w:val="22"/>
              </w:rPr>
              <w:t xml:space="preserve">Or an applicant could make a critical mistake and omit information that </w:t>
            </w:r>
            <w:r w:rsidR="00AA2A85" w:rsidRPr="00903BA3">
              <w:rPr>
                <w:i/>
                <w:sz w:val="22"/>
                <w:szCs w:val="22"/>
              </w:rPr>
              <w:t xml:space="preserve">would have </w:t>
            </w:r>
            <w:r w:rsidRPr="00903BA3">
              <w:rPr>
                <w:i/>
                <w:sz w:val="22"/>
                <w:szCs w:val="22"/>
              </w:rPr>
              <w:t xml:space="preserve">required the source to </w:t>
            </w:r>
            <w:r w:rsidR="00BB73FD" w:rsidRPr="00903BA3">
              <w:rPr>
                <w:i/>
                <w:sz w:val="22"/>
                <w:szCs w:val="22"/>
              </w:rPr>
              <w:t>comply with</w:t>
            </w:r>
            <w:r w:rsidRPr="00903BA3">
              <w:rPr>
                <w:i/>
                <w:sz w:val="22"/>
                <w:szCs w:val="22"/>
              </w:rPr>
              <w:t xml:space="preserve"> a significant requirement and yet not be obligated to later raise the issue to DEQ</w:t>
            </w:r>
            <w:r w:rsidR="004A0EA4" w:rsidRPr="00903BA3">
              <w:rPr>
                <w:i/>
                <w:sz w:val="22"/>
                <w:szCs w:val="22"/>
              </w:rPr>
              <w:t xml:space="preserve">. </w:t>
            </w:r>
            <w:r w:rsidRPr="00903BA3">
              <w:rPr>
                <w:i/>
                <w:sz w:val="22"/>
                <w:szCs w:val="22"/>
              </w:rPr>
              <w:t>Based on concerns raised by the EPA in its priority sect</w:t>
            </w:r>
            <w:r w:rsidR="002C1B9B" w:rsidRPr="00903BA3">
              <w:rPr>
                <w:i/>
                <w:sz w:val="22"/>
                <w:szCs w:val="22"/>
              </w:rPr>
              <w:t>or</w:t>
            </w:r>
            <w:r w:rsidRPr="00903BA3">
              <w:rPr>
                <w:i/>
                <w:sz w:val="22"/>
                <w:szCs w:val="22"/>
              </w:rPr>
              <w:t xml:space="preserve"> review, this language was added to the ACDP application requirements</w:t>
            </w:r>
            <w:r w:rsidR="004A0EA4" w:rsidRPr="00903BA3">
              <w:rPr>
                <w:i/>
                <w:sz w:val="22"/>
                <w:szCs w:val="22"/>
              </w:rPr>
              <w:t xml:space="preserve">. </w:t>
            </w:r>
            <w:r w:rsidR="00A21C65" w:rsidRPr="00903BA3">
              <w:rPr>
                <w:i/>
                <w:sz w:val="22"/>
                <w:szCs w:val="22"/>
              </w:rPr>
              <w:t>No change to the rule is proposed in response to this comment.</w:t>
            </w:r>
          </w:p>
          <w:p w:rsidR="00607C83" w:rsidRPr="00903BA3" w:rsidRDefault="00607C83" w:rsidP="000B4801">
            <w:pPr>
              <w:pStyle w:val="NormalWeb"/>
              <w:spacing w:before="0" w:beforeAutospacing="0" w:after="0" w:afterAutospacing="0"/>
              <w:rPr>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607C83">
            <w:pPr>
              <w:ind w:right="-115"/>
              <w:rPr>
                <w:bCs/>
                <w:sz w:val="22"/>
                <w:szCs w:val="22"/>
              </w:rPr>
            </w:pPr>
            <w:r>
              <w:rPr>
                <w:bCs/>
                <w:sz w:val="22"/>
                <w:szCs w:val="22"/>
              </w:rPr>
              <w:lastRenderedPageBreak/>
              <w:t>34. Greenhouse gas</w:t>
            </w:r>
            <w:r w:rsidR="00A62014" w:rsidRPr="00903BA3">
              <w:rPr>
                <w:sz w:val="22"/>
                <w:szCs w:val="22"/>
              </w:rPr>
              <w:t xml:space="preserve"> PSD applicability prior to  July 1, 2011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903BA3" w:rsidRDefault="00A62014" w:rsidP="000B4801">
            <w:pPr>
              <w:autoSpaceDE w:val="0"/>
              <w:autoSpaceDN w:val="0"/>
              <w:adjustRightInd w:val="0"/>
              <w:rPr>
                <w:sz w:val="22"/>
                <w:szCs w:val="22"/>
              </w:rPr>
            </w:pPr>
            <w:r w:rsidRPr="00903BA3">
              <w:rPr>
                <w:sz w:val="22"/>
                <w:szCs w:val="22"/>
              </w:rPr>
              <w:t>OAR 340-224-0010(5): This new applicability provision for GHGs needs to include language indicating that the 75,000 tpy value is measured as CO</w:t>
            </w:r>
            <w:r w:rsidRPr="00903BA3">
              <w:rPr>
                <w:sz w:val="22"/>
                <w:szCs w:val="22"/>
                <w:vertAlign w:val="subscript"/>
              </w:rPr>
              <w:t>2</w:t>
            </w:r>
            <w:r w:rsidRPr="00903BA3">
              <w:rPr>
                <w:sz w:val="22"/>
                <w:szCs w:val="22"/>
              </w:rPr>
              <w:t xml:space="preserve"> equivalent (CO</w:t>
            </w:r>
            <w:r w:rsidRPr="00903BA3">
              <w:rPr>
                <w:sz w:val="22"/>
                <w:szCs w:val="22"/>
                <w:vertAlign w:val="subscript"/>
              </w:rPr>
              <w:t>2</w:t>
            </w:r>
            <w:r w:rsidRPr="00903BA3">
              <w:rPr>
                <w:sz w:val="22"/>
                <w:szCs w:val="22"/>
              </w:rPr>
              <w:t>e). (7)</w:t>
            </w:r>
          </w:p>
          <w:p w:rsidR="00A62014" w:rsidRDefault="002F0612" w:rsidP="000B4801">
            <w:pPr>
              <w:rPr>
                <w:sz w:val="22"/>
                <w:szCs w:val="22"/>
              </w:rPr>
            </w:pPr>
            <w:r w:rsidRPr="00903BA3">
              <w:rPr>
                <w:sz w:val="22"/>
                <w:szCs w:val="22"/>
              </w:rPr>
              <w:t>We</w:t>
            </w:r>
            <w:r w:rsidR="00A62014" w:rsidRPr="00903BA3">
              <w:rPr>
                <w:sz w:val="22"/>
                <w:szCs w:val="22"/>
              </w:rPr>
              <w:t xml:space="preserve"> request that the Department revise its GHG PSD applicability provisions proposed for inclusion in OAR 340-224-0010(5). We believe that what was intended was to require new </w:t>
            </w:r>
            <w:r w:rsidR="00A62014" w:rsidRPr="00903BA3">
              <w:rPr>
                <w:sz w:val="22"/>
                <w:szCs w:val="22"/>
                <w:u w:val="single"/>
              </w:rPr>
              <w:t>Federal Major Sources</w:t>
            </w:r>
            <w:r w:rsidR="00A62014" w:rsidRPr="00903BA3">
              <w:rPr>
                <w:sz w:val="22"/>
                <w:szCs w:val="22"/>
              </w:rPr>
              <w:t xml:space="preserve"> that also have a GHG PTE of 75,000 tons/year to have to undergo PSD for GHGs. Likewise, we believe that existing Federal Major Sources that have a </w:t>
            </w:r>
            <w:r w:rsidR="00A62014" w:rsidRPr="00903BA3">
              <w:rPr>
                <w:sz w:val="22"/>
                <w:szCs w:val="22"/>
                <w:u w:val="single"/>
              </w:rPr>
              <w:t>significant</w:t>
            </w:r>
            <w:r w:rsidR="00A62014" w:rsidRPr="00903BA3">
              <w:rPr>
                <w:sz w:val="22"/>
                <w:szCs w:val="22"/>
              </w:rPr>
              <w:t xml:space="preserve"> emissions increase of a non-GHG regulated air pollutant and a GHG emissions increase of 75,000 tons/year or more </w:t>
            </w:r>
            <w:r w:rsidR="00A62014" w:rsidRPr="00903BA3">
              <w:rPr>
                <w:sz w:val="22"/>
                <w:szCs w:val="22"/>
                <w:u w:val="single"/>
              </w:rPr>
              <w:t>over the netting basis</w:t>
            </w:r>
            <w:r w:rsidR="00A62014" w:rsidRPr="00903BA3">
              <w:rPr>
                <w:sz w:val="22"/>
                <w:szCs w:val="22"/>
              </w:rPr>
              <w:t xml:space="preserve"> would be subject to PSD for GHGs. As proposed, the underlined elements are missing from the rule resulting in the Oregon proposed rule being far more stringent than the federal rules. (1, 2, 4, 9, 11, 13, 14, 17)</w:t>
            </w:r>
          </w:p>
          <w:p w:rsidR="00607C83" w:rsidRPr="00903BA3" w:rsidRDefault="00607C83" w:rsidP="000B4801">
            <w:pPr>
              <w:rPr>
                <w:sz w:val="22"/>
                <w:szCs w:val="22"/>
              </w:rPr>
            </w:pPr>
          </w:p>
          <w:p w:rsidR="00A62014" w:rsidRPr="00903BA3" w:rsidRDefault="00A62014" w:rsidP="000B4801">
            <w:pPr>
              <w:autoSpaceDE w:val="0"/>
              <w:autoSpaceDN w:val="0"/>
              <w:adjustRightInd w:val="0"/>
              <w:ind w:right="377"/>
              <w:rPr>
                <w:i/>
                <w:sz w:val="22"/>
                <w:szCs w:val="22"/>
              </w:rPr>
            </w:pPr>
            <w:r w:rsidRPr="00903BA3">
              <w:rPr>
                <w:i/>
                <w:sz w:val="22"/>
                <w:szCs w:val="22"/>
              </w:rPr>
              <w:t>Response:</w:t>
            </w:r>
          </w:p>
          <w:p w:rsidR="00A62014" w:rsidRDefault="000F1312" w:rsidP="000B4801">
            <w:pPr>
              <w:autoSpaceDE w:val="0"/>
              <w:autoSpaceDN w:val="0"/>
              <w:adjustRightInd w:val="0"/>
              <w:ind w:right="377"/>
              <w:rPr>
                <w:i/>
                <w:sz w:val="22"/>
                <w:szCs w:val="22"/>
              </w:rPr>
            </w:pPr>
            <w:r w:rsidRPr="00903BA3">
              <w:rPr>
                <w:i/>
                <w:sz w:val="22"/>
                <w:szCs w:val="22"/>
              </w:rPr>
              <w:t xml:space="preserve">The change was made to the proposed rule as suggested. </w:t>
            </w:r>
          </w:p>
          <w:p w:rsidR="00607C83" w:rsidRPr="00903BA3" w:rsidRDefault="00607C83" w:rsidP="000B4801">
            <w:pPr>
              <w:autoSpaceDE w:val="0"/>
              <w:autoSpaceDN w:val="0"/>
              <w:adjustRightInd w:val="0"/>
              <w:ind w:right="377"/>
              <w:rPr>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607C83">
            <w:pPr>
              <w:rPr>
                <w:bCs/>
                <w:sz w:val="22"/>
                <w:szCs w:val="22"/>
              </w:rPr>
            </w:pPr>
            <w:r>
              <w:rPr>
                <w:sz w:val="22"/>
                <w:szCs w:val="22"/>
              </w:rPr>
              <w:t xml:space="preserve">35. </w:t>
            </w:r>
            <w:r w:rsidR="00477E51">
              <w:rPr>
                <w:sz w:val="22"/>
                <w:szCs w:val="22"/>
              </w:rPr>
              <w:t>Greenhouse</w:t>
            </w:r>
            <w:r>
              <w:rPr>
                <w:sz w:val="22"/>
                <w:szCs w:val="22"/>
              </w:rPr>
              <w:t xml:space="preserve"> gas</w:t>
            </w:r>
            <w:r w:rsidR="00A62014" w:rsidRPr="00903BA3">
              <w:rPr>
                <w:sz w:val="22"/>
                <w:szCs w:val="22"/>
              </w:rPr>
              <w:t xml:space="preserve"> PSD applicability after July 1, 2011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903BA3" w:rsidRDefault="00A62014" w:rsidP="000B4801">
            <w:pPr>
              <w:autoSpaceDE w:val="0"/>
              <w:autoSpaceDN w:val="0"/>
              <w:adjustRightInd w:val="0"/>
              <w:rPr>
                <w:sz w:val="22"/>
                <w:szCs w:val="22"/>
              </w:rPr>
            </w:pPr>
            <w:r w:rsidRPr="00903BA3">
              <w:rPr>
                <w:sz w:val="22"/>
                <w:szCs w:val="22"/>
              </w:rPr>
              <w:t>OAR 340-224-0010(6): This new applicability provision for GHGs needs to include language indicating that the 100,000 tpy value is measured as CO</w:t>
            </w:r>
            <w:r w:rsidRPr="00903BA3">
              <w:rPr>
                <w:sz w:val="22"/>
                <w:szCs w:val="22"/>
                <w:vertAlign w:val="subscript"/>
              </w:rPr>
              <w:t>2</w:t>
            </w:r>
            <w:r w:rsidRPr="00903BA3">
              <w:rPr>
                <w:sz w:val="22"/>
                <w:szCs w:val="22"/>
              </w:rPr>
              <w:t xml:space="preserve"> equivalent (CO</w:t>
            </w:r>
            <w:r w:rsidRPr="00903BA3">
              <w:rPr>
                <w:sz w:val="22"/>
                <w:szCs w:val="22"/>
                <w:vertAlign w:val="subscript"/>
              </w:rPr>
              <w:t>2</w:t>
            </w:r>
            <w:r w:rsidRPr="00903BA3">
              <w:rPr>
                <w:sz w:val="22"/>
                <w:szCs w:val="22"/>
              </w:rPr>
              <w:t>e) and that a new stationary source or an existing stationary source is subject to regulation when it emits, will emit, or has the potential to emit 100,000 tpy or more. (7)</w:t>
            </w:r>
          </w:p>
          <w:p w:rsidR="00A62014" w:rsidRDefault="002F0612" w:rsidP="000B4801">
            <w:pPr>
              <w:rPr>
                <w:sz w:val="22"/>
                <w:szCs w:val="22"/>
              </w:rPr>
            </w:pPr>
            <w:r w:rsidRPr="00903BA3">
              <w:rPr>
                <w:sz w:val="22"/>
                <w:szCs w:val="22"/>
              </w:rPr>
              <w:t>We</w:t>
            </w:r>
            <w:r w:rsidR="00A62014" w:rsidRPr="00903BA3">
              <w:rPr>
                <w:sz w:val="22"/>
                <w:szCs w:val="22"/>
              </w:rPr>
              <w:t xml:space="preserve"> request that the Department revise its GHG PSD applicability provisions proposed for inclusion in OAR 340-224-0010(6). We believe that what was intended was to require existing Federal Major Sources to undergo PSD for GHGs only if they request a GHG emissions increase of 75,000 tons/year or more </w:t>
            </w:r>
            <w:r w:rsidR="00A62014" w:rsidRPr="00903BA3">
              <w:rPr>
                <w:sz w:val="22"/>
                <w:szCs w:val="22"/>
                <w:u w:val="single"/>
              </w:rPr>
              <w:t>over the GHG netting basis</w:t>
            </w:r>
            <w:r w:rsidR="00A62014" w:rsidRPr="00903BA3">
              <w:rPr>
                <w:sz w:val="22"/>
                <w:szCs w:val="22"/>
              </w:rPr>
              <w:t>. As proposed, the rule requires the source to be regulated even if the ultimate GHG PSEL requested does not exceed the netting basis by an SER or more. We suggest that the rule be changed to remove this possibility. (1, 2, 4, 9, 11, 13, 14, 17)</w:t>
            </w:r>
          </w:p>
          <w:p w:rsidR="00607C83" w:rsidRPr="00903BA3" w:rsidRDefault="00607C83" w:rsidP="000B4801">
            <w:pPr>
              <w:rPr>
                <w:sz w:val="22"/>
                <w:szCs w:val="22"/>
              </w:rPr>
            </w:pPr>
          </w:p>
          <w:p w:rsidR="00A62014" w:rsidRPr="00903BA3" w:rsidRDefault="00A62014" w:rsidP="000B4801">
            <w:pPr>
              <w:ind w:left="64" w:right="-180"/>
              <w:rPr>
                <w:i/>
                <w:sz w:val="22"/>
                <w:szCs w:val="22"/>
              </w:rPr>
            </w:pPr>
            <w:r w:rsidRPr="00903BA3">
              <w:rPr>
                <w:i/>
                <w:sz w:val="22"/>
                <w:szCs w:val="22"/>
              </w:rPr>
              <w:t>Response:</w:t>
            </w:r>
          </w:p>
          <w:p w:rsidR="00012675" w:rsidRDefault="000F1312" w:rsidP="000B4801">
            <w:pPr>
              <w:ind w:left="64" w:right="-180"/>
              <w:rPr>
                <w:i/>
                <w:sz w:val="22"/>
                <w:szCs w:val="22"/>
              </w:rPr>
            </w:pPr>
            <w:r w:rsidRPr="00903BA3">
              <w:rPr>
                <w:i/>
                <w:sz w:val="22"/>
                <w:szCs w:val="22"/>
              </w:rPr>
              <w:t>The change</w:t>
            </w:r>
            <w:r w:rsidR="00BB73FD" w:rsidRPr="00903BA3">
              <w:rPr>
                <w:i/>
                <w:sz w:val="22"/>
                <w:szCs w:val="22"/>
              </w:rPr>
              <w:t>s</w:t>
            </w:r>
            <w:r w:rsidRPr="00903BA3">
              <w:rPr>
                <w:i/>
                <w:sz w:val="22"/>
                <w:szCs w:val="22"/>
              </w:rPr>
              <w:t xml:space="preserve"> </w:t>
            </w:r>
            <w:r w:rsidR="00BB73FD" w:rsidRPr="00903BA3">
              <w:rPr>
                <w:i/>
                <w:sz w:val="22"/>
                <w:szCs w:val="22"/>
              </w:rPr>
              <w:t>were</w:t>
            </w:r>
            <w:r w:rsidRPr="00903BA3">
              <w:rPr>
                <w:i/>
                <w:sz w:val="22"/>
                <w:szCs w:val="22"/>
              </w:rPr>
              <w:t xml:space="preserve"> made to the proposed rule as suggested. </w:t>
            </w:r>
          </w:p>
          <w:p w:rsidR="00607C83" w:rsidRPr="00903BA3" w:rsidRDefault="00607C83" w:rsidP="000B4801">
            <w:pPr>
              <w:ind w:left="64" w:right="-180"/>
              <w:rPr>
                <w:i/>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607C83">
            <w:pPr>
              <w:ind w:right="-108"/>
              <w:rPr>
                <w:bCs/>
                <w:sz w:val="22"/>
                <w:szCs w:val="22"/>
              </w:rPr>
            </w:pPr>
            <w:r>
              <w:rPr>
                <w:sz w:val="22"/>
                <w:szCs w:val="22"/>
              </w:rPr>
              <w:t xml:space="preserve">36. </w:t>
            </w:r>
            <w:r w:rsidR="00A62014" w:rsidRPr="00903BA3">
              <w:rPr>
                <w:sz w:val="22"/>
                <w:szCs w:val="22"/>
              </w:rPr>
              <w:t>Additional requirements for sources in nonattainment areas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autoSpaceDE w:val="0"/>
              <w:autoSpaceDN w:val="0"/>
              <w:adjustRightInd w:val="0"/>
              <w:rPr>
                <w:sz w:val="22"/>
                <w:szCs w:val="22"/>
              </w:rPr>
            </w:pPr>
            <w:r w:rsidRPr="00903BA3">
              <w:rPr>
                <w:sz w:val="22"/>
                <w:szCs w:val="22"/>
              </w:rPr>
              <w:t>OAR 340-224-0050(3): The additional requirements for sources in nonattainment areas are only required to apply to sources that are major for the nonattainment pollutant. Since GHGs are not criteria pollutants and never will be nonattainment pollutants, these provisions need not apply to GHGs. However, if ODEQ does include GHGs here, it needs to include language indicating that the 100,000 tpy value is measured as CO</w:t>
            </w:r>
            <w:r w:rsidRPr="00903BA3">
              <w:rPr>
                <w:sz w:val="22"/>
                <w:szCs w:val="22"/>
                <w:vertAlign w:val="subscript"/>
              </w:rPr>
              <w:t>2</w:t>
            </w:r>
            <w:r w:rsidRPr="00903BA3">
              <w:rPr>
                <w:sz w:val="22"/>
                <w:szCs w:val="22"/>
              </w:rPr>
              <w:t xml:space="preserve"> equivalent (CO</w:t>
            </w:r>
            <w:r w:rsidRPr="00903BA3">
              <w:rPr>
                <w:sz w:val="22"/>
                <w:szCs w:val="22"/>
                <w:vertAlign w:val="subscript"/>
              </w:rPr>
              <w:t>2</w:t>
            </w:r>
            <w:r w:rsidRPr="00903BA3">
              <w:rPr>
                <w:sz w:val="22"/>
                <w:szCs w:val="22"/>
              </w:rPr>
              <w:t>e). (7)</w:t>
            </w:r>
          </w:p>
          <w:p w:rsidR="00607C83" w:rsidRPr="00903BA3" w:rsidRDefault="00607C83" w:rsidP="000B4801">
            <w:pPr>
              <w:autoSpaceDE w:val="0"/>
              <w:autoSpaceDN w:val="0"/>
              <w:adjustRightInd w:val="0"/>
              <w:rPr>
                <w:sz w:val="22"/>
                <w:szCs w:val="22"/>
              </w:rPr>
            </w:pPr>
          </w:p>
          <w:p w:rsidR="00A62014" w:rsidRPr="00903BA3" w:rsidRDefault="00A62014" w:rsidP="000B4801">
            <w:pPr>
              <w:autoSpaceDE w:val="0"/>
              <w:autoSpaceDN w:val="0"/>
              <w:adjustRightInd w:val="0"/>
              <w:rPr>
                <w:i/>
                <w:sz w:val="22"/>
                <w:szCs w:val="22"/>
              </w:rPr>
            </w:pPr>
            <w:r w:rsidRPr="00903BA3">
              <w:rPr>
                <w:i/>
                <w:sz w:val="22"/>
                <w:szCs w:val="22"/>
              </w:rPr>
              <w:t>Response:</w:t>
            </w:r>
          </w:p>
          <w:p w:rsidR="00012675" w:rsidRDefault="00607C83" w:rsidP="000B4801">
            <w:pPr>
              <w:autoSpaceDE w:val="0"/>
              <w:autoSpaceDN w:val="0"/>
              <w:adjustRightInd w:val="0"/>
              <w:rPr>
                <w:i/>
                <w:sz w:val="22"/>
                <w:szCs w:val="22"/>
              </w:rPr>
            </w:pPr>
            <w:r>
              <w:rPr>
                <w:i/>
                <w:sz w:val="22"/>
                <w:szCs w:val="22"/>
              </w:rPr>
              <w:t>Greenhouse gase</w:t>
            </w:r>
            <w:r w:rsidR="00A62014" w:rsidRPr="00903BA3">
              <w:rPr>
                <w:i/>
                <w:sz w:val="22"/>
                <w:szCs w:val="22"/>
              </w:rPr>
              <w:t xml:space="preserve">s </w:t>
            </w:r>
            <w:r w:rsidR="007B44E6" w:rsidRPr="00903BA3">
              <w:rPr>
                <w:i/>
                <w:sz w:val="22"/>
                <w:szCs w:val="22"/>
              </w:rPr>
              <w:t>were</w:t>
            </w:r>
            <w:r w:rsidR="00A62014" w:rsidRPr="00903BA3">
              <w:rPr>
                <w:i/>
                <w:sz w:val="22"/>
                <w:szCs w:val="22"/>
              </w:rPr>
              <w:t xml:space="preserve"> removed from this section</w:t>
            </w:r>
            <w:r w:rsidR="00255965" w:rsidRPr="00903BA3">
              <w:rPr>
                <w:i/>
                <w:sz w:val="22"/>
                <w:szCs w:val="22"/>
              </w:rPr>
              <w:t xml:space="preserve"> as suggested</w:t>
            </w:r>
            <w:r w:rsidR="00A62014" w:rsidRPr="00903BA3">
              <w:rPr>
                <w:i/>
                <w:sz w:val="22"/>
                <w:szCs w:val="22"/>
              </w:rPr>
              <w:t xml:space="preserve">. </w:t>
            </w:r>
          </w:p>
          <w:p w:rsidR="00607C83" w:rsidRPr="00903BA3" w:rsidRDefault="00607C83" w:rsidP="000B4801">
            <w:pPr>
              <w:autoSpaceDE w:val="0"/>
              <w:autoSpaceDN w:val="0"/>
              <w:adjustRightInd w:val="0"/>
              <w:rPr>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607C83">
            <w:pPr>
              <w:ind w:right="-108"/>
              <w:rPr>
                <w:bCs/>
                <w:sz w:val="22"/>
                <w:szCs w:val="22"/>
              </w:rPr>
            </w:pPr>
            <w:r>
              <w:rPr>
                <w:sz w:val="22"/>
                <w:szCs w:val="22"/>
              </w:rPr>
              <w:t xml:space="preserve">37. </w:t>
            </w:r>
            <w:r w:rsidR="00A62014" w:rsidRPr="00903BA3">
              <w:rPr>
                <w:sz w:val="22"/>
                <w:szCs w:val="22"/>
              </w:rPr>
              <w:t>OAR 340-224-0060(1)</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autoSpaceDE w:val="0"/>
              <w:autoSpaceDN w:val="0"/>
              <w:adjustRightInd w:val="0"/>
              <w:rPr>
                <w:sz w:val="22"/>
                <w:szCs w:val="22"/>
              </w:rPr>
            </w:pPr>
            <w:r w:rsidRPr="00903BA3">
              <w:rPr>
                <w:sz w:val="22"/>
                <w:szCs w:val="22"/>
              </w:rPr>
              <w:t xml:space="preserve">For consistency and accuracy, the text in 0060(1) should be amended to read </w:t>
            </w:r>
            <w:r w:rsidRPr="00903BA3">
              <w:rPr>
                <w:i/>
                <w:iCs/>
                <w:sz w:val="22"/>
                <w:szCs w:val="22"/>
              </w:rPr>
              <w:t xml:space="preserve">" ... must apply BACT for each maintenance pollutant or precursor(s) emitted at </w:t>
            </w:r>
            <w:r w:rsidRPr="00903BA3">
              <w:rPr>
                <w:iCs/>
                <w:sz w:val="22"/>
                <w:szCs w:val="22"/>
              </w:rPr>
              <w:t>or above</w:t>
            </w:r>
            <w:r w:rsidRPr="00903BA3">
              <w:rPr>
                <w:i/>
                <w:iCs/>
                <w:sz w:val="22"/>
                <w:szCs w:val="22"/>
              </w:rPr>
              <w:t xml:space="preserve"> a SER. " </w:t>
            </w:r>
            <w:r w:rsidRPr="00903BA3">
              <w:rPr>
                <w:sz w:val="22"/>
                <w:szCs w:val="22"/>
              </w:rPr>
              <w:t xml:space="preserve"> (7)</w:t>
            </w:r>
          </w:p>
          <w:p w:rsidR="00607C83" w:rsidRPr="00903BA3" w:rsidRDefault="00607C83" w:rsidP="000B4801">
            <w:pPr>
              <w:autoSpaceDE w:val="0"/>
              <w:autoSpaceDN w:val="0"/>
              <w:adjustRightInd w:val="0"/>
              <w:rPr>
                <w:sz w:val="22"/>
                <w:szCs w:val="22"/>
              </w:rPr>
            </w:pPr>
          </w:p>
          <w:p w:rsidR="00A62014" w:rsidRPr="00903BA3" w:rsidRDefault="00A62014" w:rsidP="000B4801">
            <w:pPr>
              <w:autoSpaceDE w:val="0"/>
              <w:autoSpaceDN w:val="0"/>
              <w:adjustRightInd w:val="0"/>
              <w:rPr>
                <w:i/>
                <w:sz w:val="22"/>
                <w:szCs w:val="22"/>
              </w:rPr>
            </w:pPr>
            <w:r w:rsidRPr="00903BA3">
              <w:rPr>
                <w:i/>
                <w:sz w:val="22"/>
                <w:szCs w:val="22"/>
              </w:rPr>
              <w:t>Response:</w:t>
            </w:r>
          </w:p>
          <w:p w:rsidR="00A62014" w:rsidRDefault="000F1312" w:rsidP="000B4801">
            <w:pPr>
              <w:autoSpaceDE w:val="0"/>
              <w:autoSpaceDN w:val="0"/>
              <w:adjustRightInd w:val="0"/>
              <w:rPr>
                <w:i/>
                <w:sz w:val="22"/>
                <w:szCs w:val="22"/>
              </w:rPr>
            </w:pPr>
            <w:r w:rsidRPr="00903BA3">
              <w:rPr>
                <w:i/>
                <w:sz w:val="22"/>
                <w:szCs w:val="22"/>
              </w:rPr>
              <w:t xml:space="preserve">The change was made to the proposed rule as suggested. </w:t>
            </w:r>
          </w:p>
          <w:p w:rsidR="00607C83" w:rsidRPr="00903BA3" w:rsidRDefault="00607C83" w:rsidP="000B4801">
            <w:pPr>
              <w:autoSpaceDE w:val="0"/>
              <w:autoSpaceDN w:val="0"/>
              <w:adjustRightInd w:val="0"/>
              <w:rPr>
                <w:sz w:val="22"/>
                <w:szCs w:val="22"/>
              </w:rPr>
            </w:pPr>
          </w:p>
        </w:tc>
      </w:tr>
      <w:tr w:rsidR="00A62014"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607C83">
            <w:pPr>
              <w:ind w:right="-108"/>
              <w:rPr>
                <w:bCs/>
                <w:sz w:val="22"/>
                <w:szCs w:val="22"/>
              </w:rPr>
            </w:pPr>
            <w:r>
              <w:rPr>
                <w:bCs/>
                <w:sz w:val="22"/>
                <w:szCs w:val="22"/>
              </w:rPr>
              <w:lastRenderedPageBreak/>
              <w:t xml:space="preserve">38. </w:t>
            </w:r>
            <w:r w:rsidR="00A62014" w:rsidRPr="00903BA3">
              <w:rPr>
                <w:bCs/>
                <w:sz w:val="22"/>
                <w:szCs w:val="22"/>
              </w:rPr>
              <w:t>BACT for PM</w:t>
            </w:r>
            <w:r w:rsidR="00A62014" w:rsidRPr="00903BA3">
              <w:rPr>
                <w:bCs/>
                <w:sz w:val="22"/>
                <w:szCs w:val="22"/>
                <w:vertAlign w:val="subscript"/>
              </w:rPr>
              <w:t>2.5</w:t>
            </w:r>
            <w:r w:rsidR="00A62014" w:rsidRPr="00903BA3">
              <w:rPr>
                <w:bCs/>
                <w:sz w:val="22"/>
                <w:szCs w:val="22"/>
              </w:rPr>
              <w:t xml:space="preserve"> precursors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rPr>
                <w:sz w:val="22"/>
                <w:szCs w:val="22"/>
              </w:rPr>
            </w:pPr>
            <w:r w:rsidRPr="00903BA3">
              <w:rPr>
                <w:sz w:val="22"/>
                <w:szCs w:val="22"/>
              </w:rPr>
              <w:t>We request that the Department revise its regulations to clarify that sources triggering BACT for a PM</w:t>
            </w:r>
            <w:r w:rsidRPr="00903BA3">
              <w:rPr>
                <w:sz w:val="22"/>
                <w:szCs w:val="22"/>
                <w:vertAlign w:val="subscript"/>
              </w:rPr>
              <w:t>2.5</w:t>
            </w:r>
            <w:r w:rsidRPr="00903BA3">
              <w:rPr>
                <w:sz w:val="22"/>
                <w:szCs w:val="22"/>
              </w:rPr>
              <w:t xml:space="preserve"> precursor (e.g. NOx out of a boiler) do not necessarily trigger BACT for direct PM</w:t>
            </w:r>
            <w:r w:rsidRPr="00903BA3">
              <w:rPr>
                <w:sz w:val="22"/>
                <w:szCs w:val="22"/>
                <w:vertAlign w:val="subscript"/>
              </w:rPr>
              <w:t>2.5</w:t>
            </w:r>
            <w:r w:rsidRPr="00903BA3">
              <w:rPr>
                <w:sz w:val="22"/>
                <w:szCs w:val="22"/>
              </w:rPr>
              <w:t xml:space="preserve"> coming out of an unrelated emission unit (e.g., a planer). Due to Oregon’s program being so different from the federal program in this regard, it is necessary to clarify that triggering BACT for a PM</w:t>
            </w:r>
            <w:r w:rsidRPr="00903BA3">
              <w:rPr>
                <w:sz w:val="22"/>
                <w:szCs w:val="22"/>
                <w:vertAlign w:val="subscript"/>
              </w:rPr>
              <w:t>2.5</w:t>
            </w:r>
            <w:r w:rsidRPr="00903BA3">
              <w:rPr>
                <w:sz w:val="22"/>
                <w:szCs w:val="22"/>
              </w:rPr>
              <w:t xml:space="preserve"> precursor would not then trigger BACT for all direct PM</w:t>
            </w:r>
            <w:r w:rsidRPr="00903BA3">
              <w:rPr>
                <w:sz w:val="22"/>
                <w:szCs w:val="22"/>
                <w:vertAlign w:val="subscript"/>
              </w:rPr>
              <w:t>2.5</w:t>
            </w:r>
            <w:r w:rsidRPr="00903BA3">
              <w:rPr>
                <w:sz w:val="22"/>
                <w:szCs w:val="22"/>
              </w:rPr>
              <w:t xml:space="preserve"> emission units, and vice versa. (1, 3, 13, 23)</w:t>
            </w:r>
          </w:p>
          <w:p w:rsidR="00607C83" w:rsidRPr="00903BA3" w:rsidRDefault="00607C83" w:rsidP="000B4801">
            <w:pPr>
              <w:rPr>
                <w:sz w:val="22"/>
                <w:szCs w:val="22"/>
              </w:rPr>
            </w:pPr>
          </w:p>
          <w:p w:rsidR="00A62014" w:rsidRPr="00903BA3" w:rsidRDefault="00A62014" w:rsidP="000B4801">
            <w:pPr>
              <w:rPr>
                <w:i/>
                <w:sz w:val="22"/>
                <w:szCs w:val="22"/>
              </w:rPr>
            </w:pPr>
            <w:r w:rsidRPr="00903BA3">
              <w:rPr>
                <w:i/>
                <w:sz w:val="22"/>
                <w:szCs w:val="22"/>
              </w:rPr>
              <w:t>Response:</w:t>
            </w:r>
          </w:p>
          <w:p w:rsidR="00A62014" w:rsidRDefault="00607C83" w:rsidP="000B4801">
            <w:pPr>
              <w:rPr>
                <w:i/>
                <w:iCs/>
                <w:sz w:val="22"/>
                <w:szCs w:val="22"/>
              </w:rPr>
            </w:pPr>
            <w:r>
              <w:rPr>
                <w:i/>
                <w:iCs/>
                <w:sz w:val="22"/>
                <w:szCs w:val="22"/>
              </w:rPr>
              <w:t>DEQ</w:t>
            </w:r>
            <w:r w:rsidR="00A62014" w:rsidRPr="00903BA3">
              <w:rPr>
                <w:i/>
                <w:iCs/>
                <w:sz w:val="22"/>
                <w:szCs w:val="22"/>
              </w:rPr>
              <w:t xml:space="preserve"> agrees that BACT does not apply to direct PM2.5 or PM2.5 precursors if they are not emitted at a SER over the netting basis. </w:t>
            </w:r>
            <w:r w:rsidR="00A21C65" w:rsidRPr="00903BA3">
              <w:rPr>
                <w:i/>
                <w:iCs/>
                <w:sz w:val="22"/>
                <w:szCs w:val="22"/>
              </w:rPr>
              <w:t>The change was made to the proposed rule as suggested.</w:t>
            </w:r>
            <w:r w:rsidR="00A62014" w:rsidRPr="00903BA3">
              <w:rPr>
                <w:i/>
                <w:iCs/>
                <w:sz w:val="22"/>
                <w:szCs w:val="22"/>
              </w:rPr>
              <w:t xml:space="preserve"> </w:t>
            </w:r>
          </w:p>
          <w:p w:rsidR="00607C83" w:rsidRPr="00903BA3" w:rsidRDefault="00607C83" w:rsidP="000B4801">
            <w:pPr>
              <w:rPr>
                <w:i/>
                <w:iCs/>
                <w:sz w:val="22"/>
                <w:szCs w:val="22"/>
              </w:rPr>
            </w:pPr>
          </w:p>
        </w:tc>
      </w:tr>
      <w:tr w:rsidR="00A62014"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0B4801">
            <w:pPr>
              <w:rPr>
                <w:sz w:val="22"/>
                <w:szCs w:val="22"/>
              </w:rPr>
            </w:pPr>
            <w:r>
              <w:rPr>
                <w:sz w:val="22"/>
                <w:szCs w:val="22"/>
              </w:rPr>
              <w:t xml:space="preserve">39. </w:t>
            </w:r>
            <w:r w:rsidR="00A62014" w:rsidRPr="00903BA3">
              <w:rPr>
                <w:sz w:val="22"/>
                <w:szCs w:val="22"/>
              </w:rPr>
              <w:t>BACT applicability</w:t>
            </w:r>
          </w:p>
          <w:p w:rsidR="00A62014" w:rsidRPr="00903BA3" w:rsidRDefault="00A62014" w:rsidP="000B4801">
            <w:pPr>
              <w:ind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pStyle w:val="NormalWeb"/>
              <w:spacing w:before="0" w:beforeAutospacing="0" w:after="0" w:afterAutospacing="0"/>
              <w:rPr>
                <w:sz w:val="22"/>
                <w:szCs w:val="22"/>
              </w:rPr>
            </w:pPr>
            <w:r w:rsidRPr="00903BA3">
              <w:rPr>
                <w:sz w:val="22"/>
                <w:szCs w:val="22"/>
              </w:rPr>
              <w:t>DEQ’s rules currently state that equipment installed after the baseline period must undergo BACT. However, we believe that this regulation should be revised to recognize that equipment authorized to be installed in the baseline period should not be subject to BACT when it is constructed. That would place equipment installed without authorization during the baseline period in a better position than equipment permitted, but not yet installed, during the baseline period. (9)</w:t>
            </w:r>
          </w:p>
          <w:p w:rsidR="00607C83" w:rsidRPr="00903BA3" w:rsidRDefault="00607C83" w:rsidP="000B4801">
            <w:pPr>
              <w:pStyle w:val="NormalWeb"/>
              <w:spacing w:before="0" w:beforeAutospacing="0" w:after="0" w:afterAutospacing="0"/>
              <w:rPr>
                <w:sz w:val="22"/>
                <w:szCs w:val="22"/>
              </w:rPr>
            </w:pPr>
          </w:p>
          <w:p w:rsidR="00A62014" w:rsidRPr="00903BA3" w:rsidRDefault="00A62014" w:rsidP="000B4801">
            <w:pPr>
              <w:rPr>
                <w:i/>
                <w:sz w:val="22"/>
                <w:szCs w:val="22"/>
              </w:rPr>
            </w:pPr>
            <w:r w:rsidRPr="00903BA3">
              <w:rPr>
                <w:i/>
                <w:sz w:val="22"/>
                <w:szCs w:val="22"/>
              </w:rPr>
              <w:t>Response:</w:t>
            </w:r>
          </w:p>
          <w:p w:rsidR="00A62014" w:rsidRDefault="00A62014" w:rsidP="000B4801">
            <w:pPr>
              <w:rPr>
                <w:i/>
                <w:sz w:val="22"/>
                <w:szCs w:val="22"/>
              </w:rPr>
            </w:pPr>
            <w:r w:rsidRPr="00903BA3">
              <w:rPr>
                <w:i/>
                <w:sz w:val="22"/>
                <w:szCs w:val="22"/>
              </w:rPr>
              <w:t xml:space="preserve">DEQ agrees that if the emissions unit was included in the netting basis because it was permitted during the baseline period, then retroactive BACT would only apply to the emissions unit if it is modified and there is an increase in emissions. A change was already proposed that addressed this issue but an additional change </w:t>
            </w:r>
            <w:r w:rsidR="00B71321" w:rsidRPr="00903BA3">
              <w:rPr>
                <w:i/>
                <w:sz w:val="22"/>
                <w:szCs w:val="22"/>
              </w:rPr>
              <w:t>was</w:t>
            </w:r>
            <w:r w:rsidRPr="00903BA3">
              <w:rPr>
                <w:i/>
                <w:sz w:val="22"/>
                <w:szCs w:val="22"/>
              </w:rPr>
              <w:t xml:space="preserve"> made for further clarification. </w:t>
            </w:r>
          </w:p>
          <w:p w:rsidR="00607C83" w:rsidRPr="00903BA3" w:rsidRDefault="00607C83" w:rsidP="000B4801">
            <w:pPr>
              <w:rPr>
                <w:i/>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607C83">
            <w:pPr>
              <w:ind w:right="-108"/>
              <w:rPr>
                <w:bCs/>
                <w:sz w:val="22"/>
                <w:szCs w:val="22"/>
              </w:rPr>
            </w:pPr>
            <w:r>
              <w:rPr>
                <w:sz w:val="22"/>
                <w:szCs w:val="22"/>
              </w:rPr>
              <w:t xml:space="preserve">40. </w:t>
            </w:r>
            <w:r w:rsidR="00A62014" w:rsidRPr="00903BA3">
              <w:rPr>
                <w:sz w:val="22"/>
                <w:szCs w:val="22"/>
              </w:rPr>
              <w:t>OAR 340-224-0070(2)(a)</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autoSpaceDE w:val="0"/>
              <w:autoSpaceDN w:val="0"/>
              <w:adjustRightInd w:val="0"/>
              <w:rPr>
                <w:sz w:val="22"/>
                <w:szCs w:val="22"/>
              </w:rPr>
            </w:pPr>
            <w:r w:rsidRPr="00903BA3">
              <w:rPr>
                <w:sz w:val="22"/>
                <w:szCs w:val="22"/>
              </w:rPr>
              <w:t xml:space="preserve">To be consistent with paragraph 0070(2), paragraph 0070(2)(a) should be amended to read </w:t>
            </w:r>
            <w:r w:rsidRPr="00903BA3">
              <w:rPr>
                <w:i/>
                <w:iCs/>
                <w:sz w:val="22"/>
                <w:szCs w:val="22"/>
              </w:rPr>
              <w:t>"For increases of PM</w:t>
            </w:r>
            <w:r w:rsidRPr="00903BA3">
              <w:rPr>
                <w:i/>
                <w:iCs/>
                <w:sz w:val="22"/>
                <w:szCs w:val="22"/>
                <w:vertAlign w:val="subscript"/>
              </w:rPr>
              <w:t>2.5</w:t>
            </w:r>
            <w:r w:rsidRPr="00903BA3">
              <w:rPr>
                <w:i/>
                <w:iCs/>
                <w:sz w:val="22"/>
                <w:szCs w:val="22"/>
              </w:rPr>
              <w:t xml:space="preserve"> precursors equal to or greater than the precursor significant emission rate, </w:t>
            </w:r>
            <w:r w:rsidRPr="00903BA3">
              <w:rPr>
                <w:sz w:val="22"/>
                <w:szCs w:val="22"/>
              </w:rPr>
              <w:t>.... ". (7)</w:t>
            </w:r>
          </w:p>
          <w:p w:rsidR="00607C83" w:rsidRPr="00903BA3" w:rsidRDefault="00607C83" w:rsidP="000B4801">
            <w:pPr>
              <w:autoSpaceDE w:val="0"/>
              <w:autoSpaceDN w:val="0"/>
              <w:adjustRightInd w:val="0"/>
              <w:rPr>
                <w:sz w:val="22"/>
                <w:szCs w:val="22"/>
              </w:rPr>
            </w:pPr>
          </w:p>
          <w:p w:rsidR="00A62014" w:rsidRPr="00903BA3" w:rsidRDefault="00A62014" w:rsidP="000B4801">
            <w:pPr>
              <w:pageBreakBefore/>
              <w:autoSpaceDE w:val="0"/>
              <w:autoSpaceDN w:val="0"/>
              <w:adjustRightInd w:val="0"/>
              <w:ind w:right="240"/>
              <w:rPr>
                <w:i/>
                <w:sz w:val="22"/>
                <w:szCs w:val="22"/>
              </w:rPr>
            </w:pPr>
            <w:r w:rsidRPr="00903BA3">
              <w:rPr>
                <w:i/>
                <w:sz w:val="22"/>
                <w:szCs w:val="22"/>
              </w:rPr>
              <w:t>Response:</w:t>
            </w:r>
          </w:p>
          <w:p w:rsidR="00A62014" w:rsidRDefault="000F1312" w:rsidP="000B4801">
            <w:pPr>
              <w:pageBreakBefore/>
              <w:autoSpaceDE w:val="0"/>
              <w:autoSpaceDN w:val="0"/>
              <w:adjustRightInd w:val="0"/>
              <w:ind w:right="240"/>
              <w:rPr>
                <w:i/>
                <w:sz w:val="22"/>
                <w:szCs w:val="22"/>
              </w:rPr>
            </w:pPr>
            <w:r w:rsidRPr="00903BA3">
              <w:rPr>
                <w:i/>
                <w:sz w:val="22"/>
                <w:szCs w:val="22"/>
              </w:rPr>
              <w:t xml:space="preserve">The change was made to the proposed rule as suggested. </w:t>
            </w:r>
          </w:p>
          <w:p w:rsidR="00607C83" w:rsidRPr="00903BA3" w:rsidRDefault="00607C83" w:rsidP="000B4801">
            <w:pPr>
              <w:pageBreakBefore/>
              <w:autoSpaceDE w:val="0"/>
              <w:autoSpaceDN w:val="0"/>
              <w:adjustRightInd w:val="0"/>
              <w:ind w:right="240"/>
              <w:rPr>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607C83">
            <w:pPr>
              <w:ind w:right="-108"/>
              <w:rPr>
                <w:bCs/>
                <w:sz w:val="22"/>
                <w:szCs w:val="22"/>
              </w:rPr>
            </w:pPr>
            <w:r>
              <w:rPr>
                <w:sz w:val="22"/>
                <w:szCs w:val="22"/>
              </w:rPr>
              <w:t xml:space="preserve">41. </w:t>
            </w:r>
            <w:r w:rsidR="00797A80" w:rsidRPr="00903BA3">
              <w:rPr>
                <w:sz w:val="22"/>
                <w:szCs w:val="22"/>
              </w:rPr>
              <w:t>OAR 340-</w:t>
            </w:r>
            <w:r w:rsidR="00A62014" w:rsidRPr="00903BA3">
              <w:rPr>
                <w:sz w:val="22"/>
                <w:szCs w:val="22"/>
              </w:rPr>
              <w:t>224-0070(5)</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autoSpaceDE w:val="0"/>
              <w:autoSpaceDN w:val="0"/>
              <w:adjustRightInd w:val="0"/>
              <w:rPr>
                <w:sz w:val="22"/>
                <w:szCs w:val="22"/>
              </w:rPr>
            </w:pPr>
            <w:r w:rsidRPr="00903BA3">
              <w:rPr>
                <w:sz w:val="22"/>
                <w:szCs w:val="22"/>
              </w:rPr>
              <w:t>It is not clear why this new provision for sources impacting PM</w:t>
            </w:r>
            <w:r w:rsidRPr="00903BA3">
              <w:rPr>
                <w:sz w:val="22"/>
                <w:szCs w:val="22"/>
                <w:vertAlign w:val="subscript"/>
              </w:rPr>
              <w:t>2.5</w:t>
            </w:r>
            <w:r w:rsidRPr="00903BA3">
              <w:rPr>
                <w:sz w:val="22"/>
                <w:szCs w:val="22"/>
              </w:rPr>
              <w:t xml:space="preserve"> nonattainment areas is necessary. It appears to duplicate the requirement of 340-224-0070(2)(b). Since 340-224-0050(2) refers to 340-225-0090 both 0070(2)(b) and this new 0070(5) appear to require the same thing. (7)</w:t>
            </w:r>
          </w:p>
          <w:p w:rsidR="00607C83" w:rsidRPr="00903BA3" w:rsidRDefault="00607C83" w:rsidP="000B4801">
            <w:pPr>
              <w:autoSpaceDE w:val="0"/>
              <w:autoSpaceDN w:val="0"/>
              <w:adjustRightInd w:val="0"/>
              <w:rPr>
                <w:sz w:val="22"/>
                <w:szCs w:val="22"/>
              </w:rPr>
            </w:pPr>
          </w:p>
          <w:p w:rsidR="00A62014" w:rsidRPr="00903BA3" w:rsidRDefault="00A62014" w:rsidP="000B4801">
            <w:pPr>
              <w:autoSpaceDE w:val="0"/>
              <w:autoSpaceDN w:val="0"/>
              <w:adjustRightInd w:val="0"/>
              <w:ind w:right="487"/>
              <w:rPr>
                <w:i/>
                <w:sz w:val="22"/>
                <w:szCs w:val="22"/>
              </w:rPr>
            </w:pPr>
            <w:r w:rsidRPr="00903BA3">
              <w:rPr>
                <w:i/>
                <w:sz w:val="22"/>
                <w:szCs w:val="22"/>
              </w:rPr>
              <w:t>Response:</w:t>
            </w:r>
          </w:p>
          <w:p w:rsidR="00012675" w:rsidRDefault="00797A80" w:rsidP="000B4801">
            <w:pPr>
              <w:autoSpaceDE w:val="0"/>
              <w:autoSpaceDN w:val="0"/>
              <w:adjustRightInd w:val="0"/>
              <w:ind w:right="487"/>
              <w:rPr>
                <w:i/>
                <w:sz w:val="22"/>
                <w:szCs w:val="22"/>
              </w:rPr>
            </w:pPr>
            <w:r w:rsidRPr="00903BA3">
              <w:rPr>
                <w:i/>
                <w:sz w:val="22"/>
                <w:szCs w:val="22"/>
              </w:rPr>
              <w:t xml:space="preserve">OAR 340-224-0070(5) </w:t>
            </w:r>
            <w:r w:rsidR="00BB73FD" w:rsidRPr="00903BA3">
              <w:rPr>
                <w:i/>
                <w:sz w:val="22"/>
                <w:szCs w:val="22"/>
              </w:rPr>
              <w:t>was</w:t>
            </w:r>
            <w:r w:rsidRPr="00903BA3">
              <w:rPr>
                <w:i/>
                <w:sz w:val="22"/>
                <w:szCs w:val="22"/>
              </w:rPr>
              <w:t xml:space="preserve"> deleted from the </w:t>
            </w:r>
            <w:r w:rsidR="00BB73FD" w:rsidRPr="00903BA3">
              <w:rPr>
                <w:i/>
                <w:sz w:val="22"/>
                <w:szCs w:val="22"/>
              </w:rPr>
              <w:t xml:space="preserve">proposed </w:t>
            </w:r>
            <w:r w:rsidRPr="00903BA3">
              <w:rPr>
                <w:i/>
                <w:sz w:val="22"/>
                <w:szCs w:val="22"/>
              </w:rPr>
              <w:t>rule</w:t>
            </w:r>
            <w:r w:rsidR="00255965" w:rsidRPr="00903BA3">
              <w:rPr>
                <w:i/>
                <w:sz w:val="22"/>
                <w:szCs w:val="22"/>
              </w:rPr>
              <w:t xml:space="preserve"> </w:t>
            </w:r>
            <w:r w:rsidR="00576663" w:rsidRPr="00903BA3">
              <w:rPr>
                <w:i/>
                <w:sz w:val="22"/>
                <w:szCs w:val="22"/>
              </w:rPr>
              <w:t xml:space="preserve">as </w:t>
            </w:r>
            <w:r w:rsidR="00255965" w:rsidRPr="00903BA3">
              <w:rPr>
                <w:i/>
                <w:sz w:val="22"/>
                <w:szCs w:val="22"/>
              </w:rPr>
              <w:t>suggested</w:t>
            </w:r>
            <w:r w:rsidRPr="00903BA3">
              <w:rPr>
                <w:i/>
                <w:sz w:val="22"/>
                <w:szCs w:val="22"/>
              </w:rPr>
              <w:t xml:space="preserve">. </w:t>
            </w:r>
          </w:p>
          <w:p w:rsidR="00607C83" w:rsidRPr="00903BA3" w:rsidRDefault="00607C83" w:rsidP="000B4801">
            <w:pPr>
              <w:autoSpaceDE w:val="0"/>
              <w:autoSpaceDN w:val="0"/>
              <w:adjustRightInd w:val="0"/>
              <w:ind w:right="487"/>
              <w:rPr>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0B4801">
            <w:pPr>
              <w:rPr>
                <w:sz w:val="22"/>
                <w:szCs w:val="22"/>
                <w:vertAlign w:val="subscript"/>
              </w:rPr>
            </w:pPr>
            <w:r>
              <w:rPr>
                <w:sz w:val="22"/>
                <w:szCs w:val="22"/>
              </w:rPr>
              <w:t xml:space="preserve">42. </w:t>
            </w:r>
            <w:r w:rsidR="00A62014" w:rsidRPr="00903BA3">
              <w:rPr>
                <w:sz w:val="22"/>
                <w:szCs w:val="22"/>
              </w:rPr>
              <w:t>PM</w:t>
            </w:r>
            <w:r w:rsidR="00A62014" w:rsidRPr="00903BA3">
              <w:rPr>
                <w:sz w:val="22"/>
                <w:szCs w:val="22"/>
                <w:vertAlign w:val="subscript"/>
              </w:rPr>
              <w:t xml:space="preserve">2.5 </w:t>
            </w:r>
            <w:r w:rsidR="00A62014" w:rsidRPr="00903BA3">
              <w:rPr>
                <w:sz w:val="22"/>
                <w:szCs w:val="22"/>
              </w:rPr>
              <w:t>Precursor Air Quality Analysis</w:t>
            </w:r>
          </w:p>
          <w:p w:rsidR="00A62014" w:rsidRPr="00903BA3" w:rsidRDefault="00A62014" w:rsidP="000B4801">
            <w:pPr>
              <w:ind w:left="371"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rPr>
                <w:sz w:val="22"/>
                <w:szCs w:val="22"/>
              </w:rPr>
            </w:pPr>
            <w:r w:rsidRPr="00903BA3">
              <w:rPr>
                <w:sz w:val="22"/>
                <w:szCs w:val="22"/>
              </w:rPr>
              <w:lastRenderedPageBreak/>
              <w:t>In OAR 340-224-0070(2)(a), DEQ proposes to require that where a federal major source or a major modification at a federal major source results in an increase of PM</w:t>
            </w:r>
            <w:r w:rsidRPr="00903BA3">
              <w:rPr>
                <w:sz w:val="22"/>
                <w:szCs w:val="22"/>
                <w:vertAlign w:val="subscript"/>
              </w:rPr>
              <w:t>2.5</w:t>
            </w:r>
            <w:r w:rsidRPr="00903BA3">
              <w:rPr>
                <w:sz w:val="22"/>
                <w:szCs w:val="22"/>
              </w:rPr>
              <w:t xml:space="preserve"> precursors of an SER or more, the source must provide an analysis of PM</w:t>
            </w:r>
            <w:r w:rsidRPr="00903BA3">
              <w:rPr>
                <w:sz w:val="22"/>
                <w:szCs w:val="22"/>
                <w:vertAlign w:val="subscript"/>
              </w:rPr>
              <w:t>2.5</w:t>
            </w:r>
            <w:r w:rsidRPr="00903BA3">
              <w:rPr>
                <w:sz w:val="22"/>
                <w:szCs w:val="22"/>
              </w:rPr>
              <w:t xml:space="preserve"> impacts. However, there is no basis for an individual source to model indirect PM</w:t>
            </w:r>
            <w:r w:rsidRPr="00903BA3">
              <w:rPr>
                <w:sz w:val="22"/>
                <w:szCs w:val="22"/>
                <w:vertAlign w:val="subscript"/>
              </w:rPr>
              <w:t>2.5</w:t>
            </w:r>
            <w:r w:rsidRPr="00903BA3">
              <w:rPr>
                <w:sz w:val="22"/>
                <w:szCs w:val="22"/>
              </w:rPr>
              <w:t xml:space="preserve"> emissions. Therefore, the rule should </w:t>
            </w:r>
            <w:r w:rsidRPr="00903BA3">
              <w:rPr>
                <w:sz w:val="22"/>
                <w:szCs w:val="22"/>
              </w:rPr>
              <w:lastRenderedPageBreak/>
              <w:t xml:space="preserve">be revised to state that the source must provide an analysis of </w:t>
            </w:r>
            <w:r w:rsidRPr="00903BA3">
              <w:rPr>
                <w:sz w:val="22"/>
                <w:szCs w:val="22"/>
              </w:rPr>
              <w:softHyphen/>
              <w:t>direct</w:t>
            </w:r>
            <w:r w:rsidRPr="00903BA3">
              <w:rPr>
                <w:sz w:val="22"/>
                <w:szCs w:val="22"/>
              </w:rPr>
              <w:softHyphen/>
              <w:t xml:space="preserve"> PM</w:t>
            </w:r>
            <w:r w:rsidRPr="00903BA3">
              <w:rPr>
                <w:sz w:val="22"/>
                <w:szCs w:val="22"/>
                <w:vertAlign w:val="subscript"/>
              </w:rPr>
              <w:t>2.5</w:t>
            </w:r>
            <w:r w:rsidRPr="00903BA3">
              <w:rPr>
                <w:sz w:val="22"/>
                <w:szCs w:val="22"/>
              </w:rPr>
              <w:t xml:space="preserve"> air quality impacts. (1, 2, 4, 11, 13, 14, 17)</w:t>
            </w:r>
          </w:p>
          <w:p w:rsidR="00607C83" w:rsidRPr="00903BA3" w:rsidRDefault="00607C83" w:rsidP="000B4801">
            <w:pPr>
              <w:rPr>
                <w:sz w:val="22"/>
                <w:szCs w:val="22"/>
              </w:rPr>
            </w:pPr>
          </w:p>
          <w:p w:rsidR="00A62014" w:rsidRPr="00903BA3" w:rsidRDefault="00A62014" w:rsidP="000B4801">
            <w:pPr>
              <w:ind w:right="-180"/>
              <w:rPr>
                <w:i/>
                <w:sz w:val="22"/>
                <w:szCs w:val="22"/>
              </w:rPr>
            </w:pPr>
            <w:r w:rsidRPr="00903BA3">
              <w:rPr>
                <w:i/>
                <w:sz w:val="22"/>
                <w:szCs w:val="22"/>
              </w:rPr>
              <w:t>Response:</w:t>
            </w:r>
          </w:p>
          <w:p w:rsidR="00A62014" w:rsidRPr="00903BA3" w:rsidRDefault="00A62014" w:rsidP="000B4801">
            <w:pPr>
              <w:autoSpaceDE w:val="0"/>
              <w:autoSpaceDN w:val="0"/>
              <w:adjustRightInd w:val="0"/>
              <w:rPr>
                <w:i/>
                <w:sz w:val="22"/>
                <w:szCs w:val="22"/>
              </w:rPr>
            </w:pPr>
            <w:r w:rsidRPr="00903BA3">
              <w:rPr>
                <w:i/>
                <w:sz w:val="22"/>
                <w:szCs w:val="22"/>
              </w:rPr>
              <w:t xml:space="preserve">As EPA stated in the preamble to the final rule </w:t>
            </w:r>
            <w:r w:rsidRPr="00903BA3">
              <w:rPr>
                <w:b/>
                <w:bCs/>
                <w:i/>
                <w:sz w:val="22"/>
                <w:szCs w:val="22"/>
              </w:rPr>
              <w:t>Prevention of Significant Deterioration (PSD) for Particulate Matter Less Than 2.5 Micrometers (PM2.5) – Increments, Significant Impact  Levels (SILs) and Significant Monitoring Concentration (SMC):</w:t>
            </w:r>
          </w:p>
          <w:p w:rsidR="00A62014" w:rsidRPr="00903BA3" w:rsidRDefault="00A62014" w:rsidP="000B4801">
            <w:pPr>
              <w:autoSpaceDE w:val="0"/>
              <w:autoSpaceDN w:val="0"/>
              <w:adjustRightInd w:val="0"/>
              <w:ind w:left="720"/>
              <w:rPr>
                <w:i/>
                <w:sz w:val="22"/>
                <w:szCs w:val="22"/>
              </w:rPr>
            </w:pPr>
            <w:r w:rsidRPr="00903BA3">
              <w:rPr>
                <w:i/>
                <w:sz w:val="22"/>
                <w:szCs w:val="22"/>
              </w:rPr>
              <w:t>“The impacts of PM2.5 precursors on ambient concentrations of PM2.5 cannot be determined from the dispersion models that EPA has currently approved for modeling individual PSD sources. Such models are not designed to consider chemical transformations that occur in the atmosphere after the precursor emissions have been released from the source. Consideration of these transformations is necessary to be able to add precursor impacts into the total modeled ambient PM2.5 concentrations for comparison to the SILs for PM2.5.</w:t>
            </w:r>
          </w:p>
          <w:p w:rsidR="00A62014" w:rsidRPr="00903BA3" w:rsidRDefault="00A62014" w:rsidP="000B4801">
            <w:pPr>
              <w:autoSpaceDE w:val="0"/>
              <w:autoSpaceDN w:val="0"/>
              <w:adjustRightInd w:val="0"/>
              <w:ind w:left="720"/>
              <w:rPr>
                <w:i/>
                <w:sz w:val="22"/>
                <w:szCs w:val="22"/>
              </w:rPr>
            </w:pPr>
            <w:r w:rsidRPr="00903BA3">
              <w:rPr>
                <w:i/>
                <w:sz w:val="22"/>
                <w:szCs w:val="22"/>
              </w:rPr>
              <w:t>The technical tools needed to complete a comprehensive analysis of all emissions that contribute to ambient concentrations of PM2.5 are only in the developmental stage; nevertheless, we believe that it would be inappropriate to restrict the regulatory language in such a way that future regulatory amendments would be required to enable the inclusion of precursor impacts in the PM2.5 analysis as the necessary technical tools become available. Estimating techniques are being developed that will be able to be applied to the PM2.5 analysis in the near future, which could not be required if the regulatory language precluded them. We acknowledge the concerns that have been expressed by some commenters about the shortcomings of not considering the impacts of PM2.5 precursors under the PM2.5 air quality analyses. Accordingly, we believe that the new provision for applying the SILs for PM2.5 to the required analyses for the NAAQS and increments should not be self-limiting by specifying the use of only direct PM2.5 emissions. Instead, the new provision contained in this final rule provides that the test will be based on whether “the emissions increase … would cause … air quality impacts less than [the PM2.5 SILs].” See new 40 CFR 51.166(k)(2) and 52.21(k)(2). We believe that it would be more effective to rely on interim policy and guidance as appropriate to help determine the best methods available to make the required assessment of source impacts on ambient PM2.5 resulting from any emissions.”</w:t>
            </w:r>
          </w:p>
          <w:p w:rsidR="00A62014" w:rsidRDefault="00A21C65" w:rsidP="000B4801">
            <w:pPr>
              <w:autoSpaceDE w:val="0"/>
              <w:autoSpaceDN w:val="0"/>
              <w:adjustRightInd w:val="0"/>
              <w:rPr>
                <w:i/>
                <w:sz w:val="22"/>
                <w:szCs w:val="22"/>
              </w:rPr>
            </w:pPr>
            <w:r w:rsidRPr="00903BA3">
              <w:rPr>
                <w:i/>
                <w:sz w:val="22"/>
                <w:szCs w:val="22"/>
              </w:rPr>
              <w:t>No change to the rule is proposed in response to this comment.</w:t>
            </w:r>
            <w:r w:rsidR="00A62014" w:rsidRPr="00903BA3">
              <w:rPr>
                <w:i/>
                <w:sz w:val="22"/>
                <w:szCs w:val="22"/>
              </w:rPr>
              <w:t xml:space="preserve"> </w:t>
            </w:r>
          </w:p>
          <w:p w:rsidR="00607C83" w:rsidRPr="00903BA3" w:rsidRDefault="00607C83" w:rsidP="000B4801">
            <w:pPr>
              <w:autoSpaceDE w:val="0"/>
              <w:autoSpaceDN w:val="0"/>
              <w:adjustRightInd w:val="0"/>
              <w:rPr>
                <w:i/>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0B4801">
            <w:pPr>
              <w:ind w:right="-115"/>
              <w:rPr>
                <w:sz w:val="22"/>
                <w:szCs w:val="22"/>
              </w:rPr>
            </w:pPr>
            <w:r>
              <w:rPr>
                <w:sz w:val="22"/>
                <w:szCs w:val="22"/>
              </w:rPr>
              <w:lastRenderedPageBreak/>
              <w:t xml:space="preserve">43. </w:t>
            </w:r>
            <w:r w:rsidR="00110C44" w:rsidRPr="00903BA3">
              <w:rPr>
                <w:sz w:val="22"/>
                <w:szCs w:val="22"/>
              </w:rPr>
              <w:t>Baseline concentration definition</w:t>
            </w:r>
          </w:p>
          <w:p w:rsidR="00CF7800" w:rsidRPr="00903BA3" w:rsidRDefault="00CF7800" w:rsidP="000B4801">
            <w:pPr>
              <w:ind w:right="-115"/>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autoSpaceDE w:val="0"/>
              <w:autoSpaceDN w:val="0"/>
              <w:adjustRightInd w:val="0"/>
              <w:rPr>
                <w:sz w:val="22"/>
                <w:szCs w:val="22"/>
              </w:rPr>
            </w:pPr>
            <w:r w:rsidRPr="00903BA3">
              <w:rPr>
                <w:sz w:val="22"/>
                <w:szCs w:val="22"/>
              </w:rPr>
              <w:t xml:space="preserve">The clarification to the definition of "baseline concentration" is consistent with EPA's definition and the definition in section 169 of the Act. When submitting this regulation as a SIP revision, </w:t>
            </w:r>
            <w:r w:rsidRPr="00903BA3">
              <w:rPr>
                <w:i/>
                <w:sz w:val="22"/>
                <w:szCs w:val="22"/>
              </w:rPr>
              <w:t>Oregon</w:t>
            </w:r>
            <w:r w:rsidRPr="00903BA3">
              <w:rPr>
                <w:sz w:val="22"/>
                <w:szCs w:val="22"/>
              </w:rPr>
              <w:t xml:space="preserve"> must demonstrate that the regulation is consistent with previous interpretations so it cannot be construed to be a relaxation. The old language could be interpreted to mean that all emission increases from new sources and modifications occurring after January 6, 1975 but before January 1, 1978 consume increment, while the new language could be interpreted to mean that only emission increases from major new sources and major modifications consume increment. (7)</w:t>
            </w:r>
          </w:p>
          <w:p w:rsidR="00607C83" w:rsidRPr="00903BA3" w:rsidRDefault="00607C83" w:rsidP="000B4801">
            <w:pPr>
              <w:autoSpaceDE w:val="0"/>
              <w:autoSpaceDN w:val="0"/>
              <w:adjustRightInd w:val="0"/>
              <w:rPr>
                <w:sz w:val="22"/>
                <w:szCs w:val="22"/>
              </w:rPr>
            </w:pPr>
          </w:p>
          <w:p w:rsidR="00A62014" w:rsidRPr="00903BA3" w:rsidRDefault="00A62014" w:rsidP="000B4801">
            <w:pPr>
              <w:autoSpaceDE w:val="0"/>
              <w:autoSpaceDN w:val="0"/>
              <w:adjustRightInd w:val="0"/>
              <w:rPr>
                <w:i/>
                <w:sz w:val="22"/>
                <w:szCs w:val="22"/>
              </w:rPr>
            </w:pPr>
            <w:r w:rsidRPr="00903BA3">
              <w:rPr>
                <w:i/>
                <w:sz w:val="22"/>
                <w:szCs w:val="22"/>
              </w:rPr>
              <w:t>Response:</w:t>
            </w:r>
          </w:p>
          <w:p w:rsidR="009F216E" w:rsidRDefault="009F216E" w:rsidP="000B4801">
            <w:pPr>
              <w:autoSpaceDE w:val="0"/>
              <w:autoSpaceDN w:val="0"/>
              <w:adjustRightInd w:val="0"/>
              <w:rPr>
                <w:i/>
                <w:sz w:val="22"/>
                <w:szCs w:val="22"/>
              </w:rPr>
            </w:pPr>
            <w:r w:rsidRPr="00903BA3">
              <w:rPr>
                <w:i/>
                <w:sz w:val="22"/>
                <w:szCs w:val="22"/>
              </w:rPr>
              <w:t xml:space="preserve">The proposed rule language </w:t>
            </w:r>
            <w:r w:rsidR="00D55F8C" w:rsidRPr="00903BA3">
              <w:rPr>
                <w:i/>
                <w:sz w:val="22"/>
                <w:szCs w:val="22"/>
              </w:rPr>
              <w:t xml:space="preserve">for the definition of “baseline concentration” </w:t>
            </w:r>
            <w:r w:rsidRPr="00903BA3">
              <w:rPr>
                <w:i/>
                <w:sz w:val="22"/>
                <w:szCs w:val="22"/>
              </w:rPr>
              <w:t xml:space="preserve">states:  “Actual emission increases or decreases occurring before January 1, 1978 must be included in the baseline calculation, except that actual emission increases from any </w:t>
            </w:r>
            <w:r w:rsidR="00237A7B" w:rsidRPr="00477E51">
              <w:rPr>
                <w:i/>
                <w:sz w:val="22"/>
                <w:szCs w:val="22"/>
                <w:u w:val="single"/>
              </w:rPr>
              <w:t>major</w:t>
            </w:r>
            <w:r w:rsidR="00237A7B" w:rsidRPr="00903BA3">
              <w:rPr>
                <w:i/>
                <w:sz w:val="22"/>
                <w:szCs w:val="22"/>
              </w:rPr>
              <w:t xml:space="preserve"> </w:t>
            </w:r>
            <w:r w:rsidRPr="00903BA3">
              <w:rPr>
                <w:i/>
                <w:sz w:val="22"/>
                <w:szCs w:val="22"/>
              </w:rPr>
              <w:t xml:space="preserve">source or </w:t>
            </w:r>
            <w:r w:rsidR="00237A7B" w:rsidRPr="00477E51">
              <w:rPr>
                <w:i/>
                <w:sz w:val="22"/>
                <w:szCs w:val="22"/>
                <w:u w:val="single"/>
              </w:rPr>
              <w:t>major</w:t>
            </w:r>
            <w:r w:rsidR="00237A7B" w:rsidRPr="00477E51">
              <w:rPr>
                <w:i/>
                <w:sz w:val="22"/>
                <w:szCs w:val="22"/>
              </w:rPr>
              <w:t xml:space="preserve"> </w:t>
            </w:r>
            <w:r w:rsidRPr="00903BA3">
              <w:rPr>
                <w:i/>
                <w:sz w:val="22"/>
                <w:szCs w:val="22"/>
              </w:rPr>
              <w:t>modification on which construction commenced after January 6, 1975 must not be include</w:t>
            </w:r>
            <w:r w:rsidR="00D55F8C" w:rsidRPr="00903BA3">
              <w:rPr>
                <w:i/>
                <w:sz w:val="22"/>
                <w:szCs w:val="22"/>
              </w:rPr>
              <w:t xml:space="preserve">d </w:t>
            </w:r>
            <w:r w:rsidR="00D55F8C" w:rsidRPr="00903BA3">
              <w:rPr>
                <w:i/>
                <w:sz w:val="22"/>
                <w:szCs w:val="22"/>
              </w:rPr>
              <w:lastRenderedPageBreak/>
              <w:t>in the baseline calculation;”</w:t>
            </w:r>
          </w:p>
          <w:p w:rsidR="00607C83" w:rsidRPr="00903BA3" w:rsidRDefault="00607C83" w:rsidP="000B4801">
            <w:pPr>
              <w:autoSpaceDE w:val="0"/>
              <w:autoSpaceDN w:val="0"/>
              <w:adjustRightInd w:val="0"/>
              <w:rPr>
                <w:i/>
                <w:sz w:val="22"/>
                <w:szCs w:val="22"/>
              </w:rPr>
            </w:pPr>
          </w:p>
          <w:p w:rsidR="00012675" w:rsidRDefault="00D55F8C" w:rsidP="000B4801">
            <w:pPr>
              <w:autoSpaceDE w:val="0"/>
              <w:autoSpaceDN w:val="0"/>
              <w:adjustRightInd w:val="0"/>
              <w:rPr>
                <w:i/>
                <w:sz w:val="22"/>
                <w:szCs w:val="22"/>
              </w:rPr>
            </w:pPr>
            <w:r w:rsidRPr="00903BA3">
              <w:rPr>
                <w:i/>
                <w:sz w:val="22"/>
                <w:szCs w:val="22"/>
              </w:rPr>
              <w:t>The word “major” was added to this definition in division 225 to make it consistent with the definition in division 202</w:t>
            </w:r>
            <w:r w:rsidR="008D538C" w:rsidRPr="00903BA3">
              <w:rPr>
                <w:i/>
                <w:sz w:val="22"/>
                <w:szCs w:val="22"/>
              </w:rPr>
              <w:t xml:space="preserve">. </w:t>
            </w:r>
            <w:r w:rsidRPr="00903BA3">
              <w:rPr>
                <w:i/>
                <w:sz w:val="22"/>
                <w:szCs w:val="22"/>
              </w:rPr>
              <w:t xml:space="preserve">Upon further </w:t>
            </w:r>
            <w:r w:rsidR="008C0EB0" w:rsidRPr="00903BA3">
              <w:rPr>
                <w:i/>
                <w:sz w:val="22"/>
                <w:szCs w:val="22"/>
              </w:rPr>
              <w:t>consideration</w:t>
            </w:r>
            <w:r w:rsidRPr="00903BA3">
              <w:rPr>
                <w:i/>
                <w:sz w:val="22"/>
                <w:szCs w:val="22"/>
              </w:rPr>
              <w:t>,</w:t>
            </w:r>
            <w:r w:rsidR="008C0EB0" w:rsidRPr="00903BA3">
              <w:rPr>
                <w:i/>
                <w:sz w:val="22"/>
                <w:szCs w:val="22"/>
              </w:rPr>
              <w:t xml:space="preserve"> DEQ has concluded that</w:t>
            </w:r>
            <w:r w:rsidRPr="00903BA3">
              <w:rPr>
                <w:i/>
                <w:sz w:val="22"/>
                <w:szCs w:val="22"/>
              </w:rPr>
              <w:t xml:space="preserve"> “major” should not be added to source and modification in the definition of baseline concentration</w:t>
            </w:r>
            <w:r w:rsidR="008D538C" w:rsidRPr="00903BA3">
              <w:rPr>
                <w:i/>
                <w:sz w:val="22"/>
                <w:szCs w:val="22"/>
              </w:rPr>
              <w:t xml:space="preserve">. </w:t>
            </w:r>
            <w:r w:rsidRPr="00903BA3">
              <w:rPr>
                <w:i/>
                <w:sz w:val="22"/>
                <w:szCs w:val="22"/>
              </w:rPr>
              <w:t xml:space="preserve">When an air quality impact analysis is required under </w:t>
            </w:r>
            <w:r w:rsidR="00696179" w:rsidRPr="00903BA3">
              <w:rPr>
                <w:i/>
                <w:sz w:val="22"/>
                <w:szCs w:val="22"/>
              </w:rPr>
              <w:t xml:space="preserve">division 225, all </w:t>
            </w:r>
            <w:r w:rsidR="00110C44" w:rsidRPr="00903BA3">
              <w:rPr>
                <w:i/>
                <w:sz w:val="22"/>
                <w:szCs w:val="22"/>
              </w:rPr>
              <w:t xml:space="preserve">permitted </w:t>
            </w:r>
            <w:r w:rsidR="00696179" w:rsidRPr="00903BA3">
              <w:rPr>
                <w:i/>
                <w:sz w:val="22"/>
                <w:szCs w:val="22"/>
              </w:rPr>
              <w:t xml:space="preserve">sources, not just “major” sources, are included in the </w:t>
            </w:r>
            <w:r w:rsidR="00110C44" w:rsidRPr="00903BA3">
              <w:rPr>
                <w:i/>
                <w:sz w:val="22"/>
                <w:szCs w:val="22"/>
              </w:rPr>
              <w:t xml:space="preserve">modeling </w:t>
            </w:r>
            <w:r w:rsidR="00696179" w:rsidRPr="00903BA3">
              <w:rPr>
                <w:i/>
                <w:sz w:val="22"/>
                <w:szCs w:val="22"/>
              </w:rPr>
              <w:t>analysis</w:t>
            </w:r>
            <w:r w:rsidR="00110C44" w:rsidRPr="00903BA3">
              <w:rPr>
                <w:i/>
                <w:sz w:val="22"/>
                <w:szCs w:val="22"/>
              </w:rPr>
              <w:t>, not in the baseline calculation (or background concentration)</w:t>
            </w:r>
            <w:r w:rsidR="008D538C" w:rsidRPr="00903BA3">
              <w:rPr>
                <w:i/>
                <w:sz w:val="22"/>
                <w:szCs w:val="22"/>
              </w:rPr>
              <w:t xml:space="preserve">. </w:t>
            </w:r>
            <w:r w:rsidR="00110C44" w:rsidRPr="00903BA3">
              <w:rPr>
                <w:i/>
                <w:sz w:val="22"/>
                <w:szCs w:val="22"/>
              </w:rPr>
              <w:t xml:space="preserve">DEQ will change the </w:t>
            </w:r>
            <w:r w:rsidR="008C0EB0" w:rsidRPr="00903BA3">
              <w:rPr>
                <w:i/>
                <w:sz w:val="22"/>
                <w:szCs w:val="22"/>
              </w:rPr>
              <w:t xml:space="preserve">proposed </w:t>
            </w:r>
            <w:r w:rsidR="00110C44" w:rsidRPr="00903BA3">
              <w:rPr>
                <w:i/>
                <w:sz w:val="22"/>
                <w:szCs w:val="22"/>
              </w:rPr>
              <w:t>definition of baseline concentration in division 202 to be consistent with the definition in division 225</w:t>
            </w:r>
            <w:r w:rsidR="008D538C" w:rsidRPr="00903BA3">
              <w:rPr>
                <w:i/>
                <w:sz w:val="22"/>
                <w:szCs w:val="22"/>
              </w:rPr>
              <w:t xml:space="preserve">. </w:t>
            </w:r>
          </w:p>
          <w:p w:rsidR="00607C83" w:rsidRPr="00903BA3" w:rsidRDefault="00607C83" w:rsidP="000B4801">
            <w:pPr>
              <w:autoSpaceDE w:val="0"/>
              <w:autoSpaceDN w:val="0"/>
              <w:adjustRightInd w:val="0"/>
              <w:rPr>
                <w:i/>
                <w:sz w:val="22"/>
                <w:szCs w:val="22"/>
              </w:rPr>
            </w:pPr>
          </w:p>
        </w:tc>
      </w:tr>
      <w:tr w:rsidR="00A62014" w:rsidRPr="00903BA3" w:rsidTr="00065341">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607C83">
            <w:pPr>
              <w:ind w:right="-115"/>
              <w:rPr>
                <w:bCs/>
                <w:sz w:val="22"/>
                <w:szCs w:val="22"/>
              </w:rPr>
            </w:pPr>
            <w:r>
              <w:rPr>
                <w:bCs/>
                <w:sz w:val="22"/>
                <w:szCs w:val="22"/>
              </w:rPr>
              <w:lastRenderedPageBreak/>
              <w:t xml:space="preserve">44. </w:t>
            </w:r>
            <w:r w:rsidR="0051024A">
              <w:rPr>
                <w:bCs/>
                <w:sz w:val="22"/>
                <w:szCs w:val="22"/>
              </w:rPr>
              <w:t>AQRV analysis g</w:t>
            </w:r>
            <w:r w:rsidR="00A62014" w:rsidRPr="00903BA3">
              <w:rPr>
                <w:bCs/>
                <w:sz w:val="22"/>
                <w:szCs w:val="22"/>
              </w:rPr>
              <w:t>uidance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rPr>
                <w:sz w:val="22"/>
                <w:szCs w:val="22"/>
              </w:rPr>
            </w:pPr>
            <w:r w:rsidRPr="00903BA3">
              <w:rPr>
                <w:sz w:val="22"/>
                <w:szCs w:val="22"/>
              </w:rPr>
              <w:t>A key impact of the regulation of PM</w:t>
            </w:r>
            <w:r w:rsidRPr="00903BA3">
              <w:rPr>
                <w:sz w:val="22"/>
                <w:szCs w:val="22"/>
                <w:vertAlign w:val="subscript"/>
              </w:rPr>
              <w:t>2.5</w:t>
            </w:r>
            <w:r w:rsidRPr="00903BA3">
              <w:rPr>
                <w:sz w:val="22"/>
                <w:szCs w:val="22"/>
              </w:rPr>
              <w:t xml:space="preserve"> will be the increased need to evaluate AQRVs. Therefore, as part of this GHG/PM</w:t>
            </w:r>
            <w:r w:rsidRPr="00903BA3">
              <w:rPr>
                <w:sz w:val="22"/>
                <w:szCs w:val="22"/>
                <w:vertAlign w:val="subscript"/>
              </w:rPr>
              <w:t>2.5</w:t>
            </w:r>
            <w:r w:rsidRPr="00903BA3">
              <w:rPr>
                <w:sz w:val="22"/>
                <w:szCs w:val="22"/>
              </w:rPr>
              <w:t xml:space="preserve"> rulemaking, we encourage the Department to update the date reference for the definition of “FLAG” in OAR 340-225-0020(6) to reference the new version published in the October 27, 2010 Federal Register. 75 Fed. Reg. 66125 (Oct. 27, 2010). (1, 2, 4, 11, 13, 14, 17)</w:t>
            </w:r>
          </w:p>
          <w:p w:rsidR="00607C83" w:rsidRPr="00903BA3" w:rsidRDefault="00607C83" w:rsidP="000B4801">
            <w:pPr>
              <w:rPr>
                <w:sz w:val="22"/>
                <w:szCs w:val="22"/>
              </w:rPr>
            </w:pPr>
          </w:p>
          <w:p w:rsidR="00A62014" w:rsidRPr="00903BA3" w:rsidRDefault="00A62014" w:rsidP="000B4801">
            <w:pPr>
              <w:ind w:right="-187"/>
              <w:rPr>
                <w:i/>
                <w:sz w:val="22"/>
                <w:szCs w:val="22"/>
              </w:rPr>
            </w:pPr>
            <w:r w:rsidRPr="00903BA3">
              <w:rPr>
                <w:i/>
                <w:sz w:val="22"/>
                <w:szCs w:val="22"/>
              </w:rPr>
              <w:t>Response:</w:t>
            </w:r>
          </w:p>
          <w:p w:rsidR="00A62014" w:rsidRDefault="00A21C65" w:rsidP="000B4801">
            <w:pPr>
              <w:ind w:right="-187"/>
              <w:rPr>
                <w:i/>
                <w:sz w:val="22"/>
                <w:szCs w:val="22"/>
              </w:rPr>
            </w:pPr>
            <w:r w:rsidRPr="00903BA3">
              <w:rPr>
                <w:i/>
                <w:sz w:val="22"/>
                <w:szCs w:val="22"/>
              </w:rPr>
              <w:t>The change was made to the proposed rule as suggested.</w:t>
            </w:r>
            <w:r w:rsidR="00A62014" w:rsidRPr="00903BA3">
              <w:rPr>
                <w:i/>
                <w:sz w:val="22"/>
                <w:szCs w:val="22"/>
              </w:rPr>
              <w:t xml:space="preserve"> </w:t>
            </w:r>
          </w:p>
          <w:p w:rsidR="00607C83" w:rsidRPr="00903BA3" w:rsidRDefault="00607C83" w:rsidP="000B4801">
            <w:pPr>
              <w:ind w:right="-187"/>
              <w:rPr>
                <w:i/>
                <w:sz w:val="22"/>
                <w:szCs w:val="22"/>
              </w:rPr>
            </w:pPr>
          </w:p>
        </w:tc>
      </w:tr>
      <w:tr w:rsidR="00A62014"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0B4801">
            <w:pPr>
              <w:rPr>
                <w:sz w:val="22"/>
                <w:szCs w:val="22"/>
              </w:rPr>
            </w:pPr>
            <w:r>
              <w:rPr>
                <w:sz w:val="22"/>
                <w:szCs w:val="22"/>
              </w:rPr>
              <w:t xml:space="preserve">45. </w:t>
            </w:r>
            <w:r w:rsidR="00A62014" w:rsidRPr="00903BA3">
              <w:rPr>
                <w:sz w:val="22"/>
                <w:szCs w:val="22"/>
              </w:rPr>
              <w:t>PM</w:t>
            </w:r>
            <w:r w:rsidR="00A62014" w:rsidRPr="00903BA3">
              <w:rPr>
                <w:sz w:val="22"/>
                <w:szCs w:val="22"/>
                <w:vertAlign w:val="subscript"/>
              </w:rPr>
              <w:t>2.5</w:t>
            </w:r>
            <w:r w:rsidR="00A62014" w:rsidRPr="00903BA3">
              <w:rPr>
                <w:sz w:val="22"/>
                <w:szCs w:val="22"/>
              </w:rPr>
              <w:t xml:space="preserve"> precursor offsetting</w:t>
            </w:r>
          </w:p>
          <w:p w:rsidR="00A62014" w:rsidRPr="00903BA3" w:rsidRDefault="00A62014" w:rsidP="000B4801">
            <w:pPr>
              <w:ind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rPr>
                <w:sz w:val="22"/>
                <w:szCs w:val="22"/>
              </w:rPr>
            </w:pPr>
            <w:r w:rsidRPr="00903BA3">
              <w:rPr>
                <w:sz w:val="22"/>
                <w:szCs w:val="22"/>
              </w:rPr>
              <w:t>We urge the Department to clarify what is required under its rules in terms of PM</w:t>
            </w:r>
            <w:r w:rsidRPr="00903BA3">
              <w:rPr>
                <w:sz w:val="22"/>
                <w:szCs w:val="22"/>
                <w:vertAlign w:val="subscript"/>
              </w:rPr>
              <w:t>2.5</w:t>
            </w:r>
            <w:r w:rsidRPr="00903BA3">
              <w:rPr>
                <w:sz w:val="22"/>
                <w:szCs w:val="22"/>
              </w:rPr>
              <w:t xml:space="preserve"> precursor offsetting. It very difficult to understand what is required in terms of precursor offsetting and what is allowed/required in the event of inter-pollutant trading. (1, 2, 4, 11, 13, 14, 15, 17)</w:t>
            </w:r>
          </w:p>
          <w:p w:rsidR="00607C83" w:rsidRPr="00903BA3" w:rsidRDefault="00607C83" w:rsidP="000B4801">
            <w:pPr>
              <w:rPr>
                <w:sz w:val="22"/>
                <w:szCs w:val="22"/>
              </w:rPr>
            </w:pPr>
          </w:p>
          <w:p w:rsidR="00A62014" w:rsidRPr="00903BA3" w:rsidRDefault="00A62014" w:rsidP="000B4801">
            <w:pPr>
              <w:autoSpaceDE w:val="0"/>
              <w:autoSpaceDN w:val="0"/>
              <w:adjustRightInd w:val="0"/>
              <w:rPr>
                <w:i/>
                <w:sz w:val="22"/>
                <w:szCs w:val="22"/>
              </w:rPr>
            </w:pPr>
            <w:r w:rsidRPr="00903BA3">
              <w:rPr>
                <w:i/>
                <w:sz w:val="22"/>
                <w:szCs w:val="22"/>
              </w:rPr>
              <w:t>Response:</w:t>
            </w:r>
          </w:p>
          <w:p w:rsidR="0022572B" w:rsidRDefault="00A62014" w:rsidP="000B4801">
            <w:pPr>
              <w:autoSpaceDE w:val="0"/>
              <w:autoSpaceDN w:val="0"/>
              <w:adjustRightInd w:val="0"/>
              <w:rPr>
                <w:i/>
                <w:sz w:val="22"/>
                <w:szCs w:val="22"/>
              </w:rPr>
            </w:pPr>
            <w:r w:rsidRPr="00903BA3">
              <w:rPr>
                <w:i/>
                <w:sz w:val="22"/>
                <w:szCs w:val="22"/>
              </w:rPr>
              <w:t xml:space="preserve">The </w:t>
            </w:r>
            <w:r w:rsidR="008C0EB0" w:rsidRPr="00903BA3">
              <w:rPr>
                <w:i/>
                <w:sz w:val="22"/>
                <w:szCs w:val="22"/>
              </w:rPr>
              <w:t xml:space="preserve">proposed </w:t>
            </w:r>
            <w:r w:rsidR="00797A80" w:rsidRPr="00903BA3">
              <w:rPr>
                <w:i/>
                <w:sz w:val="22"/>
                <w:szCs w:val="22"/>
              </w:rPr>
              <w:t>rule has been clarified as suggested</w:t>
            </w:r>
            <w:r w:rsidR="008D538C" w:rsidRPr="00903BA3">
              <w:rPr>
                <w:i/>
                <w:sz w:val="22"/>
                <w:szCs w:val="22"/>
              </w:rPr>
              <w:t xml:space="preserve">. </w:t>
            </w:r>
            <w:r w:rsidR="0028773B" w:rsidRPr="00903BA3">
              <w:rPr>
                <w:i/>
                <w:sz w:val="22"/>
                <w:szCs w:val="22"/>
              </w:rPr>
              <w:t>EPA has determined that</w:t>
            </w:r>
            <w:r w:rsidR="0028773B" w:rsidRPr="00903BA3">
              <w:rPr>
                <w:i/>
                <w:color w:val="000000"/>
                <w:sz w:val="22"/>
                <w:szCs w:val="22"/>
              </w:rPr>
              <w:t xml:space="preserve"> the relative efficacy of emissions reductions varies across pollutants and that a ton of direct PM2.5 is generally more effective than a ton of precursor emissions in reducing overall PM2.5 concentrations. Therefore, t</w:t>
            </w:r>
            <w:r w:rsidR="0028773B" w:rsidRPr="00903BA3">
              <w:rPr>
                <w:i/>
                <w:sz w:val="22"/>
                <w:szCs w:val="22"/>
              </w:rPr>
              <w:t>he EPA preferred trading ratios for PM</w:t>
            </w:r>
            <w:r w:rsidR="0028773B" w:rsidRPr="00903BA3">
              <w:rPr>
                <w:i/>
                <w:sz w:val="22"/>
                <w:szCs w:val="22"/>
                <w:vertAlign w:val="subscript"/>
              </w:rPr>
              <w:t>2.5</w:t>
            </w:r>
            <w:r w:rsidR="0028773B" w:rsidRPr="00903BA3">
              <w:rPr>
                <w:i/>
                <w:sz w:val="22"/>
                <w:szCs w:val="22"/>
              </w:rPr>
              <w:t xml:space="preserve"> and its precursors (NO</w:t>
            </w:r>
            <w:r w:rsidR="0028773B" w:rsidRPr="00903BA3">
              <w:rPr>
                <w:i/>
                <w:sz w:val="22"/>
                <w:szCs w:val="22"/>
                <w:vertAlign w:val="subscript"/>
              </w:rPr>
              <w:t>x</w:t>
            </w:r>
            <w:r w:rsidR="0028773B" w:rsidRPr="00903BA3">
              <w:rPr>
                <w:i/>
                <w:sz w:val="22"/>
                <w:szCs w:val="22"/>
              </w:rPr>
              <w:t xml:space="preserve"> and SO</w:t>
            </w:r>
            <w:r w:rsidR="0028773B" w:rsidRPr="00903BA3">
              <w:rPr>
                <w:i/>
                <w:sz w:val="22"/>
                <w:szCs w:val="22"/>
                <w:vertAlign w:val="subscript"/>
              </w:rPr>
              <w:t>2</w:t>
            </w:r>
            <w:r w:rsidR="0028773B" w:rsidRPr="00903BA3">
              <w:rPr>
                <w:i/>
                <w:sz w:val="22"/>
                <w:szCs w:val="22"/>
              </w:rPr>
              <w:t>) are included in the proposed rules</w:t>
            </w:r>
            <w:r w:rsidR="008D538C" w:rsidRPr="00903BA3">
              <w:rPr>
                <w:i/>
                <w:sz w:val="22"/>
                <w:szCs w:val="22"/>
              </w:rPr>
              <w:t xml:space="preserve">. </w:t>
            </w:r>
            <w:r w:rsidR="0028773B" w:rsidRPr="00903BA3">
              <w:rPr>
                <w:i/>
                <w:sz w:val="22"/>
                <w:szCs w:val="22"/>
              </w:rPr>
              <w:t xml:space="preserve">  </w:t>
            </w:r>
          </w:p>
          <w:p w:rsidR="00607C83" w:rsidRPr="00903BA3" w:rsidRDefault="00607C83" w:rsidP="000B4801">
            <w:pPr>
              <w:autoSpaceDE w:val="0"/>
              <w:autoSpaceDN w:val="0"/>
              <w:adjustRightInd w:val="0"/>
              <w:rPr>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607C83">
            <w:pPr>
              <w:ind w:right="-108"/>
              <w:rPr>
                <w:bCs/>
                <w:sz w:val="22"/>
                <w:szCs w:val="22"/>
              </w:rPr>
            </w:pPr>
            <w:r>
              <w:rPr>
                <w:sz w:val="22"/>
                <w:szCs w:val="22"/>
              </w:rPr>
              <w:t xml:space="preserve">46. </w:t>
            </w:r>
            <w:r w:rsidR="00B14540" w:rsidRPr="00903BA3">
              <w:rPr>
                <w:sz w:val="22"/>
                <w:szCs w:val="22"/>
              </w:rPr>
              <w:t>Small-scale local energy projects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autoSpaceDE w:val="0"/>
              <w:autoSpaceDN w:val="0"/>
              <w:adjustRightInd w:val="0"/>
              <w:rPr>
                <w:sz w:val="22"/>
                <w:szCs w:val="22"/>
              </w:rPr>
            </w:pPr>
            <w:r w:rsidRPr="00903BA3">
              <w:rPr>
                <w:sz w:val="22"/>
                <w:szCs w:val="22"/>
              </w:rPr>
              <w:t>Even with the conditions provided in this paragraph, it may be too broad an assertion to state that a small-scale local energy project and associated infrastructure provides a net air quality benefit without conducting air quality dispersion modeling to confirm this. We are not aware of similar provisions in the SIPs of other states. Therefore, before Region 10 can consider this for inclusion in the Oregon SIP, we will need to consult with EPA Headquarters and other Regions. (7)</w:t>
            </w:r>
          </w:p>
          <w:p w:rsidR="00607C83" w:rsidRPr="00903BA3" w:rsidRDefault="00607C83" w:rsidP="000B4801">
            <w:pPr>
              <w:autoSpaceDE w:val="0"/>
              <w:autoSpaceDN w:val="0"/>
              <w:adjustRightInd w:val="0"/>
              <w:rPr>
                <w:sz w:val="22"/>
                <w:szCs w:val="22"/>
              </w:rPr>
            </w:pPr>
          </w:p>
          <w:p w:rsidR="00A62014" w:rsidRPr="00903BA3" w:rsidRDefault="00A62014" w:rsidP="000B4801">
            <w:pPr>
              <w:tabs>
                <w:tab w:val="center" w:pos="4429"/>
              </w:tabs>
              <w:ind w:left="64" w:right="-180"/>
              <w:rPr>
                <w:i/>
                <w:sz w:val="22"/>
                <w:szCs w:val="22"/>
              </w:rPr>
            </w:pPr>
            <w:r w:rsidRPr="00903BA3">
              <w:rPr>
                <w:i/>
                <w:sz w:val="22"/>
                <w:szCs w:val="22"/>
              </w:rPr>
              <w:t>Response:</w:t>
            </w:r>
            <w:r w:rsidRPr="00903BA3">
              <w:rPr>
                <w:i/>
                <w:sz w:val="22"/>
                <w:szCs w:val="22"/>
              </w:rPr>
              <w:tab/>
            </w:r>
          </w:p>
          <w:p w:rsidR="00A62014" w:rsidRDefault="00A62014" w:rsidP="000B4801">
            <w:pPr>
              <w:autoSpaceDE w:val="0"/>
              <w:autoSpaceDN w:val="0"/>
              <w:adjustRightInd w:val="0"/>
              <w:rPr>
                <w:i/>
                <w:sz w:val="22"/>
                <w:szCs w:val="22"/>
              </w:rPr>
            </w:pPr>
            <w:r w:rsidRPr="00903BA3">
              <w:rPr>
                <w:i/>
                <w:sz w:val="22"/>
                <w:szCs w:val="22"/>
              </w:rPr>
              <w:t>The proposed rules change how small scale local energy projects are evaluated under Oregon’s rules based on recent changes to Oregon’s statutes resulting from House Bill 2952</w:t>
            </w:r>
            <w:r w:rsidR="008D538C" w:rsidRPr="00903BA3">
              <w:rPr>
                <w:i/>
                <w:sz w:val="22"/>
                <w:szCs w:val="22"/>
              </w:rPr>
              <w:t xml:space="preserve">. </w:t>
            </w:r>
            <w:r w:rsidRPr="00903BA3">
              <w:rPr>
                <w:i/>
                <w:sz w:val="22"/>
                <w:szCs w:val="22"/>
              </w:rPr>
              <w:t>EPA requires states to have minor source construction approval programs, in addition to the major source program described above, but gives states flexibility in how to do this. Oregon’s existing minor source construction approval program in effect</w:t>
            </w:r>
            <w:r w:rsidRPr="00903BA3" w:rsidDel="00CF75AF">
              <w:rPr>
                <w:i/>
                <w:sz w:val="22"/>
                <w:szCs w:val="22"/>
              </w:rPr>
              <w:t xml:space="preserve"> </w:t>
            </w:r>
            <w:r w:rsidRPr="00903BA3">
              <w:rPr>
                <w:i/>
                <w:sz w:val="22"/>
                <w:szCs w:val="22"/>
              </w:rPr>
              <w:t xml:space="preserve">applies major source NSR/PSD requirements to any source with emissions over the Significant Emission Rate. This is above and beyond what is required by the federal rules. HB 2952 revised how minor source construction approval works for small scale local energy projects in Oregon providing DEQ with greater flexibility on how to implement the program. The changes in the proposed rule still meet EPA’s general requirement to have a construction </w:t>
            </w:r>
            <w:r w:rsidRPr="00903BA3">
              <w:rPr>
                <w:i/>
                <w:sz w:val="22"/>
                <w:szCs w:val="22"/>
              </w:rPr>
              <w:lastRenderedPageBreak/>
              <w:t>app</w:t>
            </w:r>
            <w:r w:rsidR="005A0E86" w:rsidRPr="00903BA3">
              <w:rPr>
                <w:i/>
                <w:sz w:val="22"/>
                <w:szCs w:val="22"/>
              </w:rPr>
              <w:t>roval program for minor sources and is still protective of the environment</w:t>
            </w:r>
            <w:r w:rsidRPr="00903BA3">
              <w:rPr>
                <w:i/>
                <w:sz w:val="22"/>
                <w:szCs w:val="22"/>
              </w:rPr>
              <w:t xml:space="preserve">. </w:t>
            </w:r>
            <w:r w:rsidR="00A21C65" w:rsidRPr="00903BA3">
              <w:rPr>
                <w:i/>
                <w:sz w:val="22"/>
                <w:szCs w:val="22"/>
              </w:rPr>
              <w:t>No change to the rule is proposed in response to this comment.</w:t>
            </w:r>
            <w:r w:rsidRPr="00903BA3">
              <w:rPr>
                <w:i/>
                <w:sz w:val="22"/>
                <w:szCs w:val="22"/>
              </w:rPr>
              <w:t xml:space="preserve"> </w:t>
            </w:r>
          </w:p>
          <w:p w:rsidR="00607C83" w:rsidRPr="00903BA3" w:rsidRDefault="00607C83" w:rsidP="000B4801">
            <w:pPr>
              <w:autoSpaceDE w:val="0"/>
              <w:autoSpaceDN w:val="0"/>
              <w:adjustRightInd w:val="0"/>
              <w:rPr>
                <w:i/>
                <w:sz w:val="22"/>
                <w:szCs w:val="22"/>
              </w:rPr>
            </w:pPr>
          </w:p>
        </w:tc>
      </w:tr>
      <w:tr w:rsidR="00EF4FD3" w:rsidRPr="00903BA3"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F4FD3" w:rsidRPr="00903BA3" w:rsidRDefault="00607C83" w:rsidP="00607C83">
            <w:pPr>
              <w:ind w:right="-115"/>
              <w:rPr>
                <w:bCs/>
                <w:sz w:val="22"/>
                <w:szCs w:val="22"/>
              </w:rPr>
            </w:pPr>
            <w:bookmarkStart w:id="7" w:name="_Ref283933480"/>
            <w:r>
              <w:rPr>
                <w:bCs/>
                <w:sz w:val="22"/>
                <w:szCs w:val="22"/>
              </w:rPr>
              <w:lastRenderedPageBreak/>
              <w:t xml:space="preserve">47. </w:t>
            </w:r>
            <w:bookmarkEnd w:id="7"/>
            <w:r w:rsidR="00EF4FD3" w:rsidRPr="00903BA3">
              <w:rPr>
                <w:bCs/>
                <w:sz w:val="22"/>
                <w:szCs w:val="22"/>
              </w:rPr>
              <w:t>Proposed option 1</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4FD3" w:rsidRDefault="00EF4FD3" w:rsidP="000B4801">
            <w:pPr>
              <w:pStyle w:val="ColorfulList-Accent11"/>
              <w:ind w:left="0"/>
              <w:rPr>
                <w:sz w:val="22"/>
                <w:szCs w:val="22"/>
              </w:rPr>
            </w:pPr>
            <w:r w:rsidRPr="00903BA3">
              <w:rPr>
                <w:sz w:val="22"/>
                <w:szCs w:val="22"/>
              </w:rPr>
              <w:t>Option 1 fails to link PSELs to the baseline concentration in the air shed and therefore will not meet the PSEL program’s goal of ensuring compliance with NAAQS and PSD increment. DEQ provides little guidance on how the “fraction” will be established. There is no indication that DEQ will require further testing of the source to ensure that the fraction remains the same, potentially allowing massive increases in PM</w:t>
            </w:r>
            <w:r w:rsidRPr="00903BA3">
              <w:rPr>
                <w:sz w:val="22"/>
                <w:szCs w:val="22"/>
                <w:vertAlign w:val="subscript"/>
              </w:rPr>
              <w:t>2.5</w:t>
            </w:r>
            <w:r w:rsidRPr="00903BA3">
              <w:rPr>
                <w:sz w:val="22"/>
                <w:szCs w:val="22"/>
              </w:rPr>
              <w:t xml:space="preserve"> emissions and the result</w:t>
            </w:r>
            <w:r w:rsidR="008C0EB0" w:rsidRPr="00903BA3">
              <w:rPr>
                <w:sz w:val="22"/>
                <w:szCs w:val="22"/>
              </w:rPr>
              <w:t>ing</w:t>
            </w:r>
            <w:r w:rsidRPr="00903BA3">
              <w:rPr>
                <w:sz w:val="22"/>
                <w:szCs w:val="22"/>
              </w:rPr>
              <w:t xml:space="preserve"> specific health effects. (12)</w:t>
            </w:r>
          </w:p>
          <w:p w:rsidR="00607C83" w:rsidRPr="00903BA3" w:rsidRDefault="00607C83" w:rsidP="000B4801">
            <w:pPr>
              <w:pStyle w:val="ColorfulList-Accent11"/>
              <w:ind w:left="0"/>
              <w:rPr>
                <w:sz w:val="22"/>
                <w:szCs w:val="22"/>
              </w:rPr>
            </w:pPr>
          </w:p>
          <w:p w:rsidR="00EF4FD3" w:rsidRPr="00903BA3" w:rsidRDefault="00EF4FD3" w:rsidP="000B4801">
            <w:pPr>
              <w:pStyle w:val="ColorfulList-Accent11"/>
              <w:ind w:left="0"/>
              <w:rPr>
                <w:i/>
                <w:sz w:val="22"/>
                <w:szCs w:val="22"/>
              </w:rPr>
            </w:pPr>
            <w:r w:rsidRPr="00903BA3">
              <w:rPr>
                <w:i/>
                <w:sz w:val="22"/>
                <w:szCs w:val="22"/>
              </w:rPr>
              <w:t>Response:</w:t>
            </w:r>
          </w:p>
          <w:p w:rsidR="00EF4FD3" w:rsidRDefault="00EF4FD3" w:rsidP="000B4801">
            <w:pPr>
              <w:pStyle w:val="ColorfulList-Accent11"/>
              <w:ind w:left="0"/>
              <w:rPr>
                <w:i/>
                <w:sz w:val="22"/>
                <w:szCs w:val="22"/>
              </w:rPr>
            </w:pPr>
            <w:r w:rsidRPr="00903BA3">
              <w:rPr>
                <w:i/>
                <w:sz w:val="22"/>
                <w:szCs w:val="22"/>
              </w:rPr>
              <w:t>DEQ is proposing to implement a variation of Option 1. The netting basis and PSEL for PM</w:t>
            </w:r>
            <w:r w:rsidRPr="00903BA3">
              <w:rPr>
                <w:i/>
                <w:sz w:val="22"/>
                <w:szCs w:val="22"/>
                <w:vertAlign w:val="subscript"/>
              </w:rPr>
              <w:t>2.5</w:t>
            </w:r>
            <w:r w:rsidRPr="00903BA3">
              <w:rPr>
                <w:i/>
                <w:sz w:val="22"/>
                <w:szCs w:val="22"/>
              </w:rPr>
              <w:t xml:space="preserve"> will be the fraction of the PM</w:t>
            </w:r>
            <w:r w:rsidRPr="00903BA3">
              <w:rPr>
                <w:i/>
                <w:sz w:val="22"/>
                <w:szCs w:val="22"/>
                <w:vertAlign w:val="subscript"/>
              </w:rPr>
              <w:t>10</w:t>
            </w:r>
            <w:r w:rsidRPr="00903BA3">
              <w:rPr>
                <w:i/>
                <w:sz w:val="22"/>
                <w:szCs w:val="22"/>
              </w:rPr>
              <w:t xml:space="preserve"> netting basis and PSEL. Since there is so much overlap between these two pollutants, this ensures that the introduction of the new pollutant (PM</w:t>
            </w:r>
            <w:r w:rsidRPr="00903BA3">
              <w:rPr>
                <w:i/>
                <w:sz w:val="22"/>
                <w:szCs w:val="22"/>
                <w:vertAlign w:val="subscript"/>
              </w:rPr>
              <w:t>2.5</w:t>
            </w:r>
            <w:r w:rsidRPr="00903BA3">
              <w:rPr>
                <w:i/>
                <w:sz w:val="22"/>
                <w:szCs w:val="22"/>
              </w:rPr>
              <w:t xml:space="preserve">) doesn’t trigger any new requirements if a plant is not making any modifications or production increases. The GHG baseline will be set based on the highest actual emissions in a 12-consecutive month period during the years 2000-2010. </w:t>
            </w:r>
          </w:p>
          <w:p w:rsidR="00607C83" w:rsidRPr="00903BA3" w:rsidRDefault="00607C83" w:rsidP="000B4801">
            <w:pPr>
              <w:pStyle w:val="ColorfulList-Accent11"/>
              <w:ind w:left="0"/>
              <w:rPr>
                <w:i/>
                <w:sz w:val="22"/>
                <w:szCs w:val="22"/>
              </w:rPr>
            </w:pPr>
          </w:p>
          <w:p w:rsidR="00EF4FD3" w:rsidRDefault="005A0E86" w:rsidP="000B4801">
            <w:pPr>
              <w:pStyle w:val="ColorfulList-Accent11"/>
              <w:ind w:left="0"/>
              <w:rPr>
                <w:i/>
                <w:sz w:val="22"/>
                <w:szCs w:val="22"/>
              </w:rPr>
            </w:pPr>
            <w:r w:rsidRPr="00903BA3">
              <w:rPr>
                <w:i/>
                <w:sz w:val="22"/>
                <w:szCs w:val="22"/>
              </w:rPr>
              <w:t>DEQ does not agree that the PSEL program will not ensure compliance with the NAAQS or the PSD increment</w:t>
            </w:r>
            <w:r w:rsidR="008D538C" w:rsidRPr="00903BA3">
              <w:rPr>
                <w:i/>
                <w:sz w:val="22"/>
                <w:szCs w:val="22"/>
              </w:rPr>
              <w:t xml:space="preserve">. </w:t>
            </w:r>
            <w:r w:rsidR="00EF4FD3" w:rsidRPr="00903BA3">
              <w:rPr>
                <w:i/>
                <w:sz w:val="22"/>
                <w:szCs w:val="22"/>
              </w:rPr>
              <w:t xml:space="preserve"> See the response in comment </w:t>
            </w:r>
            <w:fldSimple w:instr=" REF _Ref283934738 \r \h  \* MERGEFORMAT ">
              <w:r w:rsidR="00752276" w:rsidRPr="00903BA3">
                <w:rPr>
                  <w:i/>
                  <w:sz w:val="22"/>
                  <w:szCs w:val="22"/>
                </w:rPr>
                <w:t>13</w:t>
              </w:r>
            </w:fldSimple>
            <w:r w:rsidR="00EF4FD3" w:rsidRPr="00903BA3">
              <w:rPr>
                <w:i/>
                <w:sz w:val="22"/>
                <w:szCs w:val="22"/>
              </w:rPr>
              <w:t xml:space="preserve"> “</w:t>
            </w:r>
            <w:r w:rsidR="00EF4FD3" w:rsidRPr="00903BA3">
              <w:rPr>
                <w:bCs/>
                <w:sz w:val="22"/>
                <w:szCs w:val="22"/>
              </w:rPr>
              <w:t>Baseline period tied to baseline concentration year</w:t>
            </w:r>
            <w:r w:rsidR="00EF4FD3" w:rsidRPr="00903BA3">
              <w:rPr>
                <w:i/>
                <w:sz w:val="22"/>
                <w:szCs w:val="22"/>
              </w:rPr>
              <w:t xml:space="preserve">.” See the responses in comments </w:t>
            </w:r>
            <w:fldSimple w:instr=" REF _Ref283933930 \r \h  \* MERGEFORMAT ">
              <w:r w:rsidR="00752276" w:rsidRPr="00903BA3">
                <w:rPr>
                  <w:i/>
                  <w:sz w:val="22"/>
                  <w:szCs w:val="22"/>
                </w:rPr>
                <w:t>54</w:t>
              </w:r>
            </w:fldSimple>
            <w:r w:rsidR="00EF4FD3" w:rsidRPr="00903BA3">
              <w:rPr>
                <w:i/>
                <w:sz w:val="22"/>
                <w:szCs w:val="22"/>
              </w:rPr>
              <w:t xml:space="preserve"> and </w:t>
            </w:r>
            <w:fldSimple w:instr=" REF _Ref283933944 \r \h  \* MERGEFORMAT ">
              <w:r w:rsidR="00752276" w:rsidRPr="00903BA3">
                <w:rPr>
                  <w:i/>
                  <w:sz w:val="22"/>
                  <w:szCs w:val="22"/>
                </w:rPr>
                <w:t>55</w:t>
              </w:r>
            </w:fldSimple>
            <w:r w:rsidR="00EF4FD3" w:rsidRPr="00903BA3">
              <w:rPr>
                <w:i/>
                <w:sz w:val="22"/>
                <w:szCs w:val="22"/>
              </w:rPr>
              <w:t xml:space="preserve"> regarding “Compliance with the NAAQS” and “Compliance with the PSD increment.” </w:t>
            </w:r>
          </w:p>
          <w:p w:rsidR="00607C83" w:rsidRPr="00903BA3" w:rsidRDefault="00607C83" w:rsidP="000B4801">
            <w:pPr>
              <w:pStyle w:val="ColorfulList-Accent11"/>
              <w:ind w:left="0"/>
              <w:rPr>
                <w:i/>
                <w:sz w:val="22"/>
                <w:szCs w:val="22"/>
              </w:rPr>
            </w:pPr>
          </w:p>
          <w:p w:rsidR="00EF4FD3" w:rsidRDefault="00EF4FD3" w:rsidP="000B4801">
            <w:pPr>
              <w:pStyle w:val="ColorfulList-Accent11"/>
              <w:ind w:left="0"/>
              <w:rPr>
                <w:i/>
                <w:sz w:val="22"/>
                <w:szCs w:val="22"/>
              </w:rPr>
            </w:pPr>
            <w:r w:rsidRPr="00903BA3">
              <w:rPr>
                <w:i/>
                <w:sz w:val="22"/>
                <w:szCs w:val="22"/>
              </w:rPr>
              <w:t>DEQ will be providing guidance to permit writers on how the PM</w:t>
            </w:r>
            <w:r w:rsidRPr="00903BA3">
              <w:rPr>
                <w:i/>
                <w:sz w:val="22"/>
                <w:szCs w:val="22"/>
                <w:vertAlign w:val="subscript"/>
              </w:rPr>
              <w:t>2.5</w:t>
            </w:r>
            <w:r w:rsidRPr="00903BA3">
              <w:rPr>
                <w:i/>
                <w:sz w:val="22"/>
                <w:szCs w:val="22"/>
              </w:rPr>
              <w:t xml:space="preserve"> fraction of PM</w:t>
            </w:r>
            <w:r w:rsidRPr="00903BA3">
              <w:rPr>
                <w:i/>
                <w:sz w:val="22"/>
                <w:szCs w:val="22"/>
                <w:vertAlign w:val="subscript"/>
              </w:rPr>
              <w:t>10</w:t>
            </w:r>
            <w:r w:rsidRPr="00903BA3">
              <w:rPr>
                <w:i/>
                <w:sz w:val="22"/>
                <w:szCs w:val="22"/>
              </w:rPr>
              <w:t xml:space="preserve"> will </w:t>
            </w:r>
            <w:r w:rsidR="008C0EB0" w:rsidRPr="00903BA3">
              <w:rPr>
                <w:i/>
                <w:sz w:val="22"/>
                <w:szCs w:val="22"/>
              </w:rPr>
              <w:t xml:space="preserve">normally </w:t>
            </w:r>
            <w:r w:rsidRPr="00903BA3">
              <w:rPr>
                <w:i/>
                <w:sz w:val="22"/>
                <w:szCs w:val="22"/>
              </w:rPr>
              <w:t>be established. Source test data at the facility is the most reliable way to determine the PM</w:t>
            </w:r>
            <w:r w:rsidRPr="00903BA3">
              <w:rPr>
                <w:i/>
                <w:sz w:val="22"/>
                <w:szCs w:val="22"/>
                <w:vertAlign w:val="subscript"/>
              </w:rPr>
              <w:t>2.5</w:t>
            </w:r>
            <w:r w:rsidRPr="00903BA3">
              <w:rPr>
                <w:i/>
                <w:sz w:val="22"/>
                <w:szCs w:val="22"/>
              </w:rPr>
              <w:t xml:space="preserve"> fraction of PM</w:t>
            </w:r>
            <w:r w:rsidRPr="00903BA3">
              <w:rPr>
                <w:i/>
                <w:sz w:val="22"/>
                <w:szCs w:val="22"/>
                <w:vertAlign w:val="subscript"/>
              </w:rPr>
              <w:t>10</w:t>
            </w:r>
            <w:r w:rsidRPr="00903BA3">
              <w:rPr>
                <w:i/>
                <w:sz w:val="22"/>
                <w:szCs w:val="22"/>
              </w:rPr>
              <w:t xml:space="preserve"> emissions. </w:t>
            </w:r>
            <w:r w:rsidR="008719A2" w:rsidRPr="00903BA3">
              <w:rPr>
                <w:i/>
                <w:sz w:val="22"/>
                <w:szCs w:val="22"/>
              </w:rPr>
              <w:t xml:space="preserve">The guidance will also include information on </w:t>
            </w:r>
            <w:r w:rsidR="008C0EB0" w:rsidRPr="00903BA3">
              <w:rPr>
                <w:i/>
                <w:sz w:val="22"/>
                <w:szCs w:val="22"/>
              </w:rPr>
              <w:t>the cases when</w:t>
            </w:r>
            <w:r w:rsidR="008719A2" w:rsidRPr="00903BA3">
              <w:rPr>
                <w:i/>
                <w:sz w:val="22"/>
                <w:szCs w:val="22"/>
              </w:rPr>
              <w:t xml:space="preserve"> source tests </w:t>
            </w:r>
            <w:r w:rsidR="008C0EB0" w:rsidRPr="00903BA3">
              <w:rPr>
                <w:i/>
                <w:sz w:val="22"/>
                <w:szCs w:val="22"/>
              </w:rPr>
              <w:t xml:space="preserve">will normally be required, </w:t>
            </w:r>
            <w:r w:rsidR="008719A2" w:rsidRPr="00903BA3">
              <w:rPr>
                <w:i/>
                <w:sz w:val="22"/>
                <w:szCs w:val="22"/>
              </w:rPr>
              <w:t>along with the frequency</w:t>
            </w:r>
            <w:r w:rsidRPr="00903BA3">
              <w:rPr>
                <w:i/>
                <w:sz w:val="22"/>
                <w:szCs w:val="22"/>
              </w:rPr>
              <w:t xml:space="preserve"> to verify the PM</w:t>
            </w:r>
            <w:r w:rsidRPr="00903BA3">
              <w:rPr>
                <w:i/>
                <w:sz w:val="22"/>
                <w:szCs w:val="22"/>
                <w:vertAlign w:val="subscript"/>
              </w:rPr>
              <w:t>2.5</w:t>
            </w:r>
            <w:r w:rsidRPr="00903BA3">
              <w:rPr>
                <w:i/>
                <w:sz w:val="22"/>
                <w:szCs w:val="22"/>
              </w:rPr>
              <w:t xml:space="preserve"> fraction. Smaller sources of PM</w:t>
            </w:r>
            <w:r w:rsidRPr="00903BA3">
              <w:rPr>
                <w:i/>
                <w:sz w:val="22"/>
                <w:szCs w:val="22"/>
                <w:vertAlign w:val="subscript"/>
              </w:rPr>
              <w:t>2.5</w:t>
            </w:r>
            <w:r w:rsidRPr="00903BA3">
              <w:rPr>
                <w:i/>
                <w:sz w:val="22"/>
                <w:szCs w:val="22"/>
              </w:rPr>
              <w:t xml:space="preserve"> (less than 5 tons/year for each piece of equipment) will not </w:t>
            </w:r>
            <w:r w:rsidR="008C0EB0" w:rsidRPr="00903BA3">
              <w:rPr>
                <w:i/>
                <w:sz w:val="22"/>
                <w:szCs w:val="22"/>
              </w:rPr>
              <w:t xml:space="preserve">normally </w:t>
            </w:r>
            <w:r w:rsidRPr="00903BA3">
              <w:rPr>
                <w:i/>
                <w:sz w:val="22"/>
                <w:szCs w:val="22"/>
              </w:rPr>
              <w:t xml:space="preserve">be required to test because of the lower amount of emissions and limited resources. In this case, industry specific data available from trade associations or EPA’s </w:t>
            </w:r>
            <w:r w:rsidRPr="00903BA3">
              <w:rPr>
                <w:rStyle w:val="Strong"/>
                <w:i/>
                <w:sz w:val="22"/>
                <w:szCs w:val="22"/>
              </w:rPr>
              <w:t xml:space="preserve">AP-42, </w:t>
            </w:r>
            <w:r w:rsidRPr="00903BA3">
              <w:rPr>
                <w:rStyle w:val="Emphasis"/>
                <w:b/>
                <w:bCs/>
                <w:i w:val="0"/>
                <w:sz w:val="22"/>
                <w:szCs w:val="22"/>
              </w:rPr>
              <w:t>Compilation of Air Pollutant Emission Factors</w:t>
            </w:r>
            <w:r w:rsidRPr="00903BA3">
              <w:rPr>
                <w:i/>
                <w:sz w:val="22"/>
                <w:szCs w:val="22"/>
              </w:rPr>
              <w:t xml:space="preserve">, will </w:t>
            </w:r>
            <w:r w:rsidR="008C0EB0" w:rsidRPr="00903BA3">
              <w:rPr>
                <w:i/>
                <w:sz w:val="22"/>
                <w:szCs w:val="22"/>
              </w:rPr>
              <w:t xml:space="preserve">normally </w:t>
            </w:r>
            <w:r w:rsidRPr="00903BA3">
              <w:rPr>
                <w:i/>
                <w:sz w:val="22"/>
                <w:szCs w:val="22"/>
              </w:rPr>
              <w:t>be used to estimate PM</w:t>
            </w:r>
            <w:r w:rsidRPr="00903BA3">
              <w:rPr>
                <w:i/>
                <w:sz w:val="22"/>
                <w:szCs w:val="22"/>
                <w:vertAlign w:val="subscript"/>
              </w:rPr>
              <w:t>2.5</w:t>
            </w:r>
            <w:r w:rsidRPr="00903BA3">
              <w:rPr>
                <w:i/>
                <w:sz w:val="22"/>
                <w:szCs w:val="22"/>
              </w:rPr>
              <w:t xml:space="preserve"> emissions. AP-42 has been published since 1972 as the primary compilation of EPA's emission factor information. It contains emission factors and process information for more than 200 air pollution source categories. A source category is a specific industry sector or group of similar emitting sources. The emission factors have been developed and compiled from source test data, material balance studies, and engineering estimates. </w:t>
            </w:r>
          </w:p>
          <w:p w:rsidR="00607C83" w:rsidRPr="00903BA3" w:rsidRDefault="00607C83" w:rsidP="000B4801">
            <w:pPr>
              <w:pStyle w:val="ColorfulList-Accent11"/>
              <w:ind w:left="0"/>
              <w:rPr>
                <w:i/>
                <w:sz w:val="22"/>
                <w:szCs w:val="22"/>
              </w:rPr>
            </w:pPr>
          </w:p>
          <w:p w:rsidR="00012675" w:rsidRDefault="00EF4FD3" w:rsidP="000B4801">
            <w:pPr>
              <w:pStyle w:val="ColorfulList-Accent11"/>
              <w:ind w:left="0"/>
              <w:rPr>
                <w:i/>
                <w:sz w:val="22"/>
                <w:szCs w:val="22"/>
              </w:rPr>
            </w:pPr>
            <w:r w:rsidRPr="00903BA3">
              <w:rPr>
                <w:i/>
                <w:sz w:val="22"/>
                <w:szCs w:val="22"/>
              </w:rPr>
              <w:t>The PM</w:t>
            </w:r>
            <w:r w:rsidRPr="00903BA3">
              <w:rPr>
                <w:i/>
                <w:sz w:val="22"/>
                <w:szCs w:val="22"/>
                <w:vertAlign w:val="subscript"/>
              </w:rPr>
              <w:t>2.5</w:t>
            </w:r>
            <w:r w:rsidRPr="00903BA3">
              <w:rPr>
                <w:i/>
                <w:sz w:val="22"/>
                <w:szCs w:val="22"/>
              </w:rPr>
              <w:t xml:space="preserve"> fraction of PM</w:t>
            </w:r>
            <w:r w:rsidRPr="00903BA3">
              <w:rPr>
                <w:i/>
                <w:sz w:val="22"/>
                <w:szCs w:val="22"/>
                <w:vertAlign w:val="subscript"/>
              </w:rPr>
              <w:t xml:space="preserve">10 </w:t>
            </w:r>
            <w:r w:rsidRPr="00903BA3">
              <w:rPr>
                <w:i/>
                <w:sz w:val="22"/>
                <w:szCs w:val="22"/>
              </w:rPr>
              <w:t>depends on the type of source. For natural gas combustion, 100% of PM</w:t>
            </w:r>
            <w:r w:rsidRPr="00903BA3">
              <w:rPr>
                <w:i/>
                <w:sz w:val="22"/>
                <w:szCs w:val="22"/>
                <w:vertAlign w:val="subscript"/>
              </w:rPr>
              <w:t>10</w:t>
            </w:r>
            <w:r w:rsidRPr="00903BA3">
              <w:rPr>
                <w:i/>
                <w:sz w:val="22"/>
                <w:szCs w:val="22"/>
              </w:rPr>
              <w:t xml:space="preserve"> is PM</w:t>
            </w:r>
            <w:r w:rsidRPr="00903BA3">
              <w:rPr>
                <w:i/>
                <w:sz w:val="22"/>
                <w:szCs w:val="22"/>
                <w:vertAlign w:val="subscript"/>
              </w:rPr>
              <w:t>2.5</w:t>
            </w:r>
            <w:r w:rsidRPr="00903BA3">
              <w:rPr>
                <w:i/>
                <w:sz w:val="22"/>
                <w:szCs w:val="22"/>
              </w:rPr>
              <w:t xml:space="preserve">. </w:t>
            </w:r>
            <w:r w:rsidR="008719A2" w:rsidRPr="00903BA3">
              <w:rPr>
                <w:i/>
                <w:sz w:val="22"/>
                <w:szCs w:val="22"/>
              </w:rPr>
              <w:t>If data is not available on the PM</w:t>
            </w:r>
            <w:r w:rsidR="008719A2" w:rsidRPr="00903BA3">
              <w:rPr>
                <w:i/>
                <w:sz w:val="22"/>
                <w:szCs w:val="22"/>
                <w:vertAlign w:val="subscript"/>
              </w:rPr>
              <w:t>2.5</w:t>
            </w:r>
            <w:r w:rsidR="008719A2" w:rsidRPr="00903BA3">
              <w:rPr>
                <w:i/>
                <w:sz w:val="22"/>
                <w:szCs w:val="22"/>
              </w:rPr>
              <w:t xml:space="preserve"> fraction of PM</w:t>
            </w:r>
            <w:r w:rsidR="008719A2" w:rsidRPr="00903BA3">
              <w:rPr>
                <w:i/>
                <w:sz w:val="22"/>
                <w:szCs w:val="22"/>
                <w:vertAlign w:val="subscript"/>
              </w:rPr>
              <w:t>10</w:t>
            </w:r>
            <w:r w:rsidR="008719A2" w:rsidRPr="00903BA3">
              <w:rPr>
                <w:i/>
                <w:sz w:val="22"/>
                <w:szCs w:val="22"/>
              </w:rPr>
              <w:t xml:space="preserve"> and sources do not want to incur the expense of source testing, t</w:t>
            </w:r>
            <w:r w:rsidRPr="00903BA3">
              <w:rPr>
                <w:i/>
                <w:sz w:val="22"/>
                <w:szCs w:val="22"/>
              </w:rPr>
              <w:t>he most conservative estimate is to assume PM</w:t>
            </w:r>
            <w:r w:rsidRPr="00903BA3">
              <w:rPr>
                <w:i/>
                <w:sz w:val="22"/>
                <w:szCs w:val="22"/>
                <w:vertAlign w:val="subscript"/>
              </w:rPr>
              <w:t>10</w:t>
            </w:r>
            <w:r w:rsidR="008C0EB0" w:rsidRPr="00903BA3">
              <w:rPr>
                <w:i/>
                <w:sz w:val="22"/>
                <w:szCs w:val="22"/>
              </w:rPr>
              <w:t xml:space="preserve">, </w:t>
            </w:r>
            <w:r w:rsidRPr="00903BA3">
              <w:rPr>
                <w:i/>
                <w:sz w:val="22"/>
                <w:szCs w:val="22"/>
              </w:rPr>
              <w:t>or even PM</w:t>
            </w:r>
            <w:r w:rsidR="008C0EB0" w:rsidRPr="00903BA3">
              <w:rPr>
                <w:i/>
                <w:sz w:val="22"/>
                <w:szCs w:val="22"/>
              </w:rPr>
              <w:t>,</w:t>
            </w:r>
            <w:r w:rsidRPr="00903BA3">
              <w:rPr>
                <w:i/>
                <w:sz w:val="22"/>
                <w:szCs w:val="22"/>
              </w:rPr>
              <w:t xml:space="preserve"> is all PM</w:t>
            </w:r>
            <w:r w:rsidRPr="00903BA3">
              <w:rPr>
                <w:i/>
                <w:sz w:val="22"/>
                <w:szCs w:val="22"/>
                <w:vertAlign w:val="subscript"/>
              </w:rPr>
              <w:t>2.5</w:t>
            </w:r>
            <w:r w:rsidRPr="00903BA3">
              <w:rPr>
                <w:i/>
                <w:sz w:val="22"/>
                <w:szCs w:val="22"/>
              </w:rPr>
              <w:t xml:space="preserve">. This approach will be easiest for sources but will also </w:t>
            </w:r>
            <w:r w:rsidR="008C0EB0" w:rsidRPr="00903BA3">
              <w:rPr>
                <w:i/>
                <w:sz w:val="22"/>
                <w:szCs w:val="22"/>
              </w:rPr>
              <w:t>cause increases at</w:t>
            </w:r>
            <w:r w:rsidRPr="00903BA3">
              <w:rPr>
                <w:i/>
                <w:sz w:val="22"/>
                <w:szCs w:val="22"/>
              </w:rPr>
              <w:t xml:space="preserve"> the source </w:t>
            </w:r>
            <w:r w:rsidR="008C0EB0" w:rsidRPr="00903BA3">
              <w:rPr>
                <w:i/>
                <w:sz w:val="22"/>
                <w:szCs w:val="22"/>
              </w:rPr>
              <w:t xml:space="preserve">to </w:t>
            </w:r>
            <w:r w:rsidRPr="00903BA3">
              <w:rPr>
                <w:i/>
                <w:sz w:val="22"/>
                <w:szCs w:val="22"/>
              </w:rPr>
              <w:t>trigger NSR/PSD earlier since the significant emission rate for PM</w:t>
            </w:r>
            <w:r w:rsidRPr="00903BA3">
              <w:rPr>
                <w:i/>
                <w:sz w:val="22"/>
                <w:szCs w:val="22"/>
                <w:vertAlign w:val="subscript"/>
              </w:rPr>
              <w:t>2.5</w:t>
            </w:r>
            <w:r w:rsidRPr="00903BA3">
              <w:rPr>
                <w:i/>
                <w:sz w:val="22"/>
                <w:szCs w:val="22"/>
              </w:rPr>
              <w:t xml:space="preserve"> is 10 tons</w:t>
            </w:r>
            <w:r w:rsidR="002F7A6D" w:rsidRPr="00903BA3">
              <w:rPr>
                <w:i/>
                <w:sz w:val="22"/>
                <w:szCs w:val="22"/>
              </w:rPr>
              <w:t>/year</w:t>
            </w:r>
            <w:r w:rsidRPr="00903BA3">
              <w:rPr>
                <w:i/>
                <w:sz w:val="22"/>
                <w:szCs w:val="22"/>
              </w:rPr>
              <w:t xml:space="preserve"> (PM</w:t>
            </w:r>
            <w:r w:rsidRPr="00903BA3">
              <w:rPr>
                <w:i/>
                <w:sz w:val="22"/>
                <w:szCs w:val="22"/>
                <w:vertAlign w:val="subscript"/>
              </w:rPr>
              <w:t>10</w:t>
            </w:r>
            <w:r w:rsidRPr="00903BA3">
              <w:rPr>
                <w:i/>
                <w:sz w:val="22"/>
                <w:szCs w:val="22"/>
              </w:rPr>
              <w:t xml:space="preserve"> SER = 15 tons/year and PM SER = 25 tons/year)</w:t>
            </w:r>
            <w:r w:rsidR="008D538C" w:rsidRPr="00903BA3">
              <w:rPr>
                <w:i/>
                <w:sz w:val="22"/>
                <w:szCs w:val="22"/>
              </w:rPr>
              <w:t xml:space="preserve">. </w:t>
            </w:r>
            <w:r w:rsidRPr="00903BA3">
              <w:rPr>
                <w:i/>
                <w:sz w:val="22"/>
                <w:szCs w:val="22"/>
              </w:rPr>
              <w:t>Once the source chooses to assume PM</w:t>
            </w:r>
            <w:r w:rsidRPr="00903BA3">
              <w:rPr>
                <w:i/>
                <w:sz w:val="22"/>
                <w:szCs w:val="22"/>
                <w:vertAlign w:val="subscript"/>
              </w:rPr>
              <w:t>2.5</w:t>
            </w:r>
            <w:r w:rsidRPr="00903BA3">
              <w:rPr>
                <w:i/>
                <w:sz w:val="22"/>
                <w:szCs w:val="22"/>
              </w:rPr>
              <w:t xml:space="preserve"> = PM</w:t>
            </w:r>
            <w:r w:rsidRPr="00903BA3">
              <w:rPr>
                <w:i/>
                <w:sz w:val="22"/>
                <w:szCs w:val="22"/>
                <w:vertAlign w:val="subscript"/>
              </w:rPr>
              <w:t>10</w:t>
            </w:r>
            <w:r w:rsidRPr="00903BA3">
              <w:rPr>
                <w:i/>
                <w:sz w:val="22"/>
                <w:szCs w:val="22"/>
              </w:rPr>
              <w:t xml:space="preserve">, that choice cannot be changed in the future, even if more accurate data is available. </w:t>
            </w:r>
            <w:r w:rsidR="00A21C65" w:rsidRPr="00903BA3">
              <w:rPr>
                <w:i/>
                <w:sz w:val="22"/>
                <w:szCs w:val="22"/>
              </w:rPr>
              <w:t>No change to the rule is proposed in response to this comment.</w:t>
            </w:r>
            <w:r w:rsidRPr="00903BA3">
              <w:rPr>
                <w:i/>
                <w:sz w:val="22"/>
                <w:szCs w:val="22"/>
              </w:rPr>
              <w:t xml:space="preserve"> </w:t>
            </w:r>
          </w:p>
          <w:p w:rsidR="00607C83" w:rsidRPr="00903BA3" w:rsidRDefault="00607C83" w:rsidP="000B4801">
            <w:pPr>
              <w:pStyle w:val="ColorfulList-Accent11"/>
              <w:ind w:left="0"/>
              <w:rPr>
                <w:sz w:val="22"/>
                <w:szCs w:val="22"/>
              </w:rPr>
            </w:pPr>
          </w:p>
        </w:tc>
      </w:tr>
      <w:tr w:rsidR="00EF4FD3" w:rsidRPr="00903BA3"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F4FD3" w:rsidRPr="00607C83" w:rsidRDefault="00EF4FD3" w:rsidP="00607C83">
            <w:pPr>
              <w:pStyle w:val="ListParagraph"/>
              <w:ind w:left="0" w:right="-115"/>
              <w:rPr>
                <w:bCs/>
                <w:sz w:val="22"/>
                <w:szCs w:val="22"/>
              </w:rPr>
            </w:pPr>
            <w:r w:rsidRPr="00607C83">
              <w:rPr>
                <w:sz w:val="22"/>
                <w:szCs w:val="22"/>
              </w:rPr>
              <w:br w:type="page"/>
            </w:r>
            <w:r w:rsidR="00607C83" w:rsidRPr="00607C83">
              <w:rPr>
                <w:sz w:val="22"/>
                <w:szCs w:val="22"/>
              </w:rPr>
              <w:t xml:space="preserve">48. </w:t>
            </w:r>
            <w:r w:rsidRPr="00607C83">
              <w:rPr>
                <w:bCs/>
                <w:sz w:val="22"/>
                <w:szCs w:val="22"/>
              </w:rPr>
              <w:t>Proposed option 2</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4FD3" w:rsidRDefault="00EF4FD3" w:rsidP="000B4801">
            <w:pPr>
              <w:pStyle w:val="ColorfulList-Accent11"/>
              <w:ind w:left="0"/>
              <w:rPr>
                <w:sz w:val="22"/>
                <w:szCs w:val="22"/>
              </w:rPr>
            </w:pPr>
            <w:r w:rsidRPr="00903BA3">
              <w:rPr>
                <w:sz w:val="22"/>
                <w:szCs w:val="22"/>
              </w:rPr>
              <w:t xml:space="preserve">Option 2 would subject facilities to PSD for any increase over current PSEL and could lead to massive increases in </w:t>
            </w:r>
            <w:r w:rsidRPr="00903BA3">
              <w:rPr>
                <w:i/>
                <w:sz w:val="22"/>
                <w:szCs w:val="22"/>
              </w:rPr>
              <w:t>actual</w:t>
            </w:r>
            <w:r w:rsidRPr="00903BA3">
              <w:rPr>
                <w:sz w:val="22"/>
                <w:szCs w:val="22"/>
              </w:rPr>
              <w:t xml:space="preserve"> pollution. By setting PSELs at PTE for ALL sources </w:t>
            </w:r>
            <w:r w:rsidRPr="00903BA3">
              <w:rPr>
                <w:sz w:val="22"/>
                <w:szCs w:val="22"/>
              </w:rPr>
              <w:lastRenderedPageBreak/>
              <w:t>constructed after 1978, Option 2 would allow massive increases in actual emissions in the air shed and allow for violation of the NAAQS or PSD increment with impunity. Even more so than Option 1, Option 2 would wholly disconnect the PSEL program from the programs it is supposed to support, making the PSEL nothing more than a bureaucratic and accounting exercise in futility. (12)</w:t>
            </w:r>
          </w:p>
          <w:p w:rsidR="00607C83" w:rsidRPr="00903BA3" w:rsidRDefault="00607C83" w:rsidP="000B4801">
            <w:pPr>
              <w:pStyle w:val="ColorfulList-Accent11"/>
              <w:ind w:left="0"/>
              <w:rPr>
                <w:sz w:val="22"/>
                <w:szCs w:val="22"/>
              </w:rPr>
            </w:pPr>
          </w:p>
          <w:p w:rsidR="00EF4FD3" w:rsidRPr="00903BA3" w:rsidRDefault="00EF4FD3" w:rsidP="000B4801">
            <w:pPr>
              <w:pStyle w:val="ColorfulList-Accent11"/>
              <w:ind w:left="0"/>
              <w:rPr>
                <w:i/>
                <w:sz w:val="22"/>
                <w:szCs w:val="22"/>
              </w:rPr>
            </w:pPr>
            <w:r w:rsidRPr="00903BA3">
              <w:rPr>
                <w:i/>
                <w:sz w:val="22"/>
                <w:szCs w:val="22"/>
              </w:rPr>
              <w:t xml:space="preserve">Response:  </w:t>
            </w:r>
          </w:p>
          <w:p w:rsidR="00EF4FD3" w:rsidRDefault="00EF4FD3" w:rsidP="000B4801">
            <w:pPr>
              <w:rPr>
                <w:i/>
                <w:sz w:val="22"/>
                <w:szCs w:val="22"/>
              </w:rPr>
            </w:pPr>
            <w:r w:rsidRPr="00903BA3">
              <w:rPr>
                <w:i/>
                <w:sz w:val="22"/>
                <w:szCs w:val="22"/>
              </w:rPr>
              <w:t xml:space="preserve">The commenter is correct in stating that Option 2 would disconnect </w:t>
            </w:r>
            <w:r w:rsidR="00607C83">
              <w:rPr>
                <w:i/>
                <w:sz w:val="22"/>
                <w:szCs w:val="22"/>
              </w:rPr>
              <w:t>greenhouse gas</w:t>
            </w:r>
            <w:r w:rsidRPr="00903BA3">
              <w:rPr>
                <w:i/>
                <w:sz w:val="22"/>
                <w:szCs w:val="22"/>
              </w:rPr>
              <w:t xml:space="preserve"> emissions from actual emissions today. DEQ </w:t>
            </w:r>
            <w:r w:rsidR="005A0E86" w:rsidRPr="00903BA3">
              <w:rPr>
                <w:i/>
                <w:sz w:val="22"/>
                <w:szCs w:val="22"/>
              </w:rPr>
              <w:t xml:space="preserve">is not recommending </w:t>
            </w:r>
            <w:r w:rsidRPr="00903BA3">
              <w:rPr>
                <w:i/>
                <w:sz w:val="22"/>
                <w:szCs w:val="22"/>
              </w:rPr>
              <w:t>Option 2</w:t>
            </w:r>
            <w:r w:rsidR="005A0E86" w:rsidRPr="00903BA3">
              <w:rPr>
                <w:i/>
                <w:sz w:val="22"/>
                <w:szCs w:val="22"/>
              </w:rPr>
              <w:t xml:space="preserve"> for adoption</w:t>
            </w:r>
            <w:r w:rsidRPr="00903BA3">
              <w:rPr>
                <w:i/>
                <w:sz w:val="22"/>
                <w:szCs w:val="22"/>
              </w:rPr>
              <w:t xml:space="preserve">. Changes </w:t>
            </w:r>
            <w:r w:rsidR="005A0E86" w:rsidRPr="00903BA3">
              <w:rPr>
                <w:i/>
                <w:sz w:val="22"/>
                <w:szCs w:val="22"/>
              </w:rPr>
              <w:t xml:space="preserve">have been </w:t>
            </w:r>
            <w:r w:rsidRPr="00903BA3">
              <w:rPr>
                <w:i/>
                <w:sz w:val="22"/>
                <w:szCs w:val="22"/>
              </w:rPr>
              <w:t xml:space="preserve">made to the proposed rules to incorporate a modified version of Option 1 (see the response in comment </w:t>
            </w:r>
            <w:fldSimple w:instr=" REF _Ref283933480 \r \h  \* MERGEFORMAT ">
              <w:r w:rsidR="00752276" w:rsidRPr="00903BA3">
                <w:rPr>
                  <w:i/>
                  <w:sz w:val="22"/>
                  <w:szCs w:val="22"/>
                </w:rPr>
                <w:t>48</w:t>
              </w:r>
            </w:fldSimple>
            <w:r w:rsidRPr="00903BA3">
              <w:rPr>
                <w:i/>
                <w:sz w:val="22"/>
                <w:szCs w:val="22"/>
              </w:rPr>
              <w:t xml:space="preserve"> “Proposed Option 1”). </w:t>
            </w:r>
          </w:p>
          <w:p w:rsidR="00607C83" w:rsidRPr="00903BA3" w:rsidRDefault="00607C83" w:rsidP="000B4801">
            <w:pPr>
              <w:rPr>
                <w:i/>
                <w:sz w:val="22"/>
                <w:szCs w:val="22"/>
              </w:rPr>
            </w:pPr>
          </w:p>
        </w:tc>
      </w:tr>
      <w:tr w:rsidR="00EF4FD3" w:rsidRPr="00903BA3"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F4FD3" w:rsidRPr="00903BA3" w:rsidRDefault="00EF4FD3" w:rsidP="00607C83">
            <w:pPr>
              <w:pStyle w:val="ListParagraph"/>
              <w:ind w:left="0" w:right="-108"/>
              <w:rPr>
                <w:bCs/>
                <w:sz w:val="22"/>
                <w:szCs w:val="22"/>
              </w:rPr>
            </w:pPr>
            <w:r w:rsidRPr="00607C83">
              <w:rPr>
                <w:sz w:val="22"/>
                <w:szCs w:val="22"/>
              </w:rPr>
              <w:lastRenderedPageBreak/>
              <w:br w:type="page"/>
            </w:r>
            <w:r w:rsidR="00607C83" w:rsidRPr="00607C83">
              <w:rPr>
                <w:sz w:val="22"/>
                <w:szCs w:val="22"/>
              </w:rPr>
              <w:t>49.</w:t>
            </w:r>
            <w:r w:rsidR="00607C83">
              <w:rPr>
                <w:sz w:val="22"/>
                <w:szCs w:val="22"/>
              </w:rPr>
              <w:t xml:space="preserve"> </w:t>
            </w:r>
            <w:r w:rsidRPr="00903BA3">
              <w:rPr>
                <w:bCs/>
                <w:sz w:val="22"/>
                <w:szCs w:val="22"/>
              </w:rPr>
              <w:t>Proposed option 3</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4FD3" w:rsidRDefault="00EF4FD3" w:rsidP="000B4801">
            <w:pPr>
              <w:pStyle w:val="ColorfulList-Accent11"/>
              <w:ind w:left="0"/>
              <w:rPr>
                <w:sz w:val="22"/>
                <w:szCs w:val="22"/>
              </w:rPr>
            </w:pPr>
            <w:r w:rsidRPr="00903BA3">
              <w:rPr>
                <w:sz w:val="22"/>
                <w:szCs w:val="22"/>
              </w:rPr>
              <w:t>Option 3 is better because it ties the baseline period to when DEQ actually has monitoring data, ensuring that the PSEL program actually meets its goal of ensuring compliance with the NAAQS and PSD increment. If adopted, DEQ should outline very specific requirements for when DEQ will diverge from the baseline period for setting baseline emission rates. (12)</w:t>
            </w:r>
          </w:p>
          <w:p w:rsidR="00607C83" w:rsidRPr="00903BA3" w:rsidRDefault="00607C83" w:rsidP="000B4801">
            <w:pPr>
              <w:pStyle w:val="ColorfulList-Accent11"/>
              <w:ind w:left="0"/>
              <w:rPr>
                <w:sz w:val="22"/>
                <w:szCs w:val="22"/>
              </w:rPr>
            </w:pPr>
          </w:p>
          <w:p w:rsidR="00EF4FD3" w:rsidRPr="00903BA3" w:rsidRDefault="00EF4FD3" w:rsidP="000B4801">
            <w:pPr>
              <w:pStyle w:val="ColorfulList-Accent11"/>
              <w:ind w:left="0"/>
              <w:rPr>
                <w:i/>
                <w:sz w:val="22"/>
                <w:szCs w:val="22"/>
              </w:rPr>
            </w:pPr>
            <w:r w:rsidRPr="00903BA3">
              <w:rPr>
                <w:i/>
                <w:sz w:val="22"/>
                <w:szCs w:val="22"/>
              </w:rPr>
              <w:t xml:space="preserve">Response:  </w:t>
            </w:r>
          </w:p>
          <w:p w:rsidR="00EF4FD3" w:rsidRDefault="00EF4FD3" w:rsidP="000B4801">
            <w:pPr>
              <w:pStyle w:val="ColorfulList-Accent11"/>
              <w:ind w:left="0"/>
              <w:rPr>
                <w:i/>
                <w:sz w:val="22"/>
                <w:szCs w:val="22"/>
              </w:rPr>
            </w:pPr>
            <w:r w:rsidRPr="00903BA3">
              <w:rPr>
                <w:i/>
                <w:sz w:val="22"/>
                <w:szCs w:val="22"/>
              </w:rPr>
              <w:t xml:space="preserve">DEQ </w:t>
            </w:r>
            <w:r w:rsidR="005A0E86" w:rsidRPr="00903BA3">
              <w:rPr>
                <w:i/>
                <w:sz w:val="22"/>
                <w:szCs w:val="22"/>
              </w:rPr>
              <w:t xml:space="preserve">is </w:t>
            </w:r>
            <w:r w:rsidRPr="00903BA3">
              <w:rPr>
                <w:i/>
                <w:sz w:val="22"/>
                <w:szCs w:val="22"/>
              </w:rPr>
              <w:t xml:space="preserve">not </w:t>
            </w:r>
            <w:r w:rsidR="005A0E86" w:rsidRPr="00903BA3">
              <w:rPr>
                <w:i/>
                <w:sz w:val="22"/>
                <w:szCs w:val="22"/>
              </w:rPr>
              <w:t xml:space="preserve">recommending </w:t>
            </w:r>
            <w:r w:rsidRPr="00903BA3">
              <w:rPr>
                <w:i/>
                <w:sz w:val="22"/>
                <w:szCs w:val="22"/>
              </w:rPr>
              <w:t xml:space="preserve">Option 3 </w:t>
            </w:r>
            <w:r w:rsidR="005A0E86" w:rsidRPr="00903BA3">
              <w:rPr>
                <w:i/>
                <w:sz w:val="22"/>
                <w:szCs w:val="22"/>
              </w:rPr>
              <w:t>for adoption because it would create a different baseline for PM</w:t>
            </w:r>
            <w:r w:rsidR="005A0E86" w:rsidRPr="00903BA3">
              <w:rPr>
                <w:i/>
                <w:sz w:val="22"/>
                <w:szCs w:val="22"/>
                <w:vertAlign w:val="subscript"/>
              </w:rPr>
              <w:t>2.5</w:t>
            </w:r>
            <w:r w:rsidR="005A0E86" w:rsidRPr="00903BA3">
              <w:rPr>
                <w:i/>
                <w:sz w:val="22"/>
                <w:szCs w:val="22"/>
              </w:rPr>
              <w:t xml:space="preserve"> and PM</w:t>
            </w:r>
            <w:r w:rsidR="005A0E86" w:rsidRPr="00903BA3">
              <w:rPr>
                <w:i/>
                <w:sz w:val="22"/>
                <w:szCs w:val="22"/>
                <w:vertAlign w:val="subscript"/>
              </w:rPr>
              <w:t>10</w:t>
            </w:r>
            <w:r w:rsidR="008D538C" w:rsidRPr="00903BA3">
              <w:rPr>
                <w:i/>
                <w:sz w:val="22"/>
                <w:szCs w:val="22"/>
              </w:rPr>
              <w:t xml:space="preserve">. </w:t>
            </w:r>
            <w:r w:rsidR="005A0E86" w:rsidRPr="00903BA3">
              <w:rPr>
                <w:i/>
                <w:sz w:val="22"/>
                <w:szCs w:val="22"/>
              </w:rPr>
              <w:t>Since the two pollutants are so closely related, adoption of this option would create significant implementation issues</w:t>
            </w:r>
            <w:r w:rsidR="008D538C" w:rsidRPr="00903BA3">
              <w:rPr>
                <w:i/>
                <w:sz w:val="22"/>
                <w:szCs w:val="22"/>
              </w:rPr>
              <w:t xml:space="preserve">. </w:t>
            </w:r>
            <w:r w:rsidR="005A0E86" w:rsidRPr="00903BA3">
              <w:rPr>
                <w:i/>
                <w:sz w:val="22"/>
                <w:szCs w:val="22"/>
              </w:rPr>
              <w:t>In addition, DEQ does not believe it is necessary to align the baseline year with the baseline concentration year to ensure compliance with the increment</w:t>
            </w:r>
            <w:r w:rsidR="008D538C" w:rsidRPr="00903BA3">
              <w:rPr>
                <w:i/>
                <w:sz w:val="22"/>
                <w:szCs w:val="22"/>
              </w:rPr>
              <w:t xml:space="preserve">. </w:t>
            </w:r>
            <w:r w:rsidR="00B25A93" w:rsidRPr="00903BA3">
              <w:rPr>
                <w:i/>
                <w:sz w:val="22"/>
                <w:szCs w:val="22"/>
              </w:rPr>
              <w:t xml:space="preserve">See the responses in comment </w:t>
            </w:r>
            <w:fldSimple w:instr=" REF _Ref283933930 \r \h  \* MERGEFORMAT ">
              <w:r w:rsidR="00752276" w:rsidRPr="00903BA3">
                <w:rPr>
                  <w:i/>
                  <w:sz w:val="22"/>
                  <w:szCs w:val="22"/>
                </w:rPr>
                <w:t>54</w:t>
              </w:r>
            </w:fldSimple>
            <w:r w:rsidR="00B25A93" w:rsidRPr="00903BA3">
              <w:rPr>
                <w:i/>
                <w:sz w:val="22"/>
                <w:szCs w:val="22"/>
              </w:rPr>
              <w:t xml:space="preserve"> “Compliance with the NAAQS” and comment </w:t>
            </w:r>
            <w:fldSimple w:instr=" REF _Ref283933944 \r \h  \* MERGEFORMAT ">
              <w:r w:rsidR="00752276" w:rsidRPr="00903BA3">
                <w:rPr>
                  <w:i/>
                  <w:sz w:val="22"/>
                  <w:szCs w:val="22"/>
                </w:rPr>
                <w:t>55</w:t>
              </w:r>
            </w:fldSimple>
            <w:r w:rsidR="00B25A93" w:rsidRPr="00903BA3">
              <w:rPr>
                <w:i/>
                <w:sz w:val="22"/>
                <w:szCs w:val="22"/>
              </w:rPr>
              <w:t xml:space="preserve"> “Compliance with the PSD increment.” </w:t>
            </w:r>
            <w:r w:rsidR="00946DCE" w:rsidRPr="00903BA3">
              <w:rPr>
                <w:i/>
                <w:sz w:val="22"/>
                <w:szCs w:val="22"/>
              </w:rPr>
              <w:t xml:space="preserve">Changes have been made to the proposed rules to incorporate a modified version of Option 1 (see the response in comment </w:t>
            </w:r>
            <w:fldSimple w:instr=" REF _Ref283933480 \r \h  \* MERGEFORMAT ">
              <w:r w:rsidR="00752276" w:rsidRPr="00903BA3">
                <w:rPr>
                  <w:i/>
                  <w:sz w:val="22"/>
                  <w:szCs w:val="22"/>
                </w:rPr>
                <w:t>48</w:t>
              </w:r>
            </w:fldSimple>
            <w:r w:rsidR="00946DCE" w:rsidRPr="00903BA3">
              <w:rPr>
                <w:i/>
                <w:sz w:val="22"/>
                <w:szCs w:val="22"/>
              </w:rPr>
              <w:t xml:space="preserve"> “Proposed Option 1”).</w:t>
            </w:r>
          </w:p>
          <w:p w:rsidR="00607C83" w:rsidRPr="00903BA3" w:rsidRDefault="00607C83" w:rsidP="000B4801">
            <w:pPr>
              <w:pStyle w:val="ColorfulList-Accent11"/>
              <w:ind w:left="0"/>
              <w:rPr>
                <w:i/>
                <w:sz w:val="22"/>
                <w:szCs w:val="22"/>
              </w:rPr>
            </w:pPr>
          </w:p>
        </w:tc>
      </w:tr>
      <w:tr w:rsidR="00EF4FD3" w:rsidRPr="00903BA3"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F4FD3" w:rsidRPr="00903BA3" w:rsidRDefault="00607C83" w:rsidP="00607C83">
            <w:pPr>
              <w:ind w:right="-108"/>
              <w:rPr>
                <w:bCs/>
                <w:sz w:val="22"/>
                <w:szCs w:val="22"/>
              </w:rPr>
            </w:pPr>
            <w:r>
              <w:rPr>
                <w:bCs/>
                <w:sz w:val="22"/>
                <w:szCs w:val="22"/>
              </w:rPr>
              <w:t xml:space="preserve">50. </w:t>
            </w:r>
            <w:r w:rsidR="00EF4FD3" w:rsidRPr="00903BA3">
              <w:rPr>
                <w:bCs/>
                <w:sz w:val="22"/>
                <w:szCs w:val="22"/>
              </w:rPr>
              <w:t>Proposed option 4</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4FD3" w:rsidRDefault="00EF4FD3" w:rsidP="000B4801">
            <w:pPr>
              <w:pStyle w:val="ColorfulList-Accent11"/>
              <w:ind w:left="0"/>
              <w:rPr>
                <w:sz w:val="22"/>
                <w:szCs w:val="22"/>
              </w:rPr>
            </w:pPr>
            <w:r w:rsidRPr="00903BA3">
              <w:rPr>
                <w:sz w:val="22"/>
                <w:szCs w:val="22"/>
              </w:rPr>
              <w:t>Option 4 is best. The PSEL program has failed to live up to what Oregonians expect and DEQ should move away from it. Option 4 is a good first step down that road. (12)</w:t>
            </w:r>
          </w:p>
          <w:p w:rsidR="00607C83" w:rsidRPr="00903BA3" w:rsidRDefault="00607C83" w:rsidP="000B4801">
            <w:pPr>
              <w:pStyle w:val="ColorfulList-Accent11"/>
              <w:ind w:left="0"/>
              <w:rPr>
                <w:sz w:val="22"/>
                <w:szCs w:val="22"/>
              </w:rPr>
            </w:pPr>
          </w:p>
          <w:p w:rsidR="00EF4FD3" w:rsidRPr="00903BA3" w:rsidRDefault="00EF4FD3" w:rsidP="000B4801">
            <w:pPr>
              <w:pStyle w:val="ColorfulList-Accent11"/>
              <w:ind w:left="0"/>
              <w:rPr>
                <w:i/>
                <w:sz w:val="22"/>
                <w:szCs w:val="22"/>
              </w:rPr>
            </w:pPr>
            <w:r w:rsidRPr="00903BA3">
              <w:rPr>
                <w:i/>
                <w:sz w:val="22"/>
                <w:szCs w:val="22"/>
              </w:rPr>
              <w:t xml:space="preserve">Response: </w:t>
            </w:r>
          </w:p>
          <w:p w:rsidR="00EF4FD3" w:rsidRDefault="00B25A93" w:rsidP="000B4801">
            <w:pPr>
              <w:pStyle w:val="ColorfulList-Accent11"/>
              <w:ind w:left="0"/>
              <w:rPr>
                <w:i/>
                <w:sz w:val="22"/>
                <w:szCs w:val="22"/>
              </w:rPr>
            </w:pPr>
            <w:r w:rsidRPr="00903BA3">
              <w:rPr>
                <w:i/>
                <w:sz w:val="22"/>
                <w:szCs w:val="22"/>
              </w:rPr>
              <w:t xml:space="preserve">After consulting with EPA about the </w:t>
            </w:r>
            <w:r w:rsidR="00EF4FD3" w:rsidRPr="00903BA3">
              <w:rPr>
                <w:i/>
                <w:sz w:val="22"/>
                <w:szCs w:val="22"/>
              </w:rPr>
              <w:t>strengths and weaknesses</w:t>
            </w:r>
            <w:r w:rsidR="00946DCE" w:rsidRPr="00903BA3">
              <w:rPr>
                <w:i/>
                <w:sz w:val="22"/>
                <w:szCs w:val="22"/>
              </w:rPr>
              <w:t xml:space="preserve"> of the federal program</w:t>
            </w:r>
            <w:r w:rsidR="00721B6C" w:rsidRPr="00903BA3">
              <w:rPr>
                <w:i/>
                <w:sz w:val="22"/>
                <w:szCs w:val="22"/>
              </w:rPr>
              <w:t xml:space="preserve"> and considering implementation issues</w:t>
            </w:r>
            <w:r w:rsidR="00EF4FD3" w:rsidRPr="00903BA3">
              <w:rPr>
                <w:i/>
                <w:sz w:val="22"/>
                <w:szCs w:val="22"/>
              </w:rPr>
              <w:t xml:space="preserve">, DEQ </w:t>
            </w:r>
            <w:r w:rsidR="00946DCE" w:rsidRPr="00903BA3">
              <w:rPr>
                <w:i/>
                <w:sz w:val="22"/>
                <w:szCs w:val="22"/>
              </w:rPr>
              <w:t xml:space="preserve">is not recommending adoption of </w:t>
            </w:r>
            <w:r w:rsidR="00EF4FD3" w:rsidRPr="00903BA3">
              <w:rPr>
                <w:i/>
                <w:sz w:val="22"/>
                <w:szCs w:val="22"/>
              </w:rPr>
              <w:t xml:space="preserve">Option 4 (see the response in comment </w:t>
            </w:r>
            <w:fldSimple w:instr=" REF _Ref283933546 \r \h  \* MERGEFORMAT ">
              <w:r w:rsidR="00752276" w:rsidRPr="00903BA3">
                <w:rPr>
                  <w:i/>
                  <w:sz w:val="22"/>
                  <w:szCs w:val="22"/>
                </w:rPr>
                <w:t>52</w:t>
              </w:r>
            </w:fldSimple>
            <w:r w:rsidR="00EF4FD3" w:rsidRPr="00903BA3">
              <w:rPr>
                <w:i/>
                <w:sz w:val="22"/>
                <w:szCs w:val="22"/>
              </w:rPr>
              <w:t xml:space="preserve"> to “State NSR/PSD program vs. federal program)</w:t>
            </w:r>
            <w:r w:rsidR="008D538C" w:rsidRPr="00903BA3">
              <w:rPr>
                <w:i/>
                <w:sz w:val="22"/>
                <w:szCs w:val="22"/>
              </w:rPr>
              <w:t xml:space="preserve">. </w:t>
            </w:r>
            <w:r w:rsidR="00EF4FD3" w:rsidRPr="00903BA3">
              <w:rPr>
                <w:i/>
                <w:sz w:val="22"/>
                <w:szCs w:val="22"/>
              </w:rPr>
              <w:t xml:space="preserve">Changes </w:t>
            </w:r>
            <w:r w:rsidR="00946DCE" w:rsidRPr="00903BA3">
              <w:rPr>
                <w:i/>
                <w:sz w:val="22"/>
                <w:szCs w:val="22"/>
              </w:rPr>
              <w:t xml:space="preserve">have been made </w:t>
            </w:r>
            <w:r w:rsidR="00EF4FD3" w:rsidRPr="00903BA3">
              <w:rPr>
                <w:i/>
                <w:sz w:val="22"/>
                <w:szCs w:val="22"/>
              </w:rPr>
              <w:t xml:space="preserve">to the proposed rules to incorporate a modified version of Option 1 (see the response in comment </w:t>
            </w:r>
            <w:fldSimple w:instr=" REF _Ref283933480 \r \h  \* MERGEFORMAT ">
              <w:r w:rsidR="00752276" w:rsidRPr="00903BA3">
                <w:rPr>
                  <w:i/>
                  <w:sz w:val="22"/>
                  <w:szCs w:val="22"/>
                </w:rPr>
                <w:t>48</w:t>
              </w:r>
            </w:fldSimple>
            <w:r w:rsidR="00EF4FD3" w:rsidRPr="00903BA3">
              <w:rPr>
                <w:i/>
                <w:sz w:val="22"/>
                <w:szCs w:val="22"/>
              </w:rPr>
              <w:t xml:space="preserve"> “Proposed Option 1”).</w:t>
            </w:r>
          </w:p>
          <w:p w:rsidR="00607C83" w:rsidRPr="00903BA3" w:rsidRDefault="00607C83" w:rsidP="000B4801">
            <w:pPr>
              <w:pStyle w:val="ColorfulList-Accent11"/>
              <w:ind w:left="0"/>
              <w:rPr>
                <w:sz w:val="22"/>
                <w:szCs w:val="22"/>
              </w:rPr>
            </w:pPr>
          </w:p>
        </w:tc>
      </w:tr>
      <w:tr w:rsidR="00A62014" w:rsidRPr="00903BA3" w:rsidTr="005C1438">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0B4801">
            <w:pPr>
              <w:rPr>
                <w:sz w:val="22"/>
                <w:szCs w:val="22"/>
              </w:rPr>
            </w:pPr>
            <w:bookmarkStart w:id="8" w:name="_Ref283933546"/>
            <w:r>
              <w:rPr>
                <w:sz w:val="22"/>
                <w:szCs w:val="22"/>
              </w:rPr>
              <w:t xml:space="preserve">51. </w:t>
            </w:r>
            <w:bookmarkEnd w:id="8"/>
            <w:r w:rsidR="00A62014" w:rsidRPr="00903BA3">
              <w:rPr>
                <w:sz w:val="22"/>
                <w:szCs w:val="22"/>
              </w:rPr>
              <w:t>State NSR/PSD program  vs. federal program</w:t>
            </w:r>
          </w:p>
          <w:p w:rsidR="00A62014" w:rsidRPr="00903BA3" w:rsidRDefault="00A62014" w:rsidP="000B4801">
            <w:pPr>
              <w:ind w:left="371"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903BA3" w:rsidRDefault="00A62014" w:rsidP="000B4801">
            <w:pPr>
              <w:rPr>
                <w:sz w:val="22"/>
                <w:szCs w:val="22"/>
              </w:rPr>
            </w:pPr>
            <w:r w:rsidRPr="00903BA3">
              <w:rPr>
                <w:sz w:val="22"/>
                <w:szCs w:val="22"/>
              </w:rPr>
              <w:t>In the PM</w:t>
            </w:r>
            <w:r w:rsidRPr="00903BA3">
              <w:rPr>
                <w:sz w:val="22"/>
                <w:szCs w:val="22"/>
                <w:vertAlign w:val="subscript"/>
              </w:rPr>
              <w:t>2.5</w:t>
            </w:r>
            <w:r w:rsidRPr="00903BA3">
              <w:rPr>
                <w:sz w:val="22"/>
                <w:szCs w:val="22"/>
              </w:rPr>
              <w:t>/GHG regulatory proposal, the Department has indicated that it is considering adopting the federal PSD rules for greenhouse gases rather than keeping GHG regulation consistent with the regulation of other regulated air pollutants. We believe that this would be bad for Oregon and therefore encourage the Department to adopt regulations that treat GHGs consistent with how other regulated air pollutants are treated for the following reasons:</w:t>
            </w:r>
          </w:p>
          <w:p w:rsidR="00A62014" w:rsidRPr="00903BA3" w:rsidRDefault="00A62014" w:rsidP="000B4801">
            <w:pPr>
              <w:pStyle w:val="ListParagraph"/>
              <w:numPr>
                <w:ilvl w:val="0"/>
                <w:numId w:val="10"/>
              </w:numPr>
              <w:rPr>
                <w:rStyle w:val="FontStyle16"/>
                <w:rFonts w:ascii="Times New Roman" w:hAnsi="Times New Roman" w:cs="Times New Roman"/>
                <w:color w:val="auto"/>
                <w:sz w:val="22"/>
                <w:szCs w:val="22"/>
              </w:rPr>
            </w:pPr>
            <w:r w:rsidRPr="00903BA3">
              <w:rPr>
                <w:rStyle w:val="FontStyle16"/>
                <w:rFonts w:ascii="Times New Roman" w:hAnsi="Times New Roman" w:cs="Times New Roman"/>
                <w:sz w:val="22"/>
                <w:szCs w:val="22"/>
              </w:rPr>
              <w:t xml:space="preserve">The Oregon program has always had incentives under the PSEL program to reduce emissions and to operate equipment in as low-emitting a manner as possible. This excludes changes from PSD when these changed can be accommodated under the PSEL. </w:t>
            </w:r>
          </w:p>
          <w:p w:rsidR="00A62014" w:rsidRPr="00903BA3" w:rsidRDefault="00A62014" w:rsidP="000B4801">
            <w:pPr>
              <w:pStyle w:val="ListParagraph"/>
              <w:numPr>
                <w:ilvl w:val="0"/>
                <w:numId w:val="10"/>
              </w:numPr>
              <w:rPr>
                <w:rStyle w:val="FontStyle16"/>
                <w:rFonts w:ascii="Times New Roman" w:hAnsi="Times New Roman" w:cs="Times New Roman"/>
                <w:color w:val="auto"/>
                <w:sz w:val="22"/>
                <w:szCs w:val="22"/>
              </w:rPr>
            </w:pPr>
            <w:r w:rsidRPr="00903BA3">
              <w:rPr>
                <w:rStyle w:val="FontStyle16"/>
                <w:rFonts w:ascii="Times New Roman" w:hAnsi="Times New Roman" w:cs="Times New Roman"/>
                <w:sz w:val="22"/>
                <w:szCs w:val="22"/>
              </w:rPr>
              <w:t>The Oregon program provides flexibility to expand production operations.</w:t>
            </w:r>
          </w:p>
          <w:p w:rsidR="00A62014" w:rsidRPr="00903BA3" w:rsidRDefault="00A62014" w:rsidP="000B4801">
            <w:pPr>
              <w:pStyle w:val="ListParagraph"/>
              <w:numPr>
                <w:ilvl w:val="0"/>
                <w:numId w:val="10"/>
              </w:numPr>
              <w:rPr>
                <w:rStyle w:val="FontStyle14"/>
                <w:rFonts w:ascii="Times New Roman" w:hAnsi="Times New Roman" w:cs="Times New Roman"/>
                <w:color w:val="auto"/>
              </w:rPr>
            </w:pPr>
            <w:r w:rsidRPr="00903BA3">
              <w:rPr>
                <w:rStyle w:val="FontStyle14"/>
                <w:rFonts w:ascii="Times New Roman" w:hAnsi="Times New Roman" w:cs="Times New Roman"/>
              </w:rPr>
              <w:t xml:space="preserve">The Oregon program provides simplicity in determining NSR/PSD applicability, unlike </w:t>
            </w:r>
            <w:r w:rsidRPr="00903BA3">
              <w:rPr>
                <w:rStyle w:val="FontStyle14"/>
                <w:rFonts w:ascii="Times New Roman" w:hAnsi="Times New Roman" w:cs="Times New Roman"/>
              </w:rPr>
              <w:lastRenderedPageBreak/>
              <w:t xml:space="preserve">the federal program where sources must rely on consultants to assist with their applicability determinations due to the complexity of the rules. This will be especially important if the rules affect smaller businesses in the future. </w:t>
            </w:r>
            <w:r w:rsidRPr="00903BA3">
              <w:rPr>
                <w:sz w:val="22"/>
                <w:szCs w:val="22"/>
              </w:rPr>
              <w:t>(1, 2, 3, 4, 9, 11, 13, 14, 15, 16, 17, 18, 19, 23)</w:t>
            </w:r>
          </w:p>
          <w:p w:rsidR="00A62014" w:rsidRDefault="00A62014" w:rsidP="000B4801">
            <w:pPr>
              <w:rPr>
                <w:sz w:val="22"/>
                <w:szCs w:val="22"/>
              </w:rPr>
            </w:pPr>
            <w:r w:rsidRPr="00903BA3">
              <w:rPr>
                <w:rStyle w:val="FontStyle14"/>
                <w:rFonts w:ascii="Times New Roman" w:hAnsi="Times New Roman" w:cs="Times New Roman"/>
              </w:rPr>
              <w:t>T</w:t>
            </w:r>
            <w:r w:rsidRPr="00903BA3">
              <w:rPr>
                <w:noProof/>
                <w:sz w:val="22"/>
                <w:szCs w:val="22"/>
              </w:rPr>
              <w:t xml:space="preserve">he commenters would prefer the adoption of the Federal Netting Method for GHG emissions because it does not place the facility at a competitve disadvantage when compared to other  plants in other parts of the country. </w:t>
            </w:r>
            <w:r w:rsidRPr="00903BA3">
              <w:rPr>
                <w:sz w:val="22"/>
                <w:szCs w:val="22"/>
              </w:rPr>
              <w:t>Any amendments to the DEQ program should bring the DEQ program closer to EPA’s Regulations. (6, 10, 12)</w:t>
            </w:r>
          </w:p>
          <w:p w:rsidR="00607C83" w:rsidRPr="00903BA3" w:rsidRDefault="00607C83" w:rsidP="000B4801">
            <w:pPr>
              <w:rPr>
                <w:sz w:val="22"/>
                <w:szCs w:val="22"/>
              </w:rPr>
            </w:pPr>
          </w:p>
          <w:p w:rsidR="00A62014" w:rsidRPr="00903BA3" w:rsidRDefault="00A62014" w:rsidP="000B4801">
            <w:pPr>
              <w:pStyle w:val="Style6"/>
              <w:widowControl/>
              <w:spacing w:line="240" w:lineRule="auto"/>
              <w:rPr>
                <w:rFonts w:ascii="Times New Roman" w:eastAsia="Times New Roman" w:hAnsi="Times New Roman" w:cs="Times New Roman"/>
                <w:i/>
                <w:sz w:val="22"/>
                <w:szCs w:val="22"/>
              </w:rPr>
            </w:pPr>
            <w:r w:rsidRPr="00903BA3">
              <w:rPr>
                <w:rFonts w:ascii="Times New Roman" w:eastAsia="Times New Roman" w:hAnsi="Times New Roman" w:cs="Times New Roman"/>
                <w:i/>
                <w:sz w:val="22"/>
                <w:szCs w:val="22"/>
              </w:rPr>
              <w:t>Response:</w:t>
            </w:r>
          </w:p>
          <w:p w:rsidR="004B0C1D" w:rsidRDefault="004B0C1D" w:rsidP="000B4801">
            <w:pPr>
              <w:pStyle w:val="Style6"/>
              <w:widowControl/>
              <w:spacing w:line="240" w:lineRule="auto"/>
              <w:rPr>
                <w:rFonts w:ascii="Times New Roman" w:eastAsia="Times New Roman" w:hAnsi="Times New Roman" w:cs="Times New Roman"/>
                <w:i/>
                <w:sz w:val="22"/>
                <w:szCs w:val="22"/>
              </w:rPr>
            </w:pPr>
            <w:r w:rsidRPr="00903BA3">
              <w:rPr>
                <w:rFonts w:ascii="Times New Roman" w:eastAsia="Times New Roman" w:hAnsi="Times New Roman" w:cs="Times New Roman"/>
                <w:i/>
                <w:sz w:val="22"/>
                <w:szCs w:val="22"/>
              </w:rPr>
              <w:t>The comment</w:t>
            </w:r>
            <w:r w:rsidR="00F673F6" w:rsidRPr="00903BA3">
              <w:rPr>
                <w:rFonts w:ascii="Times New Roman" w:eastAsia="Times New Roman" w:hAnsi="Times New Roman" w:cs="Times New Roman"/>
                <w:i/>
                <w:sz w:val="22"/>
                <w:szCs w:val="22"/>
              </w:rPr>
              <w:t>e</w:t>
            </w:r>
            <w:r w:rsidRPr="00903BA3">
              <w:rPr>
                <w:rFonts w:ascii="Times New Roman" w:eastAsia="Times New Roman" w:hAnsi="Times New Roman" w:cs="Times New Roman"/>
                <w:i/>
                <w:sz w:val="22"/>
                <w:szCs w:val="22"/>
              </w:rPr>
              <w:t xml:space="preserve">rs provide differing views on whether to </w:t>
            </w:r>
            <w:r w:rsidR="00B71321" w:rsidRPr="00903BA3">
              <w:rPr>
                <w:rFonts w:ascii="Times New Roman" w:eastAsia="Times New Roman" w:hAnsi="Times New Roman" w:cs="Times New Roman"/>
                <w:i/>
                <w:sz w:val="22"/>
                <w:szCs w:val="22"/>
              </w:rPr>
              <w:t xml:space="preserve">use </w:t>
            </w:r>
            <w:r w:rsidRPr="00903BA3">
              <w:rPr>
                <w:rFonts w:ascii="Times New Roman" w:eastAsia="Times New Roman" w:hAnsi="Times New Roman" w:cs="Times New Roman"/>
                <w:i/>
                <w:sz w:val="22"/>
                <w:szCs w:val="22"/>
              </w:rPr>
              <w:t>the Oregon or federal netting approach for GHG.</w:t>
            </w:r>
          </w:p>
          <w:p w:rsidR="00607C83" w:rsidRPr="00903BA3" w:rsidRDefault="00607C83" w:rsidP="000B4801">
            <w:pPr>
              <w:pStyle w:val="Style6"/>
              <w:widowControl/>
              <w:spacing w:line="240" w:lineRule="auto"/>
              <w:rPr>
                <w:rFonts w:ascii="Times New Roman" w:eastAsia="Times New Roman" w:hAnsi="Times New Roman" w:cs="Times New Roman"/>
                <w:i/>
                <w:sz w:val="22"/>
                <w:szCs w:val="22"/>
              </w:rPr>
            </w:pPr>
          </w:p>
          <w:p w:rsidR="00A62014" w:rsidRPr="00903BA3" w:rsidRDefault="00A62014" w:rsidP="000B4801">
            <w:pPr>
              <w:pStyle w:val="Style6"/>
              <w:widowControl/>
              <w:spacing w:line="240" w:lineRule="auto"/>
              <w:rPr>
                <w:rFonts w:ascii="Times New Roman" w:eastAsia="Times New Roman" w:hAnsi="Times New Roman" w:cs="Times New Roman"/>
                <w:i/>
                <w:sz w:val="22"/>
                <w:szCs w:val="22"/>
                <w:u w:val="single"/>
              </w:rPr>
            </w:pPr>
            <w:r w:rsidRPr="00903BA3">
              <w:rPr>
                <w:rFonts w:ascii="Times New Roman" w:eastAsia="Times New Roman" w:hAnsi="Times New Roman" w:cs="Times New Roman"/>
                <w:i/>
                <w:sz w:val="22"/>
                <w:szCs w:val="22"/>
                <w:u w:val="single"/>
              </w:rPr>
              <w:t>Basic DEQ and EPA NSR/PSD Program Differences</w:t>
            </w:r>
          </w:p>
          <w:p w:rsidR="00A62014" w:rsidRPr="00903BA3" w:rsidRDefault="00A62014" w:rsidP="000B4801">
            <w:pPr>
              <w:autoSpaceDE w:val="0"/>
              <w:autoSpaceDN w:val="0"/>
              <w:adjustRightInd w:val="0"/>
              <w:rPr>
                <w:i/>
                <w:color w:val="000000"/>
                <w:sz w:val="22"/>
                <w:szCs w:val="22"/>
              </w:rPr>
            </w:pPr>
            <w:r w:rsidRPr="00903BA3">
              <w:rPr>
                <w:i/>
                <w:color w:val="000000"/>
                <w:sz w:val="22"/>
                <w:szCs w:val="22"/>
              </w:rPr>
              <w:t xml:space="preserve">DEQ’s NSR/PSD rules differ from EPA’s regulations in a number of fundamental ways. </w:t>
            </w:r>
          </w:p>
          <w:p w:rsidR="00A62014" w:rsidRPr="00903BA3" w:rsidRDefault="00A62014" w:rsidP="000B4801">
            <w:pPr>
              <w:pStyle w:val="ListParagraph"/>
              <w:numPr>
                <w:ilvl w:val="0"/>
                <w:numId w:val="11"/>
              </w:numPr>
              <w:autoSpaceDE w:val="0"/>
              <w:autoSpaceDN w:val="0"/>
              <w:adjustRightInd w:val="0"/>
              <w:rPr>
                <w:i/>
                <w:color w:val="000000"/>
                <w:sz w:val="22"/>
                <w:szCs w:val="22"/>
                <w:u w:val="single"/>
              </w:rPr>
            </w:pPr>
            <w:r w:rsidRPr="00903BA3">
              <w:rPr>
                <w:i/>
                <w:color w:val="000000"/>
                <w:sz w:val="22"/>
                <w:szCs w:val="22"/>
              </w:rPr>
              <w:t xml:space="preserve">The DEQ program has lower major source thresholds, so smaller new sources and changes to smaller existing sources are subject to review. </w:t>
            </w:r>
          </w:p>
          <w:p w:rsidR="00A62014" w:rsidRPr="00903BA3" w:rsidRDefault="00A62014" w:rsidP="000B4801">
            <w:pPr>
              <w:pStyle w:val="ListParagraph"/>
              <w:numPr>
                <w:ilvl w:val="0"/>
                <w:numId w:val="11"/>
              </w:numPr>
              <w:autoSpaceDE w:val="0"/>
              <w:autoSpaceDN w:val="0"/>
              <w:adjustRightInd w:val="0"/>
              <w:rPr>
                <w:i/>
                <w:color w:val="000000"/>
                <w:sz w:val="22"/>
                <w:szCs w:val="22"/>
                <w:u w:val="single"/>
              </w:rPr>
            </w:pPr>
            <w:r w:rsidRPr="00903BA3">
              <w:rPr>
                <w:i/>
                <w:color w:val="000000"/>
                <w:sz w:val="22"/>
                <w:szCs w:val="22"/>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w:t>
            </w:r>
            <w:r w:rsidR="00982A96" w:rsidRPr="00903BA3">
              <w:rPr>
                <w:i/>
                <w:color w:val="000000"/>
                <w:sz w:val="22"/>
                <w:szCs w:val="22"/>
              </w:rPr>
              <w:t>vice</w:t>
            </w:r>
            <w:r w:rsidRPr="00903BA3">
              <w:rPr>
                <w:i/>
                <w:color w:val="000000"/>
                <w:sz w:val="22"/>
                <w:szCs w:val="22"/>
              </w:rPr>
              <w:t xml:space="preserve"> versa. </w:t>
            </w:r>
          </w:p>
          <w:p w:rsidR="00A62014" w:rsidRPr="00903BA3" w:rsidRDefault="00A62014" w:rsidP="000B4801">
            <w:pPr>
              <w:pStyle w:val="ListParagraph"/>
              <w:numPr>
                <w:ilvl w:val="0"/>
                <w:numId w:val="11"/>
              </w:numPr>
              <w:autoSpaceDE w:val="0"/>
              <w:autoSpaceDN w:val="0"/>
              <w:adjustRightInd w:val="0"/>
              <w:rPr>
                <w:i/>
                <w:color w:val="000000"/>
                <w:sz w:val="22"/>
                <w:szCs w:val="22"/>
                <w:u w:val="single"/>
              </w:rPr>
            </w:pPr>
            <w:r w:rsidRPr="00903BA3">
              <w:rPr>
                <w:i/>
                <w:spacing w:val="-3"/>
                <w:sz w:val="22"/>
                <w:szCs w:val="22"/>
              </w:rPr>
              <w:t xml:space="preserve">DEQ accumulates all emissions increases and decreases from physical changes or changes </w:t>
            </w:r>
            <w:r w:rsidR="00B66334" w:rsidRPr="00903BA3">
              <w:rPr>
                <w:i/>
                <w:spacing w:val="-3"/>
                <w:sz w:val="22"/>
                <w:szCs w:val="22"/>
              </w:rPr>
              <w:t xml:space="preserve">in the method of </w:t>
            </w:r>
            <w:r w:rsidRPr="00903BA3">
              <w:rPr>
                <w:i/>
                <w:spacing w:val="-3"/>
                <w:sz w:val="22"/>
                <w:szCs w:val="22"/>
              </w:rPr>
              <w:t xml:space="preserve">operation since the baseline year or last major source permit, whichever is more recent, rather than just during a “contemporaneous” time period. This aspect of DEQ’s program creates an incentive for sources to voluntarily reduce emissions in order to avoid triggering NSR/PSD. </w:t>
            </w:r>
          </w:p>
          <w:p w:rsidR="00A62014" w:rsidRPr="00903BA3" w:rsidRDefault="00A62014" w:rsidP="000B4801">
            <w:pPr>
              <w:pStyle w:val="ListParagraph"/>
              <w:numPr>
                <w:ilvl w:val="0"/>
                <w:numId w:val="11"/>
              </w:numPr>
              <w:autoSpaceDE w:val="0"/>
              <w:autoSpaceDN w:val="0"/>
              <w:adjustRightInd w:val="0"/>
              <w:rPr>
                <w:i/>
                <w:color w:val="000000"/>
                <w:sz w:val="22"/>
                <w:szCs w:val="22"/>
                <w:u w:val="single"/>
              </w:rPr>
            </w:pPr>
            <w:r w:rsidRPr="00903BA3">
              <w:rPr>
                <w:i/>
                <w:spacing w:val="-3"/>
                <w:sz w:val="22"/>
                <w:szCs w:val="22"/>
              </w:rPr>
              <w:t xml:space="preserve">The PSEL rules have provisions </w:t>
            </w:r>
            <w:r w:rsidR="00721B6C" w:rsidRPr="00903BA3">
              <w:rPr>
                <w:i/>
                <w:spacing w:val="-3"/>
                <w:sz w:val="22"/>
                <w:szCs w:val="22"/>
              </w:rPr>
              <w:t xml:space="preserve">that require the PSEL and netting basis </w:t>
            </w:r>
            <w:r w:rsidRPr="00903BA3">
              <w:rPr>
                <w:i/>
                <w:spacing w:val="-3"/>
                <w:sz w:val="22"/>
                <w:szCs w:val="22"/>
              </w:rPr>
              <w:t xml:space="preserve">to be reduced if emission reductions at the sources occur and make the caps excessively high. </w:t>
            </w:r>
          </w:p>
          <w:p w:rsidR="00A62014" w:rsidRPr="00903BA3" w:rsidRDefault="00A62014" w:rsidP="000B4801">
            <w:pPr>
              <w:pStyle w:val="ListParagraph"/>
              <w:numPr>
                <w:ilvl w:val="0"/>
                <w:numId w:val="11"/>
              </w:numPr>
              <w:autoSpaceDE w:val="0"/>
              <w:autoSpaceDN w:val="0"/>
              <w:adjustRightInd w:val="0"/>
              <w:rPr>
                <w:i/>
                <w:color w:val="000000"/>
                <w:sz w:val="22"/>
                <w:szCs w:val="22"/>
                <w:u w:val="single"/>
              </w:rPr>
            </w:pPr>
            <w:r w:rsidRPr="00903BA3">
              <w:rPr>
                <w:i/>
                <w:spacing w:val="-3"/>
                <w:sz w:val="22"/>
                <w:szCs w:val="22"/>
              </w:rPr>
              <w:t>The PSEL also eliminates the possibility of a gradual increase of emissions over time by piecemeal projects not triggering NSR/PSD. Under the federal rules, a</w:t>
            </w:r>
            <w:r w:rsidRPr="00903BA3">
              <w:rPr>
                <w:i/>
                <w:sz w:val="22"/>
                <w:szCs w:val="22"/>
              </w:rPr>
              <w:t>n increase or decrease in actual emissions is contemporaneous</w:t>
            </w:r>
            <w:r w:rsidR="008D538C" w:rsidRPr="00903BA3">
              <w:rPr>
                <w:i/>
                <w:sz w:val="22"/>
                <w:szCs w:val="22"/>
              </w:rPr>
              <w:t xml:space="preserve">. </w:t>
            </w:r>
          </w:p>
          <w:p w:rsidR="00A62014" w:rsidRPr="00903BA3" w:rsidRDefault="00A62014" w:rsidP="000B4801">
            <w:pPr>
              <w:pStyle w:val="ListParagraph"/>
              <w:numPr>
                <w:ilvl w:val="0"/>
                <w:numId w:val="11"/>
              </w:numPr>
              <w:autoSpaceDE w:val="0"/>
              <w:autoSpaceDN w:val="0"/>
              <w:adjustRightInd w:val="0"/>
              <w:rPr>
                <w:i/>
                <w:color w:val="000000"/>
                <w:sz w:val="22"/>
                <w:szCs w:val="22"/>
                <w:u w:val="single"/>
              </w:rPr>
            </w:pPr>
            <w:r w:rsidRPr="00903BA3">
              <w:rPr>
                <w:i/>
                <w:color w:val="000000"/>
                <w:sz w:val="22"/>
                <w:szCs w:val="22"/>
              </w:rPr>
              <w:t xml:space="preserve">Changes which would result in increased emissions, but would not be considered modifications under EPA’s rules, are reviewed for compliance with standards and increments under DEQ’s PSEL program. </w:t>
            </w:r>
          </w:p>
          <w:p w:rsidR="00607C83" w:rsidRDefault="00607C83" w:rsidP="000B4801">
            <w:pPr>
              <w:autoSpaceDE w:val="0"/>
              <w:autoSpaceDN w:val="0"/>
              <w:adjustRightInd w:val="0"/>
              <w:rPr>
                <w:i/>
                <w:color w:val="000000"/>
                <w:sz w:val="22"/>
                <w:szCs w:val="22"/>
              </w:rPr>
            </w:pPr>
          </w:p>
          <w:p w:rsidR="00A62014" w:rsidRPr="00903BA3" w:rsidRDefault="00A62014" w:rsidP="000B4801">
            <w:pPr>
              <w:autoSpaceDE w:val="0"/>
              <w:autoSpaceDN w:val="0"/>
              <w:adjustRightInd w:val="0"/>
              <w:rPr>
                <w:i/>
                <w:color w:val="000000"/>
                <w:sz w:val="22"/>
                <w:szCs w:val="22"/>
              </w:rPr>
            </w:pPr>
            <w:r w:rsidRPr="00903BA3">
              <w:rPr>
                <w:i/>
                <w:color w:val="000000"/>
                <w:sz w:val="22"/>
                <w:szCs w:val="22"/>
              </w:rPr>
              <w:t xml:space="preserve">EPA evaluated and initially approved the DEQ NSR program in 1982 as being equivalent or more stringent than EPA’s regulations on a program basis and </w:t>
            </w:r>
            <w:r w:rsidR="009C3957" w:rsidRPr="00903BA3">
              <w:rPr>
                <w:i/>
                <w:color w:val="000000"/>
                <w:sz w:val="22"/>
                <w:szCs w:val="22"/>
              </w:rPr>
              <w:t>more recently</w:t>
            </w:r>
            <w:r w:rsidRPr="00903BA3">
              <w:rPr>
                <w:i/>
                <w:color w:val="000000"/>
                <w:sz w:val="22"/>
                <w:szCs w:val="22"/>
              </w:rPr>
              <w:t xml:space="preserve"> in 2003</w:t>
            </w:r>
            <w:r w:rsidR="008D538C" w:rsidRPr="00903BA3">
              <w:rPr>
                <w:i/>
                <w:color w:val="000000"/>
                <w:sz w:val="22"/>
                <w:szCs w:val="22"/>
              </w:rPr>
              <w:t xml:space="preserve">. </w:t>
            </w:r>
          </w:p>
          <w:p w:rsidR="00607C83" w:rsidRDefault="00607C83" w:rsidP="000B480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i/>
                <w:color w:val="000000"/>
                <w:sz w:val="22"/>
                <w:szCs w:val="22"/>
                <w:u w:val="single"/>
              </w:rPr>
            </w:pPr>
          </w:p>
          <w:p w:rsidR="00A62014" w:rsidRPr="00903BA3" w:rsidRDefault="00A62014" w:rsidP="000B480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i/>
                <w:color w:val="000000"/>
                <w:sz w:val="22"/>
                <w:szCs w:val="22"/>
                <w:u w:val="single"/>
              </w:rPr>
            </w:pPr>
            <w:r w:rsidRPr="00903BA3">
              <w:rPr>
                <w:i/>
                <w:color w:val="000000"/>
                <w:sz w:val="22"/>
                <w:szCs w:val="22"/>
                <w:u w:val="single"/>
              </w:rPr>
              <w:t>Continued Implementation of Oregon NSR/PSD Program</w:t>
            </w:r>
          </w:p>
          <w:p w:rsidR="00A62014" w:rsidRPr="00903BA3" w:rsidRDefault="00721B6C" w:rsidP="000B4801">
            <w:pPr>
              <w:pStyle w:val="NormalWeb"/>
              <w:spacing w:before="0" w:beforeAutospacing="0" w:after="0" w:afterAutospacing="0"/>
              <w:rPr>
                <w:i/>
                <w:sz w:val="22"/>
                <w:szCs w:val="22"/>
              </w:rPr>
            </w:pPr>
            <w:r w:rsidRPr="00903BA3">
              <w:rPr>
                <w:i/>
                <w:sz w:val="22"/>
                <w:szCs w:val="22"/>
              </w:rPr>
              <w:t xml:space="preserve">After carefully considering all comments, </w:t>
            </w:r>
            <w:r w:rsidR="00A62014" w:rsidRPr="00903BA3">
              <w:rPr>
                <w:i/>
                <w:sz w:val="22"/>
                <w:szCs w:val="22"/>
              </w:rPr>
              <w:t xml:space="preserve">DEQ has decided to </w:t>
            </w:r>
            <w:r w:rsidRPr="00903BA3">
              <w:rPr>
                <w:i/>
                <w:sz w:val="22"/>
                <w:szCs w:val="22"/>
              </w:rPr>
              <w:t xml:space="preserve">recommend using </w:t>
            </w:r>
            <w:r w:rsidR="00A62014" w:rsidRPr="00903BA3">
              <w:rPr>
                <w:i/>
                <w:sz w:val="22"/>
                <w:szCs w:val="22"/>
              </w:rPr>
              <w:t>the Oregon NSR/PSD program for both PM</w:t>
            </w:r>
            <w:r w:rsidR="00A62014" w:rsidRPr="00903BA3">
              <w:rPr>
                <w:i/>
                <w:sz w:val="22"/>
                <w:szCs w:val="22"/>
                <w:vertAlign w:val="subscript"/>
              </w:rPr>
              <w:t>2.5</w:t>
            </w:r>
            <w:r w:rsidR="00A62014" w:rsidRPr="00903BA3">
              <w:rPr>
                <w:i/>
                <w:sz w:val="22"/>
                <w:szCs w:val="22"/>
              </w:rPr>
              <w:t xml:space="preserve"> and greenhouse gases. Based on conversations with EPA Region 10, there are definite advantages of the Oregon program over the federal program, </w:t>
            </w:r>
            <w:r w:rsidRPr="00903BA3">
              <w:rPr>
                <w:i/>
                <w:sz w:val="22"/>
                <w:szCs w:val="22"/>
              </w:rPr>
              <w:t>including</w:t>
            </w:r>
            <w:r w:rsidR="00A62014" w:rsidRPr="00903BA3">
              <w:rPr>
                <w:i/>
                <w:sz w:val="22"/>
                <w:szCs w:val="22"/>
              </w:rPr>
              <w:t xml:space="preserve"> simplicity in determining applicability of the program</w:t>
            </w:r>
            <w:r w:rsidRPr="00903BA3">
              <w:rPr>
                <w:i/>
                <w:sz w:val="22"/>
                <w:szCs w:val="22"/>
              </w:rPr>
              <w:t xml:space="preserve"> as noted by </w:t>
            </w:r>
            <w:r w:rsidR="004B0C1D" w:rsidRPr="00903BA3">
              <w:rPr>
                <w:i/>
                <w:sz w:val="22"/>
                <w:szCs w:val="22"/>
              </w:rPr>
              <w:t xml:space="preserve">some </w:t>
            </w:r>
            <w:r w:rsidRPr="00903BA3">
              <w:rPr>
                <w:i/>
                <w:sz w:val="22"/>
                <w:szCs w:val="22"/>
              </w:rPr>
              <w:t>comment</w:t>
            </w:r>
            <w:r w:rsidR="00F673F6" w:rsidRPr="00903BA3">
              <w:rPr>
                <w:i/>
                <w:sz w:val="22"/>
                <w:szCs w:val="22"/>
              </w:rPr>
              <w:t>e</w:t>
            </w:r>
            <w:r w:rsidRPr="00903BA3">
              <w:rPr>
                <w:i/>
                <w:sz w:val="22"/>
                <w:szCs w:val="22"/>
              </w:rPr>
              <w:t>rs</w:t>
            </w:r>
            <w:r w:rsidR="00A62014" w:rsidRPr="00903BA3">
              <w:rPr>
                <w:i/>
                <w:sz w:val="22"/>
                <w:szCs w:val="22"/>
              </w:rPr>
              <w:t>. The following list contains elements of the federal NSR/PSD program that make it potentially less stringent and more complicated than Oregon’s program:</w:t>
            </w:r>
          </w:p>
          <w:p w:rsidR="00A62014" w:rsidRPr="00903BA3" w:rsidRDefault="00A62014" w:rsidP="000B4801">
            <w:pPr>
              <w:pStyle w:val="ListParagraph"/>
              <w:numPr>
                <w:ilvl w:val="0"/>
                <w:numId w:val="5"/>
              </w:numPr>
              <w:rPr>
                <w:i/>
                <w:sz w:val="22"/>
                <w:szCs w:val="22"/>
              </w:rPr>
            </w:pPr>
            <w:r w:rsidRPr="00903BA3">
              <w:rPr>
                <w:i/>
                <w:sz w:val="22"/>
                <w:szCs w:val="22"/>
              </w:rPr>
              <w:t>The ability to subtract from projected future actual emissions any increase due to demand growth</w:t>
            </w:r>
          </w:p>
          <w:p w:rsidR="00A62014" w:rsidRPr="00903BA3" w:rsidRDefault="00A62014" w:rsidP="000B4801">
            <w:pPr>
              <w:pStyle w:val="ListParagraph"/>
              <w:numPr>
                <w:ilvl w:val="0"/>
                <w:numId w:val="5"/>
              </w:numPr>
              <w:rPr>
                <w:i/>
                <w:sz w:val="22"/>
                <w:szCs w:val="22"/>
              </w:rPr>
            </w:pPr>
            <w:r w:rsidRPr="00903BA3">
              <w:rPr>
                <w:i/>
                <w:sz w:val="22"/>
                <w:szCs w:val="22"/>
              </w:rPr>
              <w:t>The ability to subtract from projected future actual emissions anything a source was capable of accommodating before the change that is unrelated to the change</w:t>
            </w:r>
          </w:p>
          <w:p w:rsidR="00A62014" w:rsidRPr="00903BA3" w:rsidRDefault="00A62014" w:rsidP="000B4801">
            <w:pPr>
              <w:pStyle w:val="ListParagraph"/>
              <w:numPr>
                <w:ilvl w:val="0"/>
                <w:numId w:val="5"/>
              </w:numPr>
              <w:rPr>
                <w:i/>
                <w:sz w:val="22"/>
                <w:szCs w:val="22"/>
              </w:rPr>
            </w:pPr>
            <w:r w:rsidRPr="00903BA3">
              <w:rPr>
                <w:i/>
                <w:sz w:val="22"/>
                <w:szCs w:val="22"/>
              </w:rPr>
              <w:lastRenderedPageBreak/>
              <w:t xml:space="preserve">The ability to disaggregate changes at a facility that are involved in a project </w:t>
            </w:r>
          </w:p>
          <w:p w:rsidR="00A62014" w:rsidRPr="00903BA3" w:rsidRDefault="00A62014" w:rsidP="000B4801">
            <w:pPr>
              <w:pStyle w:val="ListParagraph"/>
              <w:numPr>
                <w:ilvl w:val="0"/>
                <w:numId w:val="5"/>
              </w:numPr>
              <w:rPr>
                <w:i/>
                <w:sz w:val="22"/>
                <w:szCs w:val="22"/>
              </w:rPr>
            </w:pPr>
            <w:r w:rsidRPr="00903BA3">
              <w:rPr>
                <w:i/>
                <w:sz w:val="22"/>
                <w:szCs w:val="22"/>
              </w:rPr>
              <w:t>The question of whether emissions increases from debottlenecking should be included in the modification</w:t>
            </w:r>
          </w:p>
          <w:p w:rsidR="00A62014" w:rsidRPr="00903BA3" w:rsidRDefault="00A62014" w:rsidP="000B4801">
            <w:pPr>
              <w:pStyle w:val="ListParagraph"/>
              <w:numPr>
                <w:ilvl w:val="0"/>
                <w:numId w:val="5"/>
              </w:numPr>
              <w:rPr>
                <w:i/>
                <w:sz w:val="22"/>
                <w:szCs w:val="22"/>
              </w:rPr>
            </w:pPr>
            <w:r w:rsidRPr="00903BA3">
              <w:rPr>
                <w:i/>
                <w:sz w:val="22"/>
                <w:szCs w:val="22"/>
              </w:rPr>
              <w:t>The fact that fugitive emissions are not included in emissions increase for all source categories</w:t>
            </w:r>
          </w:p>
          <w:p w:rsidR="00A62014" w:rsidRPr="00903BA3" w:rsidRDefault="00A62014" w:rsidP="000B4801">
            <w:pPr>
              <w:pStyle w:val="ListParagraph"/>
              <w:numPr>
                <w:ilvl w:val="0"/>
                <w:numId w:val="5"/>
              </w:numPr>
              <w:rPr>
                <w:i/>
                <w:sz w:val="22"/>
                <w:szCs w:val="22"/>
              </w:rPr>
            </w:pPr>
            <w:r w:rsidRPr="00903BA3">
              <w:rPr>
                <w:i/>
                <w:sz w:val="22"/>
                <w:szCs w:val="22"/>
              </w:rPr>
              <w:t xml:space="preserve">Potential exemptions for routine repair and replacement </w:t>
            </w:r>
          </w:p>
          <w:p w:rsidR="00A62014" w:rsidRPr="00903BA3" w:rsidRDefault="00A62014" w:rsidP="000B4801">
            <w:pPr>
              <w:pStyle w:val="ListParagraph"/>
              <w:numPr>
                <w:ilvl w:val="0"/>
                <w:numId w:val="5"/>
              </w:numPr>
              <w:rPr>
                <w:i/>
                <w:sz w:val="22"/>
                <w:szCs w:val="22"/>
              </w:rPr>
            </w:pPr>
            <w:r w:rsidRPr="00903BA3">
              <w:rPr>
                <w:i/>
                <w:sz w:val="22"/>
                <w:szCs w:val="22"/>
              </w:rPr>
              <w:t>The ability to pursue the netting credits approach, which involves a 5-year contemporaneous period that is plant wide</w:t>
            </w:r>
          </w:p>
          <w:p w:rsidR="00A62014" w:rsidRPr="00903BA3" w:rsidRDefault="00A62014" w:rsidP="000B4801">
            <w:pPr>
              <w:pStyle w:val="ListParagraph"/>
              <w:numPr>
                <w:ilvl w:val="0"/>
                <w:numId w:val="5"/>
              </w:numPr>
              <w:rPr>
                <w:i/>
                <w:sz w:val="22"/>
                <w:szCs w:val="22"/>
              </w:rPr>
            </w:pPr>
            <w:r w:rsidRPr="00903BA3">
              <w:rPr>
                <w:i/>
                <w:sz w:val="22"/>
                <w:szCs w:val="22"/>
              </w:rPr>
              <w:t xml:space="preserve">The ability to pick different baseline years for each pollutant involved in a change. </w:t>
            </w:r>
          </w:p>
          <w:p w:rsidR="00A62014" w:rsidRPr="00903BA3" w:rsidRDefault="00A62014" w:rsidP="000B4801">
            <w:pPr>
              <w:pStyle w:val="ListParagraph"/>
              <w:numPr>
                <w:ilvl w:val="0"/>
                <w:numId w:val="5"/>
              </w:numPr>
              <w:rPr>
                <w:i/>
                <w:sz w:val="22"/>
                <w:szCs w:val="22"/>
              </w:rPr>
            </w:pPr>
            <w:r w:rsidRPr="00903BA3">
              <w:rPr>
                <w:i/>
                <w:sz w:val="22"/>
                <w:szCs w:val="22"/>
              </w:rPr>
              <w:t>The unenforceability of the projected actual emissions in the test of whether a major modification has occurred</w:t>
            </w:r>
          </w:p>
          <w:p w:rsidR="00607C83" w:rsidRDefault="00607C83" w:rsidP="000B4801">
            <w:pPr>
              <w:pStyle w:val="NormalWeb"/>
              <w:spacing w:before="0" w:beforeAutospacing="0" w:after="0" w:afterAutospacing="0"/>
              <w:rPr>
                <w:i/>
                <w:sz w:val="22"/>
                <w:szCs w:val="22"/>
              </w:rPr>
            </w:pPr>
          </w:p>
          <w:p w:rsidR="00A62014" w:rsidRPr="00903BA3" w:rsidRDefault="00A62014" w:rsidP="000B4801">
            <w:pPr>
              <w:pStyle w:val="NormalWeb"/>
              <w:spacing w:before="0" w:beforeAutospacing="0" w:after="0" w:afterAutospacing="0"/>
              <w:rPr>
                <w:i/>
                <w:sz w:val="22"/>
                <w:szCs w:val="22"/>
              </w:rPr>
            </w:pPr>
            <w:r w:rsidRPr="00903BA3">
              <w:rPr>
                <w:i/>
                <w:sz w:val="22"/>
                <w:szCs w:val="22"/>
              </w:rPr>
              <w:t xml:space="preserve">In an area where the Oregon program may seem less stringent than the federal program, setting actual emissions at a source’s potential to emit, DEQ is proposing a change to the existing rules. See the </w:t>
            </w:r>
            <w:r w:rsidR="00180A73" w:rsidRPr="00903BA3">
              <w:rPr>
                <w:i/>
                <w:sz w:val="22"/>
                <w:szCs w:val="22"/>
              </w:rPr>
              <w:t>response</w:t>
            </w:r>
            <w:r w:rsidRPr="00903BA3">
              <w:rPr>
                <w:i/>
                <w:sz w:val="22"/>
                <w:szCs w:val="22"/>
              </w:rPr>
              <w:t xml:space="preserve"> in </w:t>
            </w:r>
            <w:r w:rsidR="00B14540" w:rsidRPr="00903BA3">
              <w:rPr>
                <w:i/>
                <w:sz w:val="22"/>
                <w:szCs w:val="22"/>
              </w:rPr>
              <w:t xml:space="preserve">comment </w:t>
            </w:r>
            <w:fldSimple w:instr=" REF _Ref283932866 \r \h  \* MERGEFORMAT ">
              <w:r w:rsidR="00752276" w:rsidRPr="00903BA3">
                <w:rPr>
                  <w:i/>
                  <w:sz w:val="22"/>
                  <w:szCs w:val="22"/>
                </w:rPr>
                <w:t>18</w:t>
              </w:r>
            </w:fldSimple>
            <w:r w:rsidR="00B14540" w:rsidRPr="00903BA3">
              <w:rPr>
                <w:i/>
                <w:sz w:val="22"/>
                <w:szCs w:val="22"/>
              </w:rPr>
              <w:t xml:space="preserve"> “</w:t>
            </w:r>
            <w:r w:rsidRPr="00903BA3">
              <w:rPr>
                <w:i/>
                <w:sz w:val="22"/>
                <w:szCs w:val="22"/>
              </w:rPr>
              <w:t>major modification definition</w:t>
            </w:r>
            <w:r w:rsidR="00180A73" w:rsidRPr="00903BA3">
              <w:rPr>
                <w:i/>
                <w:sz w:val="22"/>
                <w:szCs w:val="22"/>
              </w:rPr>
              <w:t>.</w:t>
            </w:r>
            <w:r w:rsidRPr="00903BA3">
              <w:rPr>
                <w:i/>
                <w:sz w:val="22"/>
                <w:szCs w:val="22"/>
              </w:rPr>
              <w:t xml:space="preserve">” </w:t>
            </w:r>
          </w:p>
          <w:p w:rsidR="00012675" w:rsidRDefault="00A62014" w:rsidP="000B480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i/>
                <w:sz w:val="22"/>
                <w:szCs w:val="22"/>
              </w:rPr>
            </w:pPr>
            <w:r w:rsidRPr="00903BA3">
              <w:rPr>
                <w:rStyle w:val="Emphasis"/>
                <w:sz w:val="22"/>
                <w:szCs w:val="22"/>
              </w:rPr>
              <w:t xml:space="preserve">Oregon’s NSR/PSD program was used as one of the models to support the development of the </w:t>
            </w:r>
            <w:r w:rsidR="004B0C1D" w:rsidRPr="00903BA3">
              <w:rPr>
                <w:rStyle w:val="Emphasis"/>
                <w:sz w:val="22"/>
                <w:szCs w:val="22"/>
              </w:rPr>
              <w:t>Plantwide Applicability Limit option in the federal NSR/PSD rules</w:t>
            </w:r>
            <w:r w:rsidRPr="00903BA3">
              <w:rPr>
                <w:rStyle w:val="Emphasis"/>
                <w:sz w:val="22"/>
                <w:szCs w:val="22"/>
              </w:rPr>
              <w:t xml:space="preserve">. </w:t>
            </w:r>
            <w:r w:rsidRPr="00903BA3">
              <w:rPr>
                <w:i/>
                <w:sz w:val="22"/>
                <w:szCs w:val="22"/>
              </w:rPr>
              <w:t>DEQ feels that the benefits of Oregon’s NSR/PSD program far outweigh any advantages of the federal program. Changes will be made to incorporate greenhouse gases into Oregon’s NSR/PSD program.</w:t>
            </w:r>
          </w:p>
          <w:p w:rsidR="00607C83" w:rsidRPr="00903BA3" w:rsidRDefault="00607C83" w:rsidP="000B480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i/>
                <w:sz w:val="22"/>
                <w:szCs w:val="22"/>
                <w:highlight w:val="yellow"/>
              </w:rPr>
            </w:pPr>
          </w:p>
        </w:tc>
      </w:tr>
      <w:tr w:rsidR="003A12D7" w:rsidRPr="00903BA3"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03BA3" w:rsidRDefault="00607C83" w:rsidP="00607C83">
            <w:pPr>
              <w:ind w:right="-115"/>
              <w:rPr>
                <w:bCs/>
                <w:sz w:val="22"/>
                <w:szCs w:val="22"/>
              </w:rPr>
            </w:pPr>
            <w:r>
              <w:rPr>
                <w:bCs/>
                <w:sz w:val="22"/>
                <w:szCs w:val="22"/>
              </w:rPr>
              <w:lastRenderedPageBreak/>
              <w:t xml:space="preserve">52. </w:t>
            </w:r>
            <w:r w:rsidR="003A12D7" w:rsidRPr="00903BA3">
              <w:rPr>
                <w:bCs/>
                <w:sz w:val="22"/>
                <w:szCs w:val="22"/>
              </w:rPr>
              <w:t>Guidance on Federal PSD Program</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Pr="00903BA3" w:rsidRDefault="003A12D7" w:rsidP="000B4801">
            <w:pPr>
              <w:rPr>
                <w:sz w:val="22"/>
                <w:szCs w:val="22"/>
              </w:rPr>
            </w:pPr>
            <w:r w:rsidRPr="00903BA3">
              <w:rPr>
                <w:sz w:val="22"/>
                <w:szCs w:val="22"/>
              </w:rPr>
              <w:t>Oregon’s PSEL program, like other DEQ innovative programs, is unique under the Clean Air Act. While this may be a source of pride for DEQ, it makes implementing the program difficult because, when faced by difficult questions about the program and how it operates, DEQ consistently makes ad hoc or irrational decisions without fully anticipating all of the potential consequences. Comparatively, the federal program is implemented by most other states and by EPA and therefore has a wealth of interpretive guidance on the implementation of the program. Implementation of the federal program would therefore save DEQ time and money and would reduce the number of ad hoc decisions DEQ has to make and revise. (12)</w:t>
            </w:r>
          </w:p>
          <w:p w:rsidR="00607C83" w:rsidRDefault="00607C83" w:rsidP="000B4801">
            <w:pPr>
              <w:rPr>
                <w:i/>
                <w:sz w:val="22"/>
                <w:szCs w:val="22"/>
              </w:rPr>
            </w:pPr>
          </w:p>
          <w:p w:rsidR="003A12D7" w:rsidRPr="00903BA3" w:rsidRDefault="003A12D7" w:rsidP="000B4801">
            <w:pPr>
              <w:rPr>
                <w:i/>
                <w:sz w:val="22"/>
                <w:szCs w:val="22"/>
              </w:rPr>
            </w:pPr>
            <w:r w:rsidRPr="00903BA3">
              <w:rPr>
                <w:i/>
                <w:sz w:val="22"/>
                <w:szCs w:val="22"/>
              </w:rPr>
              <w:t>Response:</w:t>
            </w:r>
          </w:p>
          <w:p w:rsidR="00012675" w:rsidRDefault="003A12D7" w:rsidP="000B4801">
            <w:pPr>
              <w:rPr>
                <w:i/>
                <w:sz w:val="22"/>
                <w:szCs w:val="22"/>
              </w:rPr>
            </w:pPr>
            <w:r w:rsidRPr="00903BA3">
              <w:rPr>
                <w:i/>
                <w:sz w:val="22"/>
                <w:szCs w:val="22"/>
              </w:rPr>
              <w:t xml:space="preserve">As stated </w:t>
            </w:r>
            <w:r w:rsidR="00525EF8" w:rsidRPr="00903BA3">
              <w:rPr>
                <w:i/>
                <w:sz w:val="22"/>
                <w:szCs w:val="22"/>
              </w:rPr>
              <w:t xml:space="preserve">in response to comment </w:t>
            </w:r>
            <w:fldSimple w:instr=" REF _Ref283933546 \r \h  \* MERGEFORMAT ">
              <w:r w:rsidR="00752276" w:rsidRPr="00903BA3">
                <w:rPr>
                  <w:i/>
                  <w:sz w:val="22"/>
                  <w:szCs w:val="22"/>
                </w:rPr>
                <w:t>52</w:t>
              </w:r>
            </w:fldSimple>
            <w:r w:rsidR="00525EF8" w:rsidRPr="00903BA3">
              <w:rPr>
                <w:i/>
                <w:sz w:val="22"/>
                <w:szCs w:val="22"/>
              </w:rPr>
              <w:t xml:space="preserve"> to “State NSR/PSD program vs. federal program</w:t>
            </w:r>
            <w:r w:rsidR="006E0886" w:rsidRPr="00903BA3">
              <w:rPr>
                <w:i/>
                <w:sz w:val="22"/>
                <w:szCs w:val="22"/>
              </w:rPr>
              <w:t>”</w:t>
            </w:r>
            <w:r w:rsidR="00525EF8" w:rsidRPr="00903BA3">
              <w:rPr>
                <w:i/>
                <w:sz w:val="22"/>
                <w:szCs w:val="22"/>
              </w:rPr>
              <w:t xml:space="preserve"> </w:t>
            </w:r>
            <w:r w:rsidRPr="00903BA3">
              <w:rPr>
                <w:i/>
                <w:sz w:val="22"/>
                <w:szCs w:val="22"/>
              </w:rPr>
              <w:t xml:space="preserve">above, DEQ </w:t>
            </w:r>
            <w:r w:rsidR="00525EF8" w:rsidRPr="00903BA3">
              <w:rPr>
                <w:i/>
                <w:sz w:val="22"/>
                <w:szCs w:val="22"/>
              </w:rPr>
              <w:t xml:space="preserve">is proposing </w:t>
            </w:r>
            <w:r w:rsidRPr="00903BA3">
              <w:rPr>
                <w:i/>
                <w:sz w:val="22"/>
                <w:szCs w:val="22"/>
              </w:rPr>
              <w:t xml:space="preserve">to continue to </w:t>
            </w:r>
            <w:r w:rsidR="0003517A" w:rsidRPr="00903BA3">
              <w:rPr>
                <w:i/>
                <w:sz w:val="22"/>
                <w:szCs w:val="22"/>
              </w:rPr>
              <w:t>use the Oregon approach to netting in the</w:t>
            </w:r>
            <w:r w:rsidRPr="00903BA3">
              <w:rPr>
                <w:i/>
                <w:sz w:val="22"/>
                <w:szCs w:val="22"/>
              </w:rPr>
              <w:t xml:space="preserve"> NSR/PSD program for PM</w:t>
            </w:r>
            <w:r w:rsidRPr="00903BA3">
              <w:rPr>
                <w:i/>
                <w:sz w:val="22"/>
                <w:szCs w:val="22"/>
                <w:vertAlign w:val="subscript"/>
              </w:rPr>
              <w:t>2.5</w:t>
            </w:r>
            <w:r w:rsidRPr="00903BA3">
              <w:rPr>
                <w:i/>
                <w:sz w:val="22"/>
                <w:szCs w:val="22"/>
              </w:rPr>
              <w:t xml:space="preserve"> and greenhouse gases. Even though there is guidance on implementation of </w:t>
            </w:r>
            <w:r w:rsidR="0003517A" w:rsidRPr="00903BA3">
              <w:rPr>
                <w:i/>
                <w:sz w:val="22"/>
                <w:szCs w:val="22"/>
              </w:rPr>
              <w:t xml:space="preserve">many aspects of </w:t>
            </w:r>
            <w:r w:rsidRPr="00903BA3">
              <w:rPr>
                <w:i/>
                <w:sz w:val="22"/>
                <w:szCs w:val="22"/>
              </w:rPr>
              <w:t xml:space="preserve">the federal program, the </w:t>
            </w:r>
            <w:r w:rsidR="00525EF8" w:rsidRPr="00903BA3">
              <w:rPr>
                <w:i/>
                <w:sz w:val="22"/>
                <w:szCs w:val="22"/>
              </w:rPr>
              <w:t>program</w:t>
            </w:r>
            <w:r w:rsidR="0003517A" w:rsidRPr="00903BA3">
              <w:rPr>
                <w:i/>
                <w:sz w:val="22"/>
                <w:szCs w:val="22"/>
              </w:rPr>
              <w:t xml:space="preserve"> has similar complexity to the Oregon program and requires similar time and resources to implement</w:t>
            </w:r>
            <w:r w:rsidR="008D538C" w:rsidRPr="00903BA3">
              <w:rPr>
                <w:i/>
                <w:sz w:val="22"/>
                <w:szCs w:val="22"/>
              </w:rPr>
              <w:t xml:space="preserve">. </w:t>
            </w:r>
            <w:r w:rsidR="0003517A" w:rsidRPr="00903BA3">
              <w:rPr>
                <w:i/>
                <w:sz w:val="22"/>
                <w:szCs w:val="22"/>
              </w:rPr>
              <w:t xml:space="preserve">While implementation issues in the Oregon program often arise with regard to specific permitting actions, </w:t>
            </w:r>
            <w:r w:rsidRPr="00903BA3">
              <w:rPr>
                <w:i/>
                <w:sz w:val="22"/>
                <w:szCs w:val="22"/>
              </w:rPr>
              <w:t xml:space="preserve">DEQ does not make ad hoc decisions regarding permitting issues. </w:t>
            </w:r>
            <w:r w:rsidR="00525EF8" w:rsidRPr="00903BA3">
              <w:rPr>
                <w:i/>
                <w:sz w:val="22"/>
                <w:szCs w:val="22"/>
              </w:rPr>
              <w:t xml:space="preserve">Decisions are made based on a legal review of the rules, </w:t>
            </w:r>
            <w:r w:rsidR="00607C83">
              <w:rPr>
                <w:i/>
                <w:sz w:val="22"/>
                <w:szCs w:val="22"/>
              </w:rPr>
              <w:t>DEQ</w:t>
            </w:r>
            <w:r w:rsidR="00525EF8" w:rsidRPr="00903BA3">
              <w:rPr>
                <w:i/>
                <w:sz w:val="22"/>
                <w:szCs w:val="22"/>
              </w:rPr>
              <w:t xml:space="preserve"> guidance and past practices</w:t>
            </w:r>
            <w:r w:rsidR="008D538C" w:rsidRPr="00903BA3">
              <w:rPr>
                <w:i/>
                <w:sz w:val="22"/>
                <w:szCs w:val="22"/>
              </w:rPr>
              <w:t xml:space="preserve">. </w:t>
            </w:r>
            <w:r w:rsidR="00A21C65" w:rsidRPr="00903BA3">
              <w:rPr>
                <w:i/>
                <w:sz w:val="22"/>
                <w:szCs w:val="22"/>
              </w:rPr>
              <w:t>No change to the rule is proposed in response to this comment</w:t>
            </w:r>
            <w:r w:rsidR="008D538C" w:rsidRPr="00903BA3">
              <w:rPr>
                <w:i/>
                <w:sz w:val="22"/>
                <w:szCs w:val="22"/>
              </w:rPr>
              <w:t xml:space="preserve">. </w:t>
            </w:r>
          </w:p>
          <w:p w:rsidR="00607C83" w:rsidRPr="00903BA3" w:rsidRDefault="00607C83" w:rsidP="000B4801">
            <w:pPr>
              <w:rPr>
                <w:i/>
                <w:sz w:val="22"/>
                <w:szCs w:val="22"/>
              </w:rPr>
            </w:pPr>
          </w:p>
        </w:tc>
      </w:tr>
      <w:tr w:rsidR="003A12D7" w:rsidRPr="00903BA3"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03BA3" w:rsidRDefault="00607C83" w:rsidP="00607C83">
            <w:pPr>
              <w:rPr>
                <w:sz w:val="22"/>
                <w:szCs w:val="22"/>
              </w:rPr>
            </w:pPr>
            <w:bookmarkStart w:id="9" w:name="_Ref283933930"/>
            <w:r>
              <w:rPr>
                <w:sz w:val="22"/>
                <w:szCs w:val="22"/>
              </w:rPr>
              <w:t xml:space="preserve">53. </w:t>
            </w:r>
            <w:bookmarkEnd w:id="9"/>
            <w:r w:rsidR="003A12D7" w:rsidRPr="00903BA3">
              <w:rPr>
                <w:sz w:val="22"/>
                <w:szCs w:val="22"/>
              </w:rPr>
              <w:t>Compliance with the NAAQS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Default="003A12D7" w:rsidP="000B4801">
            <w:pPr>
              <w:autoSpaceDE w:val="0"/>
              <w:autoSpaceDN w:val="0"/>
              <w:adjustRightInd w:val="0"/>
              <w:ind w:right="-180"/>
              <w:rPr>
                <w:sz w:val="22"/>
                <w:szCs w:val="22"/>
              </w:rPr>
            </w:pPr>
            <w:r w:rsidRPr="00903BA3">
              <w:rPr>
                <w:sz w:val="22"/>
                <w:szCs w:val="22"/>
              </w:rPr>
              <w:t xml:space="preserve">The PSEL program is intended to ensure compliance with the NAAQS and PSD increment. Both of these programs are based on actual emissions within the air shed. The only way that the PSEL can actually ensure compliance with these programs is if the baseline emission rates are set based on actual monitoring data from the baseline period. DEQ’s proposed options 1 and 2 do not connect the baseline emissions rate to the baseline period and these proposed </w:t>
            </w:r>
            <w:r w:rsidR="006E0886" w:rsidRPr="00903BA3">
              <w:rPr>
                <w:sz w:val="22"/>
                <w:szCs w:val="22"/>
              </w:rPr>
              <w:t xml:space="preserve">options </w:t>
            </w:r>
            <w:r w:rsidRPr="00903BA3">
              <w:rPr>
                <w:sz w:val="22"/>
                <w:szCs w:val="22"/>
              </w:rPr>
              <w:t xml:space="preserve">would therefore not ensure compliance with the NAAQS or PSD increment. (12) </w:t>
            </w:r>
          </w:p>
          <w:p w:rsidR="00607C83" w:rsidRPr="00903BA3" w:rsidRDefault="00607C83" w:rsidP="000B4801">
            <w:pPr>
              <w:autoSpaceDE w:val="0"/>
              <w:autoSpaceDN w:val="0"/>
              <w:adjustRightInd w:val="0"/>
              <w:ind w:right="-180"/>
              <w:rPr>
                <w:sz w:val="22"/>
                <w:szCs w:val="22"/>
              </w:rPr>
            </w:pPr>
          </w:p>
          <w:p w:rsidR="003A12D7" w:rsidRPr="00903BA3" w:rsidRDefault="003A12D7" w:rsidP="000B4801">
            <w:pPr>
              <w:autoSpaceDE w:val="0"/>
              <w:autoSpaceDN w:val="0"/>
              <w:adjustRightInd w:val="0"/>
              <w:ind w:right="-180"/>
              <w:rPr>
                <w:i/>
                <w:sz w:val="22"/>
                <w:szCs w:val="22"/>
              </w:rPr>
            </w:pPr>
            <w:r w:rsidRPr="00903BA3">
              <w:rPr>
                <w:i/>
                <w:sz w:val="22"/>
                <w:szCs w:val="22"/>
              </w:rPr>
              <w:t>Response:</w:t>
            </w:r>
          </w:p>
          <w:p w:rsidR="003A12D7" w:rsidRDefault="003A12D7" w:rsidP="000B4801">
            <w:pPr>
              <w:pStyle w:val="ColorfulList-Accent11"/>
              <w:ind w:left="0"/>
              <w:rPr>
                <w:i/>
                <w:sz w:val="22"/>
                <w:szCs w:val="22"/>
              </w:rPr>
            </w:pPr>
            <w:r w:rsidRPr="00903BA3">
              <w:rPr>
                <w:i/>
                <w:sz w:val="22"/>
                <w:szCs w:val="22"/>
              </w:rPr>
              <w:lastRenderedPageBreak/>
              <w:t xml:space="preserve">The PSEL program provides the </w:t>
            </w:r>
            <w:r w:rsidRPr="00903BA3">
              <w:rPr>
                <w:b/>
                <w:i/>
                <w:sz w:val="22"/>
                <w:szCs w:val="22"/>
              </w:rPr>
              <w:t>basis</w:t>
            </w:r>
            <w:r w:rsidRPr="00903BA3">
              <w:rPr>
                <w:i/>
                <w:sz w:val="22"/>
                <w:szCs w:val="22"/>
              </w:rPr>
              <w:t xml:space="preserve"> for assuring compliance with </w:t>
            </w:r>
            <w:r w:rsidR="00012675" w:rsidRPr="00903BA3">
              <w:rPr>
                <w:i/>
                <w:sz w:val="22"/>
                <w:szCs w:val="22"/>
              </w:rPr>
              <w:t xml:space="preserve">emission standards, and the NSR/PSD program ensures that major new and modified sources do not cause violations of </w:t>
            </w:r>
            <w:r w:rsidRPr="00903BA3">
              <w:rPr>
                <w:i/>
                <w:sz w:val="22"/>
                <w:szCs w:val="22"/>
              </w:rPr>
              <w:t>ambient standards and PSD increments</w:t>
            </w:r>
            <w:r w:rsidR="00012675" w:rsidRPr="00903BA3">
              <w:rPr>
                <w:i/>
                <w:sz w:val="22"/>
                <w:szCs w:val="22"/>
              </w:rPr>
              <w:t>.</w:t>
            </w:r>
            <w:r w:rsidRPr="00903BA3">
              <w:rPr>
                <w:i/>
                <w:sz w:val="22"/>
                <w:szCs w:val="22"/>
              </w:rPr>
              <w:t xml:space="preserve"> </w:t>
            </w:r>
            <w:r w:rsidR="00012675" w:rsidRPr="00903BA3">
              <w:rPr>
                <w:i/>
                <w:sz w:val="22"/>
                <w:szCs w:val="22"/>
              </w:rPr>
              <w:t>However, the PSEL</w:t>
            </w:r>
            <w:r w:rsidR="00E81ECC" w:rsidRPr="00903BA3">
              <w:rPr>
                <w:i/>
                <w:sz w:val="22"/>
                <w:szCs w:val="22"/>
              </w:rPr>
              <w:t xml:space="preserve"> is </w:t>
            </w:r>
            <w:r w:rsidR="00012675" w:rsidRPr="00903BA3">
              <w:rPr>
                <w:i/>
                <w:sz w:val="22"/>
                <w:szCs w:val="22"/>
              </w:rPr>
              <w:t xml:space="preserve">only </w:t>
            </w:r>
            <w:r w:rsidR="00E81ECC" w:rsidRPr="00903BA3">
              <w:rPr>
                <w:i/>
                <w:sz w:val="22"/>
                <w:szCs w:val="22"/>
              </w:rPr>
              <w:t>one element of an overall regulatory system that ensures</w:t>
            </w:r>
            <w:r w:rsidRPr="00903BA3">
              <w:rPr>
                <w:i/>
                <w:sz w:val="22"/>
                <w:szCs w:val="22"/>
              </w:rPr>
              <w:t xml:space="preserve"> compliance with the NAAQS. </w:t>
            </w:r>
          </w:p>
          <w:p w:rsidR="00607C83" w:rsidRPr="00903BA3" w:rsidRDefault="00607C83" w:rsidP="000B4801">
            <w:pPr>
              <w:pStyle w:val="ColorfulList-Accent11"/>
              <w:ind w:left="0"/>
              <w:rPr>
                <w:i/>
                <w:sz w:val="22"/>
                <w:szCs w:val="22"/>
              </w:rPr>
            </w:pPr>
          </w:p>
          <w:p w:rsidR="003A12D7" w:rsidRDefault="003A12D7" w:rsidP="000B4801">
            <w:pPr>
              <w:autoSpaceDE w:val="0"/>
              <w:autoSpaceDN w:val="0"/>
              <w:adjustRightInd w:val="0"/>
              <w:ind w:right="-180"/>
              <w:rPr>
                <w:i/>
                <w:sz w:val="22"/>
                <w:szCs w:val="22"/>
              </w:rPr>
            </w:pPr>
            <w:r w:rsidRPr="00903BA3">
              <w:rPr>
                <w:i/>
                <w:color w:val="000000"/>
                <w:sz w:val="22"/>
                <w:szCs w:val="22"/>
              </w:rPr>
              <w:t xml:space="preserve">The CAA requires all areas of the country to meet or strive to comply with the National Ambient Air Quality Standards set by EPA. The Clean Air Act established two types of </w:t>
            </w:r>
            <w:r w:rsidR="00BA39F6" w:rsidRPr="00903BA3">
              <w:rPr>
                <w:i/>
                <w:color w:val="000000"/>
                <w:sz w:val="22"/>
                <w:szCs w:val="22"/>
              </w:rPr>
              <w:t>NAAQS</w:t>
            </w:r>
            <w:r w:rsidRPr="00903BA3">
              <w:rPr>
                <w:i/>
                <w:color w:val="000000"/>
                <w:sz w:val="22"/>
                <w:szCs w:val="22"/>
              </w:rPr>
              <w:t>.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w:t>
            </w:r>
            <w:r w:rsidRPr="00903BA3">
              <w:rPr>
                <w:color w:val="000000"/>
                <w:sz w:val="22"/>
                <w:szCs w:val="22"/>
              </w:rPr>
              <w:t xml:space="preserve"> </w:t>
            </w:r>
            <w:r w:rsidRPr="00903BA3">
              <w:rPr>
                <w:i/>
                <w:sz w:val="22"/>
                <w:szCs w:val="22"/>
              </w:rPr>
              <w:t xml:space="preserve">State and local governments </w:t>
            </w:r>
            <w:r w:rsidRPr="00903BA3">
              <w:rPr>
                <w:b/>
                <w:i/>
                <w:sz w:val="22"/>
                <w:szCs w:val="22"/>
              </w:rPr>
              <w:t>monitor</w:t>
            </w:r>
            <w:r w:rsidRPr="00903BA3">
              <w:rPr>
                <w:i/>
                <w:sz w:val="22"/>
                <w:szCs w:val="22"/>
              </w:rPr>
              <w:t xml:space="preserve"> the ambient air to determine whether the levels of pollution comply with the NAAQS. A region that does not meet the standard is considered a nonattainment area. Once the EPA </w:t>
            </w:r>
            <w:r w:rsidR="00E81ECC" w:rsidRPr="00903BA3">
              <w:rPr>
                <w:i/>
                <w:sz w:val="22"/>
                <w:szCs w:val="22"/>
              </w:rPr>
              <w:t>designates nonattainment areas</w:t>
            </w:r>
            <w:r w:rsidRPr="00903BA3">
              <w:rPr>
                <w:i/>
                <w:sz w:val="22"/>
                <w:szCs w:val="22"/>
              </w:rPr>
              <w:t>, the state works with businesses, local governments, and the public to reduce the emissions from sources contributing to the nonattainment status of the area.</w:t>
            </w:r>
          </w:p>
          <w:p w:rsidR="00607C83" w:rsidRPr="00903BA3" w:rsidRDefault="00607C83" w:rsidP="000B4801">
            <w:pPr>
              <w:autoSpaceDE w:val="0"/>
              <w:autoSpaceDN w:val="0"/>
              <w:adjustRightInd w:val="0"/>
              <w:ind w:right="-180"/>
              <w:rPr>
                <w:i/>
                <w:sz w:val="22"/>
                <w:szCs w:val="22"/>
              </w:rPr>
            </w:pPr>
          </w:p>
          <w:p w:rsidR="003A12D7" w:rsidRDefault="003A12D7" w:rsidP="000B4801">
            <w:pPr>
              <w:rPr>
                <w:i/>
                <w:color w:val="000000"/>
                <w:sz w:val="22"/>
                <w:szCs w:val="22"/>
              </w:rPr>
            </w:pPr>
            <w:r w:rsidRPr="00903BA3">
              <w:rPr>
                <w:i/>
                <w:color w:val="000000"/>
                <w:sz w:val="22"/>
                <w:szCs w:val="22"/>
              </w:rPr>
              <w:t xml:space="preserve">One of the key programs designed to </w:t>
            </w:r>
            <w:r w:rsidR="00012675" w:rsidRPr="00903BA3">
              <w:rPr>
                <w:i/>
                <w:color w:val="000000"/>
                <w:sz w:val="22"/>
                <w:szCs w:val="22"/>
              </w:rPr>
              <w:t xml:space="preserve">help </w:t>
            </w:r>
            <w:r w:rsidRPr="00903BA3">
              <w:rPr>
                <w:i/>
                <w:color w:val="000000"/>
                <w:sz w:val="22"/>
                <w:szCs w:val="22"/>
              </w:rPr>
              <w:t>achieve compliance with the NAAQS is the New Source Review (NSR) program, a preconstruction review process for new and modified stationary sources. The NSR program has two parts: the Prevention of Significant Deterioration (PSD) program for attainment or "clean" areas typically requires new or modified sources to install state-of-the-art pollution controls to ensure that the ambient air quality will not degrade. The non-attainment area NSR program is designed to ensure that any new industrial growth in a non-attainment area will comply with stringent emission limitations (by requiring the most protective pollution controls and emission offsets), with the goal of improving air quality overall to meet the NAAQS. The NSR program requires companies to obtain permit</w:t>
            </w:r>
            <w:r w:rsidR="00BA39F6" w:rsidRPr="00903BA3">
              <w:rPr>
                <w:i/>
                <w:color w:val="000000"/>
                <w:sz w:val="22"/>
                <w:szCs w:val="22"/>
              </w:rPr>
              <w:t>s</w:t>
            </w:r>
            <w:r w:rsidRPr="00903BA3">
              <w:rPr>
                <w:i/>
                <w:color w:val="000000"/>
                <w:sz w:val="22"/>
                <w:szCs w:val="22"/>
              </w:rPr>
              <w:t xml:space="preserve"> for new construction or major modifications that substantially increase a facility's emissions. </w:t>
            </w:r>
          </w:p>
          <w:p w:rsidR="00607C83" w:rsidRPr="00903BA3" w:rsidRDefault="00607C83" w:rsidP="000B4801">
            <w:pPr>
              <w:rPr>
                <w:i/>
                <w:color w:val="000000"/>
                <w:sz w:val="22"/>
                <w:szCs w:val="22"/>
              </w:rPr>
            </w:pPr>
          </w:p>
          <w:p w:rsidR="003A12D7" w:rsidRDefault="00E81ECC" w:rsidP="000B4801">
            <w:pPr>
              <w:autoSpaceDE w:val="0"/>
              <w:autoSpaceDN w:val="0"/>
              <w:adjustRightInd w:val="0"/>
              <w:ind w:right="-180"/>
              <w:rPr>
                <w:i/>
                <w:sz w:val="22"/>
                <w:szCs w:val="22"/>
              </w:rPr>
            </w:pPr>
            <w:r w:rsidRPr="00903BA3">
              <w:rPr>
                <w:i/>
                <w:sz w:val="22"/>
                <w:szCs w:val="22"/>
              </w:rPr>
              <w:t>However, regulating major new and modified sources is not sufficient to ensure compliance with the NAAQS</w:t>
            </w:r>
            <w:r w:rsidR="008D538C" w:rsidRPr="00903BA3">
              <w:rPr>
                <w:i/>
                <w:sz w:val="22"/>
                <w:szCs w:val="22"/>
              </w:rPr>
              <w:t xml:space="preserve">. </w:t>
            </w:r>
            <w:r w:rsidR="003A12D7" w:rsidRPr="00903BA3">
              <w:rPr>
                <w:i/>
                <w:sz w:val="22"/>
                <w:szCs w:val="22"/>
              </w:rPr>
              <w:t>States must submit a plan to EPA detailing steps necessary to achieve and maintain the</w:t>
            </w:r>
            <w:r w:rsidR="00C34758" w:rsidRPr="00903BA3">
              <w:rPr>
                <w:i/>
                <w:sz w:val="22"/>
                <w:szCs w:val="22"/>
              </w:rPr>
              <w:t xml:space="preserve"> NAAQS.</w:t>
            </w:r>
            <w:r w:rsidR="003A12D7" w:rsidRPr="00903BA3">
              <w:rPr>
                <w:i/>
                <w:sz w:val="22"/>
                <w:szCs w:val="22"/>
              </w:rPr>
              <w:t xml:space="preserve"> This plan is referred to as the State Implementation Plan or SIP. SIPs must include an inventory of emissions, enforceable emission limitations, related control measures, and schedules and time-tables for compliance that are necessary for the area to meet the Clean Air Act standards and opportunities for public input.</w:t>
            </w:r>
            <w:r w:rsidR="003A12D7" w:rsidRPr="00903BA3">
              <w:rPr>
                <w:i/>
                <w:color w:val="000000"/>
                <w:sz w:val="22"/>
                <w:szCs w:val="22"/>
              </w:rPr>
              <w:t xml:space="preserve"> </w:t>
            </w:r>
            <w:r w:rsidR="003A12D7" w:rsidRPr="00903BA3">
              <w:rPr>
                <w:i/>
                <w:sz w:val="22"/>
                <w:szCs w:val="22"/>
              </w:rPr>
              <w:t>Air monitoring is conducted to measure whether standards are being met.</w:t>
            </w:r>
          </w:p>
          <w:p w:rsidR="00607C83" w:rsidRPr="00903BA3" w:rsidRDefault="00607C83" w:rsidP="000B4801">
            <w:pPr>
              <w:autoSpaceDE w:val="0"/>
              <w:autoSpaceDN w:val="0"/>
              <w:adjustRightInd w:val="0"/>
              <w:ind w:right="-180"/>
              <w:rPr>
                <w:i/>
                <w:color w:val="000000"/>
                <w:sz w:val="22"/>
                <w:szCs w:val="22"/>
              </w:rPr>
            </w:pPr>
          </w:p>
          <w:p w:rsidR="003A12D7" w:rsidRPr="00903BA3" w:rsidRDefault="003A12D7" w:rsidP="000B4801">
            <w:pPr>
              <w:autoSpaceDE w:val="0"/>
              <w:autoSpaceDN w:val="0"/>
              <w:adjustRightInd w:val="0"/>
              <w:ind w:right="-180"/>
              <w:rPr>
                <w:i/>
                <w:sz w:val="22"/>
                <w:szCs w:val="22"/>
              </w:rPr>
            </w:pPr>
            <w:r w:rsidRPr="00903BA3">
              <w:rPr>
                <w:i/>
                <w:color w:val="000000"/>
                <w:sz w:val="22"/>
                <w:szCs w:val="22"/>
              </w:rPr>
              <w:t xml:space="preserve"> </w:t>
            </w:r>
            <w:r w:rsidRPr="00903BA3">
              <w:rPr>
                <w:i/>
                <w:sz w:val="22"/>
                <w:szCs w:val="22"/>
              </w:rPr>
              <w:t>If a state has nonattainment areas within its borders, the state must develop and submit an attainment plan to EPA detailing steps necessary to achieve the standard. Generally, the attainment plan includes modeling to demonstrate that the measures selected by the state will reduce emissions enough for the area to meet the standard. In addition, the Clean Air Act requires major sources of air pollution to meet stricter emission control requirements in nonattainment areas than are required in areas that meet federal health standards. For example, new sources of air pollution in nonattainment areas must meet stricter permitting requirements.</w:t>
            </w:r>
          </w:p>
          <w:p w:rsidR="003A12D7" w:rsidRPr="00903BA3" w:rsidRDefault="003A12D7" w:rsidP="000B4801">
            <w:pPr>
              <w:pStyle w:val="NormalWeb"/>
              <w:spacing w:before="0" w:beforeAutospacing="0" w:after="0" w:afterAutospacing="0"/>
              <w:rPr>
                <w:i/>
                <w:sz w:val="22"/>
                <w:szCs w:val="22"/>
              </w:rPr>
            </w:pPr>
            <w:r w:rsidRPr="00903BA3">
              <w:rPr>
                <w:i/>
                <w:sz w:val="22"/>
                <w:szCs w:val="22"/>
              </w:rPr>
              <w:t>States may ask EPA to redesignate an area back into attainment if:</w:t>
            </w:r>
          </w:p>
          <w:p w:rsidR="003A12D7" w:rsidRPr="00903BA3" w:rsidRDefault="003A12D7" w:rsidP="000B4801">
            <w:pPr>
              <w:numPr>
                <w:ilvl w:val="0"/>
                <w:numId w:val="4"/>
              </w:numPr>
              <w:rPr>
                <w:i/>
                <w:sz w:val="22"/>
                <w:szCs w:val="22"/>
              </w:rPr>
            </w:pPr>
            <w:r w:rsidRPr="00903BA3">
              <w:rPr>
                <w:i/>
                <w:sz w:val="22"/>
                <w:szCs w:val="22"/>
              </w:rPr>
              <w:t xml:space="preserve">the area has monitored attainment of the air quality standard; </w:t>
            </w:r>
          </w:p>
          <w:p w:rsidR="003A12D7" w:rsidRPr="00903BA3" w:rsidRDefault="003A12D7" w:rsidP="000B4801">
            <w:pPr>
              <w:numPr>
                <w:ilvl w:val="0"/>
                <w:numId w:val="4"/>
              </w:numPr>
              <w:rPr>
                <w:i/>
                <w:sz w:val="22"/>
                <w:szCs w:val="22"/>
              </w:rPr>
            </w:pPr>
            <w:r w:rsidRPr="00903BA3">
              <w:rPr>
                <w:i/>
                <w:sz w:val="22"/>
                <w:szCs w:val="22"/>
              </w:rPr>
              <w:t xml:space="preserve">EPA has determined that the improvement in air quality is due to permanent and enforceable reductions in emissions; </w:t>
            </w:r>
          </w:p>
          <w:p w:rsidR="003A12D7" w:rsidRPr="00903BA3" w:rsidRDefault="003A12D7" w:rsidP="000B4801">
            <w:pPr>
              <w:numPr>
                <w:ilvl w:val="0"/>
                <w:numId w:val="4"/>
              </w:numPr>
              <w:rPr>
                <w:i/>
                <w:sz w:val="22"/>
                <w:szCs w:val="22"/>
              </w:rPr>
            </w:pPr>
            <w:r w:rsidRPr="00903BA3">
              <w:rPr>
                <w:i/>
                <w:sz w:val="22"/>
                <w:szCs w:val="22"/>
              </w:rPr>
              <w:t xml:space="preserve">the state has submitted, and EPA has approved, a maintenance plan for the area; and, </w:t>
            </w:r>
          </w:p>
          <w:p w:rsidR="003A12D7" w:rsidRPr="00903BA3" w:rsidRDefault="003A12D7" w:rsidP="000B4801">
            <w:pPr>
              <w:numPr>
                <w:ilvl w:val="0"/>
                <w:numId w:val="4"/>
              </w:numPr>
              <w:rPr>
                <w:i/>
                <w:sz w:val="22"/>
                <w:szCs w:val="22"/>
              </w:rPr>
            </w:pPr>
            <w:r w:rsidRPr="00903BA3">
              <w:rPr>
                <w:i/>
                <w:sz w:val="22"/>
                <w:szCs w:val="22"/>
              </w:rPr>
              <w:lastRenderedPageBreak/>
              <w:t>the area has met all other applicable Clean Air Act requirements.</w:t>
            </w:r>
          </w:p>
          <w:p w:rsidR="00607C83" w:rsidRDefault="00607C83" w:rsidP="000B4801">
            <w:pPr>
              <w:pStyle w:val="NormalWeb"/>
              <w:spacing w:before="0" w:beforeAutospacing="0" w:after="0" w:afterAutospacing="0"/>
              <w:rPr>
                <w:i/>
                <w:sz w:val="22"/>
                <w:szCs w:val="22"/>
              </w:rPr>
            </w:pPr>
          </w:p>
          <w:p w:rsidR="003A12D7" w:rsidRPr="00903BA3" w:rsidRDefault="003A12D7" w:rsidP="000B4801">
            <w:pPr>
              <w:pStyle w:val="NormalWeb"/>
              <w:spacing w:before="0" w:beforeAutospacing="0" w:after="0" w:afterAutospacing="0"/>
              <w:rPr>
                <w:i/>
                <w:sz w:val="22"/>
                <w:szCs w:val="22"/>
              </w:rPr>
            </w:pPr>
            <w:r w:rsidRPr="00903BA3">
              <w:rPr>
                <w:i/>
                <w:sz w:val="22"/>
                <w:szCs w:val="22"/>
              </w:rPr>
              <w:t>Nonattainment areas that later are designated to attainment are considered maintenance areas. The steps to maintain air quality are defined in a maintenance plan.</w:t>
            </w:r>
            <w:r w:rsidR="002D2520" w:rsidRPr="00903BA3">
              <w:rPr>
                <w:i/>
                <w:sz w:val="22"/>
                <w:szCs w:val="22"/>
              </w:rPr>
              <w:t xml:space="preserve"> Unless demonstrated to be no longer necessary, </w:t>
            </w:r>
            <w:r w:rsidRPr="00903BA3">
              <w:rPr>
                <w:i/>
                <w:sz w:val="22"/>
                <w:szCs w:val="22"/>
              </w:rPr>
              <w:t>the control measures used to improve air quality will remain in place</w:t>
            </w:r>
            <w:r w:rsidR="002D2520" w:rsidRPr="00903BA3">
              <w:rPr>
                <w:i/>
                <w:sz w:val="22"/>
                <w:szCs w:val="22"/>
              </w:rPr>
              <w:t xml:space="preserve"> and additional measures could be needed</w:t>
            </w:r>
            <w:r w:rsidRPr="00903BA3">
              <w:rPr>
                <w:i/>
                <w:sz w:val="22"/>
                <w:szCs w:val="22"/>
              </w:rPr>
              <w:t>. The maintenance plan must demonstrate continued compliance, considering projected growth, for a period of ten years. If outdoor air monitors record a violation of the standard, the maintenance plan includes a commitment to determine appropriate measures to address the cause of the violation.</w:t>
            </w:r>
          </w:p>
          <w:p w:rsidR="00607C83" w:rsidRDefault="00607C83" w:rsidP="000B4801">
            <w:pPr>
              <w:pStyle w:val="Default"/>
              <w:rPr>
                <w:i/>
                <w:sz w:val="22"/>
                <w:szCs w:val="22"/>
              </w:rPr>
            </w:pPr>
          </w:p>
          <w:p w:rsidR="00012675" w:rsidRDefault="003A12D7" w:rsidP="000B4801">
            <w:pPr>
              <w:pStyle w:val="Default"/>
              <w:rPr>
                <w:i/>
                <w:sz w:val="22"/>
                <w:szCs w:val="22"/>
              </w:rPr>
            </w:pPr>
            <w:r w:rsidRPr="00903BA3">
              <w:rPr>
                <w:i/>
                <w:sz w:val="22"/>
                <w:szCs w:val="22"/>
              </w:rPr>
              <w:t>Oregon hasn’t always met the National Ambient Air Quality Standards and initially had several communities designated by the EPA as non-attainment areas</w:t>
            </w:r>
            <w:r w:rsidR="00012675" w:rsidRPr="00903BA3">
              <w:rPr>
                <w:i/>
                <w:sz w:val="22"/>
                <w:szCs w:val="22"/>
              </w:rPr>
              <w:t xml:space="preserve"> for ozone, carbon monoxide and particulate</w:t>
            </w:r>
            <w:r w:rsidRPr="00903BA3">
              <w:rPr>
                <w:i/>
                <w:sz w:val="22"/>
                <w:szCs w:val="22"/>
              </w:rPr>
              <w:t xml:space="preserve">. DEQ developed attainment plans for these areas which included more stringent controls, </w:t>
            </w:r>
            <w:r w:rsidR="00012675" w:rsidRPr="00903BA3">
              <w:rPr>
                <w:i/>
                <w:sz w:val="22"/>
                <w:szCs w:val="22"/>
              </w:rPr>
              <w:t xml:space="preserve">such as limits on </w:t>
            </w:r>
            <w:r w:rsidR="000A0E4F" w:rsidRPr="00903BA3">
              <w:rPr>
                <w:i/>
                <w:sz w:val="22"/>
                <w:szCs w:val="22"/>
              </w:rPr>
              <w:t>emissions of solvents and</w:t>
            </w:r>
            <w:r w:rsidRPr="00903BA3">
              <w:rPr>
                <w:i/>
                <w:sz w:val="22"/>
                <w:szCs w:val="22"/>
              </w:rPr>
              <w:t xml:space="preserve"> particulate matter limits on wood particle dryers and hardboard press vents. The more stringent controls </w:t>
            </w:r>
            <w:r w:rsidR="000A0E4F" w:rsidRPr="00903BA3">
              <w:rPr>
                <w:i/>
                <w:sz w:val="22"/>
                <w:szCs w:val="22"/>
              </w:rPr>
              <w:t>on industrial emissions</w:t>
            </w:r>
            <w:r w:rsidR="002D2520" w:rsidRPr="00903BA3">
              <w:rPr>
                <w:i/>
                <w:sz w:val="22"/>
                <w:szCs w:val="22"/>
              </w:rPr>
              <w:t xml:space="preserve"> resulted in reductions to the PSEL and netting basis.</w:t>
            </w:r>
            <w:r w:rsidRPr="00903BA3">
              <w:rPr>
                <w:i/>
                <w:sz w:val="22"/>
                <w:szCs w:val="22"/>
              </w:rPr>
              <w:t xml:space="preserve"> </w:t>
            </w:r>
            <w:r w:rsidR="002D2520" w:rsidRPr="00903BA3">
              <w:rPr>
                <w:i/>
                <w:sz w:val="22"/>
                <w:szCs w:val="22"/>
              </w:rPr>
              <w:t>In this sense, the</w:t>
            </w:r>
            <w:r w:rsidRPr="00903BA3">
              <w:rPr>
                <w:i/>
                <w:sz w:val="22"/>
                <w:szCs w:val="22"/>
              </w:rPr>
              <w:t xml:space="preserve"> PSELs </w:t>
            </w:r>
            <w:r w:rsidR="002D2520" w:rsidRPr="00903BA3">
              <w:rPr>
                <w:i/>
                <w:sz w:val="22"/>
                <w:szCs w:val="22"/>
              </w:rPr>
              <w:t>help</w:t>
            </w:r>
            <w:r w:rsidRPr="00903BA3">
              <w:rPr>
                <w:i/>
                <w:sz w:val="22"/>
                <w:szCs w:val="22"/>
              </w:rPr>
              <w:t xml:space="preserve"> achieve compliance with the NAAQS </w:t>
            </w:r>
            <w:r w:rsidR="002D2520" w:rsidRPr="00903BA3">
              <w:rPr>
                <w:i/>
                <w:sz w:val="22"/>
                <w:szCs w:val="22"/>
              </w:rPr>
              <w:t>even though they</w:t>
            </w:r>
            <w:r w:rsidRPr="00903BA3">
              <w:rPr>
                <w:i/>
                <w:sz w:val="22"/>
                <w:szCs w:val="22"/>
              </w:rPr>
              <w:t xml:space="preserve"> are not used to demonstrate compliance with the NAAQS. With these and other control strategies, all of the nonattainment areas </w:t>
            </w:r>
            <w:r w:rsidR="002D2520" w:rsidRPr="00903BA3">
              <w:rPr>
                <w:i/>
                <w:sz w:val="22"/>
                <w:szCs w:val="22"/>
              </w:rPr>
              <w:t xml:space="preserve">under DEQ's jurisdiction </w:t>
            </w:r>
            <w:r w:rsidRPr="00903BA3">
              <w:rPr>
                <w:i/>
                <w:sz w:val="22"/>
                <w:szCs w:val="22"/>
              </w:rPr>
              <w:t xml:space="preserve">were redesignated as maintenance areas in the 1990s and have remained in compliance ever since. </w:t>
            </w:r>
          </w:p>
          <w:p w:rsidR="00607C83" w:rsidRPr="00903BA3" w:rsidRDefault="00607C83" w:rsidP="000B4801">
            <w:pPr>
              <w:pStyle w:val="Default"/>
              <w:rPr>
                <w:i/>
                <w:sz w:val="22"/>
                <w:szCs w:val="22"/>
              </w:rPr>
            </w:pPr>
          </w:p>
          <w:p w:rsidR="003A12D7" w:rsidRDefault="003A12D7" w:rsidP="000B4801">
            <w:pPr>
              <w:autoSpaceDE w:val="0"/>
              <w:autoSpaceDN w:val="0"/>
              <w:adjustRightInd w:val="0"/>
              <w:ind w:right="-180"/>
              <w:rPr>
                <w:i/>
                <w:color w:val="000000"/>
                <w:sz w:val="22"/>
                <w:szCs w:val="22"/>
              </w:rPr>
            </w:pPr>
            <w:r w:rsidRPr="00903BA3">
              <w:rPr>
                <w:i/>
                <w:color w:val="000000"/>
                <w:sz w:val="22"/>
                <w:szCs w:val="22"/>
              </w:rPr>
              <w:t>The PM</w:t>
            </w:r>
            <w:r w:rsidRPr="00903BA3">
              <w:rPr>
                <w:i/>
                <w:color w:val="000000"/>
                <w:sz w:val="22"/>
                <w:szCs w:val="22"/>
                <w:vertAlign w:val="subscript"/>
              </w:rPr>
              <w:t>10</w:t>
            </w:r>
            <w:r w:rsidRPr="00903BA3">
              <w:rPr>
                <w:i/>
                <w:color w:val="000000"/>
                <w:sz w:val="22"/>
                <w:szCs w:val="22"/>
              </w:rPr>
              <w:t xml:space="preserve"> control strategies in the maintenance plans were so effective that when EPA developed the first PM</w:t>
            </w:r>
            <w:r w:rsidRPr="00903BA3">
              <w:rPr>
                <w:i/>
                <w:color w:val="000000"/>
                <w:sz w:val="22"/>
                <w:szCs w:val="22"/>
                <w:vertAlign w:val="subscript"/>
              </w:rPr>
              <w:t>2.5</w:t>
            </w:r>
            <w:r w:rsidRPr="00903BA3">
              <w:rPr>
                <w:i/>
                <w:color w:val="000000"/>
                <w:sz w:val="22"/>
                <w:szCs w:val="22"/>
              </w:rPr>
              <w:t xml:space="preserve"> ambient air quality standards, there were no PM</w:t>
            </w:r>
            <w:r w:rsidRPr="00903BA3">
              <w:rPr>
                <w:i/>
                <w:color w:val="000000"/>
                <w:sz w:val="22"/>
                <w:szCs w:val="22"/>
                <w:vertAlign w:val="subscript"/>
              </w:rPr>
              <w:t>2.5</w:t>
            </w:r>
            <w:r w:rsidRPr="00903BA3">
              <w:rPr>
                <w:i/>
                <w:color w:val="000000"/>
                <w:sz w:val="22"/>
                <w:szCs w:val="22"/>
              </w:rPr>
              <w:t xml:space="preserve"> nonattainment areas in the state. Only later when EPA reduced the PM</w:t>
            </w:r>
            <w:r w:rsidRPr="00903BA3">
              <w:rPr>
                <w:i/>
                <w:color w:val="000000"/>
                <w:sz w:val="22"/>
                <w:szCs w:val="22"/>
                <w:vertAlign w:val="subscript"/>
              </w:rPr>
              <w:t>2.5</w:t>
            </w:r>
            <w:r w:rsidRPr="00903BA3">
              <w:rPr>
                <w:i/>
                <w:color w:val="000000"/>
                <w:sz w:val="22"/>
                <w:szCs w:val="22"/>
              </w:rPr>
              <w:t xml:space="preserve"> NAAQS, two areas in the state were designated as nonattainment areas. An additional area in the state is violating the standard based on recent monitoring data, but it has not officially been designated as a nonattainment area yet. </w:t>
            </w:r>
          </w:p>
          <w:p w:rsidR="00607C83" w:rsidRPr="00903BA3" w:rsidRDefault="00607C83" w:rsidP="000B4801">
            <w:pPr>
              <w:autoSpaceDE w:val="0"/>
              <w:autoSpaceDN w:val="0"/>
              <w:adjustRightInd w:val="0"/>
              <w:ind w:right="-180"/>
              <w:rPr>
                <w:i/>
                <w:color w:val="000000"/>
                <w:sz w:val="22"/>
                <w:szCs w:val="22"/>
              </w:rPr>
            </w:pPr>
          </w:p>
          <w:p w:rsidR="003A12D7" w:rsidRDefault="003A12D7" w:rsidP="000B4801">
            <w:pPr>
              <w:pStyle w:val="NormalWeb"/>
              <w:spacing w:before="0" w:beforeAutospacing="0" w:after="0" w:afterAutospacing="0"/>
              <w:rPr>
                <w:i/>
                <w:color w:val="000000"/>
                <w:sz w:val="22"/>
                <w:szCs w:val="22"/>
              </w:rPr>
            </w:pPr>
            <w:r w:rsidRPr="00903BA3">
              <w:rPr>
                <w:i/>
                <w:sz w:val="22"/>
                <w:szCs w:val="22"/>
              </w:rPr>
              <w:t xml:space="preserve">Based on the fact that </w:t>
            </w:r>
            <w:r w:rsidR="002D2520" w:rsidRPr="00903BA3">
              <w:rPr>
                <w:i/>
                <w:sz w:val="22"/>
                <w:szCs w:val="22"/>
              </w:rPr>
              <w:t>the only</w:t>
            </w:r>
            <w:r w:rsidRPr="00903BA3">
              <w:rPr>
                <w:i/>
                <w:sz w:val="22"/>
                <w:szCs w:val="22"/>
              </w:rPr>
              <w:t xml:space="preserve"> NAAQS</w:t>
            </w:r>
            <w:r w:rsidR="002D2520" w:rsidRPr="00903BA3">
              <w:rPr>
                <w:i/>
                <w:sz w:val="22"/>
                <w:szCs w:val="22"/>
              </w:rPr>
              <w:t xml:space="preserve"> violations in the state are for a pollutant for which EPA recently lowered the NAAQS</w:t>
            </w:r>
            <w:r w:rsidRPr="00903BA3">
              <w:rPr>
                <w:i/>
                <w:sz w:val="22"/>
                <w:szCs w:val="22"/>
              </w:rPr>
              <w:t xml:space="preserve">, DEQ’s air quality program has been very successful in protecting air quality in the state. </w:t>
            </w:r>
            <w:r w:rsidR="00A21C65" w:rsidRPr="00903BA3">
              <w:rPr>
                <w:i/>
                <w:color w:val="000000"/>
                <w:sz w:val="22"/>
                <w:szCs w:val="22"/>
              </w:rPr>
              <w:t>No change to the rule is proposed in response to this comment.</w:t>
            </w:r>
            <w:r w:rsidRPr="00903BA3">
              <w:rPr>
                <w:i/>
                <w:color w:val="000000"/>
                <w:sz w:val="22"/>
                <w:szCs w:val="22"/>
              </w:rPr>
              <w:t xml:space="preserve"> </w:t>
            </w:r>
          </w:p>
          <w:p w:rsidR="00607C83" w:rsidRPr="00903BA3" w:rsidRDefault="00607C83" w:rsidP="000B4801">
            <w:pPr>
              <w:pStyle w:val="NormalWeb"/>
              <w:spacing w:before="0" w:beforeAutospacing="0" w:after="0" w:afterAutospacing="0"/>
              <w:rPr>
                <w:i/>
                <w:sz w:val="22"/>
                <w:szCs w:val="22"/>
              </w:rPr>
            </w:pPr>
          </w:p>
        </w:tc>
      </w:tr>
      <w:tr w:rsidR="003A12D7" w:rsidRPr="00903BA3"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03BA3" w:rsidRDefault="00607C83" w:rsidP="00607C83">
            <w:pPr>
              <w:rPr>
                <w:sz w:val="22"/>
                <w:szCs w:val="22"/>
              </w:rPr>
            </w:pPr>
            <w:bookmarkStart w:id="10" w:name="_Ref283933944"/>
            <w:r>
              <w:rPr>
                <w:sz w:val="22"/>
                <w:szCs w:val="22"/>
              </w:rPr>
              <w:lastRenderedPageBreak/>
              <w:t xml:space="preserve">54. </w:t>
            </w:r>
            <w:bookmarkEnd w:id="10"/>
            <w:r w:rsidR="003A12D7" w:rsidRPr="00903BA3">
              <w:rPr>
                <w:sz w:val="22"/>
                <w:szCs w:val="22"/>
              </w:rPr>
              <w:t>Compliance with the PSD increment</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Default="003A12D7" w:rsidP="000B4801">
            <w:pPr>
              <w:autoSpaceDE w:val="0"/>
              <w:autoSpaceDN w:val="0"/>
              <w:adjustRightInd w:val="0"/>
              <w:ind w:right="-180"/>
              <w:rPr>
                <w:sz w:val="22"/>
                <w:szCs w:val="22"/>
              </w:rPr>
            </w:pPr>
            <w:r w:rsidRPr="00903BA3">
              <w:rPr>
                <w:sz w:val="22"/>
                <w:szCs w:val="22"/>
              </w:rPr>
              <w:t>DEQ’s implementation of the PSELs fails to ensure compliance with the NAAQS and PSD increment (12)</w:t>
            </w:r>
          </w:p>
          <w:p w:rsidR="00607C83" w:rsidRPr="00903BA3" w:rsidRDefault="00607C83" w:rsidP="000B4801">
            <w:pPr>
              <w:autoSpaceDE w:val="0"/>
              <w:autoSpaceDN w:val="0"/>
              <w:adjustRightInd w:val="0"/>
              <w:ind w:right="-180"/>
              <w:rPr>
                <w:sz w:val="22"/>
                <w:szCs w:val="22"/>
              </w:rPr>
            </w:pPr>
          </w:p>
          <w:p w:rsidR="003A12D7" w:rsidRPr="00903BA3" w:rsidRDefault="003A12D7" w:rsidP="000B4801">
            <w:pPr>
              <w:autoSpaceDE w:val="0"/>
              <w:autoSpaceDN w:val="0"/>
              <w:adjustRightInd w:val="0"/>
              <w:ind w:right="-180"/>
              <w:rPr>
                <w:i/>
                <w:sz w:val="22"/>
                <w:szCs w:val="22"/>
              </w:rPr>
            </w:pPr>
            <w:r w:rsidRPr="00903BA3">
              <w:rPr>
                <w:i/>
                <w:sz w:val="22"/>
                <w:szCs w:val="22"/>
              </w:rPr>
              <w:t>Response:</w:t>
            </w:r>
          </w:p>
          <w:p w:rsidR="003A12D7" w:rsidRPr="00903BA3" w:rsidRDefault="003A12D7" w:rsidP="000B4801">
            <w:pPr>
              <w:pStyle w:val="ColorfulList-Accent11"/>
              <w:ind w:left="0"/>
              <w:rPr>
                <w:i/>
                <w:sz w:val="22"/>
                <w:szCs w:val="22"/>
              </w:rPr>
            </w:pPr>
            <w:r w:rsidRPr="00903BA3">
              <w:rPr>
                <w:i/>
                <w:sz w:val="22"/>
                <w:szCs w:val="22"/>
              </w:rPr>
              <w:t xml:space="preserve">The PSEL program provides the </w:t>
            </w:r>
            <w:r w:rsidRPr="00903BA3">
              <w:rPr>
                <w:b/>
                <w:i/>
                <w:sz w:val="22"/>
                <w:szCs w:val="22"/>
              </w:rPr>
              <w:t>basis</w:t>
            </w:r>
            <w:r w:rsidRPr="00903BA3">
              <w:rPr>
                <w:i/>
                <w:sz w:val="22"/>
                <w:szCs w:val="22"/>
              </w:rPr>
              <w:t xml:space="preserve"> for assuring compliance with ambient standards and PSD increments but is not the actual method used to evaluate increment consumption. </w:t>
            </w:r>
          </w:p>
          <w:p w:rsidR="003A12D7" w:rsidRPr="00903BA3" w:rsidRDefault="003A12D7" w:rsidP="000B4801">
            <w:pPr>
              <w:pStyle w:val="NormalWeb"/>
              <w:spacing w:before="0" w:beforeAutospacing="0" w:after="0" w:afterAutospacing="0"/>
              <w:rPr>
                <w:i/>
                <w:sz w:val="22"/>
                <w:szCs w:val="22"/>
              </w:rPr>
            </w:pPr>
            <w:r w:rsidRPr="00903BA3">
              <w:rPr>
                <w:i/>
                <w:sz w:val="22"/>
                <w:szCs w:val="22"/>
              </w:rPr>
              <w:t>A PSD increment is the</w:t>
            </w:r>
            <w:r w:rsidR="001C1EE8" w:rsidRPr="00903BA3">
              <w:rPr>
                <w:i/>
                <w:sz w:val="22"/>
                <w:szCs w:val="22"/>
              </w:rPr>
              <w:t xml:space="preserve"> maximum concentration increase</w:t>
            </w:r>
            <w:r w:rsidRPr="00903BA3">
              <w:rPr>
                <w:i/>
                <w:sz w:val="22"/>
                <w:szCs w:val="22"/>
              </w:rPr>
              <w:t xml:space="preserve"> that is allowed to occur above a baseline concentration for a specific pollutant in </w:t>
            </w:r>
            <w:r w:rsidR="006C7E61" w:rsidRPr="00903BA3">
              <w:rPr>
                <w:i/>
                <w:sz w:val="22"/>
                <w:szCs w:val="22"/>
              </w:rPr>
              <w:t>permitting</w:t>
            </w:r>
            <w:r w:rsidRPr="00903BA3">
              <w:rPr>
                <w:i/>
                <w:sz w:val="22"/>
                <w:szCs w:val="22"/>
              </w:rPr>
              <w:t xml:space="preserve"> a new or </w:t>
            </w:r>
            <w:r w:rsidR="006C7E61" w:rsidRPr="00903BA3">
              <w:rPr>
                <w:i/>
                <w:sz w:val="22"/>
                <w:szCs w:val="22"/>
              </w:rPr>
              <w:t xml:space="preserve">modified </w:t>
            </w:r>
            <w:r w:rsidRPr="00903BA3">
              <w:rPr>
                <w:i/>
                <w:sz w:val="22"/>
                <w:szCs w:val="22"/>
              </w:rPr>
              <w:t>source. The baseline concentration is defined for each pollutant and, in general, is equal to the ambient concentration existing during the baseline concentration year. PSD increments prevent the air quality in clean areas from deteriorating to the level set by the NAAQS. Significant deterioration is said to occur when the amount of new pollution would exceed the applicable PSD increment. It is important to note, however, that the air quality cannot deteriorate beyond the applicable NAAQS level, even if not all of the PSD increment is consumed.</w:t>
            </w:r>
          </w:p>
          <w:p w:rsidR="00607C83" w:rsidRDefault="00607C83" w:rsidP="000B4801">
            <w:pPr>
              <w:autoSpaceDE w:val="0"/>
              <w:autoSpaceDN w:val="0"/>
              <w:adjustRightInd w:val="0"/>
              <w:rPr>
                <w:b/>
                <w:i/>
                <w:sz w:val="22"/>
                <w:szCs w:val="22"/>
              </w:rPr>
            </w:pPr>
          </w:p>
          <w:p w:rsidR="003A12D7" w:rsidRPr="00903BA3" w:rsidRDefault="003A12D7" w:rsidP="000B4801">
            <w:pPr>
              <w:autoSpaceDE w:val="0"/>
              <w:autoSpaceDN w:val="0"/>
              <w:adjustRightInd w:val="0"/>
              <w:rPr>
                <w:b/>
                <w:i/>
                <w:sz w:val="22"/>
                <w:szCs w:val="22"/>
              </w:rPr>
            </w:pPr>
            <w:r w:rsidRPr="00903BA3">
              <w:rPr>
                <w:b/>
                <w:i/>
                <w:sz w:val="22"/>
                <w:szCs w:val="22"/>
              </w:rPr>
              <w:t>General Approach to Increment Analyses</w:t>
            </w:r>
          </w:p>
          <w:p w:rsidR="00607C83" w:rsidRDefault="003A12D7" w:rsidP="000B4801">
            <w:pPr>
              <w:autoSpaceDE w:val="0"/>
              <w:autoSpaceDN w:val="0"/>
              <w:adjustRightInd w:val="0"/>
              <w:rPr>
                <w:i/>
                <w:sz w:val="22"/>
                <w:szCs w:val="22"/>
              </w:rPr>
            </w:pPr>
            <w:r w:rsidRPr="00903BA3">
              <w:rPr>
                <w:i/>
                <w:sz w:val="22"/>
                <w:szCs w:val="22"/>
              </w:rPr>
              <w:lastRenderedPageBreak/>
              <w:t xml:space="preserve">The EPA and the States have generally used an emissions inventory and modeling approach to identify the degree to which an increment has been consumed or will be consumed by major source construction. Ambient monitoring has not been used to establish baseline concentrations or to evaluate increment consumption because ambient measurements reflect emissions from all sources, including those that should be excluded from the measurements. </w:t>
            </w:r>
          </w:p>
          <w:p w:rsidR="00607C83" w:rsidRDefault="00607C83" w:rsidP="000B4801">
            <w:pPr>
              <w:autoSpaceDE w:val="0"/>
              <w:autoSpaceDN w:val="0"/>
              <w:adjustRightInd w:val="0"/>
              <w:rPr>
                <w:i/>
                <w:sz w:val="22"/>
                <w:szCs w:val="22"/>
              </w:rPr>
            </w:pPr>
          </w:p>
          <w:p w:rsidR="003A12D7" w:rsidRPr="00903BA3" w:rsidRDefault="003A12D7" w:rsidP="000B4801">
            <w:pPr>
              <w:autoSpaceDE w:val="0"/>
              <w:autoSpaceDN w:val="0"/>
              <w:adjustRightInd w:val="0"/>
              <w:rPr>
                <w:i/>
                <w:sz w:val="22"/>
                <w:szCs w:val="22"/>
              </w:rPr>
            </w:pPr>
            <w:r w:rsidRPr="00903BA3">
              <w:rPr>
                <w:i/>
                <w:sz w:val="22"/>
                <w:szCs w:val="22"/>
              </w:rPr>
              <w:t>EPA has not necessarily required the identification of a specific baseline concentration but rather has focused on measuring the change in concentration from the legally established baseline date to the time of the analysis. For example, in the preamble to the 1978 PSD regulation, EPA stated the following:</w:t>
            </w:r>
          </w:p>
          <w:p w:rsidR="003A12D7" w:rsidRPr="00903BA3" w:rsidRDefault="003A12D7" w:rsidP="000B4801">
            <w:pPr>
              <w:autoSpaceDE w:val="0"/>
              <w:autoSpaceDN w:val="0"/>
              <w:adjustRightInd w:val="0"/>
              <w:ind w:left="720"/>
              <w:rPr>
                <w:i/>
                <w:sz w:val="22"/>
                <w:szCs w:val="22"/>
              </w:rPr>
            </w:pPr>
            <w:r w:rsidRPr="00903BA3">
              <w:rPr>
                <w:i/>
                <w:sz w:val="22"/>
                <w:szCs w:val="22"/>
              </w:rPr>
              <w:t>The regulations promulgated today no longer suggest that the baseline concentration be formally established. The Administrator feels that increment consumption can be best tracked by tallying changes in emissions levels of sources contributing to the baseline concentration and increases in emissions due to new sources. Data to establish baseline air quality in an absolute sense would be needed only if increment consumption were to be tracked using ambient measurements. Thus, to implement the air quality increment approach, the reviewing authority needs to verify that all changes from baseline emissions rates (decreases or increases as appropriate) in conjunction with the increased emissions associated with approved new source construction will not violate an applicable increment * * *.</w:t>
            </w:r>
          </w:p>
          <w:p w:rsidR="00607C83" w:rsidRDefault="00607C83" w:rsidP="000B4801">
            <w:pPr>
              <w:autoSpaceDE w:val="0"/>
              <w:autoSpaceDN w:val="0"/>
              <w:adjustRightInd w:val="0"/>
              <w:rPr>
                <w:b/>
                <w:bCs/>
                <w:i/>
                <w:sz w:val="22"/>
                <w:szCs w:val="22"/>
              </w:rPr>
            </w:pPr>
          </w:p>
          <w:p w:rsidR="003A12D7" w:rsidRPr="00903BA3" w:rsidRDefault="003A12D7" w:rsidP="000B4801">
            <w:pPr>
              <w:autoSpaceDE w:val="0"/>
              <w:autoSpaceDN w:val="0"/>
              <w:adjustRightInd w:val="0"/>
              <w:rPr>
                <w:b/>
                <w:bCs/>
                <w:i/>
                <w:sz w:val="22"/>
                <w:szCs w:val="22"/>
              </w:rPr>
            </w:pPr>
            <w:r w:rsidRPr="00903BA3">
              <w:rPr>
                <w:b/>
                <w:bCs/>
                <w:i/>
                <w:sz w:val="22"/>
                <w:szCs w:val="22"/>
              </w:rPr>
              <w:t>Class I, II, and III Areas and Increment.</w:t>
            </w:r>
          </w:p>
          <w:p w:rsidR="003A12D7" w:rsidRPr="00903BA3" w:rsidRDefault="003A12D7" w:rsidP="000B4801">
            <w:pPr>
              <w:autoSpaceDE w:val="0"/>
              <w:autoSpaceDN w:val="0"/>
              <w:adjustRightInd w:val="0"/>
              <w:rPr>
                <w:i/>
                <w:sz w:val="22"/>
                <w:szCs w:val="22"/>
              </w:rPr>
            </w:pPr>
            <w:r w:rsidRPr="00903BA3">
              <w:rPr>
                <w:i/>
                <w:sz w:val="22"/>
                <w:szCs w:val="22"/>
              </w:rPr>
              <w:t xml:space="preserve">The PSD requirements provide for a system of area classifications which affords States an opportunity to </w:t>
            </w:r>
            <w:r w:rsidR="006C7E61" w:rsidRPr="00903BA3">
              <w:rPr>
                <w:i/>
                <w:sz w:val="22"/>
                <w:szCs w:val="22"/>
              </w:rPr>
              <w:t xml:space="preserve">establish air quality goals that are consistent with </w:t>
            </w:r>
            <w:r w:rsidRPr="00903BA3">
              <w:rPr>
                <w:i/>
                <w:sz w:val="22"/>
                <w:szCs w:val="22"/>
              </w:rPr>
              <w:t>local land use goals. There are three area classifications. Each classification differs in terms of the amount of growth it will permit before significant air quality deterioration would be deemed to occur. Class I areas have the smallest increments and thus allow only a small degree of air quality deterioration. Class II areas can accommodate normal well-managed industrial growth. Class III areas have the largest increments and thereby provide for a larger amount of development than either Class I or Class II areas.</w:t>
            </w:r>
          </w:p>
          <w:p w:rsidR="00607C83" w:rsidRDefault="00607C83" w:rsidP="000B4801">
            <w:pPr>
              <w:autoSpaceDE w:val="0"/>
              <w:autoSpaceDN w:val="0"/>
              <w:adjustRightInd w:val="0"/>
              <w:rPr>
                <w:b/>
                <w:bCs/>
                <w:i/>
                <w:sz w:val="22"/>
                <w:szCs w:val="22"/>
              </w:rPr>
            </w:pPr>
          </w:p>
          <w:p w:rsidR="003A12D7" w:rsidRPr="00903BA3" w:rsidRDefault="003A12D7" w:rsidP="000B4801">
            <w:pPr>
              <w:autoSpaceDE w:val="0"/>
              <w:autoSpaceDN w:val="0"/>
              <w:adjustRightInd w:val="0"/>
              <w:rPr>
                <w:i/>
                <w:sz w:val="22"/>
                <w:szCs w:val="22"/>
              </w:rPr>
            </w:pPr>
            <w:r w:rsidRPr="00903BA3">
              <w:rPr>
                <w:b/>
                <w:bCs/>
                <w:i/>
                <w:sz w:val="22"/>
                <w:szCs w:val="22"/>
              </w:rPr>
              <w:t xml:space="preserve">Increment Consumption and Expansion </w:t>
            </w:r>
          </w:p>
          <w:p w:rsidR="003A12D7" w:rsidRPr="00903BA3" w:rsidRDefault="003A12D7" w:rsidP="000B4801">
            <w:pPr>
              <w:autoSpaceDE w:val="0"/>
              <w:autoSpaceDN w:val="0"/>
              <w:adjustRightInd w:val="0"/>
              <w:rPr>
                <w:i/>
                <w:sz w:val="22"/>
                <w:szCs w:val="22"/>
              </w:rPr>
            </w:pPr>
            <w:r w:rsidRPr="00903BA3">
              <w:rPr>
                <w:i/>
                <w:sz w:val="22"/>
                <w:szCs w:val="22"/>
              </w:rPr>
              <w:t>The amount of PSD increment that has been consumed in a PSD area is determined from the emissions increases and decreases which have occurred from sources since the applicable baseline date. It is useful to note, however, that in order to determine the amount of PSD increment consumed (or the amount of available increment)</w:t>
            </w:r>
            <w:r w:rsidR="00260ACE" w:rsidRPr="00903BA3">
              <w:rPr>
                <w:i/>
                <w:sz w:val="22"/>
                <w:szCs w:val="22"/>
              </w:rPr>
              <w:t xml:space="preserve">; </w:t>
            </w:r>
            <w:r w:rsidRPr="00903BA3">
              <w:rPr>
                <w:i/>
                <w:sz w:val="22"/>
                <w:szCs w:val="22"/>
              </w:rPr>
              <w:t>no determination of the baseline concentration needs to be made. Instead, increment consumption calculations must reflect only the ambient pollutant concentration change attributable to increment-affecting emissions.</w:t>
            </w:r>
          </w:p>
          <w:p w:rsidR="00607C83" w:rsidRDefault="00607C83" w:rsidP="000B4801">
            <w:pPr>
              <w:autoSpaceDE w:val="0"/>
              <w:autoSpaceDN w:val="0"/>
              <w:adjustRightInd w:val="0"/>
              <w:rPr>
                <w:i/>
                <w:sz w:val="22"/>
                <w:szCs w:val="22"/>
              </w:rPr>
            </w:pPr>
          </w:p>
          <w:p w:rsidR="003A12D7" w:rsidRPr="00903BA3" w:rsidRDefault="003A12D7" w:rsidP="000B4801">
            <w:pPr>
              <w:autoSpaceDE w:val="0"/>
              <w:autoSpaceDN w:val="0"/>
              <w:adjustRightInd w:val="0"/>
              <w:rPr>
                <w:i/>
                <w:sz w:val="22"/>
                <w:szCs w:val="22"/>
              </w:rPr>
            </w:pPr>
            <w:r w:rsidRPr="00903BA3">
              <w:rPr>
                <w:i/>
                <w:sz w:val="22"/>
                <w:szCs w:val="22"/>
              </w:rPr>
              <w:t xml:space="preserve">Emissions increases that consume a portion of the applicable increment are, in general, all those not accounted for in the baseline concentration and specifically include </w:t>
            </w:r>
            <w:r w:rsidRPr="00903BA3">
              <w:rPr>
                <w:i/>
                <w:iCs/>
                <w:sz w:val="22"/>
                <w:szCs w:val="22"/>
              </w:rPr>
              <w:t xml:space="preserve">actual emissions increases at any stationary source, area source, or mobile source occurring after the </w:t>
            </w:r>
            <w:r w:rsidR="005776C0" w:rsidRPr="00903BA3">
              <w:rPr>
                <w:bCs/>
                <w:i/>
                <w:iCs/>
                <w:sz w:val="22"/>
                <w:szCs w:val="22"/>
              </w:rPr>
              <w:t>baseline concentration year</w:t>
            </w:r>
            <w:r w:rsidRPr="00903BA3">
              <w:rPr>
                <w:i/>
                <w:sz w:val="22"/>
                <w:szCs w:val="22"/>
              </w:rPr>
              <w:t>. The amount of available increment may be added to, or "expanded," through the reduction of actual emissions from any source after the baseline</w:t>
            </w:r>
            <w:r w:rsidR="00D30BB4" w:rsidRPr="00903BA3">
              <w:rPr>
                <w:i/>
                <w:sz w:val="22"/>
                <w:szCs w:val="22"/>
              </w:rPr>
              <w:t xml:space="preserve"> concentration year</w:t>
            </w:r>
            <w:r w:rsidRPr="00903BA3">
              <w:rPr>
                <w:i/>
                <w:sz w:val="22"/>
                <w:szCs w:val="22"/>
              </w:rPr>
              <w:t xml:space="preserve">. </w:t>
            </w:r>
          </w:p>
          <w:p w:rsidR="00607C83" w:rsidRDefault="00607C83" w:rsidP="000B4801">
            <w:pPr>
              <w:autoSpaceDE w:val="0"/>
              <w:autoSpaceDN w:val="0"/>
              <w:adjustRightInd w:val="0"/>
              <w:ind w:right="-180"/>
              <w:rPr>
                <w:b/>
                <w:i/>
                <w:sz w:val="22"/>
                <w:szCs w:val="22"/>
              </w:rPr>
            </w:pPr>
          </w:p>
          <w:p w:rsidR="003A12D7" w:rsidRPr="00903BA3" w:rsidRDefault="003A12D7" w:rsidP="000B4801">
            <w:pPr>
              <w:autoSpaceDE w:val="0"/>
              <w:autoSpaceDN w:val="0"/>
              <w:adjustRightInd w:val="0"/>
              <w:ind w:right="-180"/>
              <w:rPr>
                <w:i/>
                <w:sz w:val="22"/>
                <w:szCs w:val="22"/>
              </w:rPr>
            </w:pPr>
            <w:r w:rsidRPr="00903BA3">
              <w:rPr>
                <w:b/>
                <w:i/>
                <w:sz w:val="22"/>
                <w:szCs w:val="22"/>
              </w:rPr>
              <w:t>Oregon’s Approach to Increment Analyses</w:t>
            </w:r>
          </w:p>
          <w:p w:rsidR="003A12D7" w:rsidRDefault="003A12D7" w:rsidP="000B4801">
            <w:pPr>
              <w:autoSpaceDE w:val="0"/>
              <w:autoSpaceDN w:val="0"/>
              <w:adjustRightInd w:val="0"/>
              <w:ind w:right="-180"/>
              <w:rPr>
                <w:i/>
                <w:sz w:val="22"/>
                <w:szCs w:val="22"/>
              </w:rPr>
            </w:pPr>
            <w:r w:rsidRPr="00903BA3">
              <w:rPr>
                <w:i/>
                <w:sz w:val="22"/>
                <w:szCs w:val="22"/>
              </w:rPr>
              <w:t>Sources that trigger Prevention of Significant Deterioration for PM</w:t>
            </w:r>
            <w:r w:rsidRPr="00903BA3">
              <w:rPr>
                <w:i/>
                <w:sz w:val="22"/>
                <w:szCs w:val="22"/>
                <w:vertAlign w:val="subscript"/>
              </w:rPr>
              <w:t>2.5</w:t>
            </w:r>
            <w:r w:rsidRPr="00903BA3">
              <w:rPr>
                <w:i/>
                <w:sz w:val="22"/>
                <w:szCs w:val="22"/>
              </w:rPr>
              <w:t xml:space="preserve"> must model air quality </w:t>
            </w:r>
            <w:r w:rsidRPr="00903BA3">
              <w:rPr>
                <w:i/>
                <w:sz w:val="22"/>
                <w:szCs w:val="22"/>
              </w:rPr>
              <w:lastRenderedPageBreak/>
              <w:t xml:space="preserve">impacts from emissions increases due to the project that are above emissions in 2007, the baseline concentration year, regardless of </w:t>
            </w:r>
            <w:r w:rsidR="006C7E61" w:rsidRPr="00903BA3">
              <w:rPr>
                <w:i/>
                <w:sz w:val="22"/>
                <w:szCs w:val="22"/>
              </w:rPr>
              <w:t>the</w:t>
            </w:r>
            <w:r w:rsidRPr="00903BA3">
              <w:rPr>
                <w:i/>
                <w:sz w:val="22"/>
                <w:szCs w:val="22"/>
              </w:rPr>
              <w:t xml:space="preserve"> year </w:t>
            </w:r>
            <w:r w:rsidR="006C7E61" w:rsidRPr="00903BA3">
              <w:rPr>
                <w:i/>
                <w:sz w:val="22"/>
                <w:szCs w:val="22"/>
              </w:rPr>
              <w:t xml:space="preserve">of </w:t>
            </w:r>
            <w:r w:rsidRPr="00903BA3">
              <w:rPr>
                <w:i/>
                <w:sz w:val="22"/>
                <w:szCs w:val="22"/>
              </w:rPr>
              <w:t>their baseline emission</w:t>
            </w:r>
            <w:r w:rsidR="00837990" w:rsidRPr="00903BA3">
              <w:rPr>
                <w:i/>
                <w:sz w:val="22"/>
                <w:szCs w:val="22"/>
              </w:rPr>
              <w:t xml:space="preserve"> period. </w:t>
            </w:r>
            <w:r w:rsidRPr="00903BA3">
              <w:rPr>
                <w:i/>
                <w:sz w:val="22"/>
                <w:szCs w:val="22"/>
              </w:rPr>
              <w:t>This is also true for NO</w:t>
            </w:r>
            <w:r w:rsidR="008D538C" w:rsidRPr="00903BA3">
              <w:rPr>
                <w:i/>
                <w:sz w:val="22"/>
                <w:szCs w:val="22"/>
                <w:vertAlign w:val="subscript"/>
              </w:rPr>
              <w:t>x</w:t>
            </w:r>
            <w:r w:rsidR="008D538C" w:rsidRPr="00903BA3">
              <w:rPr>
                <w:i/>
                <w:sz w:val="22"/>
                <w:szCs w:val="22"/>
              </w:rPr>
              <w:t>,</w:t>
            </w:r>
            <w:r w:rsidR="005D6FC5" w:rsidRPr="00903BA3">
              <w:rPr>
                <w:i/>
                <w:sz w:val="22"/>
                <w:szCs w:val="22"/>
              </w:rPr>
              <w:t xml:space="preserve"> </w:t>
            </w:r>
            <w:r w:rsidRPr="00903BA3">
              <w:rPr>
                <w:i/>
                <w:sz w:val="22"/>
                <w:szCs w:val="22"/>
              </w:rPr>
              <w:t xml:space="preserve">since the baseline concentration year (1988) does not correspond to the baseline </w:t>
            </w:r>
            <w:r w:rsidR="005D6FC5" w:rsidRPr="00903BA3">
              <w:rPr>
                <w:i/>
                <w:sz w:val="22"/>
                <w:szCs w:val="22"/>
              </w:rPr>
              <w:t xml:space="preserve">emission </w:t>
            </w:r>
            <w:r w:rsidRPr="00903BA3">
              <w:rPr>
                <w:i/>
                <w:sz w:val="22"/>
                <w:szCs w:val="22"/>
              </w:rPr>
              <w:t>year (1977</w:t>
            </w:r>
            <w:r w:rsidR="009D6393" w:rsidRPr="00903BA3">
              <w:rPr>
                <w:i/>
                <w:sz w:val="22"/>
                <w:szCs w:val="22"/>
              </w:rPr>
              <w:t>-</w:t>
            </w:r>
            <w:r w:rsidR="005D6FC5" w:rsidRPr="00903BA3">
              <w:rPr>
                <w:i/>
                <w:sz w:val="22"/>
                <w:szCs w:val="22"/>
              </w:rPr>
              <w:t>19</w:t>
            </w:r>
            <w:r w:rsidRPr="00903BA3">
              <w:rPr>
                <w:i/>
                <w:sz w:val="22"/>
                <w:szCs w:val="22"/>
              </w:rPr>
              <w:t xml:space="preserve">78). These modeled ambient concentrations will be compared to the maximum allowable increases (PSD increments) to identify the degree to which an increment has been consumed or will be consumed by major source construction. </w:t>
            </w:r>
            <w:r w:rsidR="005D6FC5" w:rsidRPr="00903BA3">
              <w:rPr>
                <w:i/>
                <w:sz w:val="22"/>
                <w:szCs w:val="22"/>
              </w:rPr>
              <w:t>Because the</w:t>
            </w:r>
            <w:r w:rsidRPr="00903BA3">
              <w:rPr>
                <w:i/>
                <w:sz w:val="22"/>
                <w:szCs w:val="22"/>
              </w:rPr>
              <w:t xml:space="preserve"> baseline year for emissions different from the baseline concentration year</w:t>
            </w:r>
            <w:r w:rsidR="005D6FC5" w:rsidRPr="00903BA3">
              <w:rPr>
                <w:i/>
                <w:sz w:val="22"/>
                <w:szCs w:val="22"/>
              </w:rPr>
              <w:t>,</w:t>
            </w:r>
            <w:r w:rsidRPr="00903BA3">
              <w:rPr>
                <w:i/>
                <w:sz w:val="22"/>
                <w:szCs w:val="22"/>
              </w:rPr>
              <w:t xml:space="preserve"> sources that trigger NSR/PSD </w:t>
            </w:r>
            <w:r w:rsidR="005D6FC5" w:rsidRPr="00903BA3">
              <w:rPr>
                <w:i/>
                <w:sz w:val="22"/>
                <w:szCs w:val="22"/>
              </w:rPr>
              <w:t>must</w:t>
            </w:r>
            <w:r w:rsidRPr="00903BA3">
              <w:rPr>
                <w:i/>
                <w:sz w:val="22"/>
                <w:szCs w:val="22"/>
              </w:rPr>
              <w:t xml:space="preserve"> establish actual emissions in 2007 for modeling to show compliance with the PSD increment. This </w:t>
            </w:r>
            <w:r w:rsidR="005D6FC5" w:rsidRPr="00903BA3">
              <w:rPr>
                <w:i/>
                <w:sz w:val="22"/>
                <w:szCs w:val="22"/>
              </w:rPr>
              <w:t>is</w:t>
            </w:r>
            <w:r w:rsidRPr="00903BA3">
              <w:rPr>
                <w:i/>
                <w:sz w:val="22"/>
                <w:szCs w:val="22"/>
              </w:rPr>
              <w:t xml:space="preserve"> also done for competing source modeling </w:t>
            </w:r>
            <w:r w:rsidR="005D6FC5" w:rsidRPr="00903BA3">
              <w:rPr>
                <w:i/>
                <w:sz w:val="22"/>
                <w:szCs w:val="22"/>
              </w:rPr>
              <w:t>because a source's individual impact is significant</w:t>
            </w:r>
            <w:r w:rsidRPr="00903BA3">
              <w:rPr>
                <w:i/>
                <w:sz w:val="22"/>
                <w:szCs w:val="22"/>
              </w:rPr>
              <w:t>. Therefore, it is not imperative that the baseline emissions year be the same as the baseline concentration year</w:t>
            </w:r>
            <w:r w:rsidR="00733F50" w:rsidRPr="00903BA3">
              <w:rPr>
                <w:i/>
                <w:sz w:val="22"/>
                <w:szCs w:val="22"/>
              </w:rPr>
              <w:t>,</w:t>
            </w:r>
            <w:r w:rsidRPr="00903BA3">
              <w:rPr>
                <w:i/>
                <w:sz w:val="22"/>
                <w:szCs w:val="22"/>
              </w:rPr>
              <w:t xml:space="preserve"> because modeled emissions are always actual emissions in the baseline concentration year. </w:t>
            </w:r>
            <w:r w:rsidR="00A21C65" w:rsidRPr="00903BA3">
              <w:rPr>
                <w:i/>
                <w:sz w:val="22"/>
                <w:szCs w:val="22"/>
              </w:rPr>
              <w:t>No change to the rule is proposed in response to this comment.</w:t>
            </w:r>
            <w:r w:rsidRPr="00903BA3">
              <w:rPr>
                <w:i/>
                <w:sz w:val="22"/>
                <w:szCs w:val="22"/>
              </w:rPr>
              <w:t xml:space="preserve"> </w:t>
            </w:r>
          </w:p>
          <w:p w:rsidR="00607C83" w:rsidRPr="00903BA3" w:rsidRDefault="00607C83" w:rsidP="000B4801">
            <w:pPr>
              <w:autoSpaceDE w:val="0"/>
              <w:autoSpaceDN w:val="0"/>
              <w:adjustRightInd w:val="0"/>
              <w:ind w:right="-180"/>
              <w:rPr>
                <w:i/>
                <w:sz w:val="22"/>
                <w:szCs w:val="22"/>
              </w:rPr>
            </w:pPr>
          </w:p>
        </w:tc>
      </w:tr>
      <w:tr w:rsidR="003A12D7" w:rsidRPr="00903BA3"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03BA3" w:rsidRDefault="00607C83" w:rsidP="00607C83">
            <w:pPr>
              <w:ind w:right="-115"/>
              <w:rPr>
                <w:bCs/>
                <w:sz w:val="22"/>
                <w:szCs w:val="22"/>
              </w:rPr>
            </w:pPr>
            <w:r>
              <w:rPr>
                <w:bCs/>
                <w:sz w:val="22"/>
                <w:szCs w:val="22"/>
              </w:rPr>
              <w:lastRenderedPageBreak/>
              <w:t xml:space="preserve">55. </w:t>
            </w:r>
            <w:r w:rsidR="003A12D7" w:rsidRPr="00903BA3">
              <w:rPr>
                <w:sz w:val="22"/>
                <w:szCs w:val="22"/>
              </w:rPr>
              <w:t>PSEL program fails to meet goals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Pr="00903BA3" w:rsidRDefault="003A12D7" w:rsidP="000B4801">
            <w:pPr>
              <w:pStyle w:val="ColorfulList-Accent11"/>
              <w:ind w:left="0"/>
              <w:rPr>
                <w:sz w:val="22"/>
                <w:szCs w:val="22"/>
              </w:rPr>
            </w:pPr>
            <w:r w:rsidRPr="00903BA3">
              <w:rPr>
                <w:sz w:val="22"/>
                <w:szCs w:val="22"/>
              </w:rPr>
              <w:t xml:space="preserve">The PSEL program has failed to meet DEQ’s own goals as stated below: </w:t>
            </w:r>
          </w:p>
          <w:p w:rsidR="003A12D7" w:rsidRPr="00903BA3" w:rsidRDefault="003A12D7" w:rsidP="000B4801">
            <w:pPr>
              <w:rPr>
                <w:sz w:val="22"/>
                <w:szCs w:val="22"/>
              </w:rPr>
            </w:pPr>
            <w:r w:rsidRPr="00903BA3">
              <w:rPr>
                <w:sz w:val="22"/>
                <w:szCs w:val="22"/>
              </w:rPr>
              <w:t xml:space="preserve">1) assuring reasonable further progress towards attainment of ambient standards; </w:t>
            </w:r>
          </w:p>
          <w:p w:rsidR="003A12D7" w:rsidRPr="00903BA3" w:rsidRDefault="003A12D7" w:rsidP="000B4801">
            <w:pPr>
              <w:rPr>
                <w:sz w:val="22"/>
                <w:szCs w:val="22"/>
              </w:rPr>
            </w:pPr>
            <w:r w:rsidRPr="00903BA3">
              <w:rPr>
                <w:sz w:val="22"/>
                <w:szCs w:val="22"/>
              </w:rPr>
              <w:t>2) assuring compliance with ambient standards and PSD increments;</w:t>
            </w:r>
          </w:p>
          <w:p w:rsidR="003A12D7" w:rsidRPr="00903BA3" w:rsidRDefault="003A12D7" w:rsidP="000B4801">
            <w:pPr>
              <w:rPr>
                <w:sz w:val="22"/>
                <w:szCs w:val="22"/>
              </w:rPr>
            </w:pPr>
            <w:r w:rsidRPr="00903BA3">
              <w:rPr>
                <w:sz w:val="22"/>
                <w:szCs w:val="22"/>
              </w:rPr>
              <w:t xml:space="preserve">3) administering the emissions trading program; and </w:t>
            </w:r>
          </w:p>
          <w:p w:rsidR="003A12D7" w:rsidRPr="00903BA3" w:rsidRDefault="003A12D7" w:rsidP="000B4801">
            <w:pPr>
              <w:rPr>
                <w:sz w:val="22"/>
                <w:szCs w:val="22"/>
              </w:rPr>
            </w:pPr>
            <w:r w:rsidRPr="00903BA3">
              <w:rPr>
                <w:sz w:val="22"/>
                <w:szCs w:val="22"/>
              </w:rPr>
              <w:t xml:space="preserve">4) tracking PSD increment consumption. </w:t>
            </w:r>
          </w:p>
          <w:p w:rsidR="00607C83" w:rsidRDefault="00607C83" w:rsidP="000B4801">
            <w:pPr>
              <w:rPr>
                <w:sz w:val="22"/>
                <w:szCs w:val="22"/>
              </w:rPr>
            </w:pPr>
          </w:p>
          <w:p w:rsidR="003A12D7" w:rsidRPr="00903BA3" w:rsidRDefault="003A12D7" w:rsidP="000B4801">
            <w:pPr>
              <w:rPr>
                <w:sz w:val="22"/>
                <w:szCs w:val="22"/>
              </w:rPr>
            </w:pPr>
            <w:r w:rsidRPr="00903BA3">
              <w:rPr>
                <w:sz w:val="22"/>
                <w:szCs w:val="22"/>
              </w:rPr>
              <w:t xml:space="preserve">The PSEL program is only concerned with a specific source’s “allowable” emissions, while both the NAAQS and PSD increments are tied directly to “actual” emissions because they are concerned with “actual” concentrations of pollutants in the air shed. From the start, then, the administration of the PSEL program is disconnected with goals it is intended to achieve. </w:t>
            </w:r>
          </w:p>
          <w:p w:rsidR="003A12D7" w:rsidRDefault="003A12D7" w:rsidP="000B4801">
            <w:pPr>
              <w:rPr>
                <w:sz w:val="22"/>
                <w:szCs w:val="22"/>
              </w:rPr>
            </w:pPr>
            <w:r w:rsidRPr="00903BA3">
              <w:rPr>
                <w:sz w:val="22"/>
                <w:szCs w:val="22"/>
              </w:rPr>
              <w:t xml:space="preserve">For instance, a facility that only runs two 8-hour shifts, but has the </w:t>
            </w:r>
            <w:r w:rsidRPr="00903BA3">
              <w:rPr>
                <w:i/>
                <w:sz w:val="22"/>
                <w:szCs w:val="22"/>
              </w:rPr>
              <w:t>potential</w:t>
            </w:r>
            <w:r w:rsidRPr="00903BA3">
              <w:rPr>
                <w:sz w:val="22"/>
                <w:szCs w:val="22"/>
              </w:rPr>
              <w:t xml:space="preserve"> to run three 8-hour shifts, even the source never has and never intends to, could increase actual emissions from their two shifts by 50%, which would be up to their “allowable emissions,” without triggering the PSD program under Oregon’s current rules. Conversely, assuming this increase in actual emissions was over the significant emission rate, the federal program would be triggered and the source would be required to meet the requirements of the PSD program. This highlights how the Oregon PSEL program is inconsistent with the federal program. (12) </w:t>
            </w:r>
          </w:p>
          <w:p w:rsidR="00607C83" w:rsidRPr="00903BA3" w:rsidRDefault="00607C83" w:rsidP="000B4801">
            <w:pPr>
              <w:rPr>
                <w:sz w:val="22"/>
                <w:szCs w:val="22"/>
              </w:rPr>
            </w:pPr>
          </w:p>
          <w:p w:rsidR="0010042F" w:rsidRPr="00903BA3" w:rsidRDefault="003A12D7" w:rsidP="000B4801">
            <w:pPr>
              <w:rPr>
                <w:i/>
                <w:sz w:val="22"/>
                <w:szCs w:val="22"/>
              </w:rPr>
            </w:pPr>
            <w:r w:rsidRPr="00903BA3">
              <w:rPr>
                <w:i/>
                <w:sz w:val="22"/>
                <w:szCs w:val="22"/>
              </w:rPr>
              <w:t>Response:</w:t>
            </w:r>
          </w:p>
          <w:p w:rsidR="00A07FC6" w:rsidRDefault="006E0886" w:rsidP="000B4801">
            <w:pPr>
              <w:rPr>
                <w:i/>
                <w:sz w:val="22"/>
                <w:szCs w:val="22"/>
              </w:rPr>
            </w:pPr>
            <w:r w:rsidRPr="00903BA3">
              <w:rPr>
                <w:i/>
                <w:sz w:val="22"/>
                <w:szCs w:val="22"/>
              </w:rPr>
              <w:t>The PSEL program has not failed to meet DEQ’s goals</w:t>
            </w:r>
            <w:r w:rsidR="008D538C" w:rsidRPr="00903BA3">
              <w:rPr>
                <w:i/>
                <w:sz w:val="22"/>
                <w:szCs w:val="22"/>
              </w:rPr>
              <w:t xml:space="preserve">. </w:t>
            </w:r>
            <w:r w:rsidR="003A12D7" w:rsidRPr="00903BA3">
              <w:rPr>
                <w:i/>
                <w:sz w:val="22"/>
                <w:szCs w:val="22"/>
              </w:rPr>
              <w:t xml:space="preserve">See the responses in comment </w:t>
            </w:r>
            <w:fldSimple w:instr=" REF _Ref283933930 \r \h  \* MERGEFORMAT ">
              <w:r w:rsidR="00752276" w:rsidRPr="00903BA3">
                <w:rPr>
                  <w:i/>
                  <w:sz w:val="22"/>
                  <w:szCs w:val="22"/>
                </w:rPr>
                <w:t>54</w:t>
              </w:r>
            </w:fldSimple>
            <w:r w:rsidR="003A12D7" w:rsidRPr="00903BA3">
              <w:rPr>
                <w:i/>
                <w:sz w:val="22"/>
                <w:szCs w:val="22"/>
              </w:rPr>
              <w:t xml:space="preserve"> “Compliance with the NAAQS,” comment </w:t>
            </w:r>
            <w:fldSimple w:instr=" REF _Ref283933944 \r \h  \* MERGEFORMAT ">
              <w:r w:rsidR="00752276" w:rsidRPr="00903BA3">
                <w:rPr>
                  <w:i/>
                  <w:sz w:val="22"/>
                  <w:szCs w:val="22"/>
                </w:rPr>
                <w:t>55</w:t>
              </w:r>
            </w:fldSimple>
            <w:r w:rsidR="003A12D7" w:rsidRPr="00903BA3">
              <w:rPr>
                <w:i/>
                <w:sz w:val="22"/>
                <w:szCs w:val="22"/>
              </w:rPr>
              <w:t xml:space="preserve"> “Compliance with the PSD increment” and comment </w:t>
            </w:r>
            <w:fldSimple w:instr=" REF _Ref283934858 \r \h  \* MERGEFORMAT ">
              <w:r w:rsidR="00752276" w:rsidRPr="00903BA3">
                <w:rPr>
                  <w:i/>
                  <w:sz w:val="22"/>
                  <w:szCs w:val="22"/>
                </w:rPr>
                <w:t>24</w:t>
              </w:r>
            </w:fldSimple>
            <w:r w:rsidR="003A12D7" w:rsidRPr="00903BA3">
              <w:rPr>
                <w:i/>
                <w:sz w:val="22"/>
                <w:szCs w:val="22"/>
              </w:rPr>
              <w:t xml:space="preserve"> “Netting basis definition allows thirty-year "lookback" period”. </w:t>
            </w:r>
          </w:p>
          <w:p w:rsidR="00607C83" w:rsidRPr="00903BA3" w:rsidRDefault="00607C83" w:rsidP="000B4801">
            <w:pPr>
              <w:rPr>
                <w:i/>
                <w:sz w:val="22"/>
                <w:szCs w:val="22"/>
              </w:rPr>
            </w:pPr>
          </w:p>
          <w:p w:rsidR="003A12D7" w:rsidRDefault="003A12D7" w:rsidP="00607C83">
            <w:pPr>
              <w:rPr>
                <w:i/>
                <w:sz w:val="22"/>
                <w:szCs w:val="22"/>
              </w:rPr>
            </w:pPr>
            <w:r w:rsidRPr="00903BA3">
              <w:rPr>
                <w:i/>
                <w:sz w:val="22"/>
                <w:szCs w:val="22"/>
              </w:rPr>
              <w:t>Regarding the example mentioned above, if a source was only operating two shifts during the baseline period, the baseline emission would be established on two shifts</w:t>
            </w:r>
            <w:r w:rsidR="008D538C" w:rsidRPr="00903BA3">
              <w:rPr>
                <w:i/>
                <w:sz w:val="22"/>
                <w:szCs w:val="22"/>
              </w:rPr>
              <w:t xml:space="preserve">. </w:t>
            </w:r>
            <w:r w:rsidRPr="00903BA3">
              <w:rPr>
                <w:i/>
                <w:sz w:val="22"/>
                <w:szCs w:val="22"/>
              </w:rPr>
              <w:t>Subsequently, if the source wanted to increase to three shifts, they would have to request an increase in their PSEL</w:t>
            </w:r>
            <w:r w:rsidR="008D538C" w:rsidRPr="00903BA3">
              <w:rPr>
                <w:i/>
                <w:sz w:val="22"/>
                <w:szCs w:val="22"/>
              </w:rPr>
              <w:t xml:space="preserve">. </w:t>
            </w:r>
            <w:r w:rsidRPr="00903BA3">
              <w:rPr>
                <w:i/>
                <w:sz w:val="22"/>
                <w:szCs w:val="22"/>
              </w:rPr>
              <w:t>If that increase was more than the SER, it would require an air quality impact analysis under the PSEL rule (OAR 340-222-0041)</w:t>
            </w:r>
            <w:r w:rsidR="008D538C" w:rsidRPr="00903BA3">
              <w:rPr>
                <w:i/>
                <w:sz w:val="22"/>
                <w:szCs w:val="22"/>
              </w:rPr>
              <w:t xml:space="preserve">. </w:t>
            </w:r>
            <w:r w:rsidRPr="00903BA3">
              <w:rPr>
                <w:i/>
                <w:sz w:val="22"/>
                <w:szCs w:val="22"/>
              </w:rPr>
              <w:t>The source would be required to prove that the increase in emissions would not violate any air quality standards and if it did, the increase would not be allowed</w:t>
            </w:r>
            <w:r w:rsidR="008D538C" w:rsidRPr="00903BA3">
              <w:rPr>
                <w:i/>
                <w:sz w:val="22"/>
                <w:szCs w:val="22"/>
              </w:rPr>
              <w:t xml:space="preserve">. </w:t>
            </w:r>
            <w:r w:rsidRPr="00903BA3">
              <w:rPr>
                <w:i/>
                <w:sz w:val="22"/>
                <w:szCs w:val="22"/>
              </w:rPr>
              <w:t>The increase would not be subject to PSD because there is no physical modification; the source is merely using existing capacity</w:t>
            </w:r>
            <w:r w:rsidR="008D538C" w:rsidRPr="00903BA3">
              <w:rPr>
                <w:i/>
                <w:sz w:val="22"/>
                <w:szCs w:val="22"/>
              </w:rPr>
              <w:t xml:space="preserve">. </w:t>
            </w:r>
            <w:r w:rsidRPr="00903BA3">
              <w:rPr>
                <w:i/>
                <w:sz w:val="22"/>
                <w:szCs w:val="22"/>
              </w:rPr>
              <w:t>Under the federal program, this type of change in operation would also not be subject to PSD because there is no physical change</w:t>
            </w:r>
            <w:r w:rsidR="008D538C" w:rsidRPr="00903BA3">
              <w:rPr>
                <w:i/>
                <w:sz w:val="22"/>
                <w:szCs w:val="22"/>
              </w:rPr>
              <w:t xml:space="preserve">. </w:t>
            </w:r>
            <w:r w:rsidRPr="00903BA3">
              <w:rPr>
                <w:i/>
                <w:sz w:val="22"/>
                <w:szCs w:val="22"/>
              </w:rPr>
              <w:t>The federal program would not even require an air quality impact analysis for the actual increase in emissions</w:t>
            </w:r>
            <w:r w:rsidR="008D538C" w:rsidRPr="00903BA3">
              <w:rPr>
                <w:i/>
                <w:sz w:val="22"/>
                <w:szCs w:val="22"/>
              </w:rPr>
              <w:t xml:space="preserve">. </w:t>
            </w:r>
            <w:r w:rsidR="006E0886" w:rsidRPr="00903BA3">
              <w:rPr>
                <w:i/>
                <w:sz w:val="22"/>
                <w:szCs w:val="22"/>
              </w:rPr>
              <w:t>In this regard,</w:t>
            </w:r>
            <w:r w:rsidRPr="00903BA3">
              <w:rPr>
                <w:i/>
                <w:sz w:val="22"/>
                <w:szCs w:val="22"/>
              </w:rPr>
              <w:t xml:space="preserve"> Oregon’s PSEL program goes </w:t>
            </w:r>
            <w:r w:rsidRPr="00903BA3">
              <w:rPr>
                <w:i/>
                <w:sz w:val="22"/>
                <w:szCs w:val="22"/>
              </w:rPr>
              <w:lastRenderedPageBreak/>
              <w:t>beyond the federal program in protecting the environment</w:t>
            </w:r>
            <w:r w:rsidR="008D538C" w:rsidRPr="00903BA3">
              <w:rPr>
                <w:i/>
                <w:sz w:val="22"/>
                <w:szCs w:val="22"/>
              </w:rPr>
              <w:t>.</w:t>
            </w:r>
            <w:r w:rsidR="00607C83">
              <w:rPr>
                <w:i/>
                <w:sz w:val="22"/>
                <w:szCs w:val="22"/>
              </w:rPr>
              <w:t xml:space="preserve"> </w:t>
            </w:r>
            <w:r w:rsidR="00A21C65" w:rsidRPr="00903BA3">
              <w:rPr>
                <w:i/>
                <w:sz w:val="22"/>
                <w:szCs w:val="22"/>
              </w:rPr>
              <w:t>No change to the rule is proposed in response to this comment</w:t>
            </w:r>
            <w:r w:rsidR="008D538C" w:rsidRPr="00903BA3">
              <w:rPr>
                <w:i/>
                <w:sz w:val="22"/>
                <w:szCs w:val="22"/>
              </w:rPr>
              <w:t xml:space="preserve">. </w:t>
            </w:r>
          </w:p>
          <w:p w:rsidR="00607C83" w:rsidRPr="00903BA3" w:rsidRDefault="00607C83" w:rsidP="00607C83">
            <w:pPr>
              <w:rPr>
                <w:i/>
                <w:sz w:val="22"/>
                <w:szCs w:val="22"/>
              </w:rPr>
            </w:pPr>
          </w:p>
        </w:tc>
      </w:tr>
      <w:tr w:rsidR="003A12D7" w:rsidRPr="00903BA3"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03BA3" w:rsidRDefault="003A12D7" w:rsidP="00607C83">
            <w:pPr>
              <w:pStyle w:val="ListParagraph"/>
              <w:ind w:left="0" w:right="-115"/>
              <w:rPr>
                <w:bCs/>
                <w:sz w:val="22"/>
                <w:szCs w:val="22"/>
              </w:rPr>
            </w:pPr>
            <w:r w:rsidRPr="00607C83">
              <w:rPr>
                <w:sz w:val="22"/>
                <w:szCs w:val="22"/>
              </w:rPr>
              <w:lastRenderedPageBreak/>
              <w:br w:type="page"/>
            </w:r>
            <w:r w:rsidR="00607C83" w:rsidRPr="00607C83">
              <w:rPr>
                <w:sz w:val="22"/>
                <w:szCs w:val="22"/>
              </w:rPr>
              <w:t xml:space="preserve">56. </w:t>
            </w:r>
            <w:r w:rsidRPr="00903BA3">
              <w:rPr>
                <w:bCs/>
                <w:sz w:val="22"/>
                <w:szCs w:val="22"/>
              </w:rPr>
              <w:t xml:space="preserve">Continued operation of </w:t>
            </w:r>
            <w:r w:rsidR="00455E86" w:rsidRPr="00903BA3">
              <w:rPr>
                <w:bCs/>
                <w:sz w:val="22"/>
                <w:szCs w:val="22"/>
              </w:rPr>
              <w:t>high-emitting</w:t>
            </w:r>
            <w:r w:rsidRPr="00903BA3">
              <w:rPr>
                <w:bCs/>
                <w:sz w:val="22"/>
                <w:szCs w:val="22"/>
              </w:rPr>
              <w:t>, old sources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Default="003A12D7" w:rsidP="000B4801">
            <w:pPr>
              <w:pStyle w:val="ColorfulList-Accent11"/>
              <w:ind w:left="0"/>
              <w:rPr>
                <w:sz w:val="22"/>
                <w:szCs w:val="22"/>
              </w:rPr>
            </w:pPr>
            <w:r w:rsidRPr="00903BA3">
              <w:rPr>
                <w:color w:val="auto"/>
                <w:sz w:val="22"/>
                <w:szCs w:val="22"/>
              </w:rPr>
              <w:t xml:space="preserve">The PSEL program encourages the continued operation of old, dirty sources when they would otherwise be replaced with new, cleaner sources. </w:t>
            </w:r>
            <w:r w:rsidRPr="00903BA3">
              <w:rPr>
                <w:sz w:val="22"/>
                <w:szCs w:val="22"/>
              </w:rPr>
              <w:t xml:space="preserve">The current PSEL program places too much concern on “creep” instead of focusing on the larger problem of “slippage” with old, dirty sources in the region. Slippage is where a source has slowly deteriorated to the point where it can no longer function at what was its original design capacity. Old sources whose retrofits would trigger the federal PSD program, instead simply have their life extended and keep polluting indefinitely because the PSEL program lets these inefficient sources run forever, so long as their allowable emissions do not increase. By allowing these older, inefficient, and dirty sources to operate, in essence, indefinitely, the PSEL program undermines incentives that the facility has to replace older sources with newer, cleaner, more efficient sources. </w:t>
            </w:r>
          </w:p>
          <w:p w:rsidR="00607C83" w:rsidRPr="00903BA3" w:rsidRDefault="00607C83" w:rsidP="000B4801">
            <w:pPr>
              <w:pStyle w:val="ColorfulList-Accent11"/>
              <w:ind w:left="0"/>
              <w:rPr>
                <w:sz w:val="22"/>
                <w:szCs w:val="22"/>
              </w:rPr>
            </w:pPr>
          </w:p>
          <w:p w:rsidR="003A12D7" w:rsidRDefault="003A12D7" w:rsidP="000B4801">
            <w:pPr>
              <w:rPr>
                <w:sz w:val="22"/>
                <w:szCs w:val="22"/>
              </w:rPr>
            </w:pPr>
            <w:r w:rsidRPr="00903BA3">
              <w:rPr>
                <w:sz w:val="22"/>
                <w:szCs w:val="22"/>
              </w:rPr>
              <w:t>DEQ has indicated that their main concern is not with slippage, but is instead with “creep” which is overblown</w:t>
            </w:r>
            <w:r w:rsidR="008D538C" w:rsidRPr="00903BA3">
              <w:rPr>
                <w:sz w:val="22"/>
                <w:szCs w:val="22"/>
              </w:rPr>
              <w:t xml:space="preserve">. </w:t>
            </w:r>
            <w:r w:rsidRPr="00903BA3">
              <w:rPr>
                <w:sz w:val="22"/>
                <w:szCs w:val="22"/>
              </w:rPr>
              <w:t xml:space="preserve"> Creep is the process by which a source could systematically increase their potential emissions without triggering the federal PSD program. Under the federal program, only emission increases within ten years are considered. A source could then increase emissions, so long as the increase is below the significant emission rate, every ten years without triggering the federal PSD program. </w:t>
            </w:r>
          </w:p>
          <w:p w:rsidR="00607C83" w:rsidRPr="00903BA3" w:rsidRDefault="00607C83" w:rsidP="000B4801">
            <w:pPr>
              <w:rPr>
                <w:sz w:val="22"/>
                <w:szCs w:val="22"/>
              </w:rPr>
            </w:pPr>
          </w:p>
          <w:p w:rsidR="003A12D7" w:rsidRDefault="003A12D7" w:rsidP="000B4801">
            <w:pPr>
              <w:pStyle w:val="FootnoteText1"/>
              <w:rPr>
                <w:sz w:val="22"/>
                <w:szCs w:val="22"/>
              </w:rPr>
            </w:pPr>
            <w:r w:rsidRPr="00903BA3">
              <w:rPr>
                <w:sz w:val="22"/>
                <w:szCs w:val="22"/>
              </w:rPr>
              <w:t>The PSEL program also subsidizes current facilities to the detriment of facilities that may want to move into Oregon. Because the PSEL program allows current facilities to operate almost indefinitely without meeting the strictest requirements of the Clean Air Act, these facilities have a competitive advantage over any facilities that wish to be located in Oregon in the same industry that would have to meet these, sometimes costly, requirements. In this light, the PSEL program can be seen, not only as undermining the goals of the Clean Air Act, but also stifling business opportunities in Oregon. (12)</w:t>
            </w:r>
          </w:p>
          <w:p w:rsidR="00607C83" w:rsidRPr="00903BA3" w:rsidRDefault="00607C83" w:rsidP="000B4801">
            <w:pPr>
              <w:pStyle w:val="FootnoteText1"/>
              <w:rPr>
                <w:sz w:val="22"/>
                <w:szCs w:val="22"/>
              </w:rPr>
            </w:pPr>
          </w:p>
          <w:p w:rsidR="003A12D7" w:rsidRPr="00903BA3" w:rsidRDefault="003A12D7" w:rsidP="000B4801">
            <w:pPr>
              <w:pStyle w:val="ColorfulList-Accent11"/>
              <w:ind w:left="0"/>
              <w:rPr>
                <w:i/>
                <w:sz w:val="22"/>
                <w:szCs w:val="22"/>
              </w:rPr>
            </w:pPr>
            <w:r w:rsidRPr="00903BA3">
              <w:rPr>
                <w:i/>
                <w:sz w:val="22"/>
                <w:szCs w:val="22"/>
              </w:rPr>
              <w:t xml:space="preserve">Response: </w:t>
            </w:r>
          </w:p>
          <w:p w:rsidR="00A90A53" w:rsidRDefault="002D6498" w:rsidP="000B4801">
            <w:pPr>
              <w:pStyle w:val="PlainText"/>
              <w:rPr>
                <w:rFonts w:ascii="Times New Roman" w:hAnsi="Times New Roman"/>
                <w:i/>
                <w:sz w:val="22"/>
                <w:szCs w:val="22"/>
              </w:rPr>
            </w:pPr>
            <w:r w:rsidRPr="00903BA3">
              <w:rPr>
                <w:rFonts w:ascii="Times New Roman" w:hAnsi="Times New Roman"/>
                <w:i/>
                <w:sz w:val="22"/>
                <w:szCs w:val="22"/>
              </w:rPr>
              <w:t>DEQ believes that "slippage" is</w:t>
            </w:r>
            <w:r w:rsidR="00625F49" w:rsidRPr="00903BA3">
              <w:rPr>
                <w:rFonts w:ascii="Times New Roman" w:hAnsi="Times New Roman"/>
                <w:i/>
                <w:sz w:val="22"/>
                <w:szCs w:val="22"/>
              </w:rPr>
              <w:t xml:space="preserve"> as likely or</w:t>
            </w:r>
            <w:r w:rsidRPr="00903BA3">
              <w:rPr>
                <w:rFonts w:ascii="Times New Roman" w:hAnsi="Times New Roman"/>
                <w:i/>
                <w:sz w:val="22"/>
                <w:szCs w:val="22"/>
              </w:rPr>
              <w:t xml:space="preserve"> more likely to occur under the federal program than under Oregon's approach to netting. Under the federal program, sources can avoid triggering NSR/PSD by delaying emission reductions until just before an increase is needed</w:t>
            </w:r>
            <w:r w:rsidR="008D538C" w:rsidRPr="00903BA3">
              <w:rPr>
                <w:rFonts w:ascii="Times New Roman" w:hAnsi="Times New Roman"/>
                <w:i/>
                <w:sz w:val="22"/>
                <w:szCs w:val="22"/>
              </w:rPr>
              <w:t xml:space="preserve">. </w:t>
            </w:r>
            <w:r w:rsidRPr="00903BA3">
              <w:rPr>
                <w:rFonts w:ascii="Times New Roman" w:hAnsi="Times New Roman"/>
                <w:i/>
                <w:sz w:val="22"/>
                <w:szCs w:val="22"/>
              </w:rPr>
              <w:t>In the scenario described in the comment, a high-polluting older source would likely be closed at the same time that its replacement is permitted so that the reduction from closing the older source could be used to net the replacement out of NSR</w:t>
            </w:r>
            <w:r w:rsidR="008D538C" w:rsidRPr="00903BA3">
              <w:rPr>
                <w:rFonts w:ascii="Times New Roman" w:hAnsi="Times New Roman"/>
                <w:i/>
                <w:sz w:val="22"/>
                <w:szCs w:val="22"/>
              </w:rPr>
              <w:t xml:space="preserve">. </w:t>
            </w:r>
            <w:r w:rsidRPr="00903BA3">
              <w:rPr>
                <w:rFonts w:ascii="Times New Roman" w:hAnsi="Times New Roman"/>
                <w:i/>
                <w:sz w:val="22"/>
                <w:szCs w:val="22"/>
              </w:rPr>
              <w:t>For example, a high emitting boiler could be closed in a netting action to permit a lower-emitting new boiler without triggering NSR/PSD</w:t>
            </w:r>
            <w:r w:rsidR="008D538C" w:rsidRPr="00903BA3">
              <w:rPr>
                <w:rFonts w:ascii="Times New Roman" w:hAnsi="Times New Roman"/>
                <w:i/>
                <w:sz w:val="22"/>
                <w:szCs w:val="22"/>
              </w:rPr>
              <w:t xml:space="preserve">. </w:t>
            </w:r>
            <w:r w:rsidRPr="00903BA3">
              <w:rPr>
                <w:rFonts w:ascii="Times New Roman" w:hAnsi="Times New Roman"/>
                <w:i/>
                <w:sz w:val="22"/>
                <w:szCs w:val="22"/>
              </w:rPr>
              <w:t xml:space="preserve">The </w:t>
            </w:r>
            <w:r w:rsidR="00EF64E6" w:rsidRPr="00903BA3">
              <w:rPr>
                <w:rFonts w:ascii="Times New Roman" w:hAnsi="Times New Roman"/>
                <w:i/>
                <w:sz w:val="22"/>
                <w:szCs w:val="22"/>
              </w:rPr>
              <w:t>same outcome could be achieved under the Oregon program, but the source would be able to voluntarily reduce the emissions from the older source earlier without losing the ability to use the reduction in netting.</w:t>
            </w:r>
          </w:p>
          <w:p w:rsidR="00607C83" w:rsidRPr="00903BA3" w:rsidRDefault="00607C83" w:rsidP="000B4801">
            <w:pPr>
              <w:pStyle w:val="PlainText"/>
              <w:rPr>
                <w:rFonts w:ascii="Times New Roman" w:hAnsi="Times New Roman"/>
                <w:i/>
                <w:sz w:val="22"/>
                <w:szCs w:val="22"/>
              </w:rPr>
            </w:pPr>
          </w:p>
          <w:p w:rsidR="003A12D7" w:rsidRDefault="00EF64E6" w:rsidP="000B4801">
            <w:pPr>
              <w:pStyle w:val="PlainText"/>
              <w:rPr>
                <w:rFonts w:ascii="Times New Roman" w:hAnsi="Times New Roman"/>
                <w:i/>
                <w:sz w:val="22"/>
                <w:szCs w:val="22"/>
              </w:rPr>
            </w:pPr>
            <w:r w:rsidRPr="00903BA3">
              <w:rPr>
                <w:rFonts w:ascii="Times New Roman" w:hAnsi="Times New Roman"/>
                <w:i/>
                <w:sz w:val="22"/>
                <w:szCs w:val="22"/>
              </w:rPr>
              <w:t>Under either the federal or Oregon approach to netting, NSR/PSD is only triggered if a physical change or change in the method of operation results in a net significant emission rate increase</w:t>
            </w:r>
            <w:r w:rsidR="008D538C" w:rsidRPr="00903BA3">
              <w:rPr>
                <w:rFonts w:ascii="Times New Roman" w:hAnsi="Times New Roman"/>
                <w:i/>
                <w:sz w:val="22"/>
                <w:szCs w:val="22"/>
              </w:rPr>
              <w:t xml:space="preserve">. </w:t>
            </w:r>
            <w:r w:rsidRPr="00903BA3">
              <w:rPr>
                <w:rFonts w:ascii="Times New Roman" w:hAnsi="Times New Roman"/>
                <w:i/>
                <w:sz w:val="22"/>
                <w:szCs w:val="22"/>
              </w:rPr>
              <w:t>If a source is modified because its capacity has slowly deteriorated over time, but the modification does not increase emissions by more than a significant emission rate above the netting basis, it would not trigger NSR/PSD</w:t>
            </w:r>
            <w:r w:rsidR="008D538C" w:rsidRPr="00903BA3">
              <w:rPr>
                <w:rFonts w:ascii="Times New Roman" w:hAnsi="Times New Roman"/>
                <w:i/>
                <w:sz w:val="22"/>
                <w:szCs w:val="22"/>
              </w:rPr>
              <w:t xml:space="preserve">. </w:t>
            </w:r>
            <w:r w:rsidRPr="00903BA3">
              <w:rPr>
                <w:rFonts w:ascii="Times New Roman" w:hAnsi="Times New Roman"/>
                <w:i/>
                <w:sz w:val="22"/>
                <w:szCs w:val="22"/>
              </w:rPr>
              <w:t>Depending on whether the source has increased or decreased emissions since the baseline period, the netting basis</w:t>
            </w:r>
            <w:r w:rsidR="00625F49" w:rsidRPr="00903BA3">
              <w:rPr>
                <w:rFonts w:ascii="Times New Roman" w:hAnsi="Times New Roman"/>
                <w:i/>
                <w:sz w:val="22"/>
                <w:szCs w:val="22"/>
              </w:rPr>
              <w:t xml:space="preserve"> under the Oregon program could be higher or lower than under the federal program.</w:t>
            </w:r>
            <w:r w:rsidR="007E70DB" w:rsidRPr="00903BA3">
              <w:rPr>
                <w:rFonts w:ascii="Times New Roman" w:hAnsi="Times New Roman"/>
                <w:i/>
                <w:sz w:val="22"/>
                <w:szCs w:val="22"/>
              </w:rPr>
              <w:t xml:space="preserve"> </w:t>
            </w:r>
            <w:r w:rsidR="0010042F" w:rsidRPr="00903BA3">
              <w:rPr>
                <w:rFonts w:ascii="Times New Roman" w:hAnsi="Times New Roman"/>
                <w:i/>
                <w:sz w:val="22"/>
                <w:szCs w:val="22"/>
              </w:rPr>
              <w:t xml:space="preserve">No change to </w:t>
            </w:r>
            <w:r w:rsidR="0010042F" w:rsidRPr="00903BA3">
              <w:rPr>
                <w:rFonts w:ascii="Times New Roman" w:hAnsi="Times New Roman"/>
                <w:i/>
                <w:sz w:val="22"/>
                <w:szCs w:val="22"/>
              </w:rPr>
              <w:lastRenderedPageBreak/>
              <w:t>the rule is proposed in response to this comment.</w:t>
            </w:r>
          </w:p>
          <w:p w:rsidR="00607C83" w:rsidRPr="00903BA3" w:rsidRDefault="00607C83" w:rsidP="000B4801">
            <w:pPr>
              <w:pStyle w:val="PlainText"/>
              <w:rPr>
                <w:rFonts w:ascii="Times New Roman" w:hAnsi="Times New Roman"/>
                <w:sz w:val="22"/>
                <w:szCs w:val="22"/>
              </w:rPr>
            </w:pPr>
          </w:p>
        </w:tc>
      </w:tr>
      <w:tr w:rsidR="003A12D7" w:rsidRPr="00903BA3"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03BA3" w:rsidRDefault="00607C83" w:rsidP="00607C83">
            <w:pPr>
              <w:ind w:right="-115"/>
              <w:rPr>
                <w:bCs/>
                <w:sz w:val="22"/>
                <w:szCs w:val="22"/>
              </w:rPr>
            </w:pPr>
            <w:r>
              <w:rPr>
                <w:bCs/>
                <w:sz w:val="22"/>
                <w:szCs w:val="22"/>
              </w:rPr>
              <w:lastRenderedPageBreak/>
              <w:t xml:space="preserve">57. </w:t>
            </w:r>
            <w:r w:rsidR="003A12D7" w:rsidRPr="00903BA3">
              <w:rPr>
                <w:bCs/>
                <w:sz w:val="22"/>
                <w:szCs w:val="22"/>
              </w:rPr>
              <w:t>PSELs are unenforceable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Default="003A12D7" w:rsidP="000B4801">
            <w:pPr>
              <w:pStyle w:val="ColorfulList-Accent11"/>
              <w:ind w:left="0"/>
              <w:rPr>
                <w:sz w:val="22"/>
                <w:szCs w:val="22"/>
              </w:rPr>
            </w:pPr>
            <w:r w:rsidRPr="00903BA3">
              <w:rPr>
                <w:sz w:val="22"/>
                <w:szCs w:val="22"/>
              </w:rPr>
              <w:t>We are worried about the unenforceable nature of the PSELs. As applied to PM</w:t>
            </w:r>
            <w:r w:rsidRPr="00903BA3">
              <w:rPr>
                <w:sz w:val="22"/>
                <w:szCs w:val="22"/>
                <w:vertAlign w:val="subscript"/>
              </w:rPr>
              <w:t>2.5</w:t>
            </w:r>
            <w:r w:rsidRPr="00903BA3">
              <w:rPr>
                <w:sz w:val="22"/>
                <w:szCs w:val="22"/>
              </w:rPr>
              <w:t>, the unenforceable nature of these regulations is highlighted by DEQ’s attempt to estimate the level of PM</w:t>
            </w:r>
            <w:r w:rsidRPr="00903BA3">
              <w:rPr>
                <w:sz w:val="22"/>
                <w:szCs w:val="22"/>
                <w:vertAlign w:val="subscript"/>
              </w:rPr>
              <w:t>2.5</w:t>
            </w:r>
            <w:r w:rsidRPr="00903BA3">
              <w:rPr>
                <w:sz w:val="22"/>
                <w:szCs w:val="22"/>
              </w:rPr>
              <w:t xml:space="preserve"> at sources in relation to the source’s PM10 levels. However, without adequate monitoring and reporting requirements, sources are able to avoid the permitting requirements needed to protect the health of Oregon residents from the specific harms caused by PM</w:t>
            </w:r>
            <w:r w:rsidRPr="00903BA3">
              <w:rPr>
                <w:sz w:val="22"/>
                <w:szCs w:val="22"/>
                <w:vertAlign w:val="subscript"/>
              </w:rPr>
              <w:t>2.5</w:t>
            </w:r>
            <w:r w:rsidRPr="00903BA3">
              <w:rPr>
                <w:sz w:val="22"/>
                <w:szCs w:val="22"/>
              </w:rPr>
              <w:t>. (12)</w:t>
            </w:r>
          </w:p>
          <w:p w:rsidR="00607C83" w:rsidRPr="00903BA3" w:rsidRDefault="00607C83" w:rsidP="000B4801">
            <w:pPr>
              <w:pStyle w:val="ColorfulList-Accent11"/>
              <w:ind w:left="0"/>
              <w:rPr>
                <w:sz w:val="22"/>
                <w:szCs w:val="22"/>
              </w:rPr>
            </w:pPr>
          </w:p>
          <w:p w:rsidR="003A12D7" w:rsidRPr="00903BA3" w:rsidRDefault="003A12D7" w:rsidP="000B4801">
            <w:pPr>
              <w:pStyle w:val="ColorfulList-Accent11"/>
              <w:ind w:left="0"/>
              <w:rPr>
                <w:i/>
                <w:sz w:val="22"/>
                <w:szCs w:val="22"/>
              </w:rPr>
            </w:pPr>
            <w:r w:rsidRPr="00903BA3">
              <w:rPr>
                <w:i/>
                <w:sz w:val="22"/>
                <w:szCs w:val="22"/>
              </w:rPr>
              <w:t xml:space="preserve">Response: </w:t>
            </w:r>
          </w:p>
          <w:p w:rsidR="003A12D7" w:rsidRDefault="00D76703" w:rsidP="000B4801">
            <w:pPr>
              <w:rPr>
                <w:i/>
                <w:sz w:val="22"/>
                <w:szCs w:val="22"/>
              </w:rPr>
            </w:pPr>
            <w:r w:rsidRPr="00903BA3">
              <w:rPr>
                <w:i/>
                <w:sz w:val="22"/>
                <w:szCs w:val="22"/>
              </w:rPr>
              <w:t>Once established, compliance with the PM2.5 PSEL will be determined by a compliance method involving monitoring of emissions, production or other parameters</w:t>
            </w:r>
            <w:r w:rsidR="008D538C" w:rsidRPr="00903BA3">
              <w:rPr>
                <w:i/>
                <w:sz w:val="22"/>
                <w:szCs w:val="22"/>
              </w:rPr>
              <w:t xml:space="preserve">. </w:t>
            </w:r>
            <w:r w:rsidRPr="00903BA3">
              <w:rPr>
                <w:i/>
                <w:sz w:val="22"/>
                <w:szCs w:val="22"/>
              </w:rPr>
              <w:t>Like other PSELs, the PM</w:t>
            </w:r>
            <w:r w:rsidR="00064345" w:rsidRPr="00903BA3">
              <w:rPr>
                <w:i/>
                <w:sz w:val="22"/>
                <w:szCs w:val="22"/>
                <w:vertAlign w:val="subscript"/>
              </w:rPr>
              <w:t>2.5</w:t>
            </w:r>
            <w:r w:rsidRPr="00903BA3">
              <w:rPr>
                <w:i/>
                <w:sz w:val="22"/>
                <w:szCs w:val="22"/>
              </w:rPr>
              <w:t xml:space="preserve"> PSELs will meet EPA's requirements for practical enforceability because the limits are set on </w:t>
            </w:r>
            <w:r w:rsidR="003A12D7" w:rsidRPr="00903BA3">
              <w:rPr>
                <w:i/>
                <w:sz w:val="22"/>
                <w:szCs w:val="22"/>
              </w:rPr>
              <w:t xml:space="preserve">a rolling 12-month period and the compliance determination is done every month. Even though the PSEL is an annual limit, the monitoring is monthly and in many cases hourly when CEMS are available. </w:t>
            </w:r>
            <w:r w:rsidR="00A32488" w:rsidRPr="00903BA3">
              <w:rPr>
                <w:i/>
                <w:sz w:val="22"/>
                <w:szCs w:val="22"/>
              </w:rPr>
              <w:t>If a source violates the PSEL, DEQ is able to take direct enforcement action against the source</w:t>
            </w:r>
            <w:r w:rsidR="008D538C" w:rsidRPr="00903BA3">
              <w:rPr>
                <w:i/>
                <w:sz w:val="22"/>
                <w:szCs w:val="22"/>
              </w:rPr>
              <w:t xml:space="preserve">. </w:t>
            </w:r>
            <w:r w:rsidR="00A21C65" w:rsidRPr="00903BA3">
              <w:rPr>
                <w:i/>
                <w:sz w:val="22"/>
                <w:szCs w:val="22"/>
              </w:rPr>
              <w:t>No change to the rule is proposed in response to this comment</w:t>
            </w:r>
            <w:r w:rsidR="008D538C" w:rsidRPr="00903BA3">
              <w:rPr>
                <w:i/>
                <w:sz w:val="22"/>
                <w:szCs w:val="22"/>
              </w:rPr>
              <w:t xml:space="preserve">. </w:t>
            </w:r>
          </w:p>
          <w:p w:rsidR="00607C83" w:rsidRPr="00903BA3" w:rsidRDefault="00607C83" w:rsidP="000B4801">
            <w:pPr>
              <w:rPr>
                <w:i/>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607C83">
            <w:pPr>
              <w:ind w:right="-115"/>
              <w:rPr>
                <w:bCs/>
                <w:sz w:val="22"/>
                <w:szCs w:val="22"/>
              </w:rPr>
            </w:pPr>
            <w:r>
              <w:rPr>
                <w:bCs/>
                <w:sz w:val="22"/>
                <w:szCs w:val="22"/>
              </w:rPr>
              <w:t xml:space="preserve">58. </w:t>
            </w:r>
            <w:r w:rsidR="00A62014" w:rsidRPr="00903BA3">
              <w:rPr>
                <w:bCs/>
                <w:sz w:val="22"/>
                <w:szCs w:val="22"/>
              </w:rPr>
              <w:t>Minimum requirements and program stringency</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rPr>
                <w:rStyle w:val="FontStyle17"/>
                <w:sz w:val="22"/>
                <w:szCs w:val="22"/>
              </w:rPr>
            </w:pPr>
            <w:r w:rsidRPr="00903BA3">
              <w:rPr>
                <w:sz w:val="22"/>
                <w:szCs w:val="22"/>
              </w:rPr>
              <w:t xml:space="preserve">The proposed amendments go beyond what is required to “update state regulations for fine particulate pollution and greenhouse gases in order to align them with new federal regulations” and will affect the stringency of the program. </w:t>
            </w:r>
            <w:r w:rsidRPr="00903BA3">
              <w:rPr>
                <w:rStyle w:val="FontStyle17"/>
                <w:sz w:val="22"/>
                <w:szCs w:val="22"/>
              </w:rPr>
              <w:t>Allowing this to continue increases the costs and complexity of the program, without any defined benefits.</w:t>
            </w:r>
            <w:r w:rsidRPr="00903BA3">
              <w:rPr>
                <w:sz w:val="22"/>
                <w:szCs w:val="22"/>
              </w:rPr>
              <w:t xml:space="preserve"> (10)</w:t>
            </w:r>
            <w:r w:rsidRPr="00903BA3">
              <w:rPr>
                <w:rStyle w:val="FontStyle17"/>
                <w:sz w:val="22"/>
                <w:szCs w:val="22"/>
              </w:rPr>
              <w:t xml:space="preserve"> </w:t>
            </w:r>
          </w:p>
          <w:p w:rsidR="00607C83" w:rsidRPr="00903BA3" w:rsidRDefault="00607C83" w:rsidP="000B4801">
            <w:pPr>
              <w:rPr>
                <w:rStyle w:val="FontStyle17"/>
                <w:sz w:val="22"/>
                <w:szCs w:val="22"/>
              </w:rPr>
            </w:pPr>
          </w:p>
          <w:p w:rsidR="00A62014" w:rsidRPr="00903BA3" w:rsidRDefault="00A62014" w:rsidP="000B4801">
            <w:pPr>
              <w:rPr>
                <w:i/>
                <w:sz w:val="22"/>
                <w:szCs w:val="22"/>
              </w:rPr>
            </w:pPr>
            <w:r w:rsidRPr="00903BA3">
              <w:rPr>
                <w:i/>
                <w:sz w:val="22"/>
                <w:szCs w:val="22"/>
              </w:rPr>
              <w:t xml:space="preserve">Response:  </w:t>
            </w:r>
          </w:p>
          <w:p w:rsidR="00A62014" w:rsidRDefault="00664D70" w:rsidP="000B4801">
            <w:pPr>
              <w:pStyle w:val="Style2"/>
              <w:widowControl/>
              <w:spacing w:line="269" w:lineRule="exact"/>
              <w:rPr>
                <w:rFonts w:ascii="Times New Roman" w:hAnsi="Times New Roman" w:cs="Times New Roman"/>
                <w:i/>
                <w:sz w:val="22"/>
                <w:szCs w:val="22"/>
              </w:rPr>
            </w:pPr>
            <w:r w:rsidRPr="00903BA3">
              <w:rPr>
                <w:rFonts w:ascii="Times New Roman" w:hAnsi="Times New Roman" w:cs="Times New Roman"/>
                <w:i/>
                <w:sz w:val="22"/>
                <w:szCs w:val="22"/>
              </w:rPr>
              <w:t>The</w:t>
            </w:r>
            <w:r w:rsidR="00A62014" w:rsidRPr="00903BA3">
              <w:rPr>
                <w:rFonts w:ascii="Times New Roman" w:hAnsi="Times New Roman" w:cs="Times New Roman"/>
                <w:i/>
                <w:sz w:val="22"/>
                <w:szCs w:val="22"/>
              </w:rPr>
              <w:t xml:space="preserve"> proposed regulations </w:t>
            </w:r>
            <w:r w:rsidR="006E0886" w:rsidRPr="00903BA3">
              <w:rPr>
                <w:rFonts w:ascii="Times New Roman" w:hAnsi="Times New Roman" w:cs="Times New Roman"/>
                <w:i/>
                <w:sz w:val="22"/>
                <w:szCs w:val="22"/>
              </w:rPr>
              <w:t xml:space="preserve">are necessary to </w:t>
            </w:r>
            <w:r w:rsidR="00A62014" w:rsidRPr="00903BA3">
              <w:rPr>
                <w:rFonts w:ascii="Times New Roman" w:hAnsi="Times New Roman" w:cs="Times New Roman"/>
                <w:i/>
                <w:sz w:val="22"/>
                <w:szCs w:val="22"/>
              </w:rPr>
              <w:t xml:space="preserve">update state regulations for fine particulate pollution </w:t>
            </w:r>
            <w:r w:rsidR="006E0886" w:rsidRPr="00903BA3">
              <w:rPr>
                <w:rFonts w:ascii="Times New Roman" w:hAnsi="Times New Roman" w:cs="Times New Roman"/>
                <w:i/>
                <w:sz w:val="22"/>
                <w:szCs w:val="22"/>
              </w:rPr>
              <w:t xml:space="preserve">and </w:t>
            </w:r>
            <w:r w:rsidR="00A62014" w:rsidRPr="00903BA3">
              <w:rPr>
                <w:rFonts w:ascii="Times New Roman" w:hAnsi="Times New Roman" w:cs="Times New Roman"/>
                <w:i/>
                <w:sz w:val="22"/>
                <w:szCs w:val="22"/>
              </w:rPr>
              <w:t>greenhouse gases</w:t>
            </w:r>
            <w:r w:rsidR="008D538C" w:rsidRPr="00903BA3">
              <w:rPr>
                <w:rFonts w:ascii="Times New Roman" w:hAnsi="Times New Roman" w:cs="Times New Roman"/>
                <w:i/>
                <w:sz w:val="22"/>
                <w:szCs w:val="22"/>
              </w:rPr>
              <w:t xml:space="preserve">. </w:t>
            </w:r>
            <w:r w:rsidR="006E0886" w:rsidRPr="00903BA3">
              <w:rPr>
                <w:rFonts w:ascii="Times New Roman" w:hAnsi="Times New Roman" w:cs="Times New Roman"/>
                <w:i/>
                <w:sz w:val="22"/>
                <w:szCs w:val="22"/>
              </w:rPr>
              <w:t xml:space="preserve">The </w:t>
            </w:r>
            <w:r w:rsidR="00061462" w:rsidRPr="00903BA3">
              <w:rPr>
                <w:rFonts w:ascii="Times New Roman" w:hAnsi="Times New Roman" w:cs="Times New Roman"/>
                <w:i/>
                <w:sz w:val="22"/>
                <w:szCs w:val="22"/>
              </w:rPr>
              <w:t xml:space="preserve">area where the </w:t>
            </w:r>
            <w:r w:rsidR="006E0886" w:rsidRPr="00903BA3">
              <w:rPr>
                <w:rFonts w:ascii="Times New Roman" w:hAnsi="Times New Roman" w:cs="Times New Roman"/>
                <w:i/>
                <w:sz w:val="22"/>
                <w:szCs w:val="22"/>
              </w:rPr>
              <w:t xml:space="preserve">rules are being tightened </w:t>
            </w:r>
            <w:r w:rsidR="00061462" w:rsidRPr="00903BA3">
              <w:rPr>
                <w:rFonts w:ascii="Times New Roman" w:hAnsi="Times New Roman" w:cs="Times New Roman"/>
                <w:i/>
                <w:sz w:val="22"/>
                <w:szCs w:val="22"/>
              </w:rPr>
              <w:t>is in resetting PTE to actual emissions for sources that were permitted but not operating in the baseline period and for sources that will go through NSR/PSD in the future</w:t>
            </w:r>
            <w:r w:rsidR="008D538C" w:rsidRPr="00903BA3">
              <w:rPr>
                <w:rFonts w:ascii="Times New Roman" w:hAnsi="Times New Roman" w:cs="Times New Roman"/>
                <w:i/>
                <w:sz w:val="22"/>
                <w:szCs w:val="22"/>
              </w:rPr>
              <w:t xml:space="preserve">. </w:t>
            </w:r>
            <w:r w:rsidR="00061462" w:rsidRPr="00903BA3">
              <w:rPr>
                <w:rFonts w:ascii="Times New Roman" w:hAnsi="Times New Roman" w:cs="Times New Roman"/>
                <w:i/>
                <w:sz w:val="22"/>
                <w:szCs w:val="22"/>
              </w:rPr>
              <w:t xml:space="preserve">This change is proposed to </w:t>
            </w:r>
            <w:r w:rsidR="00B111CC" w:rsidRPr="00903BA3">
              <w:rPr>
                <w:rFonts w:ascii="Times New Roman" w:hAnsi="Times New Roman" w:cs="Times New Roman"/>
                <w:i/>
                <w:sz w:val="22"/>
                <w:szCs w:val="22"/>
              </w:rPr>
              <w:t>better align this aspect of Oregon's program with the federal program</w:t>
            </w:r>
            <w:r w:rsidR="008D538C" w:rsidRPr="00903BA3">
              <w:rPr>
                <w:rFonts w:ascii="Times New Roman" w:hAnsi="Times New Roman" w:cs="Times New Roman"/>
                <w:i/>
                <w:sz w:val="22"/>
                <w:szCs w:val="22"/>
              </w:rPr>
              <w:t xml:space="preserve">. </w:t>
            </w:r>
            <w:r w:rsidR="00061462" w:rsidRPr="00903BA3">
              <w:rPr>
                <w:rFonts w:ascii="Times New Roman" w:hAnsi="Times New Roman" w:cs="Times New Roman"/>
                <w:i/>
                <w:sz w:val="22"/>
                <w:szCs w:val="22"/>
              </w:rPr>
              <w:t xml:space="preserve">See the response in comment </w:t>
            </w:r>
            <w:r w:rsidR="0041297F">
              <w:rPr>
                <w:rFonts w:ascii="Times New Roman" w:hAnsi="Times New Roman" w:cs="Times New Roman"/>
                <w:sz w:val="22"/>
                <w:szCs w:val="22"/>
              </w:rPr>
              <w:fldChar w:fldCharType="begin"/>
            </w:r>
            <w:r w:rsidR="00903BA3">
              <w:rPr>
                <w:rFonts w:ascii="Times New Roman" w:hAnsi="Times New Roman" w:cs="Times New Roman"/>
                <w:i/>
                <w:sz w:val="22"/>
                <w:szCs w:val="22"/>
              </w:rPr>
              <w:instrText xml:space="preserve"> REF _Ref286824757 \r \h </w:instrText>
            </w:r>
            <w:r w:rsidR="0041297F">
              <w:rPr>
                <w:rFonts w:ascii="Times New Roman" w:hAnsi="Times New Roman" w:cs="Times New Roman"/>
                <w:sz w:val="22"/>
                <w:szCs w:val="22"/>
              </w:rPr>
            </w:r>
            <w:r w:rsidR="0041297F">
              <w:rPr>
                <w:rFonts w:ascii="Times New Roman" w:hAnsi="Times New Roman" w:cs="Times New Roman"/>
                <w:sz w:val="22"/>
                <w:szCs w:val="22"/>
              </w:rPr>
              <w:fldChar w:fldCharType="separate"/>
            </w:r>
            <w:r w:rsidR="00903BA3">
              <w:rPr>
                <w:rFonts w:ascii="Times New Roman" w:hAnsi="Times New Roman" w:cs="Times New Roman"/>
                <w:i/>
                <w:sz w:val="22"/>
                <w:szCs w:val="22"/>
              </w:rPr>
              <w:t>3</w:t>
            </w:r>
            <w:r w:rsidR="0041297F">
              <w:rPr>
                <w:rFonts w:ascii="Times New Roman" w:hAnsi="Times New Roman" w:cs="Times New Roman"/>
                <w:sz w:val="22"/>
                <w:szCs w:val="22"/>
              </w:rPr>
              <w:fldChar w:fldCharType="end"/>
            </w:r>
            <w:r w:rsidR="00061462" w:rsidRPr="00903BA3">
              <w:rPr>
                <w:rFonts w:ascii="Times New Roman" w:hAnsi="Times New Roman" w:cs="Times New Roman"/>
                <w:i/>
                <w:sz w:val="22"/>
                <w:szCs w:val="22"/>
              </w:rPr>
              <w:t xml:space="preserve"> “Actual emissions as PTE used to net out of PSD.” </w:t>
            </w:r>
            <w:r w:rsidR="00A21C65" w:rsidRPr="00903BA3">
              <w:rPr>
                <w:rFonts w:ascii="Times New Roman" w:hAnsi="Times New Roman" w:cs="Times New Roman"/>
                <w:i/>
                <w:sz w:val="22"/>
                <w:szCs w:val="22"/>
              </w:rPr>
              <w:t>No change to the rule is proposed in response to this comment.</w:t>
            </w:r>
            <w:r w:rsidR="00A62014" w:rsidRPr="00903BA3">
              <w:rPr>
                <w:rFonts w:ascii="Times New Roman" w:hAnsi="Times New Roman" w:cs="Times New Roman"/>
                <w:i/>
                <w:sz w:val="22"/>
                <w:szCs w:val="22"/>
              </w:rPr>
              <w:t xml:space="preserve"> </w:t>
            </w:r>
          </w:p>
          <w:p w:rsidR="00607C83" w:rsidRPr="00903BA3" w:rsidRDefault="00607C83" w:rsidP="000B4801">
            <w:pPr>
              <w:pStyle w:val="Style2"/>
              <w:widowControl/>
              <w:spacing w:line="269" w:lineRule="exact"/>
              <w:rPr>
                <w:rFonts w:ascii="Times New Roman" w:hAnsi="Times New Roman" w:cs="Times New Roman"/>
                <w:i/>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607C83" w:rsidP="00607C83">
            <w:pPr>
              <w:ind w:right="-115"/>
              <w:rPr>
                <w:bCs/>
                <w:sz w:val="22"/>
                <w:szCs w:val="22"/>
              </w:rPr>
            </w:pPr>
            <w:r>
              <w:rPr>
                <w:bCs/>
                <w:sz w:val="22"/>
                <w:szCs w:val="22"/>
              </w:rPr>
              <w:t xml:space="preserve">59. </w:t>
            </w:r>
            <w:r w:rsidR="00A62014" w:rsidRPr="00903BA3">
              <w:rPr>
                <w:bCs/>
                <w:sz w:val="22"/>
                <w:szCs w:val="22"/>
              </w:rPr>
              <w:t>Regulation of greenhouse gases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rPr>
                <w:sz w:val="22"/>
                <w:szCs w:val="22"/>
              </w:rPr>
            </w:pPr>
            <w:r w:rsidRPr="00903BA3">
              <w:rPr>
                <w:sz w:val="22"/>
                <w:szCs w:val="22"/>
              </w:rPr>
              <w:t>The designation on Greenhouse Gases and Global Warming is based on flawed scientific research and conclusions. This legislation and/or rulemaking wi</w:t>
            </w:r>
            <w:r w:rsidR="0010238A" w:rsidRPr="00903BA3">
              <w:rPr>
                <w:sz w:val="22"/>
                <w:szCs w:val="22"/>
              </w:rPr>
              <w:t>ll do nothing but to significantly raise costs to business and thereby to the consumer, and create more bureaucracy and inefficiency with the DEQ, all because of fear and false research. I call upon the DEQ to cease all further efforts supporting and establishing Greenhouse Gas and Global Warming regulation, rulings and enforcement. (22)</w:t>
            </w:r>
          </w:p>
          <w:p w:rsidR="00607C83" w:rsidRPr="00903BA3" w:rsidRDefault="00607C83" w:rsidP="000B4801">
            <w:pPr>
              <w:rPr>
                <w:sz w:val="22"/>
                <w:szCs w:val="22"/>
              </w:rPr>
            </w:pPr>
          </w:p>
          <w:p w:rsidR="00A62014" w:rsidRDefault="0010238A" w:rsidP="000B4801">
            <w:pPr>
              <w:rPr>
                <w:sz w:val="22"/>
                <w:szCs w:val="22"/>
              </w:rPr>
            </w:pPr>
            <w:r w:rsidRPr="00903BA3">
              <w:rPr>
                <w:sz w:val="22"/>
                <w:szCs w:val="22"/>
              </w:rPr>
              <w:t>In the age of problems I would say this is a real lot of government contrived silliness</w:t>
            </w:r>
            <w:r w:rsidR="003C528F" w:rsidRPr="00903BA3">
              <w:rPr>
                <w:sz w:val="22"/>
                <w:szCs w:val="22"/>
              </w:rPr>
              <w:t>.</w:t>
            </w:r>
            <w:r w:rsidRPr="00903BA3">
              <w:rPr>
                <w:sz w:val="22"/>
                <w:szCs w:val="22"/>
              </w:rPr>
              <w:t xml:space="preserve"> (21)</w:t>
            </w:r>
          </w:p>
          <w:p w:rsidR="00607C83" w:rsidRPr="00903BA3" w:rsidRDefault="00607C83" w:rsidP="000B4801">
            <w:pPr>
              <w:rPr>
                <w:sz w:val="22"/>
                <w:szCs w:val="22"/>
              </w:rPr>
            </w:pPr>
          </w:p>
          <w:p w:rsidR="00A62014" w:rsidRPr="00903BA3" w:rsidRDefault="0010238A" w:rsidP="000B4801">
            <w:pPr>
              <w:pStyle w:val="NormalWeb"/>
              <w:spacing w:before="0" w:beforeAutospacing="0" w:after="0" w:afterAutospacing="0"/>
              <w:ind w:right="-187"/>
              <w:contextualSpacing/>
              <w:rPr>
                <w:i/>
                <w:sz w:val="22"/>
                <w:szCs w:val="22"/>
              </w:rPr>
            </w:pPr>
            <w:r w:rsidRPr="00903BA3">
              <w:rPr>
                <w:i/>
                <w:sz w:val="22"/>
                <w:szCs w:val="22"/>
              </w:rPr>
              <w:t xml:space="preserve">Response: </w:t>
            </w:r>
          </w:p>
          <w:p w:rsidR="00CD4256" w:rsidRDefault="00CD4256" w:rsidP="000B4801">
            <w:pPr>
              <w:rPr>
                <w:i/>
                <w:color w:val="000000"/>
                <w:sz w:val="22"/>
                <w:szCs w:val="22"/>
              </w:rPr>
            </w:pPr>
            <w:r w:rsidRPr="00903BA3">
              <w:rPr>
                <w:i/>
                <w:color w:val="000000"/>
                <w:sz w:val="22"/>
                <w:szCs w:val="22"/>
              </w:rPr>
              <w:t>Based on the best peer-reviewed science, EPA found in 2009 that manmade greenhouse gas emissions threaten the health and welfare of the American people. EPA is not alone in reaching that conclusion</w:t>
            </w:r>
            <w:r w:rsidR="008D538C" w:rsidRPr="00903BA3">
              <w:rPr>
                <w:i/>
                <w:color w:val="000000"/>
                <w:sz w:val="22"/>
                <w:szCs w:val="22"/>
              </w:rPr>
              <w:t xml:space="preserve">. </w:t>
            </w:r>
            <w:r w:rsidRPr="00903BA3">
              <w:rPr>
                <w:i/>
                <w:color w:val="000000"/>
                <w:sz w:val="22"/>
                <w:szCs w:val="22"/>
              </w:rPr>
              <w:t>The National Academy of Sciences has stated that there is a strong, credible body of evidence, based on multiple lines of research, documenting that the climate is changing and that the changes are caused in large part by human activities</w:t>
            </w:r>
            <w:r w:rsidR="008D538C" w:rsidRPr="00903BA3">
              <w:rPr>
                <w:i/>
                <w:color w:val="000000"/>
                <w:sz w:val="22"/>
                <w:szCs w:val="22"/>
              </w:rPr>
              <w:t xml:space="preserve">. </w:t>
            </w:r>
            <w:r w:rsidRPr="00903BA3">
              <w:rPr>
                <w:i/>
                <w:color w:val="000000"/>
                <w:sz w:val="22"/>
                <w:szCs w:val="22"/>
              </w:rPr>
              <w:t xml:space="preserve">Eighteen of America’s leading scientific societies have written that multiple lines of </w:t>
            </w:r>
            <w:r w:rsidRPr="00903BA3">
              <w:rPr>
                <w:i/>
                <w:color w:val="000000"/>
                <w:sz w:val="22"/>
                <w:szCs w:val="22"/>
              </w:rPr>
              <w:lastRenderedPageBreak/>
              <w:t>evidence show humans are changing the climate, that contrary assertions are inconsistent with an objective assessment of the vast body of peer-reviewed science, and that ongoing climate change will have broad impacts on society, including the global economy and the environment. </w:t>
            </w:r>
          </w:p>
          <w:p w:rsidR="00607C83" w:rsidRPr="00903BA3" w:rsidRDefault="00607C83" w:rsidP="000B4801">
            <w:pPr>
              <w:rPr>
                <w:i/>
                <w:sz w:val="22"/>
                <w:szCs w:val="22"/>
              </w:rPr>
            </w:pPr>
          </w:p>
          <w:p w:rsidR="00A62014" w:rsidRDefault="0010238A" w:rsidP="000B4801">
            <w:pPr>
              <w:pStyle w:val="NormalWeb"/>
              <w:spacing w:before="0" w:beforeAutospacing="0" w:after="0" w:afterAutospacing="0"/>
              <w:ind w:right="-187"/>
              <w:rPr>
                <w:i/>
                <w:color w:val="000000"/>
                <w:sz w:val="22"/>
                <w:szCs w:val="22"/>
              </w:rPr>
            </w:pPr>
            <w:r w:rsidRPr="00903BA3">
              <w:rPr>
                <w:i/>
                <w:color w:val="000000"/>
                <w:sz w:val="22"/>
                <w:szCs w:val="22"/>
              </w:rPr>
              <w:t xml:space="preserve">Oregon cannot disregard the strong scientific evidence showing that humans are contributing to the rapid increase of global temperatures. In addition, although new reporting and permitting requirements and fees create costs to businesses, the effects of climate change have serious implications for the economy and environment. For example, Oregon snow packs are shrinking and unseasonably warm temperatures are leading to rapid spring melts depleting Oregon’s supply of summer water for agriculture. </w:t>
            </w:r>
          </w:p>
          <w:p w:rsidR="00607C83" w:rsidRPr="00903BA3" w:rsidRDefault="00607C83" w:rsidP="000B4801">
            <w:pPr>
              <w:pStyle w:val="NormalWeb"/>
              <w:spacing w:before="0" w:beforeAutospacing="0" w:after="0" w:afterAutospacing="0"/>
              <w:ind w:right="-187"/>
              <w:rPr>
                <w:i/>
                <w:color w:val="000000"/>
                <w:sz w:val="22"/>
                <w:szCs w:val="22"/>
              </w:rPr>
            </w:pPr>
          </w:p>
          <w:p w:rsidR="00A62014" w:rsidRDefault="0010238A" w:rsidP="000B4801">
            <w:pPr>
              <w:pStyle w:val="NormalWeb"/>
              <w:spacing w:before="0" w:beforeAutospacing="0" w:after="0" w:afterAutospacing="0"/>
              <w:ind w:right="-187"/>
              <w:rPr>
                <w:i/>
                <w:sz w:val="22"/>
                <w:szCs w:val="22"/>
              </w:rPr>
            </w:pPr>
            <w:r w:rsidRPr="00903BA3">
              <w:rPr>
                <w:i/>
                <w:sz w:val="22"/>
                <w:szCs w:val="22"/>
              </w:rPr>
              <w:t>However, even if greenhouse gas emissions did not contribute to global warming, DEQ would still be required by federal law to establish a GHG permitting program</w:t>
            </w:r>
            <w:r w:rsidR="008D538C" w:rsidRPr="00903BA3">
              <w:rPr>
                <w:i/>
                <w:sz w:val="22"/>
                <w:szCs w:val="22"/>
              </w:rPr>
              <w:t xml:space="preserve">. </w:t>
            </w:r>
            <w:r w:rsidRPr="00903BA3">
              <w:rPr>
                <w:i/>
                <w:sz w:val="22"/>
                <w:szCs w:val="22"/>
              </w:rPr>
              <w:t>Under the federal Clean Air Act, no major new or modified source of GHG may be constructed in the United States without a PSD permit</w:t>
            </w:r>
            <w:r w:rsidR="008D538C" w:rsidRPr="00903BA3">
              <w:rPr>
                <w:i/>
                <w:sz w:val="22"/>
                <w:szCs w:val="22"/>
              </w:rPr>
              <w:t xml:space="preserve">. </w:t>
            </w:r>
            <w:r w:rsidRPr="00903BA3">
              <w:rPr>
                <w:i/>
                <w:sz w:val="22"/>
                <w:szCs w:val="22"/>
              </w:rPr>
              <w:t>If DEQ does not establish a GHG permitting program, these sources could not be built in Oregon, which would cause a severe economic impact on the state.</w:t>
            </w:r>
            <w:r w:rsidR="00FE6E7B" w:rsidRPr="00903BA3">
              <w:rPr>
                <w:i/>
                <w:sz w:val="22"/>
                <w:szCs w:val="22"/>
              </w:rPr>
              <w:t xml:space="preserve"> </w:t>
            </w:r>
            <w:r w:rsidRPr="00903BA3">
              <w:rPr>
                <w:i/>
                <w:sz w:val="22"/>
                <w:szCs w:val="22"/>
              </w:rPr>
              <w:t>No change to the rule is proposed in response to this comment.</w:t>
            </w:r>
          </w:p>
          <w:p w:rsidR="00607C83" w:rsidRPr="00903BA3" w:rsidRDefault="00607C83" w:rsidP="000B4801">
            <w:pPr>
              <w:pStyle w:val="NormalWeb"/>
              <w:spacing w:before="0" w:beforeAutospacing="0" w:after="0" w:afterAutospacing="0"/>
              <w:ind w:right="-187"/>
              <w:rPr>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D15ED7" w:rsidP="00D15ED7">
            <w:pPr>
              <w:ind w:right="-115"/>
              <w:rPr>
                <w:bCs/>
                <w:sz w:val="22"/>
                <w:szCs w:val="22"/>
              </w:rPr>
            </w:pPr>
            <w:r>
              <w:rPr>
                <w:bCs/>
                <w:sz w:val="22"/>
                <w:szCs w:val="22"/>
              </w:rPr>
              <w:lastRenderedPageBreak/>
              <w:t>60. Greenhouse gas</w:t>
            </w:r>
            <w:r w:rsidR="00A62014" w:rsidRPr="00903BA3">
              <w:rPr>
                <w:bCs/>
                <w:sz w:val="22"/>
                <w:szCs w:val="22"/>
              </w:rPr>
              <w:t xml:space="preserve"> reporting and fees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pStyle w:val="Style5"/>
              <w:widowControl/>
              <w:spacing w:line="240" w:lineRule="auto"/>
              <w:rPr>
                <w:rStyle w:val="FontStyle15"/>
              </w:rPr>
            </w:pPr>
            <w:r w:rsidRPr="00903BA3">
              <w:rPr>
                <w:rStyle w:val="FontStyle15"/>
              </w:rPr>
              <w:t>Currently forest products company owners that own manufacturing or conversion facilities along with timberland and forestland that sequesters CO</w:t>
            </w:r>
            <w:r w:rsidR="00DD34CC" w:rsidRPr="00903BA3">
              <w:rPr>
                <w:rStyle w:val="FontStyle15"/>
                <w:vertAlign w:val="subscript"/>
              </w:rPr>
              <w:t>2</w:t>
            </w:r>
            <w:r w:rsidR="00DD34CC" w:rsidRPr="00903BA3">
              <w:rPr>
                <w:rStyle w:val="FontStyle15"/>
              </w:rPr>
              <w:t xml:space="preserve"> g</w:t>
            </w:r>
            <w:r w:rsidRPr="00903BA3">
              <w:rPr>
                <w:rStyle w:val="FontStyle15"/>
              </w:rPr>
              <w:t>ases and emissions are being held to an increasing pile of fees (i.e., annual GHG reporting fees and related annual paperwork). The adoption of an ODEQ policy and regulation that places the GHG m</w:t>
            </w:r>
            <w:r w:rsidR="003C528F" w:rsidRPr="00903BA3">
              <w:rPr>
                <w:rStyle w:val="FontStyle15"/>
              </w:rPr>
              <w:t xml:space="preserve">anufacturing emissions in Title </w:t>
            </w:r>
            <w:r w:rsidRPr="00903BA3">
              <w:rPr>
                <w:rStyle w:val="FontStyle15"/>
              </w:rPr>
              <w:t>V and ACDP permits as part of PSEL is headed to a place that can be summed up as "taxation and regulation without representation". (8)</w:t>
            </w:r>
          </w:p>
          <w:p w:rsidR="00D15ED7" w:rsidRPr="00903BA3" w:rsidRDefault="00D15ED7" w:rsidP="000B4801">
            <w:pPr>
              <w:pStyle w:val="Style5"/>
              <w:widowControl/>
              <w:spacing w:line="240" w:lineRule="auto"/>
              <w:rPr>
                <w:rStyle w:val="FontStyle15"/>
              </w:rPr>
            </w:pPr>
          </w:p>
          <w:p w:rsidR="00A62014" w:rsidRDefault="00A62014" w:rsidP="000B4801">
            <w:pPr>
              <w:pStyle w:val="Style5"/>
              <w:widowControl/>
              <w:spacing w:line="240" w:lineRule="auto"/>
              <w:rPr>
                <w:rFonts w:ascii="Times New Roman" w:hAnsi="Times New Roman" w:cs="Times New Roman"/>
                <w:sz w:val="22"/>
                <w:szCs w:val="22"/>
              </w:rPr>
            </w:pPr>
            <w:r w:rsidRPr="00903BA3">
              <w:rPr>
                <w:rFonts w:ascii="Times New Roman" w:hAnsi="Times New Roman" w:cs="Times New Roman"/>
                <w:sz w:val="22"/>
                <w:szCs w:val="22"/>
              </w:rPr>
              <w:t>The DEQ’s reporting threshold for greenhouse gas</w:t>
            </w:r>
            <w:r w:rsidR="003C528F" w:rsidRPr="00903BA3">
              <w:rPr>
                <w:rFonts w:ascii="Times New Roman" w:hAnsi="Times New Roman" w:cs="Times New Roman"/>
                <w:sz w:val="22"/>
                <w:szCs w:val="22"/>
              </w:rPr>
              <w:t>es</w:t>
            </w:r>
            <w:r w:rsidRPr="00903BA3">
              <w:rPr>
                <w:rFonts w:ascii="Times New Roman" w:hAnsi="Times New Roman" w:cs="Times New Roman"/>
                <w:sz w:val="22"/>
                <w:szCs w:val="22"/>
              </w:rPr>
              <w:t xml:space="preserve"> should be increased to match the EPA’s threshold. There is no reasonable explanation for the DEQ to continue to diverge from the EPA. Allowing this to continue increases the cost and complexity of the program, without any defined benefits. (10)</w:t>
            </w:r>
          </w:p>
          <w:p w:rsidR="00D15ED7" w:rsidRPr="00903BA3" w:rsidRDefault="00D15ED7" w:rsidP="000B4801">
            <w:pPr>
              <w:pStyle w:val="Style5"/>
              <w:widowControl/>
              <w:spacing w:line="240" w:lineRule="auto"/>
              <w:rPr>
                <w:rFonts w:ascii="Times New Roman" w:hAnsi="Times New Roman" w:cs="Times New Roman"/>
                <w:color w:val="000000"/>
                <w:sz w:val="22"/>
                <w:szCs w:val="22"/>
              </w:rPr>
            </w:pPr>
          </w:p>
          <w:p w:rsidR="00A62014" w:rsidRPr="00903BA3" w:rsidRDefault="00A62014" w:rsidP="000B4801">
            <w:pPr>
              <w:ind w:right="-180"/>
              <w:rPr>
                <w:i/>
                <w:sz w:val="22"/>
                <w:szCs w:val="22"/>
              </w:rPr>
            </w:pPr>
            <w:r w:rsidRPr="00903BA3">
              <w:rPr>
                <w:i/>
                <w:sz w:val="22"/>
                <w:szCs w:val="22"/>
              </w:rPr>
              <w:t>Response:</w:t>
            </w:r>
          </w:p>
          <w:p w:rsidR="00A62014" w:rsidRDefault="00A62014" w:rsidP="000B4801">
            <w:pPr>
              <w:ind w:right="-180"/>
              <w:rPr>
                <w:i/>
                <w:sz w:val="22"/>
                <w:szCs w:val="22"/>
              </w:rPr>
            </w:pPr>
            <w:r w:rsidRPr="00903BA3">
              <w:rPr>
                <w:i/>
                <w:sz w:val="22"/>
                <w:szCs w:val="22"/>
              </w:rPr>
              <w:t xml:space="preserve">This rulemaking does not </w:t>
            </w:r>
            <w:r w:rsidR="00A63994" w:rsidRPr="00903BA3">
              <w:rPr>
                <w:i/>
                <w:sz w:val="22"/>
                <w:szCs w:val="22"/>
              </w:rPr>
              <w:t>address</w:t>
            </w:r>
            <w:r w:rsidRPr="00903BA3">
              <w:rPr>
                <w:i/>
                <w:sz w:val="22"/>
                <w:szCs w:val="22"/>
              </w:rPr>
              <w:t xml:space="preserve"> greenhouse gas reporting. </w:t>
            </w:r>
            <w:r w:rsidR="00A63994" w:rsidRPr="00903BA3">
              <w:rPr>
                <w:i/>
                <w:sz w:val="22"/>
                <w:szCs w:val="22"/>
              </w:rPr>
              <w:t xml:space="preserve">However, in earlier rulemakings, the </w:t>
            </w:r>
            <w:r w:rsidRPr="00903BA3">
              <w:rPr>
                <w:i/>
                <w:sz w:val="22"/>
                <w:szCs w:val="22"/>
              </w:rPr>
              <w:t xml:space="preserve">EQC </w:t>
            </w:r>
            <w:r w:rsidR="00A63994" w:rsidRPr="00903BA3">
              <w:rPr>
                <w:i/>
                <w:sz w:val="22"/>
                <w:szCs w:val="22"/>
              </w:rPr>
              <w:t>adopted</w:t>
            </w:r>
            <w:r w:rsidRPr="00903BA3">
              <w:rPr>
                <w:i/>
                <w:sz w:val="22"/>
                <w:szCs w:val="22"/>
              </w:rPr>
              <w:t xml:space="preserve"> a </w:t>
            </w:r>
            <w:r w:rsidR="00D15ED7">
              <w:rPr>
                <w:i/>
                <w:sz w:val="22"/>
                <w:szCs w:val="22"/>
              </w:rPr>
              <w:t>greenhouse gas</w:t>
            </w:r>
            <w:r w:rsidR="00A63994" w:rsidRPr="00903BA3">
              <w:rPr>
                <w:i/>
                <w:sz w:val="22"/>
                <w:szCs w:val="22"/>
              </w:rPr>
              <w:t xml:space="preserve"> </w:t>
            </w:r>
            <w:r w:rsidRPr="00903BA3">
              <w:rPr>
                <w:i/>
                <w:sz w:val="22"/>
                <w:szCs w:val="22"/>
              </w:rPr>
              <w:t xml:space="preserve">reporting requirement </w:t>
            </w:r>
            <w:r w:rsidR="00A63994" w:rsidRPr="00903BA3">
              <w:rPr>
                <w:i/>
                <w:sz w:val="22"/>
                <w:szCs w:val="22"/>
              </w:rPr>
              <w:t>that is more comprehensive than the federal requirement.</w:t>
            </w:r>
            <w:r w:rsidRPr="00903BA3">
              <w:rPr>
                <w:i/>
                <w:sz w:val="22"/>
                <w:szCs w:val="22"/>
              </w:rPr>
              <w:t xml:space="preserve"> DEQ proposed and EQC adopted </w:t>
            </w:r>
            <w:r w:rsidR="00A63994" w:rsidRPr="00903BA3">
              <w:rPr>
                <w:i/>
                <w:sz w:val="22"/>
                <w:szCs w:val="22"/>
              </w:rPr>
              <w:t>an</w:t>
            </w:r>
            <w:r w:rsidRPr="00903BA3">
              <w:rPr>
                <w:i/>
                <w:sz w:val="22"/>
                <w:szCs w:val="22"/>
              </w:rPr>
              <w:t xml:space="preserve"> emissions threshold of 2,500 metric tons carbon dioxide equivalent in Oregon’s greenhouse gas reporting rules</w:t>
            </w:r>
            <w:r w:rsidR="00A63994" w:rsidRPr="00903BA3">
              <w:rPr>
                <w:i/>
                <w:sz w:val="22"/>
                <w:szCs w:val="22"/>
              </w:rPr>
              <w:t>, as compared to 25,000 metric tons for the federal reporting program</w:t>
            </w:r>
            <w:r w:rsidRPr="00903BA3">
              <w:rPr>
                <w:i/>
                <w:sz w:val="22"/>
                <w:szCs w:val="22"/>
              </w:rPr>
              <w:t xml:space="preserve">. </w:t>
            </w:r>
            <w:r w:rsidR="00297DB3" w:rsidRPr="00903BA3">
              <w:rPr>
                <w:i/>
                <w:sz w:val="22"/>
                <w:szCs w:val="22"/>
              </w:rPr>
              <w:t>The lower reporting threshold will allow Oregon to develop a better scientific basis</w:t>
            </w:r>
            <w:r w:rsidR="00D15ED7">
              <w:rPr>
                <w:i/>
                <w:sz w:val="22"/>
                <w:szCs w:val="22"/>
              </w:rPr>
              <w:t xml:space="preserve"> for tracking and addressing greenhouse gas</w:t>
            </w:r>
            <w:r w:rsidR="00297DB3" w:rsidRPr="00903BA3">
              <w:rPr>
                <w:i/>
                <w:sz w:val="22"/>
                <w:szCs w:val="22"/>
              </w:rPr>
              <w:t xml:space="preserve"> emissions. Because this rulemaking does not address </w:t>
            </w:r>
            <w:r w:rsidR="00D15ED7">
              <w:rPr>
                <w:i/>
                <w:sz w:val="22"/>
                <w:szCs w:val="22"/>
              </w:rPr>
              <w:t>greenhouse gas</w:t>
            </w:r>
            <w:r w:rsidR="00297DB3" w:rsidRPr="00903BA3">
              <w:rPr>
                <w:i/>
                <w:sz w:val="22"/>
                <w:szCs w:val="22"/>
              </w:rPr>
              <w:t xml:space="preserve"> reporting, n</w:t>
            </w:r>
            <w:r w:rsidR="00A21C65" w:rsidRPr="00903BA3">
              <w:rPr>
                <w:i/>
                <w:sz w:val="22"/>
                <w:szCs w:val="22"/>
              </w:rPr>
              <w:t xml:space="preserve">o change </w:t>
            </w:r>
            <w:r w:rsidR="00FE6E7B" w:rsidRPr="00903BA3">
              <w:rPr>
                <w:i/>
                <w:sz w:val="22"/>
                <w:szCs w:val="22"/>
              </w:rPr>
              <w:t xml:space="preserve">to the rule </w:t>
            </w:r>
            <w:r w:rsidR="00A21C65" w:rsidRPr="00903BA3">
              <w:rPr>
                <w:i/>
                <w:sz w:val="22"/>
                <w:szCs w:val="22"/>
              </w:rPr>
              <w:t>is proposed in response to this comment.</w:t>
            </w:r>
            <w:r w:rsidRPr="00903BA3">
              <w:rPr>
                <w:i/>
                <w:sz w:val="22"/>
                <w:szCs w:val="22"/>
              </w:rPr>
              <w:t xml:space="preserve"> </w:t>
            </w:r>
          </w:p>
          <w:p w:rsidR="00D15ED7" w:rsidRPr="00903BA3" w:rsidRDefault="00D15ED7" w:rsidP="000B4801">
            <w:pPr>
              <w:ind w:right="-180"/>
              <w:rPr>
                <w:i/>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D15ED7" w:rsidP="00D15ED7">
            <w:pPr>
              <w:ind w:right="-115"/>
              <w:rPr>
                <w:bCs/>
                <w:sz w:val="22"/>
                <w:szCs w:val="22"/>
              </w:rPr>
            </w:pPr>
            <w:r>
              <w:rPr>
                <w:bCs/>
                <w:sz w:val="22"/>
                <w:szCs w:val="22"/>
              </w:rPr>
              <w:t xml:space="preserve">61. </w:t>
            </w:r>
            <w:r w:rsidR="00A62014" w:rsidRPr="00903BA3">
              <w:rPr>
                <w:bCs/>
                <w:sz w:val="22"/>
                <w:szCs w:val="22"/>
              </w:rPr>
              <w:t>PM</w:t>
            </w:r>
            <w:r w:rsidR="00A62014" w:rsidRPr="00903BA3">
              <w:rPr>
                <w:bCs/>
                <w:sz w:val="22"/>
                <w:szCs w:val="22"/>
                <w:vertAlign w:val="subscript"/>
              </w:rPr>
              <w:t>2.5</w:t>
            </w:r>
            <w:r w:rsidR="00A62014" w:rsidRPr="00903BA3">
              <w:rPr>
                <w:bCs/>
                <w:sz w:val="22"/>
                <w:szCs w:val="22"/>
              </w:rPr>
              <w:t xml:space="preserve"> to PM</w:t>
            </w:r>
            <w:r w:rsidR="00A62014" w:rsidRPr="00903BA3">
              <w:rPr>
                <w:bCs/>
                <w:sz w:val="22"/>
                <w:szCs w:val="22"/>
                <w:vertAlign w:val="subscript"/>
              </w:rPr>
              <w:t>10</w:t>
            </w:r>
            <w:r w:rsidR="00A62014" w:rsidRPr="00903BA3">
              <w:rPr>
                <w:bCs/>
                <w:sz w:val="22"/>
                <w:szCs w:val="22"/>
              </w:rPr>
              <w:t xml:space="preserve"> ratio</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ind w:right="-180"/>
              <w:rPr>
                <w:sz w:val="22"/>
                <w:szCs w:val="22"/>
              </w:rPr>
            </w:pPr>
            <w:r w:rsidRPr="00903BA3">
              <w:rPr>
                <w:sz w:val="22"/>
                <w:szCs w:val="22"/>
              </w:rPr>
              <w:t>Establish</w:t>
            </w:r>
            <w:r w:rsidR="003C528F" w:rsidRPr="00903BA3">
              <w:rPr>
                <w:sz w:val="22"/>
                <w:szCs w:val="22"/>
              </w:rPr>
              <w:t>ing</w:t>
            </w:r>
            <w:r w:rsidRPr="00903BA3">
              <w:rPr>
                <w:sz w:val="22"/>
                <w:szCs w:val="22"/>
              </w:rPr>
              <w:t xml:space="preserve"> a ratio between PM2.5 and PM10 emissions should not be done through testing only. Sources should have the option of using the ratio based upon the Particle Size Category by AP-42 section. If </w:t>
            </w:r>
            <w:r w:rsidR="003C528F" w:rsidRPr="00903BA3">
              <w:rPr>
                <w:sz w:val="22"/>
                <w:szCs w:val="22"/>
              </w:rPr>
              <w:t xml:space="preserve">a </w:t>
            </w:r>
            <w:r w:rsidRPr="00903BA3">
              <w:rPr>
                <w:sz w:val="22"/>
                <w:szCs w:val="22"/>
              </w:rPr>
              <w:t>modeling analysis is required for an area, having PM2.5 default to PM10 will result in compounding conservative worst case conditions. (10)</w:t>
            </w:r>
          </w:p>
          <w:p w:rsidR="00D15ED7" w:rsidRPr="00903BA3" w:rsidRDefault="00D15ED7" w:rsidP="000B4801">
            <w:pPr>
              <w:ind w:right="-180"/>
              <w:rPr>
                <w:sz w:val="22"/>
                <w:szCs w:val="22"/>
              </w:rPr>
            </w:pPr>
          </w:p>
          <w:p w:rsidR="00A62014" w:rsidRPr="00903BA3" w:rsidRDefault="00A62014" w:rsidP="000B4801">
            <w:pPr>
              <w:ind w:right="-180"/>
              <w:rPr>
                <w:i/>
                <w:sz w:val="22"/>
                <w:szCs w:val="22"/>
              </w:rPr>
            </w:pPr>
            <w:r w:rsidRPr="00903BA3">
              <w:rPr>
                <w:i/>
                <w:sz w:val="22"/>
                <w:szCs w:val="22"/>
              </w:rPr>
              <w:t>Response:</w:t>
            </w:r>
          </w:p>
          <w:p w:rsidR="002052D3" w:rsidRDefault="002052D3" w:rsidP="000B4801">
            <w:pPr>
              <w:ind w:right="-180"/>
              <w:rPr>
                <w:i/>
                <w:sz w:val="22"/>
                <w:szCs w:val="22"/>
              </w:rPr>
            </w:pPr>
            <w:r w:rsidRPr="00903BA3">
              <w:rPr>
                <w:i/>
                <w:sz w:val="22"/>
                <w:szCs w:val="22"/>
              </w:rPr>
              <w:t>DEQ prefers source test data at the facility as the most reliable way to determine the PM</w:t>
            </w:r>
            <w:r w:rsidRPr="00903BA3">
              <w:rPr>
                <w:i/>
                <w:sz w:val="22"/>
                <w:szCs w:val="22"/>
                <w:vertAlign w:val="subscript"/>
              </w:rPr>
              <w:t>2.5</w:t>
            </w:r>
            <w:r w:rsidRPr="00903BA3">
              <w:rPr>
                <w:i/>
                <w:sz w:val="22"/>
                <w:szCs w:val="22"/>
              </w:rPr>
              <w:t xml:space="preserve"> fraction of PM</w:t>
            </w:r>
            <w:r w:rsidRPr="00903BA3">
              <w:rPr>
                <w:i/>
                <w:sz w:val="22"/>
                <w:szCs w:val="22"/>
                <w:vertAlign w:val="subscript"/>
              </w:rPr>
              <w:t>10</w:t>
            </w:r>
            <w:r w:rsidRPr="00903BA3">
              <w:rPr>
                <w:i/>
                <w:sz w:val="22"/>
                <w:szCs w:val="22"/>
              </w:rPr>
              <w:t xml:space="preserve"> emissions. Where source testing is not required or possible, industry specific </w:t>
            </w:r>
            <w:r w:rsidRPr="00903BA3">
              <w:rPr>
                <w:i/>
                <w:sz w:val="22"/>
                <w:szCs w:val="22"/>
              </w:rPr>
              <w:lastRenderedPageBreak/>
              <w:t xml:space="preserve">data available from trade associations or EPA’s </w:t>
            </w:r>
            <w:r w:rsidRPr="00903BA3">
              <w:rPr>
                <w:rStyle w:val="Strong"/>
                <w:i/>
                <w:sz w:val="22"/>
                <w:szCs w:val="22"/>
              </w:rPr>
              <w:t xml:space="preserve">AP-42, </w:t>
            </w:r>
            <w:r w:rsidRPr="00903BA3">
              <w:rPr>
                <w:rStyle w:val="Emphasis"/>
                <w:b/>
                <w:bCs/>
                <w:i w:val="0"/>
                <w:sz w:val="22"/>
                <w:szCs w:val="22"/>
              </w:rPr>
              <w:t>Compilation of Air Pollutant Emission Factors</w:t>
            </w:r>
            <w:r w:rsidRPr="00903BA3">
              <w:rPr>
                <w:i/>
                <w:sz w:val="22"/>
                <w:szCs w:val="22"/>
              </w:rPr>
              <w:t>, can be used to estimate PM</w:t>
            </w:r>
            <w:r w:rsidRPr="00903BA3">
              <w:rPr>
                <w:i/>
                <w:sz w:val="22"/>
                <w:szCs w:val="22"/>
                <w:vertAlign w:val="subscript"/>
              </w:rPr>
              <w:t>2.5</w:t>
            </w:r>
            <w:r w:rsidRPr="00903BA3">
              <w:rPr>
                <w:i/>
                <w:sz w:val="22"/>
                <w:szCs w:val="22"/>
              </w:rPr>
              <w:t xml:space="preserve"> emissions.</w:t>
            </w:r>
            <w:r w:rsidR="0091315E" w:rsidRPr="00903BA3">
              <w:rPr>
                <w:i/>
                <w:sz w:val="22"/>
                <w:szCs w:val="22"/>
              </w:rPr>
              <w:t xml:space="preserve"> See the response in comment </w:t>
            </w:r>
            <w:fldSimple w:instr=" REF _Ref283933480 \r \h  \* MERGEFORMAT ">
              <w:r w:rsidR="00752276" w:rsidRPr="00903BA3">
                <w:rPr>
                  <w:i/>
                  <w:sz w:val="22"/>
                  <w:szCs w:val="22"/>
                </w:rPr>
                <w:t>48</w:t>
              </w:r>
            </w:fldSimple>
            <w:r w:rsidR="0091315E" w:rsidRPr="00903BA3">
              <w:rPr>
                <w:i/>
                <w:sz w:val="22"/>
                <w:szCs w:val="22"/>
              </w:rPr>
              <w:t xml:space="preserve"> “Proposed Option 1” for more information.</w:t>
            </w:r>
          </w:p>
          <w:p w:rsidR="00D15ED7" w:rsidRPr="00903BA3" w:rsidRDefault="00D15ED7" w:rsidP="000B4801">
            <w:pPr>
              <w:ind w:right="-180"/>
              <w:rPr>
                <w:i/>
                <w:sz w:val="22"/>
                <w:szCs w:val="22"/>
              </w:rPr>
            </w:pPr>
          </w:p>
          <w:p w:rsidR="00A62014" w:rsidRDefault="00A62014" w:rsidP="000B4801">
            <w:pPr>
              <w:ind w:right="-180"/>
              <w:rPr>
                <w:i/>
                <w:sz w:val="22"/>
                <w:szCs w:val="22"/>
              </w:rPr>
            </w:pPr>
            <w:r w:rsidRPr="00903BA3">
              <w:rPr>
                <w:i/>
                <w:sz w:val="22"/>
                <w:szCs w:val="22"/>
              </w:rPr>
              <w:t>DEQ agrees that modeling PM</w:t>
            </w:r>
            <w:r w:rsidRPr="00903BA3">
              <w:rPr>
                <w:i/>
                <w:sz w:val="22"/>
                <w:szCs w:val="22"/>
                <w:vertAlign w:val="subscript"/>
              </w:rPr>
              <w:t>10</w:t>
            </w:r>
            <w:r w:rsidRPr="00903BA3">
              <w:rPr>
                <w:i/>
                <w:sz w:val="22"/>
                <w:szCs w:val="22"/>
              </w:rPr>
              <w:t xml:space="preserve"> as a surrogate for PM</w:t>
            </w:r>
            <w:r w:rsidRPr="00903BA3">
              <w:rPr>
                <w:i/>
                <w:sz w:val="22"/>
                <w:szCs w:val="22"/>
                <w:vertAlign w:val="subscript"/>
              </w:rPr>
              <w:t>2.5</w:t>
            </w:r>
            <w:r w:rsidRPr="00903BA3">
              <w:rPr>
                <w:i/>
                <w:sz w:val="22"/>
                <w:szCs w:val="22"/>
              </w:rPr>
              <w:t xml:space="preserve"> is a conservative approach in most cases</w:t>
            </w:r>
            <w:r w:rsidR="0091315E" w:rsidRPr="00903BA3">
              <w:rPr>
                <w:i/>
                <w:sz w:val="22"/>
                <w:szCs w:val="22"/>
              </w:rPr>
              <w:t>.</w:t>
            </w:r>
            <w:r w:rsidRPr="00903BA3">
              <w:rPr>
                <w:i/>
                <w:sz w:val="22"/>
                <w:szCs w:val="22"/>
              </w:rPr>
              <w:t xml:space="preserve"> Since PM</w:t>
            </w:r>
            <w:r w:rsidRPr="00903BA3">
              <w:rPr>
                <w:i/>
                <w:sz w:val="22"/>
                <w:szCs w:val="22"/>
                <w:vertAlign w:val="subscript"/>
              </w:rPr>
              <w:t>2.5</w:t>
            </w:r>
            <w:r w:rsidRPr="00903BA3">
              <w:rPr>
                <w:i/>
                <w:sz w:val="22"/>
                <w:szCs w:val="22"/>
              </w:rPr>
              <w:t xml:space="preserve"> emissions must include secondary formation, PM</w:t>
            </w:r>
            <w:r w:rsidRPr="00903BA3">
              <w:rPr>
                <w:i/>
                <w:sz w:val="22"/>
                <w:szCs w:val="22"/>
                <w:vertAlign w:val="subscript"/>
              </w:rPr>
              <w:t>2.5</w:t>
            </w:r>
            <w:r w:rsidRPr="00903BA3">
              <w:rPr>
                <w:i/>
                <w:sz w:val="22"/>
                <w:szCs w:val="22"/>
              </w:rPr>
              <w:t xml:space="preserve"> modeled impacts could actually be greater than PM</w:t>
            </w:r>
            <w:r w:rsidRPr="00903BA3">
              <w:rPr>
                <w:i/>
                <w:sz w:val="22"/>
                <w:szCs w:val="22"/>
                <w:vertAlign w:val="subscript"/>
              </w:rPr>
              <w:t>10</w:t>
            </w:r>
            <w:r w:rsidRPr="00903BA3">
              <w:rPr>
                <w:i/>
                <w:sz w:val="22"/>
                <w:szCs w:val="22"/>
              </w:rPr>
              <w:t xml:space="preserve"> modeled impacts. </w:t>
            </w:r>
            <w:r w:rsidR="0091315E" w:rsidRPr="00903BA3">
              <w:rPr>
                <w:i/>
                <w:sz w:val="22"/>
                <w:szCs w:val="22"/>
              </w:rPr>
              <w:t>However, some sources may choose to use this conservative approach to avoid the cost of testing to differentiate between PM</w:t>
            </w:r>
            <w:r w:rsidR="0091315E" w:rsidRPr="00903BA3">
              <w:rPr>
                <w:i/>
                <w:sz w:val="22"/>
                <w:szCs w:val="22"/>
                <w:vertAlign w:val="subscript"/>
              </w:rPr>
              <w:t>2.5</w:t>
            </w:r>
            <w:r w:rsidR="0091315E" w:rsidRPr="00903BA3">
              <w:rPr>
                <w:i/>
                <w:sz w:val="22"/>
                <w:szCs w:val="22"/>
              </w:rPr>
              <w:t xml:space="preserve"> and PM</w:t>
            </w:r>
            <w:r w:rsidR="0091315E" w:rsidRPr="00903BA3">
              <w:rPr>
                <w:i/>
                <w:sz w:val="22"/>
                <w:szCs w:val="22"/>
                <w:vertAlign w:val="subscript"/>
              </w:rPr>
              <w:t>10</w:t>
            </w:r>
            <w:r w:rsidR="0091315E" w:rsidRPr="00903BA3">
              <w:rPr>
                <w:i/>
                <w:sz w:val="22"/>
                <w:szCs w:val="22"/>
              </w:rPr>
              <w:t xml:space="preserve">. </w:t>
            </w:r>
            <w:r w:rsidR="00A21C65" w:rsidRPr="00903BA3">
              <w:rPr>
                <w:i/>
                <w:sz w:val="22"/>
                <w:szCs w:val="22"/>
              </w:rPr>
              <w:t>No change to the rule is proposed in response to this comment.</w:t>
            </w:r>
            <w:r w:rsidRPr="00903BA3">
              <w:rPr>
                <w:i/>
                <w:sz w:val="22"/>
                <w:szCs w:val="22"/>
              </w:rPr>
              <w:t xml:space="preserve"> </w:t>
            </w:r>
          </w:p>
          <w:p w:rsidR="00D15ED7" w:rsidRPr="00903BA3" w:rsidRDefault="00D15ED7" w:rsidP="000B4801">
            <w:pPr>
              <w:ind w:right="-180"/>
              <w:rPr>
                <w:i/>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D15ED7" w:rsidP="00D15ED7">
            <w:pPr>
              <w:ind w:right="-115"/>
              <w:rPr>
                <w:bCs/>
                <w:sz w:val="22"/>
                <w:szCs w:val="22"/>
              </w:rPr>
            </w:pPr>
            <w:r>
              <w:rPr>
                <w:sz w:val="22"/>
                <w:szCs w:val="22"/>
              </w:rPr>
              <w:lastRenderedPageBreak/>
              <w:t xml:space="preserve">62. </w:t>
            </w:r>
            <w:r w:rsidR="00A62014" w:rsidRPr="00903BA3">
              <w:rPr>
                <w:sz w:val="22"/>
                <w:szCs w:val="22"/>
              </w:rPr>
              <w:t xml:space="preserve">Total </w:t>
            </w:r>
            <w:r>
              <w:rPr>
                <w:sz w:val="22"/>
                <w:szCs w:val="22"/>
              </w:rPr>
              <w:t xml:space="preserve">particulate </w:t>
            </w:r>
            <w:r w:rsidR="00A62014" w:rsidRPr="00903BA3">
              <w:rPr>
                <w:sz w:val="22"/>
                <w:szCs w:val="22"/>
              </w:rPr>
              <w:t>matter instead of PM</w:t>
            </w:r>
            <w:r w:rsidR="00A62014" w:rsidRPr="00903BA3">
              <w:rPr>
                <w:sz w:val="22"/>
                <w:szCs w:val="22"/>
                <w:vertAlign w:val="subscript"/>
              </w:rPr>
              <w:t>2.5</w:t>
            </w:r>
            <w:r w:rsidR="00A62014" w:rsidRPr="00903BA3">
              <w:rPr>
                <w:sz w:val="22"/>
                <w:szCs w:val="22"/>
              </w:rPr>
              <w:t xml:space="preserve">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ind w:right="-180"/>
              <w:rPr>
                <w:sz w:val="22"/>
                <w:szCs w:val="22"/>
              </w:rPr>
            </w:pPr>
            <w:r w:rsidRPr="00903BA3">
              <w:rPr>
                <w:sz w:val="22"/>
                <w:szCs w:val="22"/>
              </w:rPr>
              <w:t xml:space="preserve">Instead of trying to enforce new lower standards for the most difficult, expensive and inaccurate testing of PM2.5, DEQ should be looking at standards for total </w:t>
            </w:r>
            <w:r w:rsidR="003C528F" w:rsidRPr="00903BA3">
              <w:rPr>
                <w:sz w:val="22"/>
                <w:szCs w:val="22"/>
              </w:rPr>
              <w:t>particulate</w:t>
            </w:r>
            <w:r w:rsidRPr="00903BA3">
              <w:rPr>
                <w:sz w:val="22"/>
                <w:szCs w:val="22"/>
              </w:rPr>
              <w:t xml:space="preserve"> matter based on testing with an allowance for use of existing tables of site developed ratios to establish particle size gradation. They should also recognize that geography plays a large role in air pollution problems and efforts should be made to reduce pollution at those specific times when the air shed becomes stagnant. (10)</w:t>
            </w:r>
          </w:p>
          <w:p w:rsidR="00D15ED7" w:rsidRPr="00903BA3" w:rsidRDefault="00D15ED7" w:rsidP="000B4801">
            <w:pPr>
              <w:ind w:right="-180"/>
              <w:rPr>
                <w:sz w:val="22"/>
                <w:szCs w:val="22"/>
              </w:rPr>
            </w:pPr>
          </w:p>
          <w:p w:rsidR="00A62014" w:rsidRPr="00903BA3" w:rsidRDefault="00A62014" w:rsidP="000B4801">
            <w:pPr>
              <w:ind w:right="-180"/>
              <w:rPr>
                <w:i/>
                <w:sz w:val="22"/>
                <w:szCs w:val="22"/>
              </w:rPr>
            </w:pPr>
            <w:r w:rsidRPr="00903BA3">
              <w:rPr>
                <w:i/>
                <w:sz w:val="22"/>
                <w:szCs w:val="22"/>
              </w:rPr>
              <w:t>Response:</w:t>
            </w:r>
          </w:p>
          <w:p w:rsidR="00A62014" w:rsidRPr="00903BA3" w:rsidRDefault="00A62014" w:rsidP="000B4801">
            <w:pPr>
              <w:ind w:right="-180"/>
              <w:rPr>
                <w:i/>
                <w:sz w:val="22"/>
                <w:szCs w:val="22"/>
              </w:rPr>
            </w:pPr>
            <w:r w:rsidRPr="00903BA3">
              <w:rPr>
                <w:i/>
                <w:sz w:val="22"/>
                <w:szCs w:val="22"/>
              </w:rPr>
              <w:t>Since EPA adopted national ambient air quality standards for PM</w:t>
            </w:r>
            <w:r w:rsidRPr="00903BA3">
              <w:rPr>
                <w:i/>
                <w:sz w:val="22"/>
                <w:szCs w:val="22"/>
                <w:vertAlign w:val="subscript"/>
              </w:rPr>
              <w:t>2.5</w:t>
            </w:r>
            <w:r w:rsidRPr="00903BA3">
              <w:rPr>
                <w:i/>
                <w:sz w:val="22"/>
                <w:szCs w:val="22"/>
              </w:rPr>
              <w:t>, DEQ does not have a choice on whether to implement a permitting program for PM</w:t>
            </w:r>
            <w:r w:rsidRPr="00903BA3">
              <w:rPr>
                <w:i/>
                <w:sz w:val="22"/>
                <w:szCs w:val="22"/>
                <w:vertAlign w:val="subscript"/>
              </w:rPr>
              <w:t>2.5</w:t>
            </w:r>
            <w:r w:rsidRPr="00903BA3">
              <w:rPr>
                <w:i/>
                <w:sz w:val="22"/>
                <w:szCs w:val="22"/>
              </w:rPr>
              <w:t>. If DEQ does not adopt these rules, Oregon will lose federal approval to implement the program and could face sanctions</w:t>
            </w:r>
            <w:r w:rsidR="008D538C" w:rsidRPr="00903BA3">
              <w:rPr>
                <w:i/>
                <w:sz w:val="22"/>
                <w:szCs w:val="22"/>
              </w:rPr>
              <w:t xml:space="preserve">. </w:t>
            </w:r>
          </w:p>
          <w:p w:rsidR="00A62014" w:rsidRDefault="00A62014" w:rsidP="000B4801">
            <w:pPr>
              <w:ind w:right="-180"/>
              <w:rPr>
                <w:i/>
                <w:sz w:val="22"/>
                <w:szCs w:val="22"/>
              </w:rPr>
            </w:pPr>
            <w:r w:rsidRPr="00903BA3">
              <w:rPr>
                <w:i/>
                <w:sz w:val="22"/>
                <w:szCs w:val="22"/>
              </w:rPr>
              <w:t>EPA has developed tables with particle size gradation for some but not all sources. Geography is taken into account in</w:t>
            </w:r>
            <w:r w:rsidR="006C2FE5" w:rsidRPr="00903BA3">
              <w:rPr>
                <w:i/>
                <w:sz w:val="22"/>
                <w:szCs w:val="22"/>
              </w:rPr>
              <w:t xml:space="preserve"> developing air quality attainment plans for areas that violate NAAQS</w:t>
            </w:r>
            <w:r w:rsidRPr="00903BA3">
              <w:rPr>
                <w:i/>
                <w:sz w:val="22"/>
                <w:szCs w:val="22"/>
              </w:rPr>
              <w:t xml:space="preserve">. </w:t>
            </w:r>
          </w:p>
          <w:p w:rsidR="00D15ED7" w:rsidRPr="00903BA3" w:rsidRDefault="00D15ED7" w:rsidP="000B4801">
            <w:pPr>
              <w:ind w:right="-180"/>
              <w:rPr>
                <w:i/>
                <w:sz w:val="22"/>
                <w:szCs w:val="22"/>
              </w:rPr>
            </w:pPr>
          </w:p>
          <w:p w:rsidR="00A62014" w:rsidRDefault="00A62014" w:rsidP="000B4801">
            <w:pPr>
              <w:rPr>
                <w:i/>
                <w:sz w:val="22"/>
                <w:szCs w:val="22"/>
              </w:rPr>
            </w:pPr>
            <w:r w:rsidRPr="00903BA3">
              <w:rPr>
                <w:i/>
                <w:sz w:val="22"/>
                <w:szCs w:val="22"/>
              </w:rPr>
              <w:t xml:space="preserve">DEQ calls periodic air pollution advisories during the winter due to stagnant air. </w:t>
            </w:r>
            <w:r w:rsidR="006C2FE5" w:rsidRPr="00903BA3">
              <w:rPr>
                <w:i/>
                <w:sz w:val="22"/>
                <w:szCs w:val="22"/>
              </w:rPr>
              <w:t>During these times, p</w:t>
            </w:r>
            <w:r w:rsidRPr="00903BA3">
              <w:rPr>
                <w:i/>
                <w:sz w:val="22"/>
                <w:szCs w:val="22"/>
              </w:rPr>
              <w:t>ollutants trapped near the surface can steadily increase in concentration toward unhealthful levels due to inadequate air mixing. These pollutants are mainly generated from wood smoke</w:t>
            </w:r>
            <w:r w:rsidR="006C2FE5" w:rsidRPr="00903BA3">
              <w:rPr>
                <w:i/>
                <w:sz w:val="22"/>
                <w:szCs w:val="22"/>
              </w:rPr>
              <w:t xml:space="preserve"> from residential heating, open burning, industry and other sources</w:t>
            </w:r>
            <w:r w:rsidRPr="00903BA3">
              <w:rPr>
                <w:i/>
                <w:sz w:val="22"/>
                <w:szCs w:val="22"/>
              </w:rPr>
              <w:t>. People in affected counties are asked to curtail or limit open burning and the use of uncertified woodstoves. DEQ urges people who have alternative heating options not to burn in woodstoves or fireplaces. People are also asked to limit driving and vehicle idling</w:t>
            </w:r>
            <w:r w:rsidR="006C2FE5" w:rsidRPr="00903BA3">
              <w:rPr>
                <w:i/>
                <w:sz w:val="22"/>
                <w:szCs w:val="22"/>
              </w:rPr>
              <w:t xml:space="preserve"> and businesses are asked to allow employees to telecommute</w:t>
            </w:r>
            <w:r w:rsidRPr="00903BA3">
              <w:rPr>
                <w:i/>
                <w:sz w:val="22"/>
                <w:szCs w:val="22"/>
              </w:rPr>
              <w:t xml:space="preserve">. </w:t>
            </w:r>
            <w:r w:rsidR="006C2FE5" w:rsidRPr="00903BA3">
              <w:rPr>
                <w:i/>
                <w:sz w:val="22"/>
                <w:szCs w:val="22"/>
              </w:rPr>
              <w:t>During an air quality emergency, industries could also be required to curtail operations</w:t>
            </w:r>
            <w:r w:rsidR="008D538C" w:rsidRPr="00903BA3">
              <w:rPr>
                <w:i/>
                <w:sz w:val="22"/>
                <w:szCs w:val="22"/>
              </w:rPr>
              <w:t xml:space="preserve">. </w:t>
            </w:r>
            <w:r w:rsidR="00A21C65" w:rsidRPr="00903BA3">
              <w:rPr>
                <w:i/>
                <w:sz w:val="22"/>
                <w:szCs w:val="22"/>
              </w:rPr>
              <w:t>No change to the rule is proposed in response to this comment.</w:t>
            </w:r>
            <w:r w:rsidRPr="00903BA3">
              <w:rPr>
                <w:i/>
                <w:sz w:val="22"/>
                <w:szCs w:val="22"/>
              </w:rPr>
              <w:t xml:space="preserve"> </w:t>
            </w:r>
          </w:p>
          <w:p w:rsidR="00D15ED7" w:rsidRPr="00903BA3" w:rsidRDefault="00D15ED7" w:rsidP="000B4801">
            <w:pPr>
              <w:rPr>
                <w:i/>
                <w:sz w:val="22"/>
                <w:szCs w:val="22"/>
              </w:rPr>
            </w:pPr>
          </w:p>
        </w:tc>
      </w:tr>
      <w:tr w:rsidR="00A62014" w:rsidRPr="00903BA3"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D15ED7" w:rsidP="00D15ED7">
            <w:pPr>
              <w:ind w:right="-115"/>
              <w:rPr>
                <w:bCs/>
                <w:sz w:val="22"/>
                <w:szCs w:val="22"/>
              </w:rPr>
            </w:pPr>
            <w:r>
              <w:rPr>
                <w:bCs/>
                <w:sz w:val="22"/>
                <w:szCs w:val="22"/>
              </w:rPr>
              <w:t xml:space="preserve">63. </w:t>
            </w:r>
            <w:r w:rsidR="00A62014" w:rsidRPr="00903BA3">
              <w:rPr>
                <w:bCs/>
                <w:sz w:val="22"/>
                <w:szCs w:val="22"/>
              </w:rPr>
              <w:t>PM</w:t>
            </w:r>
            <w:r w:rsidR="00A62014" w:rsidRPr="00903BA3">
              <w:rPr>
                <w:bCs/>
                <w:sz w:val="22"/>
                <w:szCs w:val="22"/>
                <w:vertAlign w:val="subscript"/>
              </w:rPr>
              <w:t>2.5</w:t>
            </w:r>
            <w:r w:rsidR="00A62014" w:rsidRPr="00903BA3">
              <w:rPr>
                <w:bCs/>
                <w:sz w:val="22"/>
                <w:szCs w:val="22"/>
              </w:rPr>
              <w:t xml:space="preserve"> source test method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pStyle w:val="Style5"/>
              <w:widowControl/>
              <w:spacing w:line="240" w:lineRule="auto"/>
              <w:rPr>
                <w:rFonts w:ascii="Times New Roman" w:hAnsi="Times New Roman" w:cs="Times New Roman"/>
                <w:sz w:val="22"/>
                <w:szCs w:val="22"/>
              </w:rPr>
            </w:pPr>
            <w:r w:rsidRPr="00903BA3">
              <w:rPr>
                <w:rStyle w:val="FontStyle15"/>
              </w:rPr>
              <w:t xml:space="preserve">Another issue that I am quite concerned about is assuming that </w:t>
            </w:r>
            <w:r w:rsidRPr="00903BA3">
              <w:rPr>
                <w:rStyle w:val="FontStyle19"/>
                <w:rFonts w:ascii="Times New Roman" w:hAnsi="Times New Roman" w:cs="Times New Roman"/>
                <w:b w:val="0"/>
                <w:sz w:val="22"/>
                <w:szCs w:val="22"/>
              </w:rPr>
              <w:t>PM</w:t>
            </w:r>
            <w:r w:rsidRPr="00903BA3">
              <w:rPr>
                <w:rStyle w:val="FontStyle19"/>
                <w:rFonts w:ascii="Times New Roman" w:hAnsi="Times New Roman" w:cs="Times New Roman"/>
                <w:b w:val="0"/>
                <w:sz w:val="22"/>
                <w:szCs w:val="22"/>
                <w:vertAlign w:val="subscript"/>
              </w:rPr>
              <w:t>10</w:t>
            </w:r>
            <w:r w:rsidRPr="00903BA3">
              <w:rPr>
                <w:rStyle w:val="FontStyle19"/>
                <w:rFonts w:ascii="Times New Roman" w:hAnsi="Times New Roman" w:cs="Times New Roman"/>
                <w:sz w:val="22"/>
                <w:szCs w:val="22"/>
              </w:rPr>
              <w:t xml:space="preserve"> </w:t>
            </w:r>
            <w:r w:rsidRPr="00903BA3">
              <w:rPr>
                <w:rStyle w:val="FontStyle15"/>
              </w:rPr>
              <w:t xml:space="preserve">emissions are </w:t>
            </w:r>
            <w:r w:rsidRPr="00903BA3">
              <w:rPr>
                <w:rStyle w:val="FontStyle19"/>
                <w:rFonts w:ascii="Times New Roman" w:hAnsi="Times New Roman" w:cs="Times New Roman"/>
                <w:b w:val="0"/>
                <w:sz w:val="22"/>
                <w:szCs w:val="22"/>
              </w:rPr>
              <w:t>PM</w:t>
            </w:r>
            <w:r w:rsidRPr="00903BA3">
              <w:rPr>
                <w:rStyle w:val="FontStyle19"/>
                <w:rFonts w:ascii="Times New Roman" w:hAnsi="Times New Roman" w:cs="Times New Roman"/>
                <w:b w:val="0"/>
                <w:sz w:val="22"/>
                <w:szCs w:val="22"/>
                <w:vertAlign w:val="subscript"/>
              </w:rPr>
              <w:t>2.5</w:t>
            </w:r>
            <w:r w:rsidRPr="00903BA3">
              <w:rPr>
                <w:rStyle w:val="FontStyle18"/>
                <w:rFonts w:ascii="Times New Roman" w:hAnsi="Times New Roman" w:cs="Times New Roman"/>
              </w:rPr>
              <w:t xml:space="preserve"> </w:t>
            </w:r>
            <w:r w:rsidRPr="00903BA3">
              <w:rPr>
                <w:rStyle w:val="FontStyle15"/>
              </w:rPr>
              <w:t>emissions and vice versa. With respect to the issue of</w:t>
            </w:r>
            <w:r w:rsidRPr="00903BA3">
              <w:rPr>
                <w:rStyle w:val="FontStyle19"/>
                <w:rFonts w:ascii="Times New Roman" w:hAnsi="Times New Roman" w:cs="Times New Roman"/>
                <w:b w:val="0"/>
                <w:sz w:val="22"/>
                <w:szCs w:val="22"/>
              </w:rPr>
              <w:t xml:space="preserve"> PM</w:t>
            </w:r>
            <w:r w:rsidRPr="00903BA3">
              <w:rPr>
                <w:rStyle w:val="FontStyle19"/>
                <w:rFonts w:ascii="Times New Roman" w:hAnsi="Times New Roman" w:cs="Times New Roman"/>
                <w:b w:val="0"/>
                <w:sz w:val="22"/>
                <w:szCs w:val="22"/>
                <w:vertAlign w:val="subscript"/>
              </w:rPr>
              <w:t>2.5</w:t>
            </w:r>
            <w:r w:rsidRPr="00903BA3">
              <w:rPr>
                <w:rStyle w:val="FontStyle18"/>
                <w:rFonts w:ascii="Times New Roman" w:hAnsi="Times New Roman" w:cs="Times New Roman"/>
                <w:b w:val="0"/>
              </w:rPr>
              <w:t>,</w:t>
            </w:r>
            <w:r w:rsidRPr="00903BA3">
              <w:rPr>
                <w:rStyle w:val="FontStyle18"/>
                <w:rFonts w:ascii="Times New Roman" w:hAnsi="Times New Roman" w:cs="Times New Roman"/>
              </w:rPr>
              <w:t xml:space="preserve"> </w:t>
            </w:r>
            <w:r w:rsidRPr="00903BA3">
              <w:rPr>
                <w:rStyle w:val="FontStyle15"/>
              </w:rPr>
              <w:t xml:space="preserve">it appears that permanent rule making is under way and definite without allowing source test methods to develop so that industry sources can quantify existing </w:t>
            </w:r>
            <w:r w:rsidRPr="00903BA3">
              <w:rPr>
                <w:rStyle w:val="FontStyle19"/>
                <w:rFonts w:ascii="Times New Roman" w:hAnsi="Times New Roman" w:cs="Times New Roman"/>
                <w:b w:val="0"/>
                <w:sz w:val="22"/>
                <w:szCs w:val="22"/>
              </w:rPr>
              <w:t>PM</w:t>
            </w:r>
            <w:r w:rsidRPr="00903BA3">
              <w:rPr>
                <w:rStyle w:val="FontStyle19"/>
                <w:rFonts w:ascii="Times New Roman" w:hAnsi="Times New Roman" w:cs="Times New Roman"/>
                <w:b w:val="0"/>
                <w:sz w:val="22"/>
                <w:szCs w:val="22"/>
                <w:vertAlign w:val="subscript"/>
              </w:rPr>
              <w:t>2.5</w:t>
            </w:r>
            <w:r w:rsidRPr="00903BA3">
              <w:rPr>
                <w:rStyle w:val="FontStyle18"/>
                <w:rFonts w:ascii="Times New Roman" w:hAnsi="Times New Roman" w:cs="Times New Roman"/>
              </w:rPr>
              <w:t xml:space="preserve"> </w:t>
            </w:r>
            <w:r w:rsidRPr="00903BA3">
              <w:rPr>
                <w:rStyle w:val="FontStyle15"/>
              </w:rPr>
              <w:t xml:space="preserve">emissions from sources at their respective facilities. This is </w:t>
            </w:r>
            <w:r w:rsidR="006C2FE5" w:rsidRPr="00903BA3">
              <w:rPr>
                <w:rStyle w:val="FontStyle15"/>
              </w:rPr>
              <w:t xml:space="preserve">a </w:t>
            </w:r>
            <w:r w:rsidRPr="00903BA3">
              <w:rPr>
                <w:rStyle w:val="FontStyle15"/>
              </w:rPr>
              <w:t xml:space="preserve">potentially catastrophic mistake, and to date, no acceptable test method exists that allows a wood products source that is saturated to test and measure </w:t>
            </w:r>
            <w:r w:rsidRPr="00903BA3">
              <w:rPr>
                <w:rStyle w:val="FontStyle19"/>
                <w:rFonts w:ascii="Times New Roman" w:hAnsi="Times New Roman" w:cs="Times New Roman"/>
                <w:b w:val="0"/>
                <w:sz w:val="22"/>
                <w:szCs w:val="22"/>
              </w:rPr>
              <w:t>PM</w:t>
            </w:r>
            <w:r w:rsidRPr="00903BA3">
              <w:rPr>
                <w:rStyle w:val="FontStyle19"/>
                <w:rFonts w:ascii="Times New Roman" w:hAnsi="Times New Roman" w:cs="Times New Roman"/>
                <w:b w:val="0"/>
                <w:sz w:val="22"/>
                <w:szCs w:val="22"/>
                <w:vertAlign w:val="subscript"/>
              </w:rPr>
              <w:t>2.5</w:t>
            </w:r>
            <w:r w:rsidRPr="00903BA3">
              <w:rPr>
                <w:rStyle w:val="FontStyle18"/>
                <w:rFonts w:ascii="Times New Roman" w:hAnsi="Times New Roman" w:cs="Times New Roman"/>
              </w:rPr>
              <w:t xml:space="preserve"> </w:t>
            </w:r>
            <w:r w:rsidRPr="00903BA3">
              <w:rPr>
                <w:rStyle w:val="FontStyle15"/>
              </w:rPr>
              <w:t xml:space="preserve">emissions from a wet scrubber or wet-ESP control device that is currently controlling emissions from their manufacturing facility. How can we regulate effectively without effective means and technology to measure </w:t>
            </w:r>
            <w:r w:rsidRPr="00903BA3">
              <w:rPr>
                <w:rStyle w:val="FontStyle19"/>
                <w:rFonts w:ascii="Times New Roman" w:hAnsi="Times New Roman" w:cs="Times New Roman"/>
                <w:b w:val="0"/>
                <w:sz w:val="22"/>
                <w:szCs w:val="22"/>
              </w:rPr>
              <w:t>PM</w:t>
            </w:r>
            <w:r w:rsidRPr="00903BA3">
              <w:rPr>
                <w:rStyle w:val="FontStyle19"/>
                <w:rFonts w:ascii="Times New Roman" w:hAnsi="Times New Roman" w:cs="Times New Roman"/>
                <w:b w:val="0"/>
                <w:sz w:val="22"/>
                <w:szCs w:val="22"/>
                <w:vertAlign w:val="subscript"/>
              </w:rPr>
              <w:t>2.5</w:t>
            </w:r>
            <w:r w:rsidRPr="00903BA3">
              <w:rPr>
                <w:rStyle w:val="FontStyle18"/>
                <w:rFonts w:ascii="Times New Roman" w:hAnsi="Times New Roman" w:cs="Times New Roman"/>
              </w:rPr>
              <w:t xml:space="preserve"> </w:t>
            </w:r>
            <w:r w:rsidRPr="00903BA3">
              <w:rPr>
                <w:rStyle w:val="FontStyle15"/>
              </w:rPr>
              <w:t xml:space="preserve">emissions from wood products sources?  </w:t>
            </w:r>
            <w:r w:rsidRPr="00903BA3">
              <w:rPr>
                <w:rFonts w:ascii="Times New Roman" w:hAnsi="Times New Roman" w:cs="Times New Roman"/>
                <w:sz w:val="22"/>
                <w:szCs w:val="22"/>
              </w:rPr>
              <w:t>(8)</w:t>
            </w:r>
          </w:p>
          <w:p w:rsidR="00D15ED7" w:rsidRPr="00903BA3" w:rsidRDefault="00D15ED7" w:rsidP="000B4801">
            <w:pPr>
              <w:pStyle w:val="Style5"/>
              <w:widowControl/>
              <w:spacing w:line="240" w:lineRule="auto"/>
              <w:rPr>
                <w:rFonts w:ascii="Times New Roman" w:hAnsi="Times New Roman" w:cs="Times New Roman"/>
                <w:color w:val="000000"/>
                <w:sz w:val="22"/>
                <w:szCs w:val="22"/>
              </w:rPr>
            </w:pPr>
          </w:p>
          <w:p w:rsidR="00A62014" w:rsidRPr="00903BA3" w:rsidRDefault="00A62014" w:rsidP="000B4801">
            <w:pPr>
              <w:pStyle w:val="Style5"/>
              <w:widowControl/>
              <w:spacing w:line="240" w:lineRule="auto"/>
              <w:rPr>
                <w:rFonts w:ascii="Times New Roman" w:hAnsi="Times New Roman" w:cs="Times New Roman"/>
                <w:i/>
                <w:color w:val="000000"/>
                <w:sz w:val="22"/>
                <w:szCs w:val="22"/>
              </w:rPr>
            </w:pPr>
            <w:r w:rsidRPr="00903BA3">
              <w:rPr>
                <w:rFonts w:ascii="Times New Roman" w:hAnsi="Times New Roman" w:cs="Times New Roman"/>
                <w:i/>
                <w:color w:val="000000"/>
                <w:sz w:val="22"/>
                <w:szCs w:val="22"/>
              </w:rPr>
              <w:t>Response:</w:t>
            </w:r>
          </w:p>
          <w:p w:rsidR="00A62014" w:rsidRDefault="00A62014" w:rsidP="000B4801">
            <w:pPr>
              <w:pStyle w:val="Style5"/>
              <w:widowControl/>
              <w:spacing w:line="240" w:lineRule="auto"/>
              <w:rPr>
                <w:rFonts w:ascii="Times New Roman" w:hAnsi="Times New Roman" w:cs="Times New Roman"/>
                <w:i/>
                <w:sz w:val="22"/>
                <w:szCs w:val="22"/>
              </w:rPr>
            </w:pPr>
            <w:r w:rsidRPr="00903BA3">
              <w:rPr>
                <w:rFonts w:ascii="Times New Roman" w:hAnsi="Times New Roman" w:cs="Times New Roman"/>
                <w:i/>
                <w:color w:val="000000"/>
                <w:sz w:val="22"/>
                <w:szCs w:val="22"/>
              </w:rPr>
              <w:t>Sources will be required to estimate PM</w:t>
            </w:r>
            <w:r w:rsidRPr="00903BA3">
              <w:rPr>
                <w:rFonts w:ascii="Times New Roman" w:hAnsi="Times New Roman" w:cs="Times New Roman"/>
                <w:i/>
                <w:color w:val="000000"/>
                <w:sz w:val="22"/>
                <w:szCs w:val="22"/>
                <w:vertAlign w:val="subscript"/>
              </w:rPr>
              <w:t>2.5</w:t>
            </w:r>
            <w:r w:rsidRPr="00903BA3">
              <w:rPr>
                <w:rFonts w:ascii="Times New Roman" w:hAnsi="Times New Roman" w:cs="Times New Roman"/>
                <w:i/>
                <w:color w:val="000000"/>
                <w:sz w:val="22"/>
                <w:szCs w:val="22"/>
              </w:rPr>
              <w:t xml:space="preserve"> emissions in their permit renewal or modification </w:t>
            </w:r>
            <w:r w:rsidRPr="00903BA3">
              <w:rPr>
                <w:rFonts w:ascii="Times New Roman" w:hAnsi="Times New Roman" w:cs="Times New Roman"/>
                <w:i/>
                <w:color w:val="000000"/>
                <w:sz w:val="22"/>
                <w:szCs w:val="22"/>
              </w:rPr>
              <w:lastRenderedPageBreak/>
              <w:t>applications. They will be required to use the best information available to make this estimate. For natural gas combustion, 100% of the PM</w:t>
            </w:r>
            <w:r w:rsidRPr="00903BA3">
              <w:rPr>
                <w:rFonts w:ascii="Times New Roman" w:hAnsi="Times New Roman" w:cs="Times New Roman"/>
                <w:i/>
                <w:color w:val="000000"/>
                <w:sz w:val="22"/>
                <w:szCs w:val="22"/>
                <w:vertAlign w:val="subscript"/>
              </w:rPr>
              <w:t>10</w:t>
            </w:r>
            <w:r w:rsidRPr="00903BA3">
              <w:rPr>
                <w:rFonts w:ascii="Times New Roman" w:hAnsi="Times New Roman" w:cs="Times New Roman"/>
                <w:i/>
                <w:color w:val="000000"/>
                <w:sz w:val="22"/>
                <w:szCs w:val="22"/>
              </w:rPr>
              <w:t xml:space="preserve"> will be PM</w:t>
            </w:r>
            <w:r w:rsidRPr="00903BA3">
              <w:rPr>
                <w:rFonts w:ascii="Times New Roman" w:hAnsi="Times New Roman" w:cs="Times New Roman"/>
                <w:i/>
                <w:color w:val="000000"/>
                <w:sz w:val="22"/>
                <w:szCs w:val="22"/>
                <w:vertAlign w:val="subscript"/>
              </w:rPr>
              <w:t>2.5</w:t>
            </w:r>
            <w:r w:rsidRPr="00903BA3">
              <w:rPr>
                <w:rFonts w:ascii="Times New Roman" w:hAnsi="Times New Roman" w:cs="Times New Roman"/>
                <w:i/>
                <w:color w:val="000000"/>
                <w:sz w:val="22"/>
                <w:szCs w:val="22"/>
              </w:rPr>
              <w:t>. In other cases</w:t>
            </w:r>
            <w:r w:rsidR="00DD34CC" w:rsidRPr="00903BA3">
              <w:rPr>
                <w:rFonts w:ascii="Times New Roman" w:hAnsi="Times New Roman" w:cs="Times New Roman"/>
                <w:i/>
                <w:color w:val="000000"/>
                <w:sz w:val="22"/>
                <w:szCs w:val="22"/>
              </w:rPr>
              <w:t>,</w:t>
            </w:r>
            <w:r w:rsidRPr="00903BA3">
              <w:rPr>
                <w:rFonts w:ascii="Times New Roman" w:hAnsi="Times New Roman" w:cs="Times New Roman"/>
                <w:i/>
                <w:color w:val="000000"/>
                <w:sz w:val="22"/>
                <w:szCs w:val="22"/>
              </w:rPr>
              <w:t xml:space="preserve"> a fraction of the PM</w:t>
            </w:r>
            <w:r w:rsidRPr="00903BA3">
              <w:rPr>
                <w:rFonts w:ascii="Times New Roman" w:hAnsi="Times New Roman" w:cs="Times New Roman"/>
                <w:i/>
                <w:color w:val="000000"/>
                <w:sz w:val="22"/>
                <w:szCs w:val="22"/>
                <w:vertAlign w:val="subscript"/>
              </w:rPr>
              <w:t>10</w:t>
            </w:r>
            <w:r w:rsidRPr="00903BA3">
              <w:rPr>
                <w:rFonts w:ascii="Times New Roman" w:hAnsi="Times New Roman" w:cs="Times New Roman"/>
                <w:i/>
                <w:color w:val="000000"/>
                <w:sz w:val="22"/>
                <w:szCs w:val="22"/>
              </w:rPr>
              <w:t xml:space="preserve"> will be PM</w:t>
            </w:r>
            <w:r w:rsidRPr="00903BA3">
              <w:rPr>
                <w:rFonts w:ascii="Times New Roman" w:hAnsi="Times New Roman" w:cs="Times New Roman"/>
                <w:i/>
                <w:color w:val="000000"/>
                <w:sz w:val="22"/>
                <w:szCs w:val="22"/>
                <w:vertAlign w:val="subscript"/>
              </w:rPr>
              <w:t>2.5</w:t>
            </w:r>
            <w:r w:rsidRPr="00903BA3">
              <w:rPr>
                <w:rFonts w:ascii="Times New Roman" w:hAnsi="Times New Roman" w:cs="Times New Roman"/>
                <w:i/>
                <w:color w:val="000000"/>
                <w:sz w:val="22"/>
                <w:szCs w:val="22"/>
              </w:rPr>
              <w:t xml:space="preserve"> and it will be the responsibility of the source to determine this fraction, either from source test data or literature data of similar sources. </w:t>
            </w:r>
            <w:r w:rsidR="006C2FE5" w:rsidRPr="00903BA3">
              <w:rPr>
                <w:rFonts w:ascii="Times New Roman" w:hAnsi="Times New Roman" w:cs="Times New Roman"/>
                <w:i/>
                <w:sz w:val="22"/>
                <w:szCs w:val="22"/>
              </w:rPr>
              <w:t xml:space="preserve">See the response in comment </w:t>
            </w:r>
            <w:fldSimple w:instr=" REF _Ref283933480 \r \h  \* MERGEFORMAT ">
              <w:r w:rsidR="00752276" w:rsidRPr="00903BA3">
                <w:rPr>
                  <w:rFonts w:ascii="Times New Roman" w:hAnsi="Times New Roman" w:cs="Times New Roman"/>
                  <w:i/>
                  <w:sz w:val="22"/>
                  <w:szCs w:val="22"/>
                </w:rPr>
                <w:t>48</w:t>
              </w:r>
            </w:fldSimple>
            <w:r w:rsidR="006C2FE5" w:rsidRPr="00903BA3">
              <w:rPr>
                <w:rFonts w:ascii="Times New Roman" w:hAnsi="Times New Roman" w:cs="Times New Roman"/>
                <w:i/>
                <w:sz w:val="22"/>
                <w:szCs w:val="22"/>
              </w:rPr>
              <w:t xml:space="preserve"> “Proposed Option 1” for additional information.</w:t>
            </w:r>
          </w:p>
          <w:p w:rsidR="00D15ED7" w:rsidRPr="00903BA3" w:rsidRDefault="00D15ED7" w:rsidP="000B4801">
            <w:pPr>
              <w:pStyle w:val="Style5"/>
              <w:widowControl/>
              <w:spacing w:line="240" w:lineRule="auto"/>
              <w:rPr>
                <w:rFonts w:ascii="Times New Roman" w:hAnsi="Times New Roman" w:cs="Times New Roman"/>
                <w:i/>
                <w:color w:val="000000"/>
                <w:sz w:val="22"/>
                <w:szCs w:val="22"/>
              </w:rPr>
            </w:pPr>
          </w:p>
          <w:p w:rsidR="00C454F1" w:rsidRDefault="00A62014" w:rsidP="000B4801">
            <w:pPr>
              <w:autoSpaceDE w:val="0"/>
              <w:autoSpaceDN w:val="0"/>
              <w:adjustRightInd w:val="0"/>
              <w:rPr>
                <w:i/>
                <w:sz w:val="22"/>
                <w:szCs w:val="22"/>
              </w:rPr>
            </w:pPr>
            <w:r w:rsidRPr="00903BA3">
              <w:rPr>
                <w:i/>
                <w:sz w:val="22"/>
                <w:szCs w:val="22"/>
              </w:rPr>
              <w:t>On December 1, 2010, EPA revised two test methods for measuring particulate matter</w:t>
            </w:r>
            <w:r w:rsidR="00074FDF" w:rsidRPr="00903BA3">
              <w:rPr>
                <w:i/>
                <w:sz w:val="22"/>
                <w:szCs w:val="22"/>
              </w:rPr>
              <w:t xml:space="preserve"> </w:t>
            </w:r>
            <w:r w:rsidRPr="00903BA3">
              <w:rPr>
                <w:i/>
                <w:sz w:val="22"/>
                <w:szCs w:val="22"/>
              </w:rPr>
              <w:t>emissions from stationary sources. One of the revised methods, called Method 201A, will provide the capability to measure the mass of filterable PM</w:t>
            </w:r>
            <w:r w:rsidRPr="00903BA3">
              <w:rPr>
                <w:i/>
                <w:sz w:val="22"/>
                <w:szCs w:val="22"/>
                <w:vertAlign w:val="subscript"/>
              </w:rPr>
              <w:t>2.5</w:t>
            </w:r>
            <w:r w:rsidRPr="00903BA3">
              <w:rPr>
                <w:i/>
                <w:sz w:val="22"/>
                <w:szCs w:val="22"/>
              </w:rPr>
              <w:t>. The second revised method, called Method 202, will make a more accurate measurement of condensable particulate matter. Condensable particulate matter forms from condensing gases or vapors. It is a common component of both PM</w:t>
            </w:r>
            <w:r w:rsidRPr="00903BA3">
              <w:rPr>
                <w:i/>
                <w:sz w:val="22"/>
                <w:szCs w:val="22"/>
                <w:vertAlign w:val="subscript"/>
              </w:rPr>
              <w:t>10</w:t>
            </w:r>
            <w:r w:rsidRPr="00903BA3">
              <w:rPr>
                <w:i/>
                <w:sz w:val="22"/>
                <w:szCs w:val="22"/>
              </w:rPr>
              <w:t xml:space="preserve"> (particulate matter equal to or less than 10 micrometers in diameter) and PM</w:t>
            </w:r>
            <w:r w:rsidRPr="00903BA3">
              <w:rPr>
                <w:i/>
                <w:sz w:val="22"/>
                <w:szCs w:val="22"/>
                <w:vertAlign w:val="subscript"/>
              </w:rPr>
              <w:t>2.5</w:t>
            </w:r>
            <w:r w:rsidRPr="00903BA3">
              <w:rPr>
                <w:i/>
                <w:sz w:val="22"/>
                <w:szCs w:val="22"/>
              </w:rPr>
              <w:t xml:space="preserve">. </w:t>
            </w:r>
            <w:r w:rsidR="00C454F1" w:rsidRPr="00903BA3">
              <w:rPr>
                <w:i/>
                <w:sz w:val="22"/>
                <w:szCs w:val="22"/>
              </w:rPr>
              <w:t>The revised EPA methods have replaced Other Test Method</w:t>
            </w:r>
            <w:r w:rsidR="00074FDF" w:rsidRPr="00903BA3">
              <w:rPr>
                <w:i/>
                <w:sz w:val="22"/>
                <w:szCs w:val="22"/>
              </w:rPr>
              <w:t>s</w:t>
            </w:r>
            <w:r w:rsidR="00C454F1" w:rsidRPr="00903BA3">
              <w:rPr>
                <w:i/>
                <w:sz w:val="22"/>
                <w:szCs w:val="22"/>
              </w:rPr>
              <w:t xml:space="preserve"> 27 and 28 and will be added to the definitions of PM</w:t>
            </w:r>
            <w:r w:rsidR="00C454F1" w:rsidRPr="00903BA3">
              <w:rPr>
                <w:i/>
                <w:sz w:val="22"/>
                <w:szCs w:val="22"/>
                <w:vertAlign w:val="subscript"/>
              </w:rPr>
              <w:t>10</w:t>
            </w:r>
            <w:r w:rsidR="00C454F1" w:rsidRPr="00903BA3">
              <w:rPr>
                <w:i/>
                <w:sz w:val="22"/>
                <w:szCs w:val="22"/>
              </w:rPr>
              <w:t xml:space="preserve"> and PM</w:t>
            </w:r>
            <w:r w:rsidR="00C454F1" w:rsidRPr="00903BA3">
              <w:rPr>
                <w:i/>
                <w:sz w:val="22"/>
                <w:szCs w:val="22"/>
                <w:vertAlign w:val="subscript"/>
              </w:rPr>
              <w:t>2.5</w:t>
            </w:r>
            <w:r w:rsidR="00C454F1" w:rsidRPr="00903BA3">
              <w:rPr>
                <w:i/>
                <w:sz w:val="22"/>
                <w:szCs w:val="22"/>
              </w:rPr>
              <w:t>.</w:t>
            </w:r>
          </w:p>
          <w:p w:rsidR="00D15ED7" w:rsidRPr="00903BA3" w:rsidRDefault="00D15ED7" w:rsidP="000B4801">
            <w:pPr>
              <w:autoSpaceDE w:val="0"/>
              <w:autoSpaceDN w:val="0"/>
              <w:adjustRightInd w:val="0"/>
              <w:rPr>
                <w:i/>
                <w:sz w:val="22"/>
                <w:szCs w:val="22"/>
              </w:rPr>
            </w:pPr>
          </w:p>
          <w:p w:rsidR="00A62014" w:rsidRDefault="00A62014" w:rsidP="000B4801">
            <w:pPr>
              <w:autoSpaceDE w:val="0"/>
              <w:autoSpaceDN w:val="0"/>
              <w:adjustRightInd w:val="0"/>
              <w:rPr>
                <w:i/>
                <w:sz w:val="22"/>
                <w:szCs w:val="22"/>
              </w:rPr>
            </w:pPr>
            <w:r w:rsidRPr="00903BA3">
              <w:rPr>
                <w:i/>
                <w:sz w:val="22"/>
                <w:szCs w:val="22"/>
              </w:rPr>
              <w:t xml:space="preserve">DEQ recognizes that </w:t>
            </w:r>
            <w:r w:rsidR="00C454F1" w:rsidRPr="00903BA3">
              <w:rPr>
                <w:i/>
                <w:sz w:val="22"/>
                <w:szCs w:val="22"/>
              </w:rPr>
              <w:t>EPA Method 201A cannot be used in a saturated gas stream</w:t>
            </w:r>
            <w:r w:rsidR="008D538C" w:rsidRPr="00903BA3">
              <w:rPr>
                <w:i/>
                <w:sz w:val="22"/>
                <w:szCs w:val="22"/>
              </w:rPr>
              <w:t xml:space="preserve">. </w:t>
            </w:r>
            <w:r w:rsidR="00C454F1" w:rsidRPr="00903BA3">
              <w:rPr>
                <w:i/>
                <w:sz w:val="22"/>
                <w:szCs w:val="22"/>
              </w:rPr>
              <w:t>DEQ will continue to work with EPA and other interested parties on finding a better method to</w:t>
            </w:r>
            <w:r w:rsidR="006C2FE5" w:rsidRPr="00903BA3">
              <w:rPr>
                <w:i/>
                <w:sz w:val="22"/>
                <w:szCs w:val="22"/>
              </w:rPr>
              <w:t xml:space="preserve"> test this type of source</w:t>
            </w:r>
            <w:r w:rsidR="00C454F1" w:rsidRPr="00903BA3">
              <w:rPr>
                <w:i/>
                <w:sz w:val="22"/>
                <w:szCs w:val="22"/>
              </w:rPr>
              <w:t>.</w:t>
            </w:r>
          </w:p>
          <w:p w:rsidR="00D15ED7" w:rsidRPr="00903BA3" w:rsidRDefault="00D15ED7" w:rsidP="000B4801">
            <w:pPr>
              <w:autoSpaceDE w:val="0"/>
              <w:autoSpaceDN w:val="0"/>
              <w:adjustRightInd w:val="0"/>
              <w:rPr>
                <w:i/>
                <w:sz w:val="22"/>
                <w:szCs w:val="22"/>
              </w:rPr>
            </w:pPr>
          </w:p>
        </w:tc>
      </w:tr>
      <w:tr w:rsidR="00A62014" w:rsidRPr="00903BA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03BA3" w:rsidRDefault="00D15ED7" w:rsidP="000B4801">
            <w:pPr>
              <w:rPr>
                <w:sz w:val="22"/>
                <w:szCs w:val="22"/>
              </w:rPr>
            </w:pPr>
            <w:r>
              <w:rPr>
                <w:sz w:val="22"/>
                <w:szCs w:val="22"/>
              </w:rPr>
              <w:lastRenderedPageBreak/>
              <w:t>64. Litigation opt-o</w:t>
            </w:r>
            <w:r w:rsidR="00A62014" w:rsidRPr="00903BA3">
              <w:rPr>
                <w:sz w:val="22"/>
                <w:szCs w:val="22"/>
              </w:rPr>
              <w:t>ut</w:t>
            </w:r>
          </w:p>
          <w:p w:rsidR="00A62014" w:rsidRPr="00903BA3" w:rsidRDefault="00A62014" w:rsidP="000B4801">
            <w:pPr>
              <w:ind w:left="371"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B4801">
            <w:pPr>
              <w:rPr>
                <w:sz w:val="22"/>
                <w:szCs w:val="22"/>
              </w:rPr>
            </w:pPr>
            <w:r w:rsidRPr="00903BA3">
              <w:rPr>
                <w:sz w:val="22"/>
                <w:szCs w:val="22"/>
              </w:rPr>
              <w:t>We recommend that the Department include within its rules a provision stating that if the federal GHG PSD rules are vacated or stayed by the courts or Congress, then the Oregon rules will cease to be in effect. (1, 2, 4, 11, 3, 14, 15, 17)</w:t>
            </w:r>
          </w:p>
          <w:p w:rsidR="00D15ED7" w:rsidRPr="00903BA3" w:rsidRDefault="00D15ED7" w:rsidP="000B4801">
            <w:pPr>
              <w:rPr>
                <w:sz w:val="22"/>
                <w:szCs w:val="22"/>
              </w:rPr>
            </w:pPr>
          </w:p>
          <w:p w:rsidR="00A62014" w:rsidRPr="00903BA3" w:rsidRDefault="00A62014" w:rsidP="000B4801">
            <w:pPr>
              <w:rPr>
                <w:i/>
                <w:sz w:val="22"/>
                <w:szCs w:val="22"/>
              </w:rPr>
            </w:pPr>
            <w:r w:rsidRPr="00903BA3">
              <w:rPr>
                <w:i/>
                <w:sz w:val="22"/>
                <w:szCs w:val="22"/>
              </w:rPr>
              <w:t>Response:</w:t>
            </w:r>
          </w:p>
          <w:p w:rsidR="00A62014" w:rsidRDefault="00A62014" w:rsidP="000B4801">
            <w:pPr>
              <w:rPr>
                <w:i/>
                <w:sz w:val="22"/>
                <w:szCs w:val="22"/>
              </w:rPr>
            </w:pPr>
            <w:r w:rsidRPr="00903BA3">
              <w:rPr>
                <w:i/>
                <w:sz w:val="22"/>
                <w:szCs w:val="22"/>
              </w:rPr>
              <w:t xml:space="preserve">At this time, the outcome of any lawsuits regarding greenhouse gases is unknown. DEQ does not know if </w:t>
            </w:r>
            <w:r w:rsidR="00D15ED7">
              <w:rPr>
                <w:i/>
                <w:sz w:val="22"/>
                <w:szCs w:val="22"/>
              </w:rPr>
              <w:t>greenhouse gas</w:t>
            </w:r>
            <w:r w:rsidR="006C2FE5" w:rsidRPr="00903BA3">
              <w:rPr>
                <w:i/>
                <w:sz w:val="22"/>
                <w:szCs w:val="22"/>
              </w:rPr>
              <w:t xml:space="preserve"> permitting rules</w:t>
            </w:r>
            <w:r w:rsidRPr="00903BA3">
              <w:rPr>
                <w:i/>
                <w:sz w:val="22"/>
                <w:szCs w:val="22"/>
              </w:rPr>
              <w:t xml:space="preserve"> will be vacated or modified. Until the time EPA changes the federal rules, DEQ </w:t>
            </w:r>
            <w:r w:rsidR="006C2FE5" w:rsidRPr="00903BA3">
              <w:rPr>
                <w:i/>
                <w:sz w:val="22"/>
                <w:szCs w:val="22"/>
              </w:rPr>
              <w:t>is required</w:t>
            </w:r>
            <w:r w:rsidRPr="00903BA3">
              <w:rPr>
                <w:i/>
                <w:sz w:val="22"/>
                <w:szCs w:val="22"/>
              </w:rPr>
              <w:t xml:space="preserve"> to implement </w:t>
            </w:r>
            <w:r w:rsidR="00D15ED7">
              <w:rPr>
                <w:i/>
                <w:sz w:val="22"/>
                <w:szCs w:val="22"/>
              </w:rPr>
              <w:t>greenhouse gas</w:t>
            </w:r>
            <w:r w:rsidRPr="00903BA3">
              <w:rPr>
                <w:i/>
                <w:sz w:val="22"/>
                <w:szCs w:val="22"/>
              </w:rPr>
              <w:t xml:space="preserve"> rules</w:t>
            </w:r>
            <w:r w:rsidR="009A5AA5" w:rsidRPr="00903BA3">
              <w:rPr>
                <w:i/>
                <w:sz w:val="22"/>
                <w:szCs w:val="22"/>
              </w:rPr>
              <w:t xml:space="preserve"> in order to receive approval of the State Implementation Plan and</w:t>
            </w:r>
            <w:r w:rsidR="004E4518" w:rsidRPr="00903BA3">
              <w:rPr>
                <w:i/>
                <w:sz w:val="22"/>
                <w:szCs w:val="22"/>
              </w:rPr>
              <w:t xml:space="preserve"> ensure</w:t>
            </w:r>
            <w:r w:rsidR="009A5AA5" w:rsidRPr="00903BA3">
              <w:rPr>
                <w:i/>
                <w:sz w:val="22"/>
                <w:szCs w:val="22"/>
              </w:rPr>
              <w:t xml:space="preserve"> withdrawal of the Federal Implementation Plan</w:t>
            </w:r>
            <w:r w:rsidRPr="00903BA3">
              <w:rPr>
                <w:i/>
                <w:sz w:val="22"/>
                <w:szCs w:val="22"/>
              </w:rPr>
              <w:t xml:space="preserve">. </w:t>
            </w:r>
            <w:r w:rsidR="006C2FE5" w:rsidRPr="00903BA3">
              <w:rPr>
                <w:i/>
                <w:sz w:val="22"/>
                <w:szCs w:val="22"/>
              </w:rPr>
              <w:t>If federal rules change, EQC can consider revising Oregon's rules at that time either through a temporary or regular rulemaking</w:t>
            </w:r>
            <w:r w:rsidR="008D538C" w:rsidRPr="00903BA3">
              <w:rPr>
                <w:i/>
                <w:sz w:val="22"/>
                <w:szCs w:val="22"/>
              </w:rPr>
              <w:t xml:space="preserve">. </w:t>
            </w:r>
            <w:r w:rsidR="00A21C65" w:rsidRPr="00903BA3">
              <w:rPr>
                <w:i/>
                <w:sz w:val="22"/>
                <w:szCs w:val="22"/>
              </w:rPr>
              <w:t>No change to the rule is proposed in response to this comment.</w:t>
            </w:r>
            <w:r w:rsidRPr="00903BA3">
              <w:rPr>
                <w:i/>
                <w:sz w:val="22"/>
                <w:szCs w:val="22"/>
              </w:rPr>
              <w:t xml:space="preserve"> </w:t>
            </w:r>
          </w:p>
          <w:p w:rsidR="00D15ED7" w:rsidRPr="00903BA3" w:rsidRDefault="00D15ED7" w:rsidP="000B4801">
            <w:pPr>
              <w:rPr>
                <w:b/>
                <w:i/>
                <w:sz w:val="22"/>
                <w:szCs w:val="22"/>
                <w:u w:val="single"/>
              </w:rPr>
            </w:pPr>
          </w:p>
        </w:tc>
      </w:tr>
    </w:tbl>
    <w:p w:rsidR="00D02ACC" w:rsidRPr="00903BA3" w:rsidRDefault="00D02ACC" w:rsidP="000B4801">
      <w:pPr>
        <w:rPr>
          <w:sz w:val="22"/>
          <w:szCs w:val="22"/>
        </w:rPr>
      </w:pPr>
    </w:p>
    <w:p w:rsidR="00D02ACC" w:rsidRPr="00903BA3" w:rsidRDefault="00D02ACC" w:rsidP="000B4801">
      <w:pPr>
        <w:rPr>
          <w:sz w:val="22"/>
          <w:szCs w:val="22"/>
        </w:rPr>
      </w:pPr>
    </w:p>
    <w:tbl>
      <w:tblPr>
        <w:tblW w:w="10440" w:type="dxa"/>
        <w:tblInd w:w="18" w:type="dxa"/>
        <w:tblLayout w:type="fixed"/>
        <w:tblLook w:val="0000"/>
      </w:tblPr>
      <w:tblGrid>
        <w:gridCol w:w="1080"/>
        <w:gridCol w:w="3240"/>
        <w:gridCol w:w="4680"/>
        <w:gridCol w:w="1440"/>
      </w:tblGrid>
      <w:tr w:rsidR="00B746A4" w:rsidRPr="00903BA3" w:rsidTr="006A2FF0">
        <w:trPr>
          <w:trHeight w:val="282"/>
        </w:trPr>
        <w:tc>
          <w:tcPr>
            <w:tcW w:w="10440" w:type="dxa"/>
            <w:gridSpan w:val="4"/>
            <w:tcBorders>
              <w:top w:val="single" w:sz="4" w:space="0" w:color="808080"/>
              <w:left w:val="single" w:sz="4" w:space="0" w:color="808080"/>
              <w:bottom w:val="single" w:sz="4" w:space="0" w:color="808080"/>
              <w:right w:val="single" w:sz="4" w:space="0" w:color="808080"/>
            </w:tcBorders>
            <w:shd w:val="clear" w:color="auto" w:fill="auto"/>
            <w:noWrap/>
          </w:tcPr>
          <w:p w:rsidR="00B746A4" w:rsidRPr="00903BA3" w:rsidRDefault="00D15ED7" w:rsidP="000B4801">
            <w:pPr>
              <w:jc w:val="center"/>
              <w:rPr>
                <w:sz w:val="22"/>
                <w:szCs w:val="22"/>
              </w:rPr>
            </w:pPr>
            <w:r>
              <w:rPr>
                <w:sz w:val="22"/>
                <w:szCs w:val="22"/>
              </w:rPr>
              <w:t>List of people submitting comments (by commenter n</w:t>
            </w:r>
            <w:r w:rsidR="00B746A4" w:rsidRPr="00903BA3">
              <w:rPr>
                <w:sz w:val="22"/>
                <w:szCs w:val="22"/>
              </w:rPr>
              <w:t>umber)</w:t>
            </w:r>
          </w:p>
        </w:tc>
      </w:tr>
      <w:tr w:rsidR="00B746A4" w:rsidRPr="00903BA3" w:rsidTr="003123C3">
        <w:trPr>
          <w:trHeight w:val="323"/>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746A4" w:rsidRPr="00903BA3" w:rsidRDefault="00B746A4" w:rsidP="000B4801">
            <w:pPr>
              <w:jc w:val="center"/>
              <w:rPr>
                <w:bCs/>
                <w:sz w:val="22"/>
                <w:szCs w:val="22"/>
              </w:rPr>
            </w:pPr>
            <w:r w:rsidRPr="00903BA3">
              <w:rPr>
                <w:bCs/>
                <w:sz w:val="22"/>
                <w:szCs w:val="22"/>
              </w:rPr>
              <w:t>Number</w:t>
            </w:r>
          </w:p>
        </w:tc>
        <w:tc>
          <w:tcPr>
            <w:tcW w:w="3240" w:type="dxa"/>
            <w:tcBorders>
              <w:top w:val="single" w:sz="4" w:space="0" w:color="808080"/>
              <w:left w:val="nil"/>
              <w:bottom w:val="single" w:sz="4" w:space="0" w:color="808080"/>
              <w:right w:val="single" w:sz="4" w:space="0" w:color="808080"/>
            </w:tcBorders>
            <w:shd w:val="clear" w:color="auto" w:fill="auto"/>
            <w:noWrap/>
          </w:tcPr>
          <w:p w:rsidR="00B746A4" w:rsidRPr="00903BA3" w:rsidRDefault="00B746A4" w:rsidP="000B4801">
            <w:pPr>
              <w:rPr>
                <w:bCs/>
                <w:sz w:val="22"/>
                <w:szCs w:val="22"/>
              </w:rPr>
            </w:pPr>
            <w:r w:rsidRPr="00903BA3">
              <w:rPr>
                <w:bCs/>
                <w:sz w:val="22"/>
                <w:szCs w:val="22"/>
              </w:rPr>
              <w:t>Name</w:t>
            </w:r>
          </w:p>
        </w:tc>
        <w:tc>
          <w:tcPr>
            <w:tcW w:w="4680" w:type="dxa"/>
            <w:tcBorders>
              <w:top w:val="single" w:sz="4" w:space="0" w:color="808080"/>
              <w:left w:val="nil"/>
              <w:bottom w:val="single" w:sz="4" w:space="0" w:color="808080"/>
              <w:right w:val="single" w:sz="4" w:space="0" w:color="808080"/>
            </w:tcBorders>
            <w:shd w:val="clear" w:color="auto" w:fill="auto"/>
            <w:noWrap/>
          </w:tcPr>
          <w:p w:rsidR="00B746A4" w:rsidRPr="00903BA3" w:rsidRDefault="00B746A4" w:rsidP="000B4801">
            <w:pPr>
              <w:rPr>
                <w:bCs/>
                <w:sz w:val="22"/>
                <w:szCs w:val="22"/>
              </w:rPr>
            </w:pPr>
            <w:r w:rsidRPr="00903BA3">
              <w:rPr>
                <w:bCs/>
                <w:sz w:val="22"/>
                <w:szCs w:val="22"/>
              </w:rPr>
              <w:t>Organization</w:t>
            </w:r>
          </w:p>
        </w:tc>
        <w:tc>
          <w:tcPr>
            <w:tcW w:w="1440" w:type="dxa"/>
            <w:tcBorders>
              <w:top w:val="single" w:sz="4" w:space="0" w:color="808080"/>
              <w:left w:val="nil"/>
              <w:bottom w:val="single" w:sz="4" w:space="0" w:color="808080"/>
              <w:right w:val="single" w:sz="4" w:space="0" w:color="808080"/>
            </w:tcBorders>
            <w:shd w:val="clear" w:color="auto" w:fill="auto"/>
            <w:noWrap/>
          </w:tcPr>
          <w:p w:rsidR="00B746A4" w:rsidRPr="00903BA3" w:rsidRDefault="00B746A4" w:rsidP="000B4801">
            <w:pPr>
              <w:rPr>
                <w:bCs/>
                <w:sz w:val="22"/>
                <w:szCs w:val="22"/>
              </w:rPr>
            </w:pPr>
            <w:r w:rsidRPr="00903BA3">
              <w:rPr>
                <w:bCs/>
                <w:sz w:val="22"/>
                <w:szCs w:val="22"/>
              </w:rPr>
              <w:t>Receive date</w:t>
            </w:r>
          </w:p>
        </w:tc>
      </w:tr>
      <w:tr w:rsidR="00F71F4C"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903BA3" w:rsidRDefault="00F71F4C" w:rsidP="000B4801">
            <w:pPr>
              <w:jc w:val="center"/>
              <w:rPr>
                <w:sz w:val="22"/>
                <w:szCs w:val="22"/>
              </w:rPr>
            </w:pPr>
            <w:r w:rsidRPr="00903BA3">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903BA3" w:rsidRDefault="00F71F4C" w:rsidP="000B4801">
            <w:pPr>
              <w:rPr>
                <w:sz w:val="22"/>
                <w:szCs w:val="22"/>
              </w:rPr>
            </w:pPr>
            <w:r w:rsidRPr="00903BA3">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903BA3" w:rsidRDefault="00F71F4C" w:rsidP="000B4801">
            <w:pPr>
              <w:rPr>
                <w:sz w:val="22"/>
                <w:szCs w:val="22"/>
              </w:rPr>
            </w:pPr>
            <w:r w:rsidRPr="00903BA3">
              <w:rPr>
                <w:sz w:val="22"/>
                <w:szCs w:val="22"/>
              </w:rPr>
              <w:t>AOI</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903BA3" w:rsidRDefault="00F71F4C" w:rsidP="000B4801">
            <w:pPr>
              <w:rPr>
                <w:sz w:val="22"/>
                <w:szCs w:val="22"/>
              </w:rPr>
            </w:pPr>
            <w:r w:rsidRPr="00903BA3">
              <w:rPr>
                <w:sz w:val="22"/>
                <w:szCs w:val="22"/>
              </w:rPr>
              <w:t>11/24/10</w:t>
            </w:r>
          </w:p>
        </w:tc>
      </w:tr>
      <w:tr w:rsidR="00F71F4C" w:rsidRPr="00903BA3" w:rsidTr="003123C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903BA3" w:rsidRDefault="00F71F4C" w:rsidP="000B4801">
            <w:pPr>
              <w:jc w:val="center"/>
              <w:rPr>
                <w:sz w:val="22"/>
                <w:szCs w:val="22"/>
              </w:rPr>
            </w:pPr>
            <w:r w:rsidRPr="00903BA3">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903BA3" w:rsidRDefault="00F71F4C" w:rsidP="000B4801">
            <w:pPr>
              <w:rPr>
                <w:rFonts w:eastAsiaTheme="minorHAnsi"/>
                <w:sz w:val="22"/>
                <w:szCs w:val="22"/>
              </w:rPr>
            </w:pPr>
            <w:r w:rsidRPr="00903BA3">
              <w:rPr>
                <w:sz w:val="22"/>
                <w:szCs w:val="22"/>
              </w:rPr>
              <w:t>Lee Weber</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903BA3" w:rsidRDefault="00F71F4C" w:rsidP="000B4801">
            <w:pPr>
              <w:rPr>
                <w:sz w:val="22"/>
                <w:szCs w:val="22"/>
              </w:rPr>
            </w:pPr>
            <w:r w:rsidRPr="00903BA3">
              <w:rPr>
                <w:sz w:val="22"/>
                <w:szCs w:val="22"/>
              </w:rPr>
              <w:t>ATI Wah Chang/ ATI Albany Operations</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903BA3" w:rsidRDefault="00F71F4C" w:rsidP="000B4801">
            <w:pPr>
              <w:rPr>
                <w:sz w:val="22"/>
                <w:szCs w:val="22"/>
              </w:rPr>
            </w:pPr>
            <w:r w:rsidRPr="00903BA3">
              <w:rPr>
                <w:sz w:val="22"/>
                <w:szCs w:val="22"/>
              </w:rPr>
              <w:t>11/24/10</w:t>
            </w:r>
          </w:p>
        </w:tc>
      </w:tr>
      <w:tr w:rsidR="00A64B14" w:rsidRPr="00903BA3" w:rsidTr="008616F1">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64B14" w:rsidRPr="00903BA3" w:rsidRDefault="00A64B14" w:rsidP="000B4801">
            <w:pPr>
              <w:jc w:val="center"/>
              <w:rPr>
                <w:sz w:val="22"/>
                <w:szCs w:val="22"/>
              </w:rPr>
            </w:pPr>
            <w:r w:rsidRPr="00903BA3">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A64B14" w:rsidRPr="00903BA3" w:rsidRDefault="00A64B14" w:rsidP="000B4801">
            <w:pPr>
              <w:rPr>
                <w:sz w:val="22"/>
                <w:szCs w:val="22"/>
              </w:rPr>
            </w:pPr>
            <w:r w:rsidRPr="00903BA3">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tcPr>
          <w:p w:rsidR="00A64B14" w:rsidRPr="00903BA3" w:rsidRDefault="00A64B14" w:rsidP="000B4801">
            <w:pPr>
              <w:rPr>
                <w:sz w:val="22"/>
                <w:szCs w:val="22"/>
              </w:rPr>
            </w:pPr>
            <w:r w:rsidRPr="00903BA3">
              <w:rPr>
                <w:sz w:val="22"/>
                <w:szCs w:val="22"/>
              </w:rPr>
              <w:t xml:space="preserve">Boise Cascade, LLC </w:t>
            </w:r>
          </w:p>
        </w:tc>
        <w:tc>
          <w:tcPr>
            <w:tcW w:w="1440" w:type="dxa"/>
            <w:tcBorders>
              <w:top w:val="single" w:sz="4" w:space="0" w:color="808080"/>
              <w:left w:val="nil"/>
              <w:bottom w:val="single" w:sz="4" w:space="0" w:color="808080"/>
              <w:right w:val="single" w:sz="4" w:space="0" w:color="808080"/>
            </w:tcBorders>
            <w:shd w:val="clear" w:color="auto" w:fill="auto"/>
          </w:tcPr>
          <w:p w:rsidR="00A64B14" w:rsidRPr="00903BA3" w:rsidRDefault="00A64B14" w:rsidP="000B4801">
            <w:pPr>
              <w:rPr>
                <w:sz w:val="22"/>
                <w:szCs w:val="22"/>
              </w:rPr>
            </w:pPr>
            <w:r w:rsidRPr="00903BA3">
              <w:rPr>
                <w:sz w:val="22"/>
                <w:szCs w:val="22"/>
              </w:rPr>
              <w:t>11/24/10</w:t>
            </w:r>
          </w:p>
        </w:tc>
      </w:tr>
      <w:tr w:rsidR="00F71F4C"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903BA3" w:rsidRDefault="00A64B14" w:rsidP="000B4801">
            <w:pPr>
              <w:jc w:val="center"/>
              <w:rPr>
                <w:sz w:val="22"/>
                <w:szCs w:val="22"/>
              </w:rPr>
            </w:pPr>
            <w:r w:rsidRPr="00903BA3">
              <w:rPr>
                <w:sz w:val="22"/>
                <w:szCs w:val="22"/>
              </w:rPr>
              <w:t>4</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903BA3" w:rsidRDefault="00F71F4C" w:rsidP="000B4801">
            <w:pPr>
              <w:rPr>
                <w:rStyle w:val="Strong"/>
                <w:b w:val="0"/>
                <w:sz w:val="22"/>
                <w:szCs w:val="22"/>
              </w:rPr>
            </w:pPr>
            <w:r w:rsidRPr="00903BA3">
              <w:rPr>
                <w:rStyle w:val="Strong"/>
                <w:b w:val="0"/>
                <w:sz w:val="22"/>
                <w:szCs w:val="22"/>
              </w:rPr>
              <w:t>Russell Burns</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903BA3" w:rsidRDefault="00F71F4C" w:rsidP="000B4801">
            <w:pPr>
              <w:rPr>
                <w:sz w:val="22"/>
                <w:szCs w:val="22"/>
              </w:rPr>
            </w:pPr>
            <w:r w:rsidRPr="00903BA3">
              <w:rPr>
                <w:sz w:val="22"/>
                <w:szCs w:val="22"/>
              </w:rPr>
              <w:t>Boise</w:t>
            </w:r>
            <w:r w:rsidR="00C447EF" w:rsidRPr="00903BA3">
              <w:rPr>
                <w:sz w:val="22"/>
                <w:szCs w:val="22"/>
              </w:rPr>
              <w:t xml:space="preserve"> Paper</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903BA3" w:rsidRDefault="00BE6EE7" w:rsidP="000B4801">
            <w:pPr>
              <w:rPr>
                <w:sz w:val="22"/>
                <w:szCs w:val="22"/>
              </w:rPr>
            </w:pPr>
            <w:r w:rsidRPr="00903BA3">
              <w:rPr>
                <w:sz w:val="22"/>
                <w:szCs w:val="22"/>
              </w:rPr>
              <w:t>11/24/10</w:t>
            </w:r>
          </w:p>
        </w:tc>
      </w:tr>
      <w:tr w:rsidR="00F71F4C"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903BA3" w:rsidRDefault="00F71F4C" w:rsidP="000B4801">
            <w:pPr>
              <w:jc w:val="center"/>
              <w:rPr>
                <w:sz w:val="22"/>
                <w:szCs w:val="22"/>
              </w:rPr>
            </w:pPr>
            <w:r w:rsidRPr="00903BA3">
              <w:rPr>
                <w:sz w:val="22"/>
                <w:szCs w:val="22"/>
              </w:rPr>
              <w:t>5</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903BA3" w:rsidRDefault="00F71F4C" w:rsidP="000B4801">
            <w:pPr>
              <w:rPr>
                <w:sz w:val="22"/>
                <w:szCs w:val="22"/>
              </w:rPr>
            </w:pPr>
            <w:r w:rsidRPr="00903BA3">
              <w:rPr>
                <w:sz w:val="22"/>
                <w:szCs w:val="22"/>
              </w:rPr>
              <w:t>Lee Fortier</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903BA3" w:rsidRDefault="00F71F4C" w:rsidP="000B4801">
            <w:pPr>
              <w:rPr>
                <w:sz w:val="22"/>
                <w:szCs w:val="22"/>
              </w:rPr>
            </w:pPr>
            <w:r w:rsidRPr="00903BA3">
              <w:rPr>
                <w:sz w:val="22"/>
                <w:szCs w:val="22"/>
              </w:rPr>
              <w:t>Dry Creek Landfill</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903BA3" w:rsidRDefault="00F71F4C" w:rsidP="000B4801">
            <w:pPr>
              <w:rPr>
                <w:sz w:val="22"/>
                <w:szCs w:val="22"/>
              </w:rPr>
            </w:pPr>
            <w:r w:rsidRPr="00903BA3">
              <w:rPr>
                <w:sz w:val="22"/>
                <w:szCs w:val="22"/>
              </w:rPr>
              <w:t>11/24/10</w:t>
            </w:r>
          </w:p>
        </w:tc>
      </w:tr>
      <w:tr w:rsidR="00244BDA"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44BDA" w:rsidRPr="00903BA3" w:rsidRDefault="00F71F4C" w:rsidP="000B4801">
            <w:pPr>
              <w:jc w:val="center"/>
              <w:rPr>
                <w:sz w:val="22"/>
                <w:szCs w:val="22"/>
              </w:rPr>
            </w:pPr>
            <w:r w:rsidRPr="00903BA3">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244BDA" w:rsidRPr="00903BA3" w:rsidRDefault="00244BDA" w:rsidP="000B4801">
            <w:pPr>
              <w:rPr>
                <w:sz w:val="22"/>
                <w:szCs w:val="22"/>
              </w:rPr>
            </w:pPr>
            <w:r w:rsidRPr="00903BA3">
              <w:rPr>
                <w:rStyle w:val="Strong"/>
                <w:b w:val="0"/>
                <w:sz w:val="22"/>
                <w:szCs w:val="22"/>
              </w:rPr>
              <w:t>Alicia Little</w:t>
            </w:r>
          </w:p>
        </w:tc>
        <w:tc>
          <w:tcPr>
            <w:tcW w:w="4680" w:type="dxa"/>
            <w:tcBorders>
              <w:top w:val="single" w:sz="4" w:space="0" w:color="808080"/>
              <w:left w:val="nil"/>
              <w:bottom w:val="single" w:sz="4" w:space="0" w:color="808080"/>
              <w:right w:val="single" w:sz="4" w:space="0" w:color="808080"/>
            </w:tcBorders>
            <w:shd w:val="clear" w:color="auto" w:fill="auto"/>
          </w:tcPr>
          <w:p w:rsidR="00244BDA" w:rsidRPr="00903BA3" w:rsidRDefault="00244BDA" w:rsidP="000B4801">
            <w:pPr>
              <w:rPr>
                <w:sz w:val="22"/>
                <w:szCs w:val="22"/>
              </w:rPr>
            </w:pPr>
            <w:r w:rsidRPr="00903BA3">
              <w:rPr>
                <w:sz w:val="22"/>
                <w:szCs w:val="22"/>
              </w:rPr>
              <w:t>Dyno Nobel Inc.</w:t>
            </w:r>
          </w:p>
        </w:tc>
        <w:tc>
          <w:tcPr>
            <w:tcW w:w="1440" w:type="dxa"/>
            <w:tcBorders>
              <w:top w:val="single" w:sz="4" w:space="0" w:color="808080"/>
              <w:left w:val="nil"/>
              <w:bottom w:val="single" w:sz="4" w:space="0" w:color="808080"/>
              <w:right w:val="single" w:sz="4" w:space="0" w:color="808080"/>
            </w:tcBorders>
            <w:shd w:val="clear" w:color="auto" w:fill="auto"/>
          </w:tcPr>
          <w:p w:rsidR="00244BDA" w:rsidRPr="00903BA3" w:rsidRDefault="00244BDA" w:rsidP="000B4801">
            <w:pPr>
              <w:rPr>
                <w:sz w:val="22"/>
                <w:szCs w:val="22"/>
              </w:rPr>
            </w:pPr>
            <w:r w:rsidRPr="00903BA3">
              <w:rPr>
                <w:sz w:val="22"/>
                <w:szCs w:val="22"/>
              </w:rPr>
              <w:t>11/24/10</w:t>
            </w:r>
          </w:p>
        </w:tc>
      </w:tr>
      <w:tr w:rsidR="00F71F4C" w:rsidRPr="00903BA3" w:rsidTr="003123C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903BA3" w:rsidRDefault="00F71F4C" w:rsidP="000B4801">
            <w:pPr>
              <w:jc w:val="center"/>
              <w:rPr>
                <w:sz w:val="22"/>
                <w:szCs w:val="22"/>
              </w:rPr>
            </w:pPr>
            <w:r w:rsidRPr="00903BA3">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903BA3" w:rsidRDefault="00F71F4C" w:rsidP="000B4801">
            <w:pPr>
              <w:rPr>
                <w:rFonts w:eastAsiaTheme="minorHAnsi"/>
                <w:sz w:val="22"/>
                <w:szCs w:val="22"/>
              </w:rPr>
            </w:pPr>
            <w:r w:rsidRPr="00903BA3">
              <w:rPr>
                <w:sz w:val="22"/>
                <w:szCs w:val="22"/>
              </w:rPr>
              <w:t>Scott Hedges</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903BA3" w:rsidRDefault="00F71F4C" w:rsidP="000B4801">
            <w:pPr>
              <w:rPr>
                <w:sz w:val="22"/>
                <w:szCs w:val="22"/>
              </w:rPr>
            </w:pPr>
            <w:r w:rsidRPr="00903BA3">
              <w:rPr>
                <w:sz w:val="22"/>
                <w:szCs w:val="22"/>
              </w:rPr>
              <w:t>Environmental Protection Agency, Region 10</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903BA3" w:rsidRDefault="00F71F4C" w:rsidP="000B4801">
            <w:pPr>
              <w:rPr>
                <w:sz w:val="22"/>
                <w:szCs w:val="22"/>
              </w:rPr>
            </w:pPr>
            <w:r w:rsidRPr="00903BA3">
              <w:rPr>
                <w:sz w:val="22"/>
                <w:szCs w:val="22"/>
              </w:rPr>
              <w:t>11/24/10</w:t>
            </w:r>
          </w:p>
        </w:tc>
      </w:tr>
      <w:tr w:rsidR="00BE6EE7"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E6EE7" w:rsidRPr="00903BA3" w:rsidRDefault="00BE6EE7" w:rsidP="000B4801">
            <w:pPr>
              <w:jc w:val="center"/>
              <w:rPr>
                <w:sz w:val="22"/>
                <w:szCs w:val="22"/>
              </w:rPr>
            </w:pPr>
            <w:r w:rsidRPr="00903BA3">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tcPr>
          <w:p w:rsidR="00BE6EE7" w:rsidRPr="00903BA3" w:rsidRDefault="00BE6EE7" w:rsidP="000B4801">
            <w:pPr>
              <w:rPr>
                <w:sz w:val="22"/>
                <w:szCs w:val="22"/>
              </w:rPr>
            </w:pPr>
            <w:r w:rsidRPr="00903BA3">
              <w:rPr>
                <w:sz w:val="22"/>
                <w:szCs w:val="22"/>
              </w:rPr>
              <w:t>James DeHoog</w:t>
            </w:r>
          </w:p>
        </w:tc>
        <w:tc>
          <w:tcPr>
            <w:tcW w:w="4680" w:type="dxa"/>
            <w:tcBorders>
              <w:top w:val="single" w:sz="4" w:space="0" w:color="808080"/>
              <w:left w:val="nil"/>
              <w:bottom w:val="single" w:sz="4" w:space="0" w:color="808080"/>
              <w:right w:val="single" w:sz="4" w:space="0" w:color="808080"/>
            </w:tcBorders>
            <w:shd w:val="clear" w:color="auto" w:fill="auto"/>
          </w:tcPr>
          <w:p w:rsidR="00BE6EE7" w:rsidRPr="00903BA3" w:rsidRDefault="00BE6EE7" w:rsidP="000B4801">
            <w:pPr>
              <w:rPr>
                <w:sz w:val="22"/>
                <w:szCs w:val="22"/>
              </w:rPr>
            </w:pPr>
            <w:r w:rsidRPr="00903BA3">
              <w:rPr>
                <w:sz w:val="22"/>
                <w:szCs w:val="22"/>
              </w:rPr>
              <w:t>Environmental Technical Services</w:t>
            </w:r>
          </w:p>
        </w:tc>
        <w:tc>
          <w:tcPr>
            <w:tcW w:w="1440" w:type="dxa"/>
            <w:tcBorders>
              <w:top w:val="single" w:sz="4" w:space="0" w:color="808080"/>
              <w:left w:val="nil"/>
              <w:bottom w:val="single" w:sz="4" w:space="0" w:color="808080"/>
              <w:right w:val="single" w:sz="4" w:space="0" w:color="808080"/>
            </w:tcBorders>
            <w:shd w:val="clear" w:color="auto" w:fill="auto"/>
          </w:tcPr>
          <w:p w:rsidR="00BE6EE7" w:rsidRPr="00903BA3" w:rsidRDefault="00BE6EE7" w:rsidP="000B4801">
            <w:pPr>
              <w:rPr>
                <w:sz w:val="22"/>
                <w:szCs w:val="22"/>
              </w:rPr>
            </w:pPr>
            <w:r w:rsidRPr="00903BA3">
              <w:rPr>
                <w:sz w:val="22"/>
                <w:szCs w:val="22"/>
              </w:rPr>
              <w:t>11/24/10</w:t>
            </w:r>
          </w:p>
        </w:tc>
      </w:tr>
      <w:tr w:rsidR="00A34575" w:rsidRPr="00903BA3" w:rsidTr="003123C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903BA3" w:rsidRDefault="00A34575" w:rsidP="000B4801">
            <w:pPr>
              <w:jc w:val="center"/>
              <w:rPr>
                <w:sz w:val="22"/>
                <w:szCs w:val="22"/>
              </w:rPr>
            </w:pPr>
            <w:r w:rsidRPr="00903BA3">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903BA3" w:rsidRDefault="00A34575" w:rsidP="000B4801">
            <w:pPr>
              <w:rPr>
                <w:sz w:val="22"/>
                <w:szCs w:val="22"/>
              </w:rPr>
            </w:pPr>
            <w:r w:rsidRPr="00903BA3">
              <w:rPr>
                <w:sz w:val="22"/>
                <w:szCs w:val="22"/>
              </w:rPr>
              <w:t>Scott Stewart</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Intel</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11/24/10</w:t>
            </w:r>
          </w:p>
        </w:tc>
      </w:tr>
      <w:tr w:rsidR="00A34575" w:rsidRPr="00903BA3" w:rsidTr="003123C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903BA3" w:rsidRDefault="00A34575" w:rsidP="000B4801">
            <w:pPr>
              <w:jc w:val="center"/>
              <w:rPr>
                <w:sz w:val="22"/>
                <w:szCs w:val="22"/>
              </w:rPr>
            </w:pPr>
            <w:r w:rsidRPr="00903BA3">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903BA3" w:rsidRDefault="00A34575" w:rsidP="000B4801">
            <w:pPr>
              <w:rPr>
                <w:sz w:val="22"/>
                <w:szCs w:val="22"/>
              </w:rPr>
            </w:pPr>
            <w:r w:rsidRPr="00903BA3">
              <w:rPr>
                <w:sz w:val="22"/>
                <w:szCs w:val="22"/>
              </w:rPr>
              <w:t>Thomas Gruszczenski</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Knife River Materials</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11/24/10</w:t>
            </w:r>
          </w:p>
        </w:tc>
      </w:tr>
      <w:tr w:rsidR="00A34575"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903BA3" w:rsidRDefault="00A34575" w:rsidP="000B4801">
            <w:pPr>
              <w:jc w:val="center"/>
              <w:rPr>
                <w:sz w:val="22"/>
                <w:szCs w:val="22"/>
              </w:rPr>
            </w:pPr>
            <w:r w:rsidRPr="00903BA3">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903BA3" w:rsidRDefault="00A34575" w:rsidP="000B4801">
            <w:pPr>
              <w:rPr>
                <w:sz w:val="22"/>
                <w:szCs w:val="22"/>
              </w:rPr>
            </w:pPr>
            <w:r w:rsidRPr="00903BA3">
              <w:rPr>
                <w:sz w:val="22"/>
                <w:szCs w:val="22"/>
              </w:rPr>
              <w:t>Mari Chesser</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Microchip Technology Inc.</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11/24/10</w:t>
            </w:r>
          </w:p>
        </w:tc>
      </w:tr>
      <w:tr w:rsidR="00A34575"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903BA3" w:rsidRDefault="00A34575" w:rsidP="000B4801">
            <w:pPr>
              <w:jc w:val="center"/>
              <w:rPr>
                <w:sz w:val="22"/>
                <w:szCs w:val="22"/>
              </w:rPr>
            </w:pPr>
            <w:r w:rsidRPr="00903BA3">
              <w:rPr>
                <w:sz w:val="22"/>
                <w:szCs w:val="22"/>
              </w:rPr>
              <w:t>12</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903BA3" w:rsidRDefault="00A34575" w:rsidP="000B4801">
            <w:pPr>
              <w:pStyle w:val="ColorfulList-Accent11"/>
              <w:ind w:left="0"/>
              <w:rPr>
                <w:sz w:val="22"/>
                <w:szCs w:val="22"/>
              </w:rPr>
            </w:pPr>
            <w:r w:rsidRPr="00903BA3">
              <w:rPr>
                <w:sz w:val="22"/>
                <w:szCs w:val="22"/>
              </w:rPr>
              <w:t>John Krallman, Kenny Key</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Northwest Environmental Defense Fund</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11/24/10</w:t>
            </w:r>
          </w:p>
        </w:tc>
      </w:tr>
      <w:tr w:rsidR="00A34575"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903BA3" w:rsidRDefault="00A34575" w:rsidP="000B4801">
            <w:pPr>
              <w:jc w:val="center"/>
              <w:rPr>
                <w:sz w:val="22"/>
                <w:szCs w:val="22"/>
              </w:rPr>
            </w:pPr>
            <w:r w:rsidRPr="00903BA3">
              <w:rPr>
                <w:sz w:val="22"/>
                <w:szCs w:val="22"/>
              </w:rPr>
              <w:lastRenderedPageBreak/>
              <w:t>13</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903BA3" w:rsidRDefault="00A34575" w:rsidP="000B4801">
            <w:pPr>
              <w:rPr>
                <w:sz w:val="22"/>
                <w:szCs w:val="22"/>
              </w:rPr>
            </w:pPr>
            <w:r w:rsidRPr="00903BA3">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Northwest Pulp and Paper Association</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11/24/10</w:t>
            </w:r>
          </w:p>
        </w:tc>
      </w:tr>
      <w:tr w:rsidR="00A34575"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903BA3" w:rsidRDefault="00A34575" w:rsidP="000B4801">
            <w:pPr>
              <w:jc w:val="center"/>
              <w:rPr>
                <w:sz w:val="22"/>
                <w:szCs w:val="22"/>
              </w:rPr>
            </w:pPr>
            <w:r w:rsidRPr="00903BA3">
              <w:rPr>
                <w:sz w:val="22"/>
                <w:szCs w:val="22"/>
              </w:rPr>
              <w:t>14</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903BA3" w:rsidRDefault="00A34575" w:rsidP="000B4801">
            <w:pPr>
              <w:rPr>
                <w:sz w:val="22"/>
                <w:szCs w:val="22"/>
              </w:rPr>
            </w:pPr>
            <w:r w:rsidRPr="00903BA3">
              <w:rPr>
                <w:sz w:val="22"/>
                <w:szCs w:val="22"/>
              </w:rPr>
              <w:t>Holly Sears</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Oregon Refuse &amp; Recycling Association</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11/24/10</w:t>
            </w:r>
          </w:p>
        </w:tc>
      </w:tr>
      <w:tr w:rsidR="00A34575"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903BA3" w:rsidRDefault="00A34575" w:rsidP="000B4801">
            <w:pPr>
              <w:jc w:val="center"/>
              <w:rPr>
                <w:sz w:val="22"/>
                <w:szCs w:val="22"/>
              </w:rPr>
            </w:pPr>
            <w:r w:rsidRPr="00903BA3">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903BA3" w:rsidRDefault="00A34575" w:rsidP="000B4801">
            <w:pPr>
              <w:rPr>
                <w:sz w:val="22"/>
                <w:szCs w:val="22"/>
              </w:rPr>
            </w:pPr>
            <w:r w:rsidRPr="00903BA3">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PGE</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903BA3" w:rsidRDefault="00A34575" w:rsidP="000B4801">
            <w:pPr>
              <w:rPr>
                <w:sz w:val="22"/>
                <w:szCs w:val="22"/>
              </w:rPr>
            </w:pPr>
            <w:r w:rsidRPr="00903BA3">
              <w:rPr>
                <w:sz w:val="22"/>
                <w:szCs w:val="22"/>
              </w:rPr>
              <w:t>11/24/10</w:t>
            </w:r>
          </w:p>
        </w:tc>
      </w:tr>
      <w:tr w:rsidR="00244BDA"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44BDA" w:rsidRPr="00903BA3" w:rsidRDefault="00F71F4C" w:rsidP="000B4801">
            <w:pPr>
              <w:jc w:val="center"/>
              <w:rPr>
                <w:sz w:val="22"/>
                <w:szCs w:val="22"/>
              </w:rPr>
            </w:pPr>
            <w:r w:rsidRPr="00903BA3">
              <w:rPr>
                <w:sz w:val="22"/>
                <w:szCs w:val="22"/>
              </w:rPr>
              <w:t>1</w:t>
            </w:r>
            <w:r w:rsidR="00A34575" w:rsidRPr="00903BA3">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244BDA" w:rsidRPr="00903BA3" w:rsidRDefault="003123C3" w:rsidP="000B4801">
            <w:pPr>
              <w:rPr>
                <w:sz w:val="22"/>
                <w:szCs w:val="22"/>
              </w:rPr>
            </w:pPr>
            <w:r w:rsidRPr="00903BA3">
              <w:rPr>
                <w:sz w:val="22"/>
                <w:szCs w:val="22"/>
              </w:rPr>
              <w:t>Lisa Becherer</w:t>
            </w:r>
          </w:p>
        </w:tc>
        <w:tc>
          <w:tcPr>
            <w:tcW w:w="4680" w:type="dxa"/>
            <w:tcBorders>
              <w:top w:val="single" w:sz="4" w:space="0" w:color="808080"/>
              <w:left w:val="nil"/>
              <w:bottom w:val="single" w:sz="4" w:space="0" w:color="808080"/>
              <w:right w:val="single" w:sz="4" w:space="0" w:color="808080"/>
            </w:tcBorders>
            <w:shd w:val="clear" w:color="auto" w:fill="auto"/>
          </w:tcPr>
          <w:p w:rsidR="00244BDA" w:rsidRPr="00903BA3" w:rsidRDefault="00244BDA" w:rsidP="000B4801">
            <w:pPr>
              <w:rPr>
                <w:sz w:val="22"/>
                <w:szCs w:val="22"/>
              </w:rPr>
            </w:pPr>
            <w:r w:rsidRPr="00903BA3">
              <w:rPr>
                <w:sz w:val="22"/>
                <w:szCs w:val="22"/>
              </w:rPr>
              <w:t>Roseburg Forest Products</w:t>
            </w:r>
          </w:p>
        </w:tc>
        <w:tc>
          <w:tcPr>
            <w:tcW w:w="1440" w:type="dxa"/>
            <w:tcBorders>
              <w:top w:val="single" w:sz="4" w:space="0" w:color="808080"/>
              <w:left w:val="nil"/>
              <w:bottom w:val="single" w:sz="4" w:space="0" w:color="808080"/>
              <w:right w:val="single" w:sz="4" w:space="0" w:color="808080"/>
            </w:tcBorders>
            <w:shd w:val="clear" w:color="auto" w:fill="auto"/>
          </w:tcPr>
          <w:p w:rsidR="00244BDA" w:rsidRPr="00903BA3" w:rsidRDefault="00244BDA" w:rsidP="000B4801">
            <w:pPr>
              <w:rPr>
                <w:sz w:val="22"/>
                <w:szCs w:val="22"/>
              </w:rPr>
            </w:pPr>
            <w:r w:rsidRPr="00903BA3">
              <w:rPr>
                <w:sz w:val="22"/>
                <w:szCs w:val="22"/>
              </w:rPr>
              <w:t>11/24/10</w:t>
            </w:r>
          </w:p>
        </w:tc>
      </w:tr>
      <w:tr w:rsidR="00C447EF"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447EF" w:rsidRPr="00903BA3" w:rsidRDefault="00C447EF" w:rsidP="000B4801">
            <w:pPr>
              <w:jc w:val="center"/>
              <w:rPr>
                <w:sz w:val="22"/>
                <w:szCs w:val="22"/>
              </w:rPr>
            </w:pPr>
            <w:r w:rsidRPr="00903BA3">
              <w:rPr>
                <w:sz w:val="22"/>
                <w:szCs w:val="22"/>
              </w:rPr>
              <w:t>1</w:t>
            </w:r>
            <w:r w:rsidR="00A34575" w:rsidRPr="00903BA3">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C447EF" w:rsidRPr="00903BA3" w:rsidRDefault="00C447EF" w:rsidP="000B4801">
            <w:pPr>
              <w:rPr>
                <w:sz w:val="22"/>
                <w:szCs w:val="22"/>
              </w:rPr>
            </w:pPr>
            <w:r w:rsidRPr="00903BA3">
              <w:rPr>
                <w:sz w:val="22"/>
                <w:szCs w:val="22"/>
              </w:rPr>
              <w:t>Scott Conant</w:t>
            </w:r>
          </w:p>
        </w:tc>
        <w:tc>
          <w:tcPr>
            <w:tcW w:w="4680" w:type="dxa"/>
            <w:tcBorders>
              <w:top w:val="single" w:sz="4" w:space="0" w:color="808080"/>
              <w:left w:val="nil"/>
              <w:bottom w:val="single" w:sz="4" w:space="0" w:color="808080"/>
              <w:right w:val="single" w:sz="4" w:space="0" w:color="808080"/>
            </w:tcBorders>
            <w:shd w:val="clear" w:color="auto" w:fill="auto"/>
          </w:tcPr>
          <w:p w:rsidR="00C447EF" w:rsidRPr="00903BA3" w:rsidRDefault="00C447EF" w:rsidP="000B4801">
            <w:pPr>
              <w:rPr>
                <w:sz w:val="22"/>
                <w:szCs w:val="22"/>
              </w:rPr>
            </w:pPr>
            <w:r w:rsidRPr="00903BA3">
              <w:rPr>
                <w:sz w:val="22"/>
                <w:szCs w:val="22"/>
              </w:rPr>
              <w:t>SP Newsprint Co., LLC</w:t>
            </w:r>
          </w:p>
        </w:tc>
        <w:tc>
          <w:tcPr>
            <w:tcW w:w="1440" w:type="dxa"/>
            <w:tcBorders>
              <w:top w:val="single" w:sz="4" w:space="0" w:color="808080"/>
              <w:left w:val="nil"/>
              <w:bottom w:val="single" w:sz="4" w:space="0" w:color="808080"/>
              <w:right w:val="single" w:sz="4" w:space="0" w:color="808080"/>
            </w:tcBorders>
            <w:shd w:val="clear" w:color="auto" w:fill="auto"/>
          </w:tcPr>
          <w:p w:rsidR="00C447EF" w:rsidRPr="00903BA3" w:rsidRDefault="00C447EF" w:rsidP="000B4801">
            <w:pPr>
              <w:rPr>
                <w:sz w:val="22"/>
                <w:szCs w:val="22"/>
              </w:rPr>
            </w:pPr>
            <w:r w:rsidRPr="00903BA3">
              <w:rPr>
                <w:sz w:val="22"/>
                <w:szCs w:val="22"/>
              </w:rPr>
              <w:t>11/24/10</w:t>
            </w:r>
          </w:p>
        </w:tc>
      </w:tr>
      <w:tr w:rsidR="00C447EF"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447EF" w:rsidRPr="00903BA3" w:rsidRDefault="00C447EF" w:rsidP="000B4801">
            <w:pPr>
              <w:jc w:val="center"/>
              <w:rPr>
                <w:sz w:val="22"/>
                <w:szCs w:val="22"/>
              </w:rPr>
            </w:pPr>
            <w:r w:rsidRPr="00903BA3">
              <w:rPr>
                <w:sz w:val="22"/>
                <w:szCs w:val="22"/>
              </w:rPr>
              <w:t>1</w:t>
            </w:r>
            <w:r w:rsidR="00A34575" w:rsidRPr="00903BA3">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tcPr>
          <w:p w:rsidR="00C447EF" w:rsidRPr="00903BA3" w:rsidRDefault="00C447EF" w:rsidP="000B4801">
            <w:pPr>
              <w:rPr>
                <w:sz w:val="22"/>
                <w:szCs w:val="22"/>
              </w:rPr>
            </w:pPr>
            <w:r w:rsidRPr="00903BA3">
              <w:rPr>
                <w:sz w:val="22"/>
                <w:szCs w:val="22"/>
              </w:rPr>
              <w:t>Martha Moore</w:t>
            </w:r>
          </w:p>
        </w:tc>
        <w:tc>
          <w:tcPr>
            <w:tcW w:w="4680" w:type="dxa"/>
            <w:tcBorders>
              <w:top w:val="single" w:sz="4" w:space="0" w:color="808080"/>
              <w:left w:val="nil"/>
              <w:bottom w:val="single" w:sz="4" w:space="0" w:color="808080"/>
              <w:right w:val="single" w:sz="4" w:space="0" w:color="808080"/>
            </w:tcBorders>
            <w:shd w:val="clear" w:color="auto" w:fill="auto"/>
          </w:tcPr>
          <w:p w:rsidR="00C447EF" w:rsidRPr="00903BA3" w:rsidRDefault="00C447EF" w:rsidP="000B4801">
            <w:pPr>
              <w:rPr>
                <w:sz w:val="22"/>
                <w:szCs w:val="22"/>
              </w:rPr>
            </w:pPr>
            <w:r w:rsidRPr="00903BA3">
              <w:rPr>
                <w:sz w:val="22"/>
                <w:szCs w:val="22"/>
              </w:rPr>
              <w:t>TW Environmental, Inc.</w:t>
            </w:r>
          </w:p>
        </w:tc>
        <w:tc>
          <w:tcPr>
            <w:tcW w:w="1440" w:type="dxa"/>
            <w:tcBorders>
              <w:top w:val="single" w:sz="4" w:space="0" w:color="808080"/>
              <w:left w:val="nil"/>
              <w:bottom w:val="single" w:sz="4" w:space="0" w:color="808080"/>
              <w:right w:val="single" w:sz="4" w:space="0" w:color="808080"/>
            </w:tcBorders>
            <w:shd w:val="clear" w:color="auto" w:fill="auto"/>
          </w:tcPr>
          <w:p w:rsidR="00C447EF" w:rsidRPr="00903BA3" w:rsidRDefault="00C447EF" w:rsidP="000B4801">
            <w:pPr>
              <w:rPr>
                <w:sz w:val="22"/>
                <w:szCs w:val="22"/>
              </w:rPr>
            </w:pPr>
            <w:r w:rsidRPr="00903BA3">
              <w:rPr>
                <w:sz w:val="22"/>
                <w:szCs w:val="22"/>
              </w:rPr>
              <w:t>11/24/10</w:t>
            </w:r>
          </w:p>
        </w:tc>
      </w:tr>
      <w:tr w:rsidR="00244BDA"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44BDA" w:rsidRPr="00903BA3" w:rsidRDefault="00F71F4C" w:rsidP="000B4801">
            <w:pPr>
              <w:jc w:val="center"/>
              <w:rPr>
                <w:sz w:val="22"/>
                <w:szCs w:val="22"/>
              </w:rPr>
            </w:pPr>
            <w:r w:rsidRPr="00903BA3">
              <w:rPr>
                <w:sz w:val="22"/>
                <w:szCs w:val="22"/>
              </w:rPr>
              <w:t>1</w:t>
            </w:r>
            <w:r w:rsidR="00A34575" w:rsidRPr="00903BA3">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tcPr>
          <w:p w:rsidR="00244BDA" w:rsidRPr="00903BA3" w:rsidRDefault="00244BDA" w:rsidP="000B4801">
            <w:pPr>
              <w:rPr>
                <w:sz w:val="22"/>
                <w:szCs w:val="22"/>
              </w:rPr>
            </w:pPr>
            <w:r w:rsidRPr="00903BA3">
              <w:rPr>
                <w:sz w:val="22"/>
                <w:szCs w:val="22"/>
              </w:rPr>
              <w:t>Dale Wonn</w:t>
            </w:r>
          </w:p>
        </w:tc>
        <w:tc>
          <w:tcPr>
            <w:tcW w:w="4680" w:type="dxa"/>
            <w:tcBorders>
              <w:top w:val="single" w:sz="4" w:space="0" w:color="808080"/>
              <w:left w:val="nil"/>
              <w:bottom w:val="single" w:sz="4" w:space="0" w:color="808080"/>
              <w:right w:val="single" w:sz="4" w:space="0" w:color="808080"/>
            </w:tcBorders>
            <w:shd w:val="clear" w:color="auto" w:fill="auto"/>
          </w:tcPr>
          <w:p w:rsidR="00244BDA" w:rsidRPr="00903BA3" w:rsidRDefault="00244BDA" w:rsidP="000B4801">
            <w:pPr>
              <w:rPr>
                <w:sz w:val="22"/>
                <w:szCs w:val="22"/>
              </w:rPr>
            </w:pPr>
            <w:r w:rsidRPr="00903BA3">
              <w:rPr>
                <w:sz w:val="22"/>
                <w:szCs w:val="22"/>
              </w:rPr>
              <w:t>Weyerhaeuser NR Company</w:t>
            </w:r>
          </w:p>
        </w:tc>
        <w:tc>
          <w:tcPr>
            <w:tcW w:w="1440" w:type="dxa"/>
            <w:tcBorders>
              <w:top w:val="single" w:sz="4" w:space="0" w:color="808080"/>
              <w:left w:val="nil"/>
              <w:bottom w:val="single" w:sz="4" w:space="0" w:color="808080"/>
              <w:right w:val="single" w:sz="4" w:space="0" w:color="808080"/>
            </w:tcBorders>
            <w:shd w:val="clear" w:color="auto" w:fill="auto"/>
          </w:tcPr>
          <w:p w:rsidR="00244BDA" w:rsidRPr="00903BA3" w:rsidRDefault="00244BDA" w:rsidP="000B4801">
            <w:pPr>
              <w:rPr>
                <w:sz w:val="22"/>
                <w:szCs w:val="22"/>
              </w:rPr>
            </w:pPr>
            <w:r w:rsidRPr="00903BA3">
              <w:rPr>
                <w:sz w:val="22"/>
                <w:szCs w:val="22"/>
              </w:rPr>
              <w:t>11/24/10</w:t>
            </w:r>
          </w:p>
        </w:tc>
      </w:tr>
      <w:tr w:rsidR="00E17CCC"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17CCC" w:rsidRPr="00903BA3" w:rsidRDefault="000351E6" w:rsidP="000B4801">
            <w:pPr>
              <w:jc w:val="center"/>
              <w:rPr>
                <w:sz w:val="22"/>
                <w:szCs w:val="22"/>
              </w:rPr>
            </w:pPr>
            <w:r w:rsidRPr="00903BA3">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tcPr>
          <w:p w:rsidR="00E17CCC" w:rsidRPr="00903BA3" w:rsidRDefault="00E17CCC" w:rsidP="000B4801">
            <w:pPr>
              <w:rPr>
                <w:sz w:val="22"/>
                <w:szCs w:val="22"/>
              </w:rPr>
            </w:pPr>
            <w:r w:rsidRPr="00903BA3">
              <w:rPr>
                <w:sz w:val="22"/>
                <w:szCs w:val="22"/>
              </w:rPr>
              <w:t>Mari Chesser</w:t>
            </w:r>
          </w:p>
        </w:tc>
        <w:tc>
          <w:tcPr>
            <w:tcW w:w="4680" w:type="dxa"/>
            <w:tcBorders>
              <w:top w:val="single" w:sz="4" w:space="0" w:color="808080"/>
              <w:left w:val="nil"/>
              <w:bottom w:val="single" w:sz="4" w:space="0" w:color="808080"/>
              <w:right w:val="single" w:sz="4" w:space="0" w:color="808080"/>
            </w:tcBorders>
            <w:shd w:val="clear" w:color="auto" w:fill="auto"/>
          </w:tcPr>
          <w:p w:rsidR="00E17CCC" w:rsidRPr="00903BA3" w:rsidRDefault="00E17CCC" w:rsidP="000B4801">
            <w:pPr>
              <w:rPr>
                <w:sz w:val="22"/>
                <w:szCs w:val="22"/>
              </w:rPr>
            </w:pPr>
            <w:r w:rsidRPr="00903BA3">
              <w:rPr>
                <w:sz w:val="22"/>
                <w:szCs w:val="22"/>
              </w:rPr>
              <w:t>Microchip Technology Inc.</w:t>
            </w:r>
          </w:p>
        </w:tc>
        <w:tc>
          <w:tcPr>
            <w:tcW w:w="1440" w:type="dxa"/>
            <w:tcBorders>
              <w:top w:val="single" w:sz="4" w:space="0" w:color="808080"/>
              <w:left w:val="nil"/>
              <w:bottom w:val="single" w:sz="4" w:space="0" w:color="808080"/>
              <w:right w:val="single" w:sz="4" w:space="0" w:color="808080"/>
            </w:tcBorders>
            <w:shd w:val="clear" w:color="auto" w:fill="auto"/>
          </w:tcPr>
          <w:p w:rsidR="00E17CCC" w:rsidRPr="00903BA3" w:rsidRDefault="00E17CCC" w:rsidP="000B4801">
            <w:pPr>
              <w:rPr>
                <w:sz w:val="22"/>
                <w:szCs w:val="22"/>
              </w:rPr>
            </w:pPr>
            <w:r w:rsidRPr="00903BA3">
              <w:rPr>
                <w:sz w:val="22"/>
                <w:szCs w:val="22"/>
              </w:rPr>
              <w:t>12/13/10</w:t>
            </w:r>
          </w:p>
        </w:tc>
      </w:tr>
      <w:tr w:rsidR="00E17CCC"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17CCC" w:rsidRPr="00903BA3" w:rsidRDefault="00E37B44" w:rsidP="000B4801">
            <w:pPr>
              <w:jc w:val="center"/>
              <w:rPr>
                <w:sz w:val="22"/>
                <w:szCs w:val="22"/>
              </w:rPr>
            </w:pPr>
            <w:r w:rsidRPr="00903BA3">
              <w:rPr>
                <w:sz w:val="22"/>
                <w:szCs w:val="22"/>
              </w:rPr>
              <w:t>2</w:t>
            </w:r>
            <w:r w:rsidR="000351E6" w:rsidRPr="00903BA3">
              <w:rPr>
                <w:sz w:val="22"/>
                <w:szCs w:val="22"/>
              </w:rPr>
              <w:t>0</w:t>
            </w:r>
          </w:p>
        </w:tc>
        <w:tc>
          <w:tcPr>
            <w:tcW w:w="3240" w:type="dxa"/>
            <w:tcBorders>
              <w:top w:val="single" w:sz="4" w:space="0" w:color="808080"/>
              <w:left w:val="nil"/>
              <w:bottom w:val="single" w:sz="4" w:space="0" w:color="808080"/>
              <w:right w:val="single" w:sz="4" w:space="0" w:color="808080"/>
            </w:tcBorders>
            <w:shd w:val="clear" w:color="auto" w:fill="auto"/>
            <w:noWrap/>
          </w:tcPr>
          <w:p w:rsidR="00E17CCC" w:rsidRPr="00903BA3" w:rsidRDefault="00E17CCC" w:rsidP="000B4801">
            <w:pPr>
              <w:rPr>
                <w:sz w:val="22"/>
                <w:szCs w:val="22"/>
              </w:rPr>
            </w:pPr>
            <w:r w:rsidRPr="00903BA3">
              <w:rPr>
                <w:sz w:val="22"/>
                <w:szCs w:val="22"/>
              </w:rPr>
              <w:t>Thane Jennings</w:t>
            </w:r>
          </w:p>
        </w:tc>
        <w:tc>
          <w:tcPr>
            <w:tcW w:w="4680" w:type="dxa"/>
            <w:tcBorders>
              <w:top w:val="single" w:sz="4" w:space="0" w:color="808080"/>
              <w:left w:val="nil"/>
              <w:bottom w:val="single" w:sz="4" w:space="0" w:color="808080"/>
              <w:right w:val="single" w:sz="4" w:space="0" w:color="808080"/>
            </w:tcBorders>
            <w:shd w:val="clear" w:color="auto" w:fill="auto"/>
          </w:tcPr>
          <w:p w:rsidR="00E17CCC" w:rsidRPr="00903BA3" w:rsidRDefault="00E17CCC" w:rsidP="000B4801">
            <w:pPr>
              <w:rPr>
                <w:sz w:val="22"/>
                <w:szCs w:val="22"/>
              </w:rPr>
            </w:pPr>
            <w:r w:rsidRPr="00903BA3">
              <w:rPr>
                <w:sz w:val="22"/>
                <w:szCs w:val="22"/>
              </w:rPr>
              <w:t>Hermiston Power, LLC, Calpine Corp.</w:t>
            </w:r>
          </w:p>
        </w:tc>
        <w:tc>
          <w:tcPr>
            <w:tcW w:w="1440" w:type="dxa"/>
            <w:tcBorders>
              <w:top w:val="single" w:sz="4" w:space="0" w:color="808080"/>
              <w:left w:val="nil"/>
              <w:bottom w:val="single" w:sz="4" w:space="0" w:color="808080"/>
              <w:right w:val="single" w:sz="4" w:space="0" w:color="808080"/>
            </w:tcBorders>
            <w:shd w:val="clear" w:color="auto" w:fill="auto"/>
          </w:tcPr>
          <w:p w:rsidR="00E17CCC" w:rsidRPr="00903BA3" w:rsidRDefault="00E17CCC" w:rsidP="000B4801">
            <w:pPr>
              <w:rPr>
                <w:sz w:val="22"/>
                <w:szCs w:val="22"/>
              </w:rPr>
            </w:pPr>
            <w:r w:rsidRPr="00903BA3">
              <w:rPr>
                <w:sz w:val="22"/>
                <w:szCs w:val="22"/>
              </w:rPr>
              <w:t>12/17/10</w:t>
            </w:r>
          </w:p>
        </w:tc>
      </w:tr>
      <w:tr w:rsidR="00B46703"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46703" w:rsidRPr="00903BA3" w:rsidRDefault="00B46703" w:rsidP="000B4801">
            <w:pPr>
              <w:jc w:val="center"/>
              <w:rPr>
                <w:sz w:val="22"/>
                <w:szCs w:val="22"/>
              </w:rPr>
            </w:pPr>
            <w:r w:rsidRPr="00903BA3">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B46703" w:rsidRPr="00903BA3" w:rsidRDefault="00B46703" w:rsidP="000B4801">
            <w:pPr>
              <w:rPr>
                <w:rFonts w:eastAsiaTheme="minorHAnsi"/>
                <w:sz w:val="22"/>
                <w:szCs w:val="22"/>
              </w:rPr>
            </w:pPr>
            <w:r w:rsidRPr="00903BA3">
              <w:rPr>
                <w:sz w:val="22"/>
                <w:szCs w:val="22"/>
              </w:rPr>
              <w:t>Lee Weber</w:t>
            </w:r>
          </w:p>
        </w:tc>
        <w:tc>
          <w:tcPr>
            <w:tcW w:w="4680" w:type="dxa"/>
            <w:tcBorders>
              <w:top w:val="single" w:sz="4" w:space="0" w:color="808080"/>
              <w:left w:val="nil"/>
              <w:bottom w:val="single" w:sz="4" w:space="0" w:color="808080"/>
              <w:right w:val="single" w:sz="4" w:space="0" w:color="808080"/>
            </w:tcBorders>
            <w:shd w:val="clear" w:color="auto" w:fill="auto"/>
          </w:tcPr>
          <w:p w:rsidR="00B46703" w:rsidRPr="00903BA3" w:rsidRDefault="00B46703" w:rsidP="000B4801">
            <w:pPr>
              <w:rPr>
                <w:sz w:val="22"/>
                <w:szCs w:val="22"/>
              </w:rPr>
            </w:pPr>
            <w:r w:rsidRPr="00903BA3">
              <w:rPr>
                <w:sz w:val="22"/>
                <w:szCs w:val="22"/>
              </w:rPr>
              <w:t>ATI Wah Chang/ ATI Albany Operations</w:t>
            </w:r>
          </w:p>
        </w:tc>
        <w:tc>
          <w:tcPr>
            <w:tcW w:w="1440" w:type="dxa"/>
            <w:tcBorders>
              <w:top w:val="single" w:sz="4" w:space="0" w:color="808080"/>
              <w:left w:val="nil"/>
              <w:bottom w:val="single" w:sz="4" w:space="0" w:color="808080"/>
              <w:right w:val="single" w:sz="4" w:space="0" w:color="808080"/>
            </w:tcBorders>
            <w:shd w:val="clear" w:color="auto" w:fill="auto"/>
          </w:tcPr>
          <w:p w:rsidR="00B46703" w:rsidRPr="00903BA3" w:rsidRDefault="00B46703" w:rsidP="000B4801">
            <w:pPr>
              <w:rPr>
                <w:sz w:val="22"/>
                <w:szCs w:val="22"/>
              </w:rPr>
            </w:pPr>
            <w:r w:rsidRPr="00903BA3">
              <w:rPr>
                <w:sz w:val="22"/>
                <w:szCs w:val="22"/>
              </w:rPr>
              <w:t>12/22/10</w:t>
            </w:r>
          </w:p>
        </w:tc>
      </w:tr>
      <w:tr w:rsidR="00AF641A"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F641A" w:rsidRPr="00903BA3" w:rsidRDefault="000351E6" w:rsidP="000B4801">
            <w:pPr>
              <w:jc w:val="center"/>
              <w:rPr>
                <w:sz w:val="22"/>
                <w:szCs w:val="22"/>
              </w:rPr>
            </w:pPr>
            <w:r w:rsidRPr="00903BA3">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AF641A" w:rsidRPr="00903BA3" w:rsidRDefault="00AF641A" w:rsidP="000B4801">
            <w:pPr>
              <w:rPr>
                <w:sz w:val="22"/>
                <w:szCs w:val="22"/>
              </w:rPr>
            </w:pPr>
            <w:r w:rsidRPr="00903BA3">
              <w:rPr>
                <w:rStyle w:val="Strong"/>
                <w:b w:val="0"/>
                <w:sz w:val="22"/>
                <w:szCs w:val="22"/>
              </w:rPr>
              <w:t>Alicia Little</w:t>
            </w:r>
          </w:p>
        </w:tc>
        <w:tc>
          <w:tcPr>
            <w:tcW w:w="4680" w:type="dxa"/>
            <w:tcBorders>
              <w:top w:val="single" w:sz="4" w:space="0" w:color="808080"/>
              <w:left w:val="nil"/>
              <w:bottom w:val="single" w:sz="4" w:space="0" w:color="808080"/>
              <w:right w:val="single" w:sz="4" w:space="0" w:color="808080"/>
            </w:tcBorders>
            <w:shd w:val="clear" w:color="auto" w:fill="auto"/>
          </w:tcPr>
          <w:p w:rsidR="00AF641A" w:rsidRPr="00903BA3" w:rsidRDefault="00AF641A" w:rsidP="000B4801">
            <w:pPr>
              <w:rPr>
                <w:sz w:val="22"/>
                <w:szCs w:val="22"/>
              </w:rPr>
            </w:pPr>
            <w:r w:rsidRPr="00903BA3">
              <w:rPr>
                <w:sz w:val="22"/>
                <w:szCs w:val="22"/>
              </w:rPr>
              <w:t>Dyno Nobel Inc.</w:t>
            </w:r>
          </w:p>
        </w:tc>
        <w:tc>
          <w:tcPr>
            <w:tcW w:w="1440" w:type="dxa"/>
            <w:tcBorders>
              <w:top w:val="single" w:sz="4" w:space="0" w:color="808080"/>
              <w:left w:val="nil"/>
              <w:bottom w:val="single" w:sz="4" w:space="0" w:color="808080"/>
              <w:right w:val="single" w:sz="4" w:space="0" w:color="808080"/>
            </w:tcBorders>
            <w:shd w:val="clear" w:color="auto" w:fill="auto"/>
          </w:tcPr>
          <w:p w:rsidR="00AF641A" w:rsidRPr="00903BA3" w:rsidRDefault="00AF641A" w:rsidP="000B4801">
            <w:pPr>
              <w:rPr>
                <w:sz w:val="22"/>
                <w:szCs w:val="22"/>
              </w:rPr>
            </w:pPr>
            <w:r w:rsidRPr="00903BA3">
              <w:rPr>
                <w:sz w:val="22"/>
                <w:szCs w:val="22"/>
              </w:rPr>
              <w:t>12/22/10</w:t>
            </w:r>
          </w:p>
        </w:tc>
      </w:tr>
      <w:tr w:rsidR="00AF641A"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F641A" w:rsidRPr="00903BA3" w:rsidRDefault="000351E6" w:rsidP="000B4801">
            <w:pPr>
              <w:jc w:val="center"/>
              <w:rPr>
                <w:sz w:val="22"/>
                <w:szCs w:val="22"/>
              </w:rPr>
            </w:pPr>
            <w:r w:rsidRPr="00903BA3">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tcPr>
          <w:p w:rsidR="00AF641A" w:rsidRPr="00903BA3" w:rsidRDefault="00AF641A" w:rsidP="000B4801">
            <w:pPr>
              <w:rPr>
                <w:sz w:val="22"/>
                <w:szCs w:val="22"/>
              </w:rPr>
            </w:pPr>
            <w:r w:rsidRPr="00903BA3">
              <w:rPr>
                <w:sz w:val="22"/>
                <w:szCs w:val="22"/>
              </w:rPr>
              <w:t>Thomas Gruszczenski</w:t>
            </w:r>
          </w:p>
        </w:tc>
        <w:tc>
          <w:tcPr>
            <w:tcW w:w="4680" w:type="dxa"/>
            <w:tcBorders>
              <w:top w:val="single" w:sz="4" w:space="0" w:color="808080"/>
              <w:left w:val="nil"/>
              <w:bottom w:val="single" w:sz="4" w:space="0" w:color="808080"/>
              <w:right w:val="single" w:sz="4" w:space="0" w:color="808080"/>
            </w:tcBorders>
            <w:shd w:val="clear" w:color="auto" w:fill="auto"/>
          </w:tcPr>
          <w:p w:rsidR="00AF641A" w:rsidRPr="00903BA3" w:rsidRDefault="00AF641A" w:rsidP="000B4801">
            <w:pPr>
              <w:rPr>
                <w:sz w:val="22"/>
                <w:szCs w:val="22"/>
              </w:rPr>
            </w:pPr>
            <w:r w:rsidRPr="00903BA3">
              <w:rPr>
                <w:sz w:val="22"/>
                <w:szCs w:val="22"/>
              </w:rPr>
              <w:t>Knife River Materials</w:t>
            </w:r>
          </w:p>
        </w:tc>
        <w:tc>
          <w:tcPr>
            <w:tcW w:w="1440" w:type="dxa"/>
            <w:tcBorders>
              <w:top w:val="single" w:sz="4" w:space="0" w:color="808080"/>
              <w:left w:val="nil"/>
              <w:bottom w:val="single" w:sz="4" w:space="0" w:color="808080"/>
              <w:right w:val="single" w:sz="4" w:space="0" w:color="808080"/>
            </w:tcBorders>
            <w:shd w:val="clear" w:color="auto" w:fill="auto"/>
          </w:tcPr>
          <w:p w:rsidR="00AF641A" w:rsidRPr="00903BA3" w:rsidRDefault="00AF641A" w:rsidP="000B4801">
            <w:pPr>
              <w:rPr>
                <w:sz w:val="22"/>
                <w:szCs w:val="22"/>
              </w:rPr>
            </w:pPr>
            <w:r w:rsidRPr="00903BA3">
              <w:rPr>
                <w:sz w:val="22"/>
                <w:szCs w:val="22"/>
              </w:rPr>
              <w:t>12/23/10</w:t>
            </w:r>
          </w:p>
        </w:tc>
      </w:tr>
      <w:tr w:rsidR="00AF641A"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F641A" w:rsidRPr="00903BA3" w:rsidRDefault="001918B4" w:rsidP="000B4801">
            <w:pPr>
              <w:jc w:val="center"/>
              <w:rPr>
                <w:sz w:val="22"/>
                <w:szCs w:val="22"/>
              </w:rPr>
            </w:pPr>
            <w:r w:rsidRPr="00903BA3">
              <w:rPr>
                <w:sz w:val="22"/>
                <w:szCs w:val="22"/>
              </w:rPr>
              <w:t>2</w:t>
            </w:r>
            <w:r w:rsidR="000351E6" w:rsidRPr="00903BA3">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AF641A" w:rsidRPr="00903BA3" w:rsidRDefault="001918B4" w:rsidP="000B4801">
            <w:pPr>
              <w:rPr>
                <w:sz w:val="22"/>
                <w:szCs w:val="22"/>
              </w:rPr>
            </w:pPr>
            <w:r w:rsidRPr="00903BA3">
              <w:rPr>
                <w:sz w:val="22"/>
                <w:szCs w:val="22"/>
              </w:rPr>
              <w:t>Mitchel Karp</w:t>
            </w:r>
            <w:r w:rsidR="000351E6" w:rsidRPr="00903BA3">
              <w:rPr>
                <w:sz w:val="22"/>
                <w:szCs w:val="22"/>
              </w:rPr>
              <w:t xml:space="preserve"> </w:t>
            </w:r>
          </w:p>
        </w:tc>
        <w:tc>
          <w:tcPr>
            <w:tcW w:w="4680" w:type="dxa"/>
            <w:tcBorders>
              <w:top w:val="single" w:sz="4" w:space="0" w:color="808080"/>
              <w:left w:val="nil"/>
              <w:bottom w:val="single" w:sz="4" w:space="0" w:color="808080"/>
              <w:right w:val="single" w:sz="4" w:space="0" w:color="808080"/>
            </w:tcBorders>
            <w:shd w:val="clear" w:color="auto" w:fill="auto"/>
          </w:tcPr>
          <w:p w:rsidR="00AF641A" w:rsidRPr="00903BA3" w:rsidRDefault="001918B4" w:rsidP="000B4801">
            <w:pPr>
              <w:rPr>
                <w:sz w:val="22"/>
                <w:szCs w:val="22"/>
              </w:rPr>
            </w:pPr>
            <w:r w:rsidRPr="00903BA3">
              <w:rPr>
                <w:sz w:val="22"/>
                <w:szCs w:val="22"/>
              </w:rPr>
              <w:t>RSG Forest Products</w:t>
            </w:r>
          </w:p>
        </w:tc>
        <w:tc>
          <w:tcPr>
            <w:tcW w:w="1440" w:type="dxa"/>
            <w:tcBorders>
              <w:top w:val="single" w:sz="4" w:space="0" w:color="808080"/>
              <w:left w:val="nil"/>
              <w:bottom w:val="single" w:sz="4" w:space="0" w:color="808080"/>
              <w:right w:val="single" w:sz="4" w:space="0" w:color="808080"/>
            </w:tcBorders>
            <w:shd w:val="clear" w:color="auto" w:fill="auto"/>
          </w:tcPr>
          <w:p w:rsidR="00AF641A" w:rsidRPr="00903BA3" w:rsidRDefault="001918B4" w:rsidP="000B4801">
            <w:pPr>
              <w:rPr>
                <w:sz w:val="22"/>
                <w:szCs w:val="22"/>
              </w:rPr>
            </w:pPr>
            <w:r w:rsidRPr="00903BA3">
              <w:rPr>
                <w:sz w:val="22"/>
                <w:szCs w:val="22"/>
              </w:rPr>
              <w:t>12/30/10</w:t>
            </w:r>
          </w:p>
        </w:tc>
      </w:tr>
      <w:tr w:rsidR="001918B4" w:rsidRPr="00903BA3"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1918B4" w:rsidRPr="00903BA3" w:rsidRDefault="001918B4" w:rsidP="000B4801">
            <w:pPr>
              <w:jc w:val="center"/>
              <w:rPr>
                <w:sz w:val="22"/>
                <w:szCs w:val="22"/>
              </w:rPr>
            </w:pPr>
            <w:r w:rsidRPr="00903BA3">
              <w:rPr>
                <w:sz w:val="22"/>
                <w:szCs w:val="22"/>
              </w:rPr>
              <w:t>2</w:t>
            </w:r>
            <w:r w:rsidR="000351E6" w:rsidRPr="00903BA3">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1918B4" w:rsidRPr="00903BA3" w:rsidRDefault="001918B4" w:rsidP="000B4801">
            <w:pPr>
              <w:rPr>
                <w:sz w:val="22"/>
                <w:szCs w:val="22"/>
              </w:rPr>
            </w:pPr>
            <w:r w:rsidRPr="00903BA3">
              <w:rPr>
                <w:sz w:val="22"/>
                <w:szCs w:val="22"/>
              </w:rPr>
              <w:t>Mitch Jorgensen</w:t>
            </w:r>
          </w:p>
        </w:tc>
        <w:tc>
          <w:tcPr>
            <w:tcW w:w="4680" w:type="dxa"/>
            <w:tcBorders>
              <w:top w:val="single" w:sz="4" w:space="0" w:color="808080"/>
              <w:left w:val="nil"/>
              <w:bottom w:val="single" w:sz="4" w:space="0" w:color="808080"/>
              <w:right w:val="single" w:sz="4" w:space="0" w:color="808080"/>
            </w:tcBorders>
            <w:shd w:val="clear" w:color="auto" w:fill="auto"/>
          </w:tcPr>
          <w:p w:rsidR="001918B4" w:rsidRPr="00903BA3" w:rsidRDefault="001918B4" w:rsidP="000B4801">
            <w:pPr>
              <w:rPr>
                <w:sz w:val="22"/>
                <w:szCs w:val="22"/>
              </w:rPr>
            </w:pPr>
            <w:r w:rsidRPr="00903BA3">
              <w:rPr>
                <w:sz w:val="22"/>
                <w:szCs w:val="22"/>
              </w:rPr>
              <w:t>Molalla Redi-Mix &amp; Rock Products, Inc</w:t>
            </w:r>
            <w:r w:rsidR="008D538C" w:rsidRPr="00903BA3">
              <w:rPr>
                <w:sz w:val="22"/>
                <w:szCs w:val="22"/>
              </w:rPr>
              <w:t xml:space="preserve">. </w:t>
            </w:r>
            <w:r w:rsidRPr="00903BA3">
              <w:rPr>
                <w:sz w:val="22"/>
                <w:szCs w:val="22"/>
              </w:rPr>
              <w:t xml:space="preserve">           </w:t>
            </w:r>
          </w:p>
        </w:tc>
        <w:tc>
          <w:tcPr>
            <w:tcW w:w="1440" w:type="dxa"/>
            <w:tcBorders>
              <w:top w:val="single" w:sz="4" w:space="0" w:color="808080"/>
              <w:left w:val="nil"/>
              <w:bottom w:val="single" w:sz="4" w:space="0" w:color="808080"/>
              <w:right w:val="single" w:sz="4" w:space="0" w:color="808080"/>
            </w:tcBorders>
            <w:shd w:val="clear" w:color="auto" w:fill="auto"/>
          </w:tcPr>
          <w:p w:rsidR="001918B4" w:rsidRPr="00903BA3" w:rsidRDefault="001918B4" w:rsidP="000B4801">
            <w:pPr>
              <w:rPr>
                <w:sz w:val="22"/>
                <w:szCs w:val="22"/>
              </w:rPr>
            </w:pPr>
            <w:r w:rsidRPr="00903BA3">
              <w:rPr>
                <w:sz w:val="22"/>
                <w:szCs w:val="22"/>
              </w:rPr>
              <w:t>12/30/10</w:t>
            </w:r>
          </w:p>
        </w:tc>
      </w:tr>
      <w:tr w:rsidR="00D20B23" w:rsidRPr="00903BA3"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D20B23" w:rsidRPr="00903BA3" w:rsidRDefault="00D20B23" w:rsidP="000B4801">
            <w:pPr>
              <w:jc w:val="center"/>
              <w:rPr>
                <w:sz w:val="22"/>
                <w:szCs w:val="22"/>
              </w:rPr>
            </w:pPr>
            <w:r w:rsidRPr="00903BA3">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D20B23" w:rsidRPr="00903BA3" w:rsidRDefault="00D20B23" w:rsidP="000B4801">
            <w:pPr>
              <w:rPr>
                <w:sz w:val="22"/>
                <w:szCs w:val="22"/>
              </w:rPr>
            </w:pPr>
            <w:r w:rsidRPr="00903BA3">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tcPr>
          <w:p w:rsidR="00D20B23" w:rsidRPr="00903BA3" w:rsidRDefault="00D20B23" w:rsidP="000B4801">
            <w:pPr>
              <w:rPr>
                <w:sz w:val="22"/>
                <w:szCs w:val="22"/>
              </w:rPr>
            </w:pPr>
            <w:r w:rsidRPr="00903BA3">
              <w:rPr>
                <w:sz w:val="22"/>
                <w:szCs w:val="22"/>
              </w:rPr>
              <w:t>AOI</w:t>
            </w:r>
          </w:p>
        </w:tc>
        <w:tc>
          <w:tcPr>
            <w:tcW w:w="1440" w:type="dxa"/>
            <w:tcBorders>
              <w:top w:val="single" w:sz="4" w:space="0" w:color="808080"/>
              <w:left w:val="nil"/>
              <w:bottom w:val="single" w:sz="4" w:space="0" w:color="808080"/>
              <w:right w:val="single" w:sz="4" w:space="0" w:color="808080"/>
            </w:tcBorders>
            <w:shd w:val="clear" w:color="auto" w:fill="auto"/>
          </w:tcPr>
          <w:p w:rsidR="00D20B23" w:rsidRPr="00903BA3" w:rsidRDefault="000043F8" w:rsidP="000B4801">
            <w:pPr>
              <w:rPr>
                <w:sz w:val="22"/>
                <w:szCs w:val="22"/>
              </w:rPr>
            </w:pPr>
            <w:r w:rsidRPr="00903BA3">
              <w:rPr>
                <w:sz w:val="22"/>
                <w:szCs w:val="22"/>
              </w:rPr>
              <w:t>01/14/11</w:t>
            </w:r>
          </w:p>
        </w:tc>
      </w:tr>
      <w:tr w:rsidR="000043F8" w:rsidRPr="00903BA3"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043F8" w:rsidRPr="00903BA3" w:rsidRDefault="000043F8" w:rsidP="000B4801">
            <w:pPr>
              <w:jc w:val="center"/>
              <w:rPr>
                <w:sz w:val="22"/>
                <w:szCs w:val="22"/>
              </w:rPr>
            </w:pPr>
            <w:r w:rsidRPr="00903BA3">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0043F8" w:rsidRPr="00903BA3" w:rsidRDefault="000043F8" w:rsidP="000B4801">
            <w:pPr>
              <w:rPr>
                <w:sz w:val="22"/>
                <w:szCs w:val="22"/>
              </w:rPr>
            </w:pPr>
            <w:r w:rsidRPr="00903BA3">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tcPr>
          <w:p w:rsidR="000043F8" w:rsidRPr="00903BA3" w:rsidRDefault="000043F8" w:rsidP="000B4801">
            <w:pPr>
              <w:rPr>
                <w:sz w:val="22"/>
                <w:szCs w:val="22"/>
              </w:rPr>
            </w:pPr>
            <w:r w:rsidRPr="00903BA3">
              <w:rPr>
                <w:sz w:val="22"/>
                <w:szCs w:val="22"/>
              </w:rPr>
              <w:t xml:space="preserve">Boise Cascade, LLC </w:t>
            </w:r>
          </w:p>
        </w:tc>
        <w:tc>
          <w:tcPr>
            <w:tcW w:w="1440" w:type="dxa"/>
            <w:tcBorders>
              <w:top w:val="single" w:sz="4" w:space="0" w:color="808080"/>
              <w:left w:val="nil"/>
              <w:bottom w:val="single" w:sz="4" w:space="0" w:color="808080"/>
              <w:right w:val="single" w:sz="4" w:space="0" w:color="808080"/>
            </w:tcBorders>
            <w:shd w:val="clear" w:color="auto" w:fill="auto"/>
          </w:tcPr>
          <w:p w:rsidR="000043F8" w:rsidRPr="00903BA3" w:rsidRDefault="000043F8" w:rsidP="000B4801">
            <w:pPr>
              <w:rPr>
                <w:sz w:val="22"/>
                <w:szCs w:val="22"/>
              </w:rPr>
            </w:pPr>
            <w:r w:rsidRPr="00903BA3">
              <w:rPr>
                <w:sz w:val="22"/>
                <w:szCs w:val="22"/>
              </w:rPr>
              <w:t>01/14/11</w:t>
            </w:r>
          </w:p>
        </w:tc>
      </w:tr>
      <w:tr w:rsidR="000043F8" w:rsidRPr="00903BA3" w:rsidTr="009D3CD6">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043F8" w:rsidRPr="00903BA3" w:rsidRDefault="000043F8" w:rsidP="000B4801">
            <w:pPr>
              <w:jc w:val="center"/>
              <w:rPr>
                <w:sz w:val="22"/>
                <w:szCs w:val="22"/>
              </w:rPr>
            </w:pPr>
            <w:r w:rsidRPr="00903BA3">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0043F8" w:rsidRPr="00903BA3" w:rsidRDefault="000043F8" w:rsidP="000B4801">
            <w:pPr>
              <w:rPr>
                <w:rFonts w:eastAsiaTheme="minorHAnsi"/>
                <w:sz w:val="22"/>
                <w:szCs w:val="22"/>
              </w:rPr>
            </w:pPr>
            <w:r w:rsidRPr="00903BA3">
              <w:rPr>
                <w:sz w:val="22"/>
                <w:szCs w:val="22"/>
              </w:rPr>
              <w:t>Scott Hedges</w:t>
            </w:r>
          </w:p>
        </w:tc>
        <w:tc>
          <w:tcPr>
            <w:tcW w:w="4680" w:type="dxa"/>
            <w:tcBorders>
              <w:top w:val="single" w:sz="4" w:space="0" w:color="808080"/>
              <w:left w:val="nil"/>
              <w:bottom w:val="single" w:sz="4" w:space="0" w:color="808080"/>
              <w:right w:val="single" w:sz="4" w:space="0" w:color="808080"/>
            </w:tcBorders>
            <w:shd w:val="clear" w:color="auto" w:fill="auto"/>
          </w:tcPr>
          <w:p w:rsidR="000043F8" w:rsidRPr="00903BA3" w:rsidRDefault="000043F8" w:rsidP="000B4801">
            <w:pPr>
              <w:rPr>
                <w:sz w:val="22"/>
                <w:szCs w:val="22"/>
              </w:rPr>
            </w:pPr>
            <w:r w:rsidRPr="00903BA3">
              <w:rPr>
                <w:sz w:val="22"/>
                <w:szCs w:val="22"/>
              </w:rPr>
              <w:t>Environmental Protection Agency, Region 10</w:t>
            </w:r>
          </w:p>
        </w:tc>
        <w:tc>
          <w:tcPr>
            <w:tcW w:w="1440" w:type="dxa"/>
            <w:tcBorders>
              <w:top w:val="single" w:sz="4" w:space="0" w:color="808080"/>
              <w:left w:val="nil"/>
              <w:bottom w:val="single" w:sz="4" w:space="0" w:color="808080"/>
              <w:right w:val="single" w:sz="4" w:space="0" w:color="808080"/>
            </w:tcBorders>
            <w:shd w:val="clear" w:color="auto" w:fill="auto"/>
          </w:tcPr>
          <w:p w:rsidR="000043F8" w:rsidRPr="00903BA3" w:rsidRDefault="000043F8" w:rsidP="000B4801">
            <w:pPr>
              <w:rPr>
                <w:sz w:val="22"/>
                <w:szCs w:val="22"/>
              </w:rPr>
            </w:pPr>
            <w:r w:rsidRPr="00903BA3">
              <w:rPr>
                <w:sz w:val="22"/>
                <w:szCs w:val="22"/>
              </w:rPr>
              <w:t>01/14/11</w:t>
            </w:r>
          </w:p>
        </w:tc>
      </w:tr>
      <w:tr w:rsidR="000043F8" w:rsidRPr="00903BA3" w:rsidTr="009D3CD6">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043F8" w:rsidRPr="00903BA3" w:rsidRDefault="000043F8" w:rsidP="000B4801">
            <w:pPr>
              <w:jc w:val="center"/>
              <w:rPr>
                <w:sz w:val="22"/>
                <w:szCs w:val="22"/>
              </w:rPr>
            </w:pPr>
            <w:r w:rsidRPr="00903BA3">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tcPr>
          <w:p w:rsidR="000043F8" w:rsidRPr="00903BA3" w:rsidRDefault="000043F8" w:rsidP="000B4801">
            <w:pPr>
              <w:rPr>
                <w:sz w:val="22"/>
                <w:szCs w:val="22"/>
              </w:rPr>
            </w:pPr>
            <w:r w:rsidRPr="00903BA3">
              <w:rPr>
                <w:sz w:val="22"/>
                <w:szCs w:val="22"/>
              </w:rPr>
              <w:t>Scott Stewart</w:t>
            </w:r>
          </w:p>
        </w:tc>
        <w:tc>
          <w:tcPr>
            <w:tcW w:w="4680" w:type="dxa"/>
            <w:tcBorders>
              <w:top w:val="single" w:sz="4" w:space="0" w:color="808080"/>
              <w:left w:val="nil"/>
              <w:bottom w:val="single" w:sz="4" w:space="0" w:color="808080"/>
              <w:right w:val="single" w:sz="4" w:space="0" w:color="808080"/>
            </w:tcBorders>
            <w:shd w:val="clear" w:color="auto" w:fill="auto"/>
          </w:tcPr>
          <w:p w:rsidR="000043F8" w:rsidRPr="00903BA3" w:rsidRDefault="000043F8" w:rsidP="000B4801">
            <w:pPr>
              <w:rPr>
                <w:sz w:val="22"/>
                <w:szCs w:val="22"/>
              </w:rPr>
            </w:pPr>
            <w:r w:rsidRPr="00903BA3">
              <w:rPr>
                <w:sz w:val="22"/>
                <w:szCs w:val="22"/>
              </w:rPr>
              <w:t>Intel</w:t>
            </w:r>
          </w:p>
        </w:tc>
        <w:tc>
          <w:tcPr>
            <w:tcW w:w="1440" w:type="dxa"/>
            <w:tcBorders>
              <w:top w:val="single" w:sz="4" w:space="0" w:color="808080"/>
              <w:left w:val="nil"/>
              <w:bottom w:val="single" w:sz="4" w:space="0" w:color="808080"/>
              <w:right w:val="single" w:sz="4" w:space="0" w:color="808080"/>
            </w:tcBorders>
            <w:shd w:val="clear" w:color="auto" w:fill="auto"/>
          </w:tcPr>
          <w:p w:rsidR="000043F8" w:rsidRPr="00903BA3" w:rsidRDefault="000043F8" w:rsidP="000B4801">
            <w:pPr>
              <w:rPr>
                <w:sz w:val="22"/>
                <w:szCs w:val="22"/>
              </w:rPr>
            </w:pPr>
            <w:r w:rsidRPr="00903BA3">
              <w:rPr>
                <w:sz w:val="22"/>
                <w:szCs w:val="22"/>
              </w:rPr>
              <w:t>01/14/11</w:t>
            </w:r>
          </w:p>
        </w:tc>
      </w:tr>
      <w:tr w:rsidR="006B20A0" w:rsidRPr="00903BA3"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B20A0" w:rsidRPr="00903BA3" w:rsidRDefault="006B20A0" w:rsidP="000B4801">
            <w:pPr>
              <w:jc w:val="center"/>
              <w:rPr>
                <w:sz w:val="22"/>
                <w:szCs w:val="22"/>
              </w:rPr>
            </w:pPr>
            <w:r w:rsidRPr="00903BA3">
              <w:rPr>
                <w:sz w:val="22"/>
                <w:szCs w:val="22"/>
              </w:rPr>
              <w:t>12</w:t>
            </w:r>
          </w:p>
        </w:tc>
        <w:tc>
          <w:tcPr>
            <w:tcW w:w="3240" w:type="dxa"/>
            <w:tcBorders>
              <w:top w:val="single" w:sz="4" w:space="0" w:color="808080"/>
              <w:left w:val="nil"/>
              <w:bottom w:val="single" w:sz="4" w:space="0" w:color="808080"/>
              <w:right w:val="single" w:sz="4" w:space="0" w:color="808080"/>
            </w:tcBorders>
            <w:shd w:val="clear" w:color="auto" w:fill="auto"/>
            <w:noWrap/>
          </w:tcPr>
          <w:p w:rsidR="006B20A0" w:rsidRPr="00903BA3" w:rsidRDefault="006B20A0" w:rsidP="000B4801">
            <w:pPr>
              <w:rPr>
                <w:sz w:val="22"/>
                <w:szCs w:val="22"/>
              </w:rPr>
            </w:pPr>
            <w:r w:rsidRPr="00903BA3">
              <w:rPr>
                <w:sz w:val="22"/>
                <w:szCs w:val="22"/>
              </w:rPr>
              <w:t>Aubrey Baldwin</w:t>
            </w:r>
          </w:p>
        </w:tc>
        <w:tc>
          <w:tcPr>
            <w:tcW w:w="4680" w:type="dxa"/>
            <w:tcBorders>
              <w:top w:val="single" w:sz="4" w:space="0" w:color="808080"/>
              <w:left w:val="nil"/>
              <w:bottom w:val="single" w:sz="4" w:space="0" w:color="808080"/>
              <w:right w:val="single" w:sz="4" w:space="0" w:color="808080"/>
            </w:tcBorders>
            <w:shd w:val="clear" w:color="auto" w:fill="auto"/>
          </w:tcPr>
          <w:p w:rsidR="006B20A0" w:rsidRPr="00903BA3" w:rsidRDefault="006B20A0" w:rsidP="000B4801">
            <w:pPr>
              <w:rPr>
                <w:sz w:val="22"/>
                <w:szCs w:val="22"/>
              </w:rPr>
            </w:pPr>
            <w:r w:rsidRPr="00903BA3">
              <w:rPr>
                <w:sz w:val="22"/>
                <w:szCs w:val="22"/>
              </w:rPr>
              <w:t>Northwest Environmental Defense Fund</w:t>
            </w:r>
          </w:p>
        </w:tc>
        <w:tc>
          <w:tcPr>
            <w:tcW w:w="1440" w:type="dxa"/>
            <w:tcBorders>
              <w:top w:val="single" w:sz="4" w:space="0" w:color="808080"/>
              <w:left w:val="nil"/>
              <w:bottom w:val="single" w:sz="4" w:space="0" w:color="808080"/>
              <w:right w:val="single" w:sz="4" w:space="0" w:color="808080"/>
            </w:tcBorders>
            <w:shd w:val="clear" w:color="auto" w:fill="auto"/>
          </w:tcPr>
          <w:p w:rsidR="006B20A0" w:rsidRPr="00903BA3" w:rsidRDefault="006B20A0" w:rsidP="000B4801">
            <w:pPr>
              <w:rPr>
                <w:sz w:val="22"/>
                <w:szCs w:val="22"/>
              </w:rPr>
            </w:pPr>
            <w:r w:rsidRPr="00903BA3">
              <w:rPr>
                <w:sz w:val="22"/>
                <w:szCs w:val="22"/>
              </w:rPr>
              <w:t>01/14/11</w:t>
            </w:r>
          </w:p>
        </w:tc>
      </w:tr>
      <w:tr w:rsidR="000043F8" w:rsidRPr="00903BA3"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043F8" w:rsidRPr="00903BA3" w:rsidRDefault="000043F8" w:rsidP="000B4801">
            <w:pPr>
              <w:jc w:val="center"/>
              <w:rPr>
                <w:sz w:val="22"/>
                <w:szCs w:val="22"/>
              </w:rPr>
            </w:pPr>
            <w:r w:rsidRPr="00903BA3">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0043F8" w:rsidRPr="00903BA3" w:rsidRDefault="000043F8" w:rsidP="000B4801">
            <w:pPr>
              <w:rPr>
                <w:sz w:val="22"/>
                <w:szCs w:val="22"/>
              </w:rPr>
            </w:pPr>
            <w:r w:rsidRPr="00903BA3">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tcPr>
          <w:p w:rsidR="000043F8" w:rsidRPr="00903BA3" w:rsidRDefault="000043F8" w:rsidP="000B4801">
            <w:pPr>
              <w:rPr>
                <w:sz w:val="22"/>
                <w:szCs w:val="22"/>
              </w:rPr>
            </w:pPr>
            <w:r w:rsidRPr="00903BA3">
              <w:rPr>
                <w:sz w:val="22"/>
                <w:szCs w:val="22"/>
              </w:rPr>
              <w:t>Northwest Pulp and Paper Association</w:t>
            </w:r>
          </w:p>
        </w:tc>
        <w:tc>
          <w:tcPr>
            <w:tcW w:w="1440" w:type="dxa"/>
            <w:tcBorders>
              <w:top w:val="single" w:sz="4" w:space="0" w:color="808080"/>
              <w:left w:val="nil"/>
              <w:bottom w:val="single" w:sz="4" w:space="0" w:color="808080"/>
              <w:right w:val="single" w:sz="4" w:space="0" w:color="808080"/>
            </w:tcBorders>
            <w:shd w:val="clear" w:color="auto" w:fill="auto"/>
          </w:tcPr>
          <w:p w:rsidR="000043F8" w:rsidRPr="00903BA3" w:rsidRDefault="000043F8" w:rsidP="000B4801">
            <w:pPr>
              <w:rPr>
                <w:sz w:val="22"/>
                <w:szCs w:val="22"/>
              </w:rPr>
            </w:pPr>
            <w:r w:rsidRPr="00903BA3">
              <w:rPr>
                <w:sz w:val="22"/>
                <w:szCs w:val="22"/>
              </w:rPr>
              <w:t>01/14/11</w:t>
            </w:r>
          </w:p>
        </w:tc>
      </w:tr>
      <w:tr w:rsidR="00F943FC" w:rsidRPr="00903BA3"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943FC" w:rsidRPr="00903BA3" w:rsidRDefault="00F943FC" w:rsidP="000B4801">
            <w:pPr>
              <w:jc w:val="center"/>
              <w:rPr>
                <w:sz w:val="22"/>
                <w:szCs w:val="22"/>
              </w:rPr>
            </w:pPr>
            <w:r w:rsidRPr="00903BA3">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tcPr>
          <w:p w:rsidR="00F943FC" w:rsidRPr="00903BA3" w:rsidRDefault="00F943FC" w:rsidP="000B4801">
            <w:pPr>
              <w:rPr>
                <w:sz w:val="22"/>
                <w:szCs w:val="22"/>
              </w:rPr>
            </w:pPr>
            <w:r w:rsidRPr="00903BA3">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tcPr>
          <w:p w:rsidR="00F943FC" w:rsidRPr="00903BA3" w:rsidRDefault="00F943FC" w:rsidP="000B4801">
            <w:pPr>
              <w:rPr>
                <w:sz w:val="22"/>
                <w:szCs w:val="22"/>
              </w:rPr>
            </w:pPr>
            <w:r w:rsidRPr="00903BA3">
              <w:rPr>
                <w:sz w:val="22"/>
                <w:szCs w:val="22"/>
              </w:rPr>
              <w:t>PGE</w:t>
            </w:r>
          </w:p>
        </w:tc>
        <w:tc>
          <w:tcPr>
            <w:tcW w:w="1440" w:type="dxa"/>
            <w:tcBorders>
              <w:top w:val="single" w:sz="4" w:space="0" w:color="808080"/>
              <w:left w:val="nil"/>
              <w:bottom w:val="single" w:sz="4" w:space="0" w:color="808080"/>
              <w:right w:val="single" w:sz="4" w:space="0" w:color="808080"/>
            </w:tcBorders>
            <w:shd w:val="clear" w:color="auto" w:fill="auto"/>
          </w:tcPr>
          <w:p w:rsidR="00F943FC" w:rsidRPr="00903BA3" w:rsidRDefault="00F943FC" w:rsidP="000B4801">
            <w:pPr>
              <w:rPr>
                <w:sz w:val="22"/>
                <w:szCs w:val="22"/>
              </w:rPr>
            </w:pPr>
            <w:r w:rsidRPr="00903BA3">
              <w:rPr>
                <w:sz w:val="22"/>
                <w:szCs w:val="22"/>
              </w:rPr>
              <w:t>01/14/11</w:t>
            </w:r>
          </w:p>
        </w:tc>
      </w:tr>
      <w:tr w:rsidR="00E60FC7" w:rsidRPr="00903BA3"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60FC7" w:rsidRPr="00903BA3" w:rsidRDefault="00E60FC7" w:rsidP="000B4801">
            <w:pPr>
              <w:jc w:val="center"/>
              <w:rPr>
                <w:sz w:val="22"/>
                <w:szCs w:val="22"/>
              </w:rPr>
            </w:pPr>
            <w:r w:rsidRPr="00903BA3">
              <w:rPr>
                <w:sz w:val="22"/>
                <w:szCs w:val="22"/>
              </w:rPr>
              <w:t>23</w:t>
            </w:r>
          </w:p>
        </w:tc>
        <w:tc>
          <w:tcPr>
            <w:tcW w:w="3240" w:type="dxa"/>
            <w:tcBorders>
              <w:top w:val="single" w:sz="4" w:space="0" w:color="808080"/>
              <w:left w:val="nil"/>
              <w:bottom w:val="single" w:sz="4" w:space="0" w:color="808080"/>
              <w:right w:val="single" w:sz="4" w:space="0" w:color="808080"/>
            </w:tcBorders>
            <w:shd w:val="clear" w:color="auto" w:fill="auto"/>
            <w:noWrap/>
          </w:tcPr>
          <w:p w:rsidR="00E60FC7" w:rsidRPr="00903BA3" w:rsidRDefault="00E60FC7" w:rsidP="000B4801">
            <w:pPr>
              <w:rPr>
                <w:sz w:val="22"/>
                <w:szCs w:val="22"/>
              </w:rPr>
            </w:pPr>
            <w:r w:rsidRPr="00903BA3">
              <w:rPr>
                <w:sz w:val="22"/>
                <w:szCs w:val="22"/>
              </w:rPr>
              <w:t>Lincoln Cannon</w:t>
            </w:r>
          </w:p>
        </w:tc>
        <w:tc>
          <w:tcPr>
            <w:tcW w:w="4680" w:type="dxa"/>
            <w:tcBorders>
              <w:top w:val="single" w:sz="4" w:space="0" w:color="808080"/>
              <w:left w:val="nil"/>
              <w:bottom w:val="single" w:sz="4" w:space="0" w:color="808080"/>
              <w:right w:val="single" w:sz="4" w:space="0" w:color="808080"/>
            </w:tcBorders>
            <w:shd w:val="clear" w:color="auto" w:fill="auto"/>
          </w:tcPr>
          <w:p w:rsidR="00E60FC7" w:rsidRPr="00903BA3" w:rsidRDefault="00E60FC7" w:rsidP="000B4801">
            <w:pPr>
              <w:rPr>
                <w:sz w:val="22"/>
                <w:szCs w:val="22"/>
              </w:rPr>
            </w:pPr>
            <w:r w:rsidRPr="00903BA3">
              <w:rPr>
                <w:sz w:val="22"/>
                <w:szCs w:val="22"/>
              </w:rPr>
              <w:t>Oregon Forest Industries Council</w:t>
            </w:r>
          </w:p>
        </w:tc>
        <w:tc>
          <w:tcPr>
            <w:tcW w:w="1440" w:type="dxa"/>
            <w:tcBorders>
              <w:top w:val="single" w:sz="4" w:space="0" w:color="808080"/>
              <w:left w:val="nil"/>
              <w:bottom w:val="single" w:sz="4" w:space="0" w:color="808080"/>
              <w:right w:val="single" w:sz="4" w:space="0" w:color="808080"/>
            </w:tcBorders>
            <w:shd w:val="clear" w:color="auto" w:fill="auto"/>
          </w:tcPr>
          <w:p w:rsidR="00E60FC7" w:rsidRPr="00903BA3" w:rsidRDefault="00E60FC7" w:rsidP="000B4801">
            <w:pPr>
              <w:rPr>
                <w:sz w:val="22"/>
                <w:szCs w:val="22"/>
              </w:rPr>
            </w:pPr>
            <w:r w:rsidRPr="00903BA3">
              <w:rPr>
                <w:sz w:val="22"/>
                <w:szCs w:val="22"/>
              </w:rPr>
              <w:t>01/14/11</w:t>
            </w:r>
          </w:p>
        </w:tc>
      </w:tr>
    </w:tbl>
    <w:p w:rsidR="00076541" w:rsidRPr="00903BA3" w:rsidRDefault="00076541" w:rsidP="000B4801">
      <w:pPr>
        <w:rPr>
          <w:sz w:val="22"/>
          <w:szCs w:val="22"/>
        </w:rPr>
      </w:pPr>
    </w:p>
    <w:sectPr w:rsidR="00076541" w:rsidRPr="00903BA3" w:rsidSect="00911DEC">
      <w:headerReference w:type="default" r:id="rId11"/>
      <w:headerReference w:type="first" r:id="rId12"/>
      <w:pgSz w:w="12240" w:h="15840" w:code="1"/>
      <w:pgMar w:top="720" w:right="360" w:bottom="1440" w:left="108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801" w:rsidRDefault="000B4801">
      <w:r>
        <w:separator/>
      </w:r>
    </w:p>
  </w:endnote>
  <w:endnote w:type="continuationSeparator" w:id="0">
    <w:p w:rsidR="000B4801" w:rsidRDefault="000B4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801" w:rsidRDefault="000B4801">
      <w:r>
        <w:separator/>
      </w:r>
    </w:p>
  </w:footnote>
  <w:footnote w:type="continuationSeparator" w:id="0">
    <w:p w:rsidR="000B4801" w:rsidRDefault="000B48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801" w:rsidRPr="00630380" w:rsidRDefault="000B4801" w:rsidP="008F20A9">
    <w:pPr>
      <w:tabs>
        <w:tab w:val="left" w:pos="-1440"/>
        <w:tab w:val="left" w:pos="-720"/>
      </w:tabs>
      <w:suppressAutoHyphens/>
      <w:rPr>
        <w:rStyle w:val="PageNumber"/>
        <w:rFonts w:ascii="Arial" w:hAnsi="Arial" w:cs="Arial"/>
        <w:sz w:val="20"/>
        <w:szCs w:val="20"/>
      </w:rPr>
    </w:pPr>
    <w:r w:rsidRPr="00630380">
      <w:rPr>
        <w:rStyle w:val="PageNumber"/>
        <w:rFonts w:ascii="Arial" w:hAnsi="Arial" w:cs="Arial"/>
        <w:sz w:val="20"/>
        <w:szCs w:val="20"/>
      </w:rPr>
      <w:t>Attachment B</w:t>
    </w:r>
  </w:p>
  <w:p w:rsidR="000B4801" w:rsidRPr="00630380" w:rsidRDefault="000B4801" w:rsidP="00FC5FD0">
    <w:pPr>
      <w:tabs>
        <w:tab w:val="left" w:pos="-1440"/>
        <w:tab w:val="left" w:pos="-720"/>
      </w:tabs>
      <w:suppressAutoHyphens/>
      <w:rPr>
        <w:rFonts w:ascii="Arial" w:hAnsi="Arial" w:cs="Arial"/>
        <w:sz w:val="20"/>
        <w:szCs w:val="20"/>
      </w:rPr>
    </w:pPr>
    <w:r w:rsidRPr="00630380">
      <w:rPr>
        <w:rFonts w:ascii="Arial" w:hAnsi="Arial" w:cs="Arial"/>
        <w:sz w:val="20"/>
        <w:szCs w:val="20"/>
      </w:rPr>
      <w:t>April 21-22, 2011</w:t>
    </w:r>
    <w:r>
      <w:rPr>
        <w:rFonts w:ascii="Arial" w:hAnsi="Arial" w:cs="Arial"/>
        <w:sz w:val="20"/>
        <w:szCs w:val="20"/>
      </w:rPr>
      <w:t>, EQC m</w:t>
    </w:r>
    <w:r w:rsidRPr="00630380">
      <w:rPr>
        <w:rFonts w:ascii="Arial" w:hAnsi="Arial" w:cs="Arial"/>
        <w:sz w:val="20"/>
        <w:szCs w:val="20"/>
      </w:rPr>
      <w:t>eeting</w:t>
    </w:r>
  </w:p>
  <w:p w:rsidR="000B4801" w:rsidRPr="00630380" w:rsidRDefault="000B4801" w:rsidP="00FC5FD0">
    <w:pPr>
      <w:tabs>
        <w:tab w:val="left" w:pos="-1440"/>
        <w:tab w:val="left" w:pos="-720"/>
      </w:tabs>
      <w:suppressAutoHyphens/>
      <w:rPr>
        <w:rStyle w:val="PageNumber"/>
        <w:rFonts w:ascii="Arial" w:hAnsi="Arial" w:cs="Arial"/>
        <w:sz w:val="20"/>
        <w:szCs w:val="20"/>
      </w:rPr>
    </w:pPr>
    <w:r w:rsidRPr="00630380">
      <w:rPr>
        <w:rFonts w:ascii="Arial" w:hAnsi="Arial" w:cs="Arial"/>
        <w:sz w:val="20"/>
        <w:szCs w:val="20"/>
      </w:rPr>
      <w:t xml:space="preserve">Page </w:t>
    </w:r>
    <w:r w:rsidR="0041297F" w:rsidRPr="00630380">
      <w:rPr>
        <w:rStyle w:val="PageNumber"/>
        <w:rFonts w:ascii="Arial" w:hAnsi="Arial" w:cs="Arial"/>
        <w:sz w:val="20"/>
        <w:szCs w:val="20"/>
      </w:rPr>
      <w:fldChar w:fldCharType="begin"/>
    </w:r>
    <w:r w:rsidRPr="00630380">
      <w:rPr>
        <w:rStyle w:val="PageNumber"/>
        <w:rFonts w:ascii="Arial" w:hAnsi="Arial" w:cs="Arial"/>
        <w:sz w:val="20"/>
        <w:szCs w:val="20"/>
      </w:rPr>
      <w:instrText xml:space="preserve"> PAGE </w:instrText>
    </w:r>
    <w:r w:rsidR="0041297F" w:rsidRPr="00630380">
      <w:rPr>
        <w:rStyle w:val="PageNumber"/>
        <w:rFonts w:ascii="Arial" w:hAnsi="Arial" w:cs="Arial"/>
        <w:sz w:val="20"/>
        <w:szCs w:val="20"/>
      </w:rPr>
      <w:fldChar w:fldCharType="separate"/>
    </w:r>
    <w:r w:rsidR="000C3FF8">
      <w:rPr>
        <w:rStyle w:val="PageNumber"/>
        <w:rFonts w:ascii="Arial" w:hAnsi="Arial" w:cs="Arial"/>
        <w:noProof/>
        <w:sz w:val="20"/>
        <w:szCs w:val="20"/>
      </w:rPr>
      <w:t>5</w:t>
    </w:r>
    <w:r w:rsidR="0041297F" w:rsidRPr="00630380">
      <w:rPr>
        <w:rStyle w:val="PageNumber"/>
        <w:rFonts w:ascii="Arial" w:hAnsi="Arial" w:cs="Arial"/>
        <w:sz w:val="20"/>
        <w:szCs w:val="20"/>
      </w:rPr>
      <w:fldChar w:fldCharType="end"/>
    </w:r>
    <w:r w:rsidRPr="00630380">
      <w:rPr>
        <w:rFonts w:ascii="Arial" w:hAnsi="Arial" w:cs="Arial"/>
        <w:sz w:val="20"/>
        <w:szCs w:val="20"/>
      </w:rPr>
      <w:t xml:space="preserve"> of </w:t>
    </w:r>
    <w:r w:rsidR="0041297F" w:rsidRPr="00630380">
      <w:rPr>
        <w:rStyle w:val="PageNumber"/>
        <w:rFonts w:ascii="Arial" w:hAnsi="Arial" w:cs="Arial"/>
        <w:sz w:val="20"/>
        <w:szCs w:val="20"/>
      </w:rPr>
      <w:fldChar w:fldCharType="begin"/>
    </w:r>
    <w:r w:rsidRPr="00630380">
      <w:rPr>
        <w:rStyle w:val="PageNumber"/>
        <w:rFonts w:ascii="Arial" w:hAnsi="Arial" w:cs="Arial"/>
        <w:sz w:val="20"/>
        <w:szCs w:val="20"/>
      </w:rPr>
      <w:instrText xml:space="preserve"> NUMPAGES  </w:instrText>
    </w:r>
    <w:r w:rsidR="0041297F" w:rsidRPr="00630380">
      <w:rPr>
        <w:rStyle w:val="PageNumber"/>
        <w:rFonts w:ascii="Arial" w:hAnsi="Arial" w:cs="Arial"/>
        <w:sz w:val="20"/>
        <w:szCs w:val="20"/>
      </w:rPr>
      <w:fldChar w:fldCharType="separate"/>
    </w:r>
    <w:r w:rsidR="000C3FF8">
      <w:rPr>
        <w:rStyle w:val="PageNumber"/>
        <w:rFonts w:ascii="Arial" w:hAnsi="Arial" w:cs="Arial"/>
        <w:noProof/>
        <w:sz w:val="20"/>
        <w:szCs w:val="20"/>
      </w:rPr>
      <w:t>36</w:t>
    </w:r>
    <w:r w:rsidR="0041297F" w:rsidRPr="00630380">
      <w:rPr>
        <w:rStyle w:val="PageNumber"/>
        <w:rFonts w:ascii="Arial" w:hAnsi="Arial" w:cs="Arial"/>
        <w:sz w:val="20"/>
        <w:szCs w:val="20"/>
      </w:rPr>
      <w:fldChar w:fldCharType="end"/>
    </w:r>
  </w:p>
  <w:p w:rsidR="000B4801" w:rsidRPr="00D81356" w:rsidRDefault="000B48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801" w:rsidRPr="00956B7C" w:rsidRDefault="000B4801" w:rsidP="008F20A9">
    <w:pPr>
      <w:tabs>
        <w:tab w:val="left" w:pos="-1440"/>
        <w:tab w:val="left" w:pos="-720"/>
      </w:tabs>
      <w:suppressAutoHyphens/>
      <w:rPr>
        <w:rStyle w:val="PageNumber"/>
        <w:rFonts w:ascii="Arial" w:hAnsi="Arial" w:cs="Arial"/>
        <w:sz w:val="20"/>
        <w:szCs w:val="20"/>
      </w:rPr>
    </w:pPr>
    <w:r w:rsidRPr="00956B7C">
      <w:rPr>
        <w:rStyle w:val="PageNumber"/>
        <w:rFonts w:ascii="Arial" w:hAnsi="Arial" w:cs="Arial"/>
        <w:sz w:val="20"/>
        <w:szCs w:val="20"/>
      </w:rPr>
      <w:t>Attachment D</w:t>
    </w:r>
  </w:p>
  <w:p w:rsidR="000B4801" w:rsidRPr="00956B7C" w:rsidRDefault="000B4801" w:rsidP="00576CFD">
    <w:pPr>
      <w:tabs>
        <w:tab w:val="left" w:pos="-1440"/>
        <w:tab w:val="left" w:pos="-720"/>
      </w:tabs>
      <w:suppressAutoHyphens/>
      <w:rPr>
        <w:rFonts w:ascii="Arial" w:hAnsi="Arial" w:cs="Arial"/>
        <w:sz w:val="20"/>
        <w:szCs w:val="20"/>
      </w:rPr>
    </w:pPr>
    <w:r w:rsidRPr="00956B7C">
      <w:rPr>
        <w:rFonts w:ascii="Arial" w:hAnsi="Arial" w:cs="Arial"/>
        <w:sz w:val="20"/>
        <w:szCs w:val="20"/>
      </w:rPr>
      <w:t>April 21-22, 2011</w:t>
    </w:r>
    <w:r>
      <w:rPr>
        <w:rFonts w:ascii="Arial" w:hAnsi="Arial" w:cs="Arial"/>
        <w:sz w:val="20"/>
        <w:szCs w:val="20"/>
      </w:rPr>
      <w:t>, EQC m</w:t>
    </w:r>
    <w:r w:rsidRPr="00956B7C">
      <w:rPr>
        <w:rFonts w:ascii="Arial" w:hAnsi="Arial" w:cs="Arial"/>
        <w:sz w:val="20"/>
        <w:szCs w:val="20"/>
      </w:rPr>
      <w:t>eeting</w:t>
    </w:r>
  </w:p>
  <w:p w:rsidR="000B4801" w:rsidRPr="00956B7C" w:rsidRDefault="000B4801" w:rsidP="00576CFD">
    <w:pPr>
      <w:tabs>
        <w:tab w:val="left" w:pos="-1440"/>
        <w:tab w:val="left" w:pos="-720"/>
      </w:tabs>
      <w:suppressAutoHyphens/>
      <w:rPr>
        <w:rStyle w:val="PageNumber"/>
        <w:rFonts w:ascii="Arial" w:hAnsi="Arial" w:cs="Arial"/>
        <w:sz w:val="20"/>
        <w:szCs w:val="20"/>
      </w:rPr>
    </w:pPr>
    <w:r w:rsidRPr="00956B7C">
      <w:rPr>
        <w:rFonts w:ascii="Arial" w:hAnsi="Arial" w:cs="Arial"/>
        <w:sz w:val="20"/>
        <w:szCs w:val="20"/>
      </w:rPr>
      <w:t xml:space="preserve">Page </w:t>
    </w:r>
    <w:r w:rsidR="0041297F" w:rsidRPr="00956B7C">
      <w:rPr>
        <w:rStyle w:val="PageNumber"/>
        <w:rFonts w:ascii="Arial" w:hAnsi="Arial" w:cs="Arial"/>
        <w:sz w:val="20"/>
        <w:szCs w:val="20"/>
      </w:rPr>
      <w:fldChar w:fldCharType="begin"/>
    </w:r>
    <w:r w:rsidRPr="00956B7C">
      <w:rPr>
        <w:rStyle w:val="PageNumber"/>
        <w:rFonts w:ascii="Arial" w:hAnsi="Arial" w:cs="Arial"/>
        <w:sz w:val="20"/>
        <w:szCs w:val="20"/>
      </w:rPr>
      <w:instrText xml:space="preserve"> PAGE </w:instrText>
    </w:r>
    <w:r w:rsidR="0041297F" w:rsidRPr="00956B7C">
      <w:rPr>
        <w:rStyle w:val="PageNumber"/>
        <w:rFonts w:ascii="Arial" w:hAnsi="Arial" w:cs="Arial"/>
        <w:sz w:val="20"/>
        <w:szCs w:val="20"/>
      </w:rPr>
      <w:fldChar w:fldCharType="separate"/>
    </w:r>
    <w:r w:rsidR="000C3FF8">
      <w:rPr>
        <w:rStyle w:val="PageNumber"/>
        <w:rFonts w:ascii="Arial" w:hAnsi="Arial" w:cs="Arial"/>
        <w:noProof/>
        <w:sz w:val="20"/>
        <w:szCs w:val="20"/>
      </w:rPr>
      <w:t>1</w:t>
    </w:r>
    <w:r w:rsidR="0041297F" w:rsidRPr="00956B7C">
      <w:rPr>
        <w:rStyle w:val="PageNumber"/>
        <w:rFonts w:ascii="Arial" w:hAnsi="Arial" w:cs="Arial"/>
        <w:sz w:val="20"/>
        <w:szCs w:val="20"/>
      </w:rPr>
      <w:fldChar w:fldCharType="end"/>
    </w:r>
    <w:r w:rsidRPr="00956B7C">
      <w:rPr>
        <w:rFonts w:ascii="Arial" w:hAnsi="Arial" w:cs="Arial"/>
        <w:sz w:val="20"/>
        <w:szCs w:val="20"/>
      </w:rPr>
      <w:t xml:space="preserve"> of </w:t>
    </w:r>
    <w:r w:rsidR="0041297F" w:rsidRPr="00956B7C">
      <w:rPr>
        <w:rStyle w:val="PageNumber"/>
        <w:rFonts w:ascii="Arial" w:hAnsi="Arial" w:cs="Arial"/>
        <w:sz w:val="20"/>
        <w:szCs w:val="20"/>
      </w:rPr>
      <w:fldChar w:fldCharType="begin"/>
    </w:r>
    <w:r w:rsidRPr="00956B7C">
      <w:rPr>
        <w:rStyle w:val="PageNumber"/>
        <w:rFonts w:ascii="Arial" w:hAnsi="Arial" w:cs="Arial"/>
        <w:sz w:val="20"/>
        <w:szCs w:val="20"/>
      </w:rPr>
      <w:instrText xml:space="preserve"> NUMPAGES  </w:instrText>
    </w:r>
    <w:r w:rsidR="0041297F" w:rsidRPr="00956B7C">
      <w:rPr>
        <w:rStyle w:val="PageNumber"/>
        <w:rFonts w:ascii="Arial" w:hAnsi="Arial" w:cs="Arial"/>
        <w:sz w:val="20"/>
        <w:szCs w:val="20"/>
      </w:rPr>
      <w:fldChar w:fldCharType="separate"/>
    </w:r>
    <w:r w:rsidR="000C3FF8">
      <w:rPr>
        <w:rStyle w:val="PageNumber"/>
        <w:rFonts w:ascii="Arial" w:hAnsi="Arial" w:cs="Arial"/>
        <w:noProof/>
        <w:sz w:val="20"/>
        <w:szCs w:val="20"/>
      </w:rPr>
      <w:t>1</w:t>
    </w:r>
    <w:r w:rsidR="0041297F" w:rsidRPr="00956B7C">
      <w:rPr>
        <w:rStyle w:val="PageNumber"/>
        <w:rFonts w:ascii="Arial" w:hAnsi="Arial" w:cs="Arial"/>
        <w:sz w:val="20"/>
        <w:szCs w:val="20"/>
      </w:rPr>
      <w:fldChar w:fldCharType="end"/>
    </w:r>
  </w:p>
  <w:p w:rsidR="000B4801" w:rsidRDefault="000B48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decimal"/>
      <w:isLgl/>
      <w:suff w:val="nothing"/>
      <w:lvlText w:val="%1)"/>
      <w:lvlJc w:val="left"/>
      <w:pPr>
        <w:ind w:left="0" w:firstLine="260"/>
      </w:pPr>
      <w:rPr>
        <w:rFonts w:hint="default"/>
        <w:position w:val="0"/>
        <w:sz w:val="20"/>
      </w:rPr>
    </w:lvl>
    <w:lvl w:ilvl="1">
      <w:start w:val="3"/>
      <w:numFmt w:val="decimal"/>
      <w:isLgl/>
      <w:lvlText w:val="%2)"/>
      <w:lvlJc w:val="left"/>
      <w:pPr>
        <w:tabs>
          <w:tab w:val="num" w:pos="260"/>
        </w:tabs>
        <w:ind w:left="260" w:firstLine="720"/>
      </w:pPr>
      <w:rPr>
        <w:rFonts w:hint="default"/>
        <w:position w:val="0"/>
        <w:sz w:val="20"/>
      </w:rPr>
    </w:lvl>
    <w:lvl w:ilvl="2">
      <w:start w:val="1"/>
      <w:numFmt w:val="decimal"/>
      <w:isLgl/>
      <w:suff w:val="nothing"/>
      <w:lvlText w:val="%3)"/>
      <w:lvlJc w:val="left"/>
      <w:pPr>
        <w:ind w:left="0" w:firstLine="1700"/>
      </w:pPr>
      <w:rPr>
        <w:rFonts w:hint="default"/>
        <w:position w:val="0"/>
        <w:sz w:val="20"/>
      </w:rPr>
    </w:lvl>
    <w:lvl w:ilvl="3">
      <w:start w:val="1"/>
      <w:numFmt w:val="decimal"/>
      <w:isLgl/>
      <w:suff w:val="nothing"/>
      <w:lvlText w:val="%4)"/>
      <w:lvlJc w:val="left"/>
      <w:pPr>
        <w:ind w:left="0" w:firstLine="2420"/>
      </w:pPr>
      <w:rPr>
        <w:rFonts w:hint="default"/>
        <w:position w:val="0"/>
        <w:sz w:val="20"/>
      </w:rPr>
    </w:lvl>
    <w:lvl w:ilvl="4">
      <w:start w:val="1"/>
      <w:numFmt w:val="decimal"/>
      <w:isLgl/>
      <w:suff w:val="nothing"/>
      <w:lvlText w:val="%5)"/>
      <w:lvlJc w:val="left"/>
      <w:pPr>
        <w:ind w:left="0" w:firstLine="3140"/>
      </w:pPr>
      <w:rPr>
        <w:rFonts w:hint="default"/>
        <w:position w:val="0"/>
        <w:sz w:val="20"/>
      </w:rPr>
    </w:lvl>
    <w:lvl w:ilvl="5">
      <w:start w:val="1"/>
      <w:numFmt w:val="decimal"/>
      <w:isLgl/>
      <w:suff w:val="nothing"/>
      <w:lvlText w:val="%6)"/>
      <w:lvlJc w:val="left"/>
      <w:pPr>
        <w:ind w:left="0" w:firstLine="3860"/>
      </w:pPr>
      <w:rPr>
        <w:rFonts w:hint="default"/>
        <w:position w:val="0"/>
        <w:sz w:val="20"/>
      </w:rPr>
    </w:lvl>
    <w:lvl w:ilvl="6">
      <w:start w:val="1"/>
      <w:numFmt w:val="decimal"/>
      <w:isLgl/>
      <w:suff w:val="nothing"/>
      <w:lvlText w:val="%7)"/>
      <w:lvlJc w:val="left"/>
      <w:pPr>
        <w:ind w:left="0" w:firstLine="4580"/>
      </w:pPr>
      <w:rPr>
        <w:rFonts w:hint="default"/>
        <w:position w:val="0"/>
        <w:sz w:val="20"/>
      </w:rPr>
    </w:lvl>
    <w:lvl w:ilvl="7">
      <w:start w:val="1"/>
      <w:numFmt w:val="decimal"/>
      <w:isLgl/>
      <w:suff w:val="nothing"/>
      <w:lvlText w:val="%8)"/>
      <w:lvlJc w:val="left"/>
      <w:pPr>
        <w:ind w:left="0" w:firstLine="5300"/>
      </w:pPr>
      <w:rPr>
        <w:rFonts w:hint="default"/>
        <w:position w:val="0"/>
        <w:sz w:val="20"/>
      </w:rPr>
    </w:lvl>
    <w:lvl w:ilvl="8">
      <w:start w:val="1"/>
      <w:numFmt w:val="decimal"/>
      <w:isLgl/>
      <w:suff w:val="nothing"/>
      <w:lvlText w:val="%9)"/>
      <w:lvlJc w:val="left"/>
      <w:pPr>
        <w:ind w:left="0" w:firstLine="6020"/>
      </w:pPr>
      <w:rPr>
        <w:rFonts w:hint="default"/>
        <w:position w:val="0"/>
        <w:sz w:val="20"/>
      </w:rPr>
    </w:lvl>
  </w:abstractNum>
  <w:abstractNum w:abstractNumId="1">
    <w:nsid w:val="027D376C"/>
    <w:multiLevelType w:val="hybridMultilevel"/>
    <w:tmpl w:val="432423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205F08"/>
    <w:multiLevelType w:val="hybridMultilevel"/>
    <w:tmpl w:val="BCF0C0AA"/>
    <w:lvl w:ilvl="0" w:tplc="BB8C6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2F0E79"/>
    <w:multiLevelType w:val="hybridMultilevel"/>
    <w:tmpl w:val="3BA0D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E8368C"/>
    <w:multiLevelType w:val="hybridMultilevel"/>
    <w:tmpl w:val="FE2ECC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895809"/>
    <w:multiLevelType w:val="hybridMultilevel"/>
    <w:tmpl w:val="2FB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358CC"/>
    <w:multiLevelType w:val="hybridMultilevel"/>
    <w:tmpl w:val="C31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3200D"/>
    <w:multiLevelType w:val="hybridMultilevel"/>
    <w:tmpl w:val="470ABC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883DAE"/>
    <w:multiLevelType w:val="hybridMultilevel"/>
    <w:tmpl w:val="F3744458"/>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D96AA0"/>
    <w:multiLevelType w:val="hybridMultilevel"/>
    <w:tmpl w:val="1CF8B546"/>
    <w:lvl w:ilvl="0" w:tplc="EC16CBC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E7736BB"/>
    <w:multiLevelType w:val="hybridMultilevel"/>
    <w:tmpl w:val="8D3257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7B1CF0"/>
    <w:multiLevelType w:val="hybridMultilevel"/>
    <w:tmpl w:val="B16E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C4552"/>
    <w:multiLevelType w:val="hybridMultilevel"/>
    <w:tmpl w:val="3106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F95D37"/>
    <w:multiLevelType w:val="hybridMultilevel"/>
    <w:tmpl w:val="79CCEF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5137B5"/>
    <w:multiLevelType w:val="hybridMultilevel"/>
    <w:tmpl w:val="C36A51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3D80A8F"/>
    <w:multiLevelType w:val="hybridMultilevel"/>
    <w:tmpl w:val="F092A6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C66B8C"/>
    <w:multiLevelType w:val="hybridMultilevel"/>
    <w:tmpl w:val="FAD2D7B8"/>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D50C8D"/>
    <w:multiLevelType w:val="hybridMultilevel"/>
    <w:tmpl w:val="3FAA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F54CA"/>
    <w:multiLevelType w:val="hybridMultilevel"/>
    <w:tmpl w:val="CA129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D41328"/>
    <w:multiLevelType w:val="hybridMultilevel"/>
    <w:tmpl w:val="36EEC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405DB7"/>
    <w:multiLevelType w:val="hybridMultilevel"/>
    <w:tmpl w:val="F3522D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BF47DF"/>
    <w:multiLevelType w:val="hybridMultilevel"/>
    <w:tmpl w:val="F0F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354C04"/>
    <w:multiLevelType w:val="hybridMultilevel"/>
    <w:tmpl w:val="D1FEB7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DE1D4A"/>
    <w:multiLevelType w:val="hybridMultilevel"/>
    <w:tmpl w:val="BBA0A0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482EF8"/>
    <w:multiLevelType w:val="hybridMultilevel"/>
    <w:tmpl w:val="65D28B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3"/>
  </w:num>
  <w:num w:numId="4">
    <w:abstractNumId w:val="26"/>
  </w:num>
  <w:num w:numId="5">
    <w:abstractNumId w:val="22"/>
  </w:num>
  <w:num w:numId="6">
    <w:abstractNumId w:val="6"/>
  </w:num>
  <w:num w:numId="7">
    <w:abstractNumId w:val="10"/>
  </w:num>
  <w:num w:numId="8">
    <w:abstractNumId w:val="12"/>
  </w:num>
  <w:num w:numId="9">
    <w:abstractNumId w:val="7"/>
  </w:num>
  <w:num w:numId="10">
    <w:abstractNumId w:val="13"/>
  </w:num>
  <w:num w:numId="11">
    <w:abstractNumId w:val="5"/>
  </w:num>
  <w:num w:numId="12">
    <w:abstractNumId w:val="23"/>
  </w:num>
  <w:num w:numId="13">
    <w:abstractNumId w:val="20"/>
  </w:num>
  <w:num w:numId="14">
    <w:abstractNumId w:val="18"/>
  </w:num>
  <w:num w:numId="15">
    <w:abstractNumId w:val="17"/>
  </w:num>
  <w:num w:numId="16">
    <w:abstractNumId w:val="2"/>
  </w:num>
  <w:num w:numId="17">
    <w:abstractNumId w:val="21"/>
  </w:num>
  <w:num w:numId="18">
    <w:abstractNumId w:val="25"/>
  </w:num>
  <w:num w:numId="19">
    <w:abstractNumId w:val="15"/>
  </w:num>
  <w:num w:numId="20">
    <w:abstractNumId w:val="27"/>
  </w:num>
  <w:num w:numId="21">
    <w:abstractNumId w:val="4"/>
  </w:num>
  <w:num w:numId="22">
    <w:abstractNumId w:val="14"/>
  </w:num>
  <w:num w:numId="23">
    <w:abstractNumId w:val="24"/>
  </w:num>
  <w:num w:numId="24">
    <w:abstractNumId w:val="19"/>
  </w:num>
  <w:num w:numId="25">
    <w:abstractNumId w:val="11"/>
  </w:num>
  <w:num w:numId="26">
    <w:abstractNumId w:val="8"/>
  </w:num>
  <w:num w:numId="27">
    <w:abstractNumId w:val="16"/>
  </w:num>
  <w:num w:numId="28">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stylePaneFormatFilter w:val="3F01"/>
  <w:trackRevisions/>
  <w:defaultTabStop w:val="720"/>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rsids>
    <w:rsidRoot w:val="005472C1"/>
    <w:rsid w:val="000007C6"/>
    <w:rsid w:val="00000884"/>
    <w:rsid w:val="00000C63"/>
    <w:rsid w:val="00000D81"/>
    <w:rsid w:val="00001058"/>
    <w:rsid w:val="00001683"/>
    <w:rsid w:val="000016C0"/>
    <w:rsid w:val="00002BE8"/>
    <w:rsid w:val="000043B9"/>
    <w:rsid w:val="000043F8"/>
    <w:rsid w:val="00004EFC"/>
    <w:rsid w:val="000054E6"/>
    <w:rsid w:val="0000787A"/>
    <w:rsid w:val="00007EEF"/>
    <w:rsid w:val="00010046"/>
    <w:rsid w:val="000113D6"/>
    <w:rsid w:val="00011428"/>
    <w:rsid w:val="00012636"/>
    <w:rsid w:val="00012675"/>
    <w:rsid w:val="000127CD"/>
    <w:rsid w:val="000145F1"/>
    <w:rsid w:val="00014613"/>
    <w:rsid w:val="000146D0"/>
    <w:rsid w:val="000148AF"/>
    <w:rsid w:val="00015EF0"/>
    <w:rsid w:val="00016197"/>
    <w:rsid w:val="00016527"/>
    <w:rsid w:val="000167C1"/>
    <w:rsid w:val="0001685A"/>
    <w:rsid w:val="00020982"/>
    <w:rsid w:val="00021702"/>
    <w:rsid w:val="00021D56"/>
    <w:rsid w:val="00021F00"/>
    <w:rsid w:val="000221E6"/>
    <w:rsid w:val="00022F1F"/>
    <w:rsid w:val="00023372"/>
    <w:rsid w:val="00023A23"/>
    <w:rsid w:val="00023A91"/>
    <w:rsid w:val="000249F7"/>
    <w:rsid w:val="00025AD7"/>
    <w:rsid w:val="00025D38"/>
    <w:rsid w:val="00026F2E"/>
    <w:rsid w:val="00027503"/>
    <w:rsid w:val="000277FE"/>
    <w:rsid w:val="00027DF9"/>
    <w:rsid w:val="00027F3F"/>
    <w:rsid w:val="0003039F"/>
    <w:rsid w:val="000306D4"/>
    <w:rsid w:val="00030CA2"/>
    <w:rsid w:val="00031041"/>
    <w:rsid w:val="00031B76"/>
    <w:rsid w:val="00032153"/>
    <w:rsid w:val="00032727"/>
    <w:rsid w:val="000329C1"/>
    <w:rsid w:val="00032F4F"/>
    <w:rsid w:val="000332A5"/>
    <w:rsid w:val="0003346E"/>
    <w:rsid w:val="000334AD"/>
    <w:rsid w:val="000336CC"/>
    <w:rsid w:val="0003379B"/>
    <w:rsid w:val="00033C6A"/>
    <w:rsid w:val="00033F39"/>
    <w:rsid w:val="00034790"/>
    <w:rsid w:val="0003490C"/>
    <w:rsid w:val="0003517A"/>
    <w:rsid w:val="000351E6"/>
    <w:rsid w:val="00035DB1"/>
    <w:rsid w:val="00035FAB"/>
    <w:rsid w:val="00036FC7"/>
    <w:rsid w:val="00037D5D"/>
    <w:rsid w:val="00037E18"/>
    <w:rsid w:val="00040A77"/>
    <w:rsid w:val="000413AA"/>
    <w:rsid w:val="000415B2"/>
    <w:rsid w:val="00043407"/>
    <w:rsid w:val="0004404B"/>
    <w:rsid w:val="00045054"/>
    <w:rsid w:val="00045795"/>
    <w:rsid w:val="00046252"/>
    <w:rsid w:val="0005017B"/>
    <w:rsid w:val="00050EB4"/>
    <w:rsid w:val="000510EA"/>
    <w:rsid w:val="000525D2"/>
    <w:rsid w:val="000537F4"/>
    <w:rsid w:val="00053916"/>
    <w:rsid w:val="000555D4"/>
    <w:rsid w:val="00055624"/>
    <w:rsid w:val="00055F6F"/>
    <w:rsid w:val="0006062D"/>
    <w:rsid w:val="00060A87"/>
    <w:rsid w:val="00061462"/>
    <w:rsid w:val="0006197B"/>
    <w:rsid w:val="000622B9"/>
    <w:rsid w:val="000626BD"/>
    <w:rsid w:val="00062930"/>
    <w:rsid w:val="000636B8"/>
    <w:rsid w:val="00064345"/>
    <w:rsid w:val="00065341"/>
    <w:rsid w:val="00065F92"/>
    <w:rsid w:val="00066506"/>
    <w:rsid w:val="00066813"/>
    <w:rsid w:val="000672D5"/>
    <w:rsid w:val="0006764D"/>
    <w:rsid w:val="00071D8F"/>
    <w:rsid w:val="0007262A"/>
    <w:rsid w:val="0007371B"/>
    <w:rsid w:val="000747A1"/>
    <w:rsid w:val="000747AE"/>
    <w:rsid w:val="00074FDF"/>
    <w:rsid w:val="00075118"/>
    <w:rsid w:val="00076541"/>
    <w:rsid w:val="0007654E"/>
    <w:rsid w:val="00077F3C"/>
    <w:rsid w:val="000824DA"/>
    <w:rsid w:val="00083644"/>
    <w:rsid w:val="00084467"/>
    <w:rsid w:val="000856BE"/>
    <w:rsid w:val="0008686D"/>
    <w:rsid w:val="00086B60"/>
    <w:rsid w:val="00087749"/>
    <w:rsid w:val="0008779B"/>
    <w:rsid w:val="0009155C"/>
    <w:rsid w:val="0009295C"/>
    <w:rsid w:val="00092AFC"/>
    <w:rsid w:val="00093816"/>
    <w:rsid w:val="00093EE7"/>
    <w:rsid w:val="000949AF"/>
    <w:rsid w:val="00094B0B"/>
    <w:rsid w:val="00094D4D"/>
    <w:rsid w:val="0009663E"/>
    <w:rsid w:val="00096C4E"/>
    <w:rsid w:val="00096CA5"/>
    <w:rsid w:val="0009729B"/>
    <w:rsid w:val="000973F8"/>
    <w:rsid w:val="00097977"/>
    <w:rsid w:val="00097EA3"/>
    <w:rsid w:val="000A0184"/>
    <w:rsid w:val="000A0C91"/>
    <w:rsid w:val="000A0E4F"/>
    <w:rsid w:val="000A354B"/>
    <w:rsid w:val="000A3FEA"/>
    <w:rsid w:val="000A4CA3"/>
    <w:rsid w:val="000A5274"/>
    <w:rsid w:val="000A58AD"/>
    <w:rsid w:val="000A5B13"/>
    <w:rsid w:val="000A7BBA"/>
    <w:rsid w:val="000A7E37"/>
    <w:rsid w:val="000B07DB"/>
    <w:rsid w:val="000B0E8E"/>
    <w:rsid w:val="000B2B02"/>
    <w:rsid w:val="000B2CDB"/>
    <w:rsid w:val="000B2F1C"/>
    <w:rsid w:val="000B339E"/>
    <w:rsid w:val="000B3536"/>
    <w:rsid w:val="000B355C"/>
    <w:rsid w:val="000B362D"/>
    <w:rsid w:val="000B4801"/>
    <w:rsid w:val="000B4ED3"/>
    <w:rsid w:val="000B56B9"/>
    <w:rsid w:val="000B5FE9"/>
    <w:rsid w:val="000B6C65"/>
    <w:rsid w:val="000B703C"/>
    <w:rsid w:val="000B71A2"/>
    <w:rsid w:val="000B75AC"/>
    <w:rsid w:val="000B7D55"/>
    <w:rsid w:val="000C0507"/>
    <w:rsid w:val="000C058B"/>
    <w:rsid w:val="000C1590"/>
    <w:rsid w:val="000C179D"/>
    <w:rsid w:val="000C19FD"/>
    <w:rsid w:val="000C2588"/>
    <w:rsid w:val="000C3EC1"/>
    <w:rsid w:val="000C3FF8"/>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5EFC"/>
    <w:rsid w:val="000D6695"/>
    <w:rsid w:val="000D67CB"/>
    <w:rsid w:val="000D6C91"/>
    <w:rsid w:val="000E044F"/>
    <w:rsid w:val="000E1E6C"/>
    <w:rsid w:val="000E26E6"/>
    <w:rsid w:val="000E2942"/>
    <w:rsid w:val="000E2BB1"/>
    <w:rsid w:val="000E2D6D"/>
    <w:rsid w:val="000E34ED"/>
    <w:rsid w:val="000E3620"/>
    <w:rsid w:val="000E456B"/>
    <w:rsid w:val="000E4E1F"/>
    <w:rsid w:val="000E5809"/>
    <w:rsid w:val="000E5814"/>
    <w:rsid w:val="000E5C5C"/>
    <w:rsid w:val="000E6DD0"/>
    <w:rsid w:val="000E741A"/>
    <w:rsid w:val="000E7E5B"/>
    <w:rsid w:val="000F0A39"/>
    <w:rsid w:val="000F0B52"/>
    <w:rsid w:val="000F0D70"/>
    <w:rsid w:val="000F0FA8"/>
    <w:rsid w:val="000F1312"/>
    <w:rsid w:val="000F1AE9"/>
    <w:rsid w:val="000F2602"/>
    <w:rsid w:val="000F2FF6"/>
    <w:rsid w:val="000F35D9"/>
    <w:rsid w:val="000F372B"/>
    <w:rsid w:val="000F3C81"/>
    <w:rsid w:val="000F4842"/>
    <w:rsid w:val="000F5A19"/>
    <w:rsid w:val="000F6D93"/>
    <w:rsid w:val="00100190"/>
    <w:rsid w:val="0010042F"/>
    <w:rsid w:val="0010183B"/>
    <w:rsid w:val="0010238A"/>
    <w:rsid w:val="001043C1"/>
    <w:rsid w:val="00105571"/>
    <w:rsid w:val="00105966"/>
    <w:rsid w:val="00105BF2"/>
    <w:rsid w:val="001075FE"/>
    <w:rsid w:val="00107F76"/>
    <w:rsid w:val="00110C44"/>
    <w:rsid w:val="001123AE"/>
    <w:rsid w:val="00112631"/>
    <w:rsid w:val="001129E0"/>
    <w:rsid w:val="00112F2F"/>
    <w:rsid w:val="00113391"/>
    <w:rsid w:val="001142A6"/>
    <w:rsid w:val="00114C9E"/>
    <w:rsid w:val="00115A80"/>
    <w:rsid w:val="00115C4F"/>
    <w:rsid w:val="00115D31"/>
    <w:rsid w:val="00116A99"/>
    <w:rsid w:val="00117C1E"/>
    <w:rsid w:val="00120EF4"/>
    <w:rsid w:val="00122824"/>
    <w:rsid w:val="00122C65"/>
    <w:rsid w:val="001234E8"/>
    <w:rsid w:val="00124DAD"/>
    <w:rsid w:val="0012520B"/>
    <w:rsid w:val="001259AE"/>
    <w:rsid w:val="00126936"/>
    <w:rsid w:val="001274B2"/>
    <w:rsid w:val="00127A7F"/>
    <w:rsid w:val="00132B8E"/>
    <w:rsid w:val="001330E6"/>
    <w:rsid w:val="001331A2"/>
    <w:rsid w:val="00133B4C"/>
    <w:rsid w:val="00133D03"/>
    <w:rsid w:val="00133D8E"/>
    <w:rsid w:val="00134562"/>
    <w:rsid w:val="00135117"/>
    <w:rsid w:val="001363B0"/>
    <w:rsid w:val="001370DC"/>
    <w:rsid w:val="00140006"/>
    <w:rsid w:val="0014046E"/>
    <w:rsid w:val="0014385C"/>
    <w:rsid w:val="00143F24"/>
    <w:rsid w:val="0014499C"/>
    <w:rsid w:val="0014586B"/>
    <w:rsid w:val="00145C32"/>
    <w:rsid w:val="00145E80"/>
    <w:rsid w:val="001465B4"/>
    <w:rsid w:val="00146C16"/>
    <w:rsid w:val="00146C85"/>
    <w:rsid w:val="00150FB4"/>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632"/>
    <w:rsid w:val="001569E1"/>
    <w:rsid w:val="00157565"/>
    <w:rsid w:val="00157D56"/>
    <w:rsid w:val="001610C5"/>
    <w:rsid w:val="00162291"/>
    <w:rsid w:val="001627C9"/>
    <w:rsid w:val="00162BDC"/>
    <w:rsid w:val="00162BF6"/>
    <w:rsid w:val="00162CCA"/>
    <w:rsid w:val="0016386B"/>
    <w:rsid w:val="00163CC6"/>
    <w:rsid w:val="00163E8B"/>
    <w:rsid w:val="001645C7"/>
    <w:rsid w:val="00164F6F"/>
    <w:rsid w:val="001667DF"/>
    <w:rsid w:val="00166802"/>
    <w:rsid w:val="00166BA2"/>
    <w:rsid w:val="001671AE"/>
    <w:rsid w:val="00167780"/>
    <w:rsid w:val="00167847"/>
    <w:rsid w:val="00167A8A"/>
    <w:rsid w:val="00167F10"/>
    <w:rsid w:val="00170C7B"/>
    <w:rsid w:val="00171EAC"/>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322C"/>
    <w:rsid w:val="00183CCE"/>
    <w:rsid w:val="00185C41"/>
    <w:rsid w:val="0018749C"/>
    <w:rsid w:val="00190397"/>
    <w:rsid w:val="001911B8"/>
    <w:rsid w:val="001918B4"/>
    <w:rsid w:val="001926EE"/>
    <w:rsid w:val="00193BF3"/>
    <w:rsid w:val="00193C52"/>
    <w:rsid w:val="00193D8D"/>
    <w:rsid w:val="00193EE6"/>
    <w:rsid w:val="00194890"/>
    <w:rsid w:val="00194BD2"/>
    <w:rsid w:val="00195024"/>
    <w:rsid w:val="00195038"/>
    <w:rsid w:val="0019637E"/>
    <w:rsid w:val="00197BFE"/>
    <w:rsid w:val="001A07F9"/>
    <w:rsid w:val="001A0A81"/>
    <w:rsid w:val="001A1355"/>
    <w:rsid w:val="001A1464"/>
    <w:rsid w:val="001A171D"/>
    <w:rsid w:val="001A2874"/>
    <w:rsid w:val="001A292F"/>
    <w:rsid w:val="001A2DC6"/>
    <w:rsid w:val="001A3530"/>
    <w:rsid w:val="001A3B18"/>
    <w:rsid w:val="001A3BF8"/>
    <w:rsid w:val="001A4ACA"/>
    <w:rsid w:val="001A5F1A"/>
    <w:rsid w:val="001A61F0"/>
    <w:rsid w:val="001A70C2"/>
    <w:rsid w:val="001A77FC"/>
    <w:rsid w:val="001B0123"/>
    <w:rsid w:val="001B076F"/>
    <w:rsid w:val="001B102D"/>
    <w:rsid w:val="001B19B9"/>
    <w:rsid w:val="001B19BA"/>
    <w:rsid w:val="001B1B83"/>
    <w:rsid w:val="001B2460"/>
    <w:rsid w:val="001B2FE6"/>
    <w:rsid w:val="001B36F2"/>
    <w:rsid w:val="001B4F39"/>
    <w:rsid w:val="001B56AA"/>
    <w:rsid w:val="001B5D84"/>
    <w:rsid w:val="001B62CE"/>
    <w:rsid w:val="001B74D4"/>
    <w:rsid w:val="001B7E48"/>
    <w:rsid w:val="001C0B68"/>
    <w:rsid w:val="001C0C8C"/>
    <w:rsid w:val="001C15EB"/>
    <w:rsid w:val="001C1EE8"/>
    <w:rsid w:val="001C25FC"/>
    <w:rsid w:val="001C2A33"/>
    <w:rsid w:val="001C2BF0"/>
    <w:rsid w:val="001C3029"/>
    <w:rsid w:val="001C334B"/>
    <w:rsid w:val="001C3A68"/>
    <w:rsid w:val="001C3D6D"/>
    <w:rsid w:val="001C4251"/>
    <w:rsid w:val="001C4774"/>
    <w:rsid w:val="001C4EF9"/>
    <w:rsid w:val="001C5C91"/>
    <w:rsid w:val="001C6BEE"/>
    <w:rsid w:val="001C7262"/>
    <w:rsid w:val="001C7B16"/>
    <w:rsid w:val="001D06E8"/>
    <w:rsid w:val="001D0C0F"/>
    <w:rsid w:val="001D0DDE"/>
    <w:rsid w:val="001D10EC"/>
    <w:rsid w:val="001D119E"/>
    <w:rsid w:val="001D245E"/>
    <w:rsid w:val="001D26DA"/>
    <w:rsid w:val="001D4444"/>
    <w:rsid w:val="001D454E"/>
    <w:rsid w:val="001D5E25"/>
    <w:rsid w:val="001D64BD"/>
    <w:rsid w:val="001D6F3A"/>
    <w:rsid w:val="001D70C3"/>
    <w:rsid w:val="001D7194"/>
    <w:rsid w:val="001D728A"/>
    <w:rsid w:val="001D7618"/>
    <w:rsid w:val="001D7B42"/>
    <w:rsid w:val="001D7C85"/>
    <w:rsid w:val="001E0531"/>
    <w:rsid w:val="001E070F"/>
    <w:rsid w:val="001E0FF3"/>
    <w:rsid w:val="001E139B"/>
    <w:rsid w:val="001E1E9F"/>
    <w:rsid w:val="001E2073"/>
    <w:rsid w:val="001E2FC6"/>
    <w:rsid w:val="001E31DD"/>
    <w:rsid w:val="001E38E7"/>
    <w:rsid w:val="001E39A9"/>
    <w:rsid w:val="001E39FF"/>
    <w:rsid w:val="001E4463"/>
    <w:rsid w:val="001E482D"/>
    <w:rsid w:val="001E70E4"/>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11C1"/>
    <w:rsid w:val="00201B2B"/>
    <w:rsid w:val="00201B32"/>
    <w:rsid w:val="00201FC6"/>
    <w:rsid w:val="002022AE"/>
    <w:rsid w:val="00202DCA"/>
    <w:rsid w:val="0020419F"/>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30DA"/>
    <w:rsid w:val="00223207"/>
    <w:rsid w:val="00223A91"/>
    <w:rsid w:val="00223C09"/>
    <w:rsid w:val="00224010"/>
    <w:rsid w:val="00224A07"/>
    <w:rsid w:val="0022572B"/>
    <w:rsid w:val="00225D54"/>
    <w:rsid w:val="00226AC0"/>
    <w:rsid w:val="00227AD8"/>
    <w:rsid w:val="002308BE"/>
    <w:rsid w:val="00231353"/>
    <w:rsid w:val="00231C05"/>
    <w:rsid w:val="002348B8"/>
    <w:rsid w:val="00234EEF"/>
    <w:rsid w:val="00235F65"/>
    <w:rsid w:val="00236055"/>
    <w:rsid w:val="00237A7B"/>
    <w:rsid w:val="002400B6"/>
    <w:rsid w:val="00240EA2"/>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CF8"/>
    <w:rsid w:val="00252F0C"/>
    <w:rsid w:val="00254333"/>
    <w:rsid w:val="002543C0"/>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71C"/>
    <w:rsid w:val="002678D8"/>
    <w:rsid w:val="002678F0"/>
    <w:rsid w:val="002704D5"/>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6873"/>
    <w:rsid w:val="002875CA"/>
    <w:rsid w:val="0028773B"/>
    <w:rsid w:val="0029009F"/>
    <w:rsid w:val="00290423"/>
    <w:rsid w:val="00290545"/>
    <w:rsid w:val="00290D52"/>
    <w:rsid w:val="00291E33"/>
    <w:rsid w:val="0029251B"/>
    <w:rsid w:val="002927A8"/>
    <w:rsid w:val="00293C6D"/>
    <w:rsid w:val="0029438C"/>
    <w:rsid w:val="00295CBD"/>
    <w:rsid w:val="00295CBF"/>
    <w:rsid w:val="00296485"/>
    <w:rsid w:val="00297DB3"/>
    <w:rsid w:val="002A1071"/>
    <w:rsid w:val="002A1C57"/>
    <w:rsid w:val="002A1E60"/>
    <w:rsid w:val="002A2596"/>
    <w:rsid w:val="002A37F8"/>
    <w:rsid w:val="002A3B35"/>
    <w:rsid w:val="002A41F2"/>
    <w:rsid w:val="002A45A0"/>
    <w:rsid w:val="002A48D3"/>
    <w:rsid w:val="002A67D7"/>
    <w:rsid w:val="002A68CD"/>
    <w:rsid w:val="002A6E2F"/>
    <w:rsid w:val="002A7E91"/>
    <w:rsid w:val="002B0745"/>
    <w:rsid w:val="002B0E96"/>
    <w:rsid w:val="002B1958"/>
    <w:rsid w:val="002B1FFD"/>
    <w:rsid w:val="002B2107"/>
    <w:rsid w:val="002B2188"/>
    <w:rsid w:val="002B2A47"/>
    <w:rsid w:val="002B2F92"/>
    <w:rsid w:val="002B3394"/>
    <w:rsid w:val="002B3493"/>
    <w:rsid w:val="002B478D"/>
    <w:rsid w:val="002B498F"/>
    <w:rsid w:val="002B6354"/>
    <w:rsid w:val="002B659D"/>
    <w:rsid w:val="002C04BE"/>
    <w:rsid w:val="002C126B"/>
    <w:rsid w:val="002C1A7B"/>
    <w:rsid w:val="002C1B9B"/>
    <w:rsid w:val="002C1E01"/>
    <w:rsid w:val="002C28B9"/>
    <w:rsid w:val="002C4A9B"/>
    <w:rsid w:val="002C58F9"/>
    <w:rsid w:val="002C5DBD"/>
    <w:rsid w:val="002C6833"/>
    <w:rsid w:val="002C6AF7"/>
    <w:rsid w:val="002C7540"/>
    <w:rsid w:val="002C7920"/>
    <w:rsid w:val="002D0003"/>
    <w:rsid w:val="002D05E9"/>
    <w:rsid w:val="002D0FE2"/>
    <w:rsid w:val="002D2520"/>
    <w:rsid w:val="002D25E6"/>
    <w:rsid w:val="002D34A4"/>
    <w:rsid w:val="002D431D"/>
    <w:rsid w:val="002D4336"/>
    <w:rsid w:val="002D45F3"/>
    <w:rsid w:val="002D4A61"/>
    <w:rsid w:val="002D4FAA"/>
    <w:rsid w:val="002D6498"/>
    <w:rsid w:val="002D6B5B"/>
    <w:rsid w:val="002D6C97"/>
    <w:rsid w:val="002D6EE5"/>
    <w:rsid w:val="002E185A"/>
    <w:rsid w:val="002E19D8"/>
    <w:rsid w:val="002E1CD5"/>
    <w:rsid w:val="002E1ECA"/>
    <w:rsid w:val="002E231B"/>
    <w:rsid w:val="002E244C"/>
    <w:rsid w:val="002E3AAA"/>
    <w:rsid w:val="002E3CEA"/>
    <w:rsid w:val="002E4346"/>
    <w:rsid w:val="002E59CD"/>
    <w:rsid w:val="002E5C29"/>
    <w:rsid w:val="002E67D8"/>
    <w:rsid w:val="002E6855"/>
    <w:rsid w:val="002E69DA"/>
    <w:rsid w:val="002E6FFB"/>
    <w:rsid w:val="002E7762"/>
    <w:rsid w:val="002F0111"/>
    <w:rsid w:val="002F02F4"/>
    <w:rsid w:val="002F0609"/>
    <w:rsid w:val="002F0612"/>
    <w:rsid w:val="002F0A53"/>
    <w:rsid w:val="002F2472"/>
    <w:rsid w:val="002F2510"/>
    <w:rsid w:val="002F39B4"/>
    <w:rsid w:val="002F4D82"/>
    <w:rsid w:val="002F554A"/>
    <w:rsid w:val="002F7A6D"/>
    <w:rsid w:val="002F7EEC"/>
    <w:rsid w:val="0030007F"/>
    <w:rsid w:val="00300130"/>
    <w:rsid w:val="00300413"/>
    <w:rsid w:val="0030068C"/>
    <w:rsid w:val="00301165"/>
    <w:rsid w:val="00301494"/>
    <w:rsid w:val="00301615"/>
    <w:rsid w:val="003025EE"/>
    <w:rsid w:val="00302949"/>
    <w:rsid w:val="0030306E"/>
    <w:rsid w:val="0030422A"/>
    <w:rsid w:val="00304460"/>
    <w:rsid w:val="00307F2E"/>
    <w:rsid w:val="0031027E"/>
    <w:rsid w:val="003103C4"/>
    <w:rsid w:val="00311127"/>
    <w:rsid w:val="003120E2"/>
    <w:rsid w:val="003121E7"/>
    <w:rsid w:val="003123C3"/>
    <w:rsid w:val="003139E7"/>
    <w:rsid w:val="00313A3A"/>
    <w:rsid w:val="003150A3"/>
    <w:rsid w:val="00316BFF"/>
    <w:rsid w:val="00316EF8"/>
    <w:rsid w:val="003214D4"/>
    <w:rsid w:val="00321836"/>
    <w:rsid w:val="003218AA"/>
    <w:rsid w:val="003221E0"/>
    <w:rsid w:val="003227D1"/>
    <w:rsid w:val="00322F73"/>
    <w:rsid w:val="003234EC"/>
    <w:rsid w:val="003244AE"/>
    <w:rsid w:val="003244BA"/>
    <w:rsid w:val="00324832"/>
    <w:rsid w:val="00324A8E"/>
    <w:rsid w:val="00324E4B"/>
    <w:rsid w:val="00325F0A"/>
    <w:rsid w:val="00326948"/>
    <w:rsid w:val="00326B6B"/>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F4B"/>
    <w:rsid w:val="00344727"/>
    <w:rsid w:val="00344C77"/>
    <w:rsid w:val="00346E68"/>
    <w:rsid w:val="00347646"/>
    <w:rsid w:val="00347A72"/>
    <w:rsid w:val="00347DAB"/>
    <w:rsid w:val="00350B85"/>
    <w:rsid w:val="00351F8C"/>
    <w:rsid w:val="00352943"/>
    <w:rsid w:val="003529B8"/>
    <w:rsid w:val="00352ED5"/>
    <w:rsid w:val="00353084"/>
    <w:rsid w:val="00353569"/>
    <w:rsid w:val="003542C7"/>
    <w:rsid w:val="0035690B"/>
    <w:rsid w:val="0035770A"/>
    <w:rsid w:val="003579C6"/>
    <w:rsid w:val="00357F71"/>
    <w:rsid w:val="00361055"/>
    <w:rsid w:val="003611B6"/>
    <w:rsid w:val="0036165F"/>
    <w:rsid w:val="003624FC"/>
    <w:rsid w:val="003629E2"/>
    <w:rsid w:val="00363C26"/>
    <w:rsid w:val="00363E4C"/>
    <w:rsid w:val="003645BE"/>
    <w:rsid w:val="003646F2"/>
    <w:rsid w:val="00365067"/>
    <w:rsid w:val="00365B62"/>
    <w:rsid w:val="00365DB3"/>
    <w:rsid w:val="00366414"/>
    <w:rsid w:val="00366475"/>
    <w:rsid w:val="003673DB"/>
    <w:rsid w:val="00370537"/>
    <w:rsid w:val="00370CA1"/>
    <w:rsid w:val="00371278"/>
    <w:rsid w:val="00371796"/>
    <w:rsid w:val="0037192E"/>
    <w:rsid w:val="00372243"/>
    <w:rsid w:val="003736A3"/>
    <w:rsid w:val="00373A16"/>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D5D"/>
    <w:rsid w:val="00386F1F"/>
    <w:rsid w:val="0038738B"/>
    <w:rsid w:val="00387794"/>
    <w:rsid w:val="00387C04"/>
    <w:rsid w:val="003907B7"/>
    <w:rsid w:val="00390B37"/>
    <w:rsid w:val="00391976"/>
    <w:rsid w:val="00391BE4"/>
    <w:rsid w:val="003928D1"/>
    <w:rsid w:val="00392E99"/>
    <w:rsid w:val="00393256"/>
    <w:rsid w:val="00393906"/>
    <w:rsid w:val="003951B3"/>
    <w:rsid w:val="00396FDA"/>
    <w:rsid w:val="00397442"/>
    <w:rsid w:val="00397BA2"/>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640D"/>
    <w:rsid w:val="003A7239"/>
    <w:rsid w:val="003B08EC"/>
    <w:rsid w:val="003B0914"/>
    <w:rsid w:val="003B16DF"/>
    <w:rsid w:val="003B198E"/>
    <w:rsid w:val="003B29FD"/>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99"/>
    <w:rsid w:val="003C3DCE"/>
    <w:rsid w:val="003C4242"/>
    <w:rsid w:val="003C4269"/>
    <w:rsid w:val="003C50A1"/>
    <w:rsid w:val="003C528F"/>
    <w:rsid w:val="003C6649"/>
    <w:rsid w:val="003C66BD"/>
    <w:rsid w:val="003C73FC"/>
    <w:rsid w:val="003C7662"/>
    <w:rsid w:val="003C7A05"/>
    <w:rsid w:val="003D0797"/>
    <w:rsid w:val="003D09EF"/>
    <w:rsid w:val="003D1DD2"/>
    <w:rsid w:val="003D1E29"/>
    <w:rsid w:val="003D316B"/>
    <w:rsid w:val="003D378D"/>
    <w:rsid w:val="003D409E"/>
    <w:rsid w:val="003D428E"/>
    <w:rsid w:val="003D5C6D"/>
    <w:rsid w:val="003D6A2F"/>
    <w:rsid w:val="003D7FD2"/>
    <w:rsid w:val="003E0CB3"/>
    <w:rsid w:val="003E1F9F"/>
    <w:rsid w:val="003E227B"/>
    <w:rsid w:val="003E2D22"/>
    <w:rsid w:val="003E37B4"/>
    <w:rsid w:val="003E3DAF"/>
    <w:rsid w:val="003E44E4"/>
    <w:rsid w:val="003E479D"/>
    <w:rsid w:val="003E4841"/>
    <w:rsid w:val="003E4AD4"/>
    <w:rsid w:val="003E5F6B"/>
    <w:rsid w:val="003E61F8"/>
    <w:rsid w:val="003E6984"/>
    <w:rsid w:val="003E6C28"/>
    <w:rsid w:val="003E6F50"/>
    <w:rsid w:val="003E7E4D"/>
    <w:rsid w:val="003F0A2E"/>
    <w:rsid w:val="003F1D1C"/>
    <w:rsid w:val="003F419D"/>
    <w:rsid w:val="003F48D1"/>
    <w:rsid w:val="003F4E00"/>
    <w:rsid w:val="003F503E"/>
    <w:rsid w:val="003F5464"/>
    <w:rsid w:val="003F55C1"/>
    <w:rsid w:val="003F6A45"/>
    <w:rsid w:val="003F6EC3"/>
    <w:rsid w:val="003F7EF6"/>
    <w:rsid w:val="00401666"/>
    <w:rsid w:val="00401DCA"/>
    <w:rsid w:val="004024D4"/>
    <w:rsid w:val="0040253E"/>
    <w:rsid w:val="00402E12"/>
    <w:rsid w:val="00403368"/>
    <w:rsid w:val="00403D46"/>
    <w:rsid w:val="004048B0"/>
    <w:rsid w:val="00404AF6"/>
    <w:rsid w:val="00405A5A"/>
    <w:rsid w:val="004063B5"/>
    <w:rsid w:val="00407559"/>
    <w:rsid w:val="00407915"/>
    <w:rsid w:val="00410E34"/>
    <w:rsid w:val="0041110C"/>
    <w:rsid w:val="0041122D"/>
    <w:rsid w:val="00411528"/>
    <w:rsid w:val="00411EBE"/>
    <w:rsid w:val="00412956"/>
    <w:rsid w:val="0041297F"/>
    <w:rsid w:val="00413848"/>
    <w:rsid w:val="00414903"/>
    <w:rsid w:val="00414D57"/>
    <w:rsid w:val="00414F4A"/>
    <w:rsid w:val="004158AE"/>
    <w:rsid w:val="004161D3"/>
    <w:rsid w:val="00420BB9"/>
    <w:rsid w:val="00420E14"/>
    <w:rsid w:val="00421683"/>
    <w:rsid w:val="00421A80"/>
    <w:rsid w:val="00422D79"/>
    <w:rsid w:val="00423C3A"/>
    <w:rsid w:val="0042565D"/>
    <w:rsid w:val="004262FB"/>
    <w:rsid w:val="00426B96"/>
    <w:rsid w:val="00430578"/>
    <w:rsid w:val="004309C8"/>
    <w:rsid w:val="004328EB"/>
    <w:rsid w:val="00432CBF"/>
    <w:rsid w:val="004336F1"/>
    <w:rsid w:val="00433EED"/>
    <w:rsid w:val="004343C3"/>
    <w:rsid w:val="00434558"/>
    <w:rsid w:val="00434EBE"/>
    <w:rsid w:val="00435592"/>
    <w:rsid w:val="00436979"/>
    <w:rsid w:val="00437953"/>
    <w:rsid w:val="00437B7B"/>
    <w:rsid w:val="0044018D"/>
    <w:rsid w:val="004417B0"/>
    <w:rsid w:val="00441C2D"/>
    <w:rsid w:val="00442362"/>
    <w:rsid w:val="00442493"/>
    <w:rsid w:val="00442731"/>
    <w:rsid w:val="004428C5"/>
    <w:rsid w:val="00442C45"/>
    <w:rsid w:val="004430AB"/>
    <w:rsid w:val="0044354B"/>
    <w:rsid w:val="0044395D"/>
    <w:rsid w:val="0044400A"/>
    <w:rsid w:val="004440E1"/>
    <w:rsid w:val="00444513"/>
    <w:rsid w:val="00444760"/>
    <w:rsid w:val="00444F07"/>
    <w:rsid w:val="004450AA"/>
    <w:rsid w:val="004453B3"/>
    <w:rsid w:val="00446211"/>
    <w:rsid w:val="00446968"/>
    <w:rsid w:val="0044743C"/>
    <w:rsid w:val="00447EF3"/>
    <w:rsid w:val="00450003"/>
    <w:rsid w:val="0045084D"/>
    <w:rsid w:val="00450C85"/>
    <w:rsid w:val="00451754"/>
    <w:rsid w:val="004517A5"/>
    <w:rsid w:val="00452C6C"/>
    <w:rsid w:val="00452E4C"/>
    <w:rsid w:val="004531D2"/>
    <w:rsid w:val="00453476"/>
    <w:rsid w:val="0045457D"/>
    <w:rsid w:val="004554A3"/>
    <w:rsid w:val="00455763"/>
    <w:rsid w:val="00455C31"/>
    <w:rsid w:val="00455CB0"/>
    <w:rsid w:val="00455E86"/>
    <w:rsid w:val="0045627A"/>
    <w:rsid w:val="00456362"/>
    <w:rsid w:val="004574D5"/>
    <w:rsid w:val="00457EE6"/>
    <w:rsid w:val="00461CD5"/>
    <w:rsid w:val="00462070"/>
    <w:rsid w:val="0046234F"/>
    <w:rsid w:val="00463927"/>
    <w:rsid w:val="0046397C"/>
    <w:rsid w:val="004640C3"/>
    <w:rsid w:val="00464179"/>
    <w:rsid w:val="00464413"/>
    <w:rsid w:val="0046461B"/>
    <w:rsid w:val="00464CFB"/>
    <w:rsid w:val="004650FE"/>
    <w:rsid w:val="004665B8"/>
    <w:rsid w:val="004672FE"/>
    <w:rsid w:val="00467324"/>
    <w:rsid w:val="00470569"/>
    <w:rsid w:val="00470F49"/>
    <w:rsid w:val="0047228C"/>
    <w:rsid w:val="00472EF3"/>
    <w:rsid w:val="004737DC"/>
    <w:rsid w:val="00473A34"/>
    <w:rsid w:val="00473BB1"/>
    <w:rsid w:val="00474C09"/>
    <w:rsid w:val="00474E86"/>
    <w:rsid w:val="0047512E"/>
    <w:rsid w:val="00476390"/>
    <w:rsid w:val="00476A38"/>
    <w:rsid w:val="0047796F"/>
    <w:rsid w:val="004779DC"/>
    <w:rsid w:val="00477D5D"/>
    <w:rsid w:val="00477E51"/>
    <w:rsid w:val="00480169"/>
    <w:rsid w:val="004802D5"/>
    <w:rsid w:val="00480432"/>
    <w:rsid w:val="00480721"/>
    <w:rsid w:val="0048228E"/>
    <w:rsid w:val="004825D9"/>
    <w:rsid w:val="004830E3"/>
    <w:rsid w:val="0048314F"/>
    <w:rsid w:val="004836A3"/>
    <w:rsid w:val="004840C3"/>
    <w:rsid w:val="00485373"/>
    <w:rsid w:val="00485D32"/>
    <w:rsid w:val="00486300"/>
    <w:rsid w:val="00486A65"/>
    <w:rsid w:val="00486B92"/>
    <w:rsid w:val="00487C2E"/>
    <w:rsid w:val="00490532"/>
    <w:rsid w:val="00490A8D"/>
    <w:rsid w:val="00491C9B"/>
    <w:rsid w:val="00491D34"/>
    <w:rsid w:val="00491EF9"/>
    <w:rsid w:val="004920C4"/>
    <w:rsid w:val="00492BF2"/>
    <w:rsid w:val="00493FF9"/>
    <w:rsid w:val="0049461E"/>
    <w:rsid w:val="004953B5"/>
    <w:rsid w:val="00495B00"/>
    <w:rsid w:val="00496308"/>
    <w:rsid w:val="004967AD"/>
    <w:rsid w:val="0049681C"/>
    <w:rsid w:val="00497531"/>
    <w:rsid w:val="00497629"/>
    <w:rsid w:val="00497894"/>
    <w:rsid w:val="004A08B3"/>
    <w:rsid w:val="004A0EA4"/>
    <w:rsid w:val="004A236A"/>
    <w:rsid w:val="004A330E"/>
    <w:rsid w:val="004A3B2E"/>
    <w:rsid w:val="004A4157"/>
    <w:rsid w:val="004A45C9"/>
    <w:rsid w:val="004A4BE1"/>
    <w:rsid w:val="004A55ED"/>
    <w:rsid w:val="004A65F4"/>
    <w:rsid w:val="004A68F4"/>
    <w:rsid w:val="004A70B3"/>
    <w:rsid w:val="004A73AC"/>
    <w:rsid w:val="004B04DB"/>
    <w:rsid w:val="004B0C1D"/>
    <w:rsid w:val="004B1272"/>
    <w:rsid w:val="004B4755"/>
    <w:rsid w:val="004B4A47"/>
    <w:rsid w:val="004B4DAF"/>
    <w:rsid w:val="004B5433"/>
    <w:rsid w:val="004B5471"/>
    <w:rsid w:val="004B65D5"/>
    <w:rsid w:val="004B66E9"/>
    <w:rsid w:val="004C094E"/>
    <w:rsid w:val="004C2878"/>
    <w:rsid w:val="004C292A"/>
    <w:rsid w:val="004C2FE9"/>
    <w:rsid w:val="004C3BD3"/>
    <w:rsid w:val="004C46C0"/>
    <w:rsid w:val="004C5185"/>
    <w:rsid w:val="004C52A4"/>
    <w:rsid w:val="004C75FE"/>
    <w:rsid w:val="004C7C82"/>
    <w:rsid w:val="004D0094"/>
    <w:rsid w:val="004D01BC"/>
    <w:rsid w:val="004D087A"/>
    <w:rsid w:val="004D0E64"/>
    <w:rsid w:val="004D0FC4"/>
    <w:rsid w:val="004D1DDD"/>
    <w:rsid w:val="004D2023"/>
    <w:rsid w:val="004D2A5F"/>
    <w:rsid w:val="004D2D92"/>
    <w:rsid w:val="004D33C9"/>
    <w:rsid w:val="004D4916"/>
    <w:rsid w:val="004D4932"/>
    <w:rsid w:val="004D5A17"/>
    <w:rsid w:val="004D66FB"/>
    <w:rsid w:val="004D6821"/>
    <w:rsid w:val="004D7E4B"/>
    <w:rsid w:val="004E068D"/>
    <w:rsid w:val="004E1C1A"/>
    <w:rsid w:val="004E3116"/>
    <w:rsid w:val="004E3A6C"/>
    <w:rsid w:val="004E4104"/>
    <w:rsid w:val="004E42F0"/>
    <w:rsid w:val="004E4518"/>
    <w:rsid w:val="004E45E5"/>
    <w:rsid w:val="004E5E8F"/>
    <w:rsid w:val="004E6915"/>
    <w:rsid w:val="004E6F6F"/>
    <w:rsid w:val="004E760B"/>
    <w:rsid w:val="004E7FD8"/>
    <w:rsid w:val="004F02F9"/>
    <w:rsid w:val="004F0D7F"/>
    <w:rsid w:val="004F0F9D"/>
    <w:rsid w:val="004F1531"/>
    <w:rsid w:val="004F166B"/>
    <w:rsid w:val="004F1C92"/>
    <w:rsid w:val="004F263C"/>
    <w:rsid w:val="004F3BDF"/>
    <w:rsid w:val="004F4514"/>
    <w:rsid w:val="004F5F30"/>
    <w:rsid w:val="004F64B8"/>
    <w:rsid w:val="004F716D"/>
    <w:rsid w:val="004F72E3"/>
    <w:rsid w:val="004F7C06"/>
    <w:rsid w:val="00501ADF"/>
    <w:rsid w:val="005021F0"/>
    <w:rsid w:val="00502F11"/>
    <w:rsid w:val="0050360D"/>
    <w:rsid w:val="00503CAB"/>
    <w:rsid w:val="005040D3"/>
    <w:rsid w:val="0050441C"/>
    <w:rsid w:val="00504544"/>
    <w:rsid w:val="00504EA1"/>
    <w:rsid w:val="00505760"/>
    <w:rsid w:val="005066F5"/>
    <w:rsid w:val="00506820"/>
    <w:rsid w:val="0050682E"/>
    <w:rsid w:val="00506DA1"/>
    <w:rsid w:val="0051024A"/>
    <w:rsid w:val="005108CB"/>
    <w:rsid w:val="00511199"/>
    <w:rsid w:val="005115B1"/>
    <w:rsid w:val="005115F6"/>
    <w:rsid w:val="00511B83"/>
    <w:rsid w:val="0051452D"/>
    <w:rsid w:val="00514621"/>
    <w:rsid w:val="005147D4"/>
    <w:rsid w:val="005148A4"/>
    <w:rsid w:val="00514E5C"/>
    <w:rsid w:val="00515061"/>
    <w:rsid w:val="00515811"/>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8F7"/>
    <w:rsid w:val="0053117D"/>
    <w:rsid w:val="005313BD"/>
    <w:rsid w:val="005317CA"/>
    <w:rsid w:val="0053193E"/>
    <w:rsid w:val="00531CCE"/>
    <w:rsid w:val="00532478"/>
    <w:rsid w:val="00532988"/>
    <w:rsid w:val="00532B91"/>
    <w:rsid w:val="00534316"/>
    <w:rsid w:val="005349DC"/>
    <w:rsid w:val="00535097"/>
    <w:rsid w:val="005351D5"/>
    <w:rsid w:val="00536B7D"/>
    <w:rsid w:val="00537EFE"/>
    <w:rsid w:val="00540778"/>
    <w:rsid w:val="00540D19"/>
    <w:rsid w:val="0054170C"/>
    <w:rsid w:val="00542408"/>
    <w:rsid w:val="0054255F"/>
    <w:rsid w:val="0054256B"/>
    <w:rsid w:val="005427D7"/>
    <w:rsid w:val="00542B2C"/>
    <w:rsid w:val="00542B32"/>
    <w:rsid w:val="00544316"/>
    <w:rsid w:val="0054526B"/>
    <w:rsid w:val="00545917"/>
    <w:rsid w:val="00545BB8"/>
    <w:rsid w:val="00546143"/>
    <w:rsid w:val="0054660A"/>
    <w:rsid w:val="00546EBD"/>
    <w:rsid w:val="0054729D"/>
    <w:rsid w:val="005472C1"/>
    <w:rsid w:val="005479AC"/>
    <w:rsid w:val="00547C9D"/>
    <w:rsid w:val="005517C6"/>
    <w:rsid w:val="00551806"/>
    <w:rsid w:val="00551A86"/>
    <w:rsid w:val="00551F23"/>
    <w:rsid w:val="00552938"/>
    <w:rsid w:val="00553F63"/>
    <w:rsid w:val="00554209"/>
    <w:rsid w:val="00556B81"/>
    <w:rsid w:val="0055775E"/>
    <w:rsid w:val="00557882"/>
    <w:rsid w:val="005607E6"/>
    <w:rsid w:val="00560899"/>
    <w:rsid w:val="00560971"/>
    <w:rsid w:val="0056155E"/>
    <w:rsid w:val="005626BE"/>
    <w:rsid w:val="00562F5C"/>
    <w:rsid w:val="005634B9"/>
    <w:rsid w:val="00563A7E"/>
    <w:rsid w:val="005642D8"/>
    <w:rsid w:val="005647DA"/>
    <w:rsid w:val="005657BB"/>
    <w:rsid w:val="00566373"/>
    <w:rsid w:val="00566AEC"/>
    <w:rsid w:val="00566C8D"/>
    <w:rsid w:val="00567D8A"/>
    <w:rsid w:val="00570918"/>
    <w:rsid w:val="005747AD"/>
    <w:rsid w:val="005747D5"/>
    <w:rsid w:val="005748E2"/>
    <w:rsid w:val="0057527D"/>
    <w:rsid w:val="005758FB"/>
    <w:rsid w:val="00575CD2"/>
    <w:rsid w:val="00576663"/>
    <w:rsid w:val="00576708"/>
    <w:rsid w:val="00576CFD"/>
    <w:rsid w:val="00577123"/>
    <w:rsid w:val="0057747B"/>
    <w:rsid w:val="005776C0"/>
    <w:rsid w:val="00577878"/>
    <w:rsid w:val="00580309"/>
    <w:rsid w:val="00581227"/>
    <w:rsid w:val="005816C5"/>
    <w:rsid w:val="005818FB"/>
    <w:rsid w:val="0058191F"/>
    <w:rsid w:val="00581D7B"/>
    <w:rsid w:val="00581FDE"/>
    <w:rsid w:val="005825DD"/>
    <w:rsid w:val="00582C8F"/>
    <w:rsid w:val="0058392F"/>
    <w:rsid w:val="0058512D"/>
    <w:rsid w:val="00586307"/>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AD7"/>
    <w:rsid w:val="00596123"/>
    <w:rsid w:val="00596337"/>
    <w:rsid w:val="00596FFC"/>
    <w:rsid w:val="00597CC0"/>
    <w:rsid w:val="005A01E3"/>
    <w:rsid w:val="005A0E86"/>
    <w:rsid w:val="005A1E11"/>
    <w:rsid w:val="005A493E"/>
    <w:rsid w:val="005A4F45"/>
    <w:rsid w:val="005A4FC1"/>
    <w:rsid w:val="005A52D5"/>
    <w:rsid w:val="005A56C0"/>
    <w:rsid w:val="005A5F26"/>
    <w:rsid w:val="005A6BF1"/>
    <w:rsid w:val="005A7536"/>
    <w:rsid w:val="005B13FF"/>
    <w:rsid w:val="005B1C00"/>
    <w:rsid w:val="005B1CD4"/>
    <w:rsid w:val="005B1F35"/>
    <w:rsid w:val="005B3318"/>
    <w:rsid w:val="005B3349"/>
    <w:rsid w:val="005B3714"/>
    <w:rsid w:val="005B4596"/>
    <w:rsid w:val="005B6304"/>
    <w:rsid w:val="005B6B7E"/>
    <w:rsid w:val="005B75D4"/>
    <w:rsid w:val="005B7C98"/>
    <w:rsid w:val="005C0190"/>
    <w:rsid w:val="005C0467"/>
    <w:rsid w:val="005C1438"/>
    <w:rsid w:val="005C1A6D"/>
    <w:rsid w:val="005C2394"/>
    <w:rsid w:val="005C43E7"/>
    <w:rsid w:val="005C548F"/>
    <w:rsid w:val="005C5841"/>
    <w:rsid w:val="005C5B85"/>
    <w:rsid w:val="005C5B8D"/>
    <w:rsid w:val="005C5DD4"/>
    <w:rsid w:val="005C6136"/>
    <w:rsid w:val="005C64C2"/>
    <w:rsid w:val="005C7A0F"/>
    <w:rsid w:val="005D0536"/>
    <w:rsid w:val="005D13EC"/>
    <w:rsid w:val="005D17F1"/>
    <w:rsid w:val="005D1D1C"/>
    <w:rsid w:val="005D285F"/>
    <w:rsid w:val="005D2924"/>
    <w:rsid w:val="005D2E95"/>
    <w:rsid w:val="005D44C0"/>
    <w:rsid w:val="005D6113"/>
    <w:rsid w:val="005D69F4"/>
    <w:rsid w:val="005D6FC5"/>
    <w:rsid w:val="005D70A5"/>
    <w:rsid w:val="005D76CF"/>
    <w:rsid w:val="005D7862"/>
    <w:rsid w:val="005D7D54"/>
    <w:rsid w:val="005D7F4B"/>
    <w:rsid w:val="005E1232"/>
    <w:rsid w:val="005E18BC"/>
    <w:rsid w:val="005E1CDC"/>
    <w:rsid w:val="005E1E6A"/>
    <w:rsid w:val="005E26A1"/>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6F7A"/>
    <w:rsid w:val="005F7027"/>
    <w:rsid w:val="005F7908"/>
    <w:rsid w:val="005F7C3A"/>
    <w:rsid w:val="005F7DC2"/>
    <w:rsid w:val="00601094"/>
    <w:rsid w:val="00602095"/>
    <w:rsid w:val="00602179"/>
    <w:rsid w:val="0060219D"/>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07C83"/>
    <w:rsid w:val="006100A2"/>
    <w:rsid w:val="00610534"/>
    <w:rsid w:val="0061095B"/>
    <w:rsid w:val="00610FD1"/>
    <w:rsid w:val="0061114B"/>
    <w:rsid w:val="006119C1"/>
    <w:rsid w:val="00611E39"/>
    <w:rsid w:val="006121E3"/>
    <w:rsid w:val="00612A79"/>
    <w:rsid w:val="0061322A"/>
    <w:rsid w:val="006136B0"/>
    <w:rsid w:val="006139A7"/>
    <w:rsid w:val="006139D9"/>
    <w:rsid w:val="00613B28"/>
    <w:rsid w:val="00613E14"/>
    <w:rsid w:val="00614079"/>
    <w:rsid w:val="00615339"/>
    <w:rsid w:val="00615675"/>
    <w:rsid w:val="00616048"/>
    <w:rsid w:val="0061649D"/>
    <w:rsid w:val="00616663"/>
    <w:rsid w:val="006170AE"/>
    <w:rsid w:val="006173FF"/>
    <w:rsid w:val="00617D2E"/>
    <w:rsid w:val="00620566"/>
    <w:rsid w:val="006222FD"/>
    <w:rsid w:val="00623B37"/>
    <w:rsid w:val="00624009"/>
    <w:rsid w:val="00625F49"/>
    <w:rsid w:val="006262EB"/>
    <w:rsid w:val="00626487"/>
    <w:rsid w:val="00627CEE"/>
    <w:rsid w:val="00630380"/>
    <w:rsid w:val="006312F7"/>
    <w:rsid w:val="006314EA"/>
    <w:rsid w:val="00631779"/>
    <w:rsid w:val="00634A7F"/>
    <w:rsid w:val="00634E01"/>
    <w:rsid w:val="00637875"/>
    <w:rsid w:val="00637E85"/>
    <w:rsid w:val="00641591"/>
    <w:rsid w:val="00641771"/>
    <w:rsid w:val="0064190D"/>
    <w:rsid w:val="00641975"/>
    <w:rsid w:val="00641BFC"/>
    <w:rsid w:val="00642981"/>
    <w:rsid w:val="00642DD4"/>
    <w:rsid w:val="006439BE"/>
    <w:rsid w:val="00643B27"/>
    <w:rsid w:val="0064466D"/>
    <w:rsid w:val="0064468B"/>
    <w:rsid w:val="00646F11"/>
    <w:rsid w:val="00646FBE"/>
    <w:rsid w:val="0064764B"/>
    <w:rsid w:val="00647952"/>
    <w:rsid w:val="006501C3"/>
    <w:rsid w:val="00650A45"/>
    <w:rsid w:val="0065116D"/>
    <w:rsid w:val="00651873"/>
    <w:rsid w:val="00652855"/>
    <w:rsid w:val="00654C83"/>
    <w:rsid w:val="00654CB3"/>
    <w:rsid w:val="00655907"/>
    <w:rsid w:val="00656547"/>
    <w:rsid w:val="006568D0"/>
    <w:rsid w:val="006576F1"/>
    <w:rsid w:val="006577D3"/>
    <w:rsid w:val="00660C13"/>
    <w:rsid w:val="0066199D"/>
    <w:rsid w:val="00661F9E"/>
    <w:rsid w:val="00662D03"/>
    <w:rsid w:val="006649C1"/>
    <w:rsid w:val="00664D70"/>
    <w:rsid w:val="00664E24"/>
    <w:rsid w:val="00664FF4"/>
    <w:rsid w:val="0066618E"/>
    <w:rsid w:val="00666529"/>
    <w:rsid w:val="00670B2F"/>
    <w:rsid w:val="00671209"/>
    <w:rsid w:val="00671C63"/>
    <w:rsid w:val="00672F9B"/>
    <w:rsid w:val="00673D2C"/>
    <w:rsid w:val="00674133"/>
    <w:rsid w:val="006748D6"/>
    <w:rsid w:val="00680049"/>
    <w:rsid w:val="00680F0C"/>
    <w:rsid w:val="006824A5"/>
    <w:rsid w:val="006829BE"/>
    <w:rsid w:val="00682F32"/>
    <w:rsid w:val="006847C7"/>
    <w:rsid w:val="00684ABE"/>
    <w:rsid w:val="006860D7"/>
    <w:rsid w:val="00687200"/>
    <w:rsid w:val="006875ED"/>
    <w:rsid w:val="00687A2B"/>
    <w:rsid w:val="00687C2D"/>
    <w:rsid w:val="00687CA3"/>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85D"/>
    <w:rsid w:val="006A1176"/>
    <w:rsid w:val="006A2289"/>
    <w:rsid w:val="006A2A22"/>
    <w:rsid w:val="006A2FF0"/>
    <w:rsid w:val="006A4427"/>
    <w:rsid w:val="006A5753"/>
    <w:rsid w:val="006A5BAE"/>
    <w:rsid w:val="006A7686"/>
    <w:rsid w:val="006A7736"/>
    <w:rsid w:val="006A7850"/>
    <w:rsid w:val="006A7BC3"/>
    <w:rsid w:val="006B0549"/>
    <w:rsid w:val="006B0A0C"/>
    <w:rsid w:val="006B0FF9"/>
    <w:rsid w:val="006B1299"/>
    <w:rsid w:val="006B1617"/>
    <w:rsid w:val="006B1765"/>
    <w:rsid w:val="006B20A0"/>
    <w:rsid w:val="006B31DF"/>
    <w:rsid w:val="006B3A28"/>
    <w:rsid w:val="006B4992"/>
    <w:rsid w:val="006B4B26"/>
    <w:rsid w:val="006B671D"/>
    <w:rsid w:val="006B6799"/>
    <w:rsid w:val="006B6C6E"/>
    <w:rsid w:val="006C01C5"/>
    <w:rsid w:val="006C03FB"/>
    <w:rsid w:val="006C0761"/>
    <w:rsid w:val="006C182C"/>
    <w:rsid w:val="006C2949"/>
    <w:rsid w:val="006C2FE5"/>
    <w:rsid w:val="006C38A8"/>
    <w:rsid w:val="006C4BDC"/>
    <w:rsid w:val="006C52AE"/>
    <w:rsid w:val="006C5409"/>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7500"/>
    <w:rsid w:val="006D7609"/>
    <w:rsid w:val="006E02A4"/>
    <w:rsid w:val="006E053A"/>
    <w:rsid w:val="006E0886"/>
    <w:rsid w:val="006E151C"/>
    <w:rsid w:val="006E2906"/>
    <w:rsid w:val="006E2A14"/>
    <w:rsid w:val="006E2E0C"/>
    <w:rsid w:val="006E366F"/>
    <w:rsid w:val="006E4065"/>
    <w:rsid w:val="006E5418"/>
    <w:rsid w:val="006E55FB"/>
    <w:rsid w:val="006E57F1"/>
    <w:rsid w:val="006E5C4F"/>
    <w:rsid w:val="006E628C"/>
    <w:rsid w:val="006E660E"/>
    <w:rsid w:val="006E696C"/>
    <w:rsid w:val="006E7076"/>
    <w:rsid w:val="006F13C7"/>
    <w:rsid w:val="006F2421"/>
    <w:rsid w:val="006F3C7D"/>
    <w:rsid w:val="006F47E4"/>
    <w:rsid w:val="006F4E40"/>
    <w:rsid w:val="006F5A1D"/>
    <w:rsid w:val="006F6DD6"/>
    <w:rsid w:val="006F72FB"/>
    <w:rsid w:val="006F7394"/>
    <w:rsid w:val="006F74F1"/>
    <w:rsid w:val="006F7678"/>
    <w:rsid w:val="00700465"/>
    <w:rsid w:val="0070059D"/>
    <w:rsid w:val="007013DF"/>
    <w:rsid w:val="00701699"/>
    <w:rsid w:val="007020EF"/>
    <w:rsid w:val="00702129"/>
    <w:rsid w:val="00702151"/>
    <w:rsid w:val="00702E77"/>
    <w:rsid w:val="00703A92"/>
    <w:rsid w:val="00703F9D"/>
    <w:rsid w:val="0070479E"/>
    <w:rsid w:val="00704A81"/>
    <w:rsid w:val="00705058"/>
    <w:rsid w:val="00705107"/>
    <w:rsid w:val="0070563A"/>
    <w:rsid w:val="007057A9"/>
    <w:rsid w:val="0070590F"/>
    <w:rsid w:val="00706827"/>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605A"/>
    <w:rsid w:val="007162F4"/>
    <w:rsid w:val="0071639E"/>
    <w:rsid w:val="007165DF"/>
    <w:rsid w:val="00716B4E"/>
    <w:rsid w:val="0072029F"/>
    <w:rsid w:val="007206B4"/>
    <w:rsid w:val="00721B6C"/>
    <w:rsid w:val="007224A1"/>
    <w:rsid w:val="00722A4E"/>
    <w:rsid w:val="00722C61"/>
    <w:rsid w:val="00722EA0"/>
    <w:rsid w:val="00723C40"/>
    <w:rsid w:val="00725F1C"/>
    <w:rsid w:val="007263D0"/>
    <w:rsid w:val="00726B14"/>
    <w:rsid w:val="00726B53"/>
    <w:rsid w:val="00730A60"/>
    <w:rsid w:val="00730D99"/>
    <w:rsid w:val="00731006"/>
    <w:rsid w:val="00731ABC"/>
    <w:rsid w:val="007328B0"/>
    <w:rsid w:val="00733B81"/>
    <w:rsid w:val="00733F50"/>
    <w:rsid w:val="0073471C"/>
    <w:rsid w:val="007350D3"/>
    <w:rsid w:val="0073584E"/>
    <w:rsid w:val="0073684F"/>
    <w:rsid w:val="00736BFD"/>
    <w:rsid w:val="00737DCE"/>
    <w:rsid w:val="00737E38"/>
    <w:rsid w:val="007409C9"/>
    <w:rsid w:val="007410FE"/>
    <w:rsid w:val="007417EF"/>
    <w:rsid w:val="00743099"/>
    <w:rsid w:val="007441C5"/>
    <w:rsid w:val="00744F0A"/>
    <w:rsid w:val="00745408"/>
    <w:rsid w:val="00745431"/>
    <w:rsid w:val="00745C4A"/>
    <w:rsid w:val="007462DD"/>
    <w:rsid w:val="007469F0"/>
    <w:rsid w:val="00746A0A"/>
    <w:rsid w:val="007472A7"/>
    <w:rsid w:val="0075143C"/>
    <w:rsid w:val="00752276"/>
    <w:rsid w:val="007534F7"/>
    <w:rsid w:val="00753B4F"/>
    <w:rsid w:val="00755AEB"/>
    <w:rsid w:val="00755D23"/>
    <w:rsid w:val="00755FA8"/>
    <w:rsid w:val="0075672C"/>
    <w:rsid w:val="00756CA3"/>
    <w:rsid w:val="00756CB7"/>
    <w:rsid w:val="0075780B"/>
    <w:rsid w:val="00757AA3"/>
    <w:rsid w:val="00757C34"/>
    <w:rsid w:val="007603F0"/>
    <w:rsid w:val="00760782"/>
    <w:rsid w:val="00760A52"/>
    <w:rsid w:val="0076102B"/>
    <w:rsid w:val="00761AE2"/>
    <w:rsid w:val="00762013"/>
    <w:rsid w:val="00762872"/>
    <w:rsid w:val="00762A95"/>
    <w:rsid w:val="00762B41"/>
    <w:rsid w:val="00762FCF"/>
    <w:rsid w:val="0076458A"/>
    <w:rsid w:val="00765130"/>
    <w:rsid w:val="007655E2"/>
    <w:rsid w:val="00765E07"/>
    <w:rsid w:val="00766337"/>
    <w:rsid w:val="00767471"/>
    <w:rsid w:val="00770BEF"/>
    <w:rsid w:val="00771146"/>
    <w:rsid w:val="00771CBF"/>
    <w:rsid w:val="00771E18"/>
    <w:rsid w:val="00772732"/>
    <w:rsid w:val="00772B3E"/>
    <w:rsid w:val="00773639"/>
    <w:rsid w:val="00773B36"/>
    <w:rsid w:val="00775CBF"/>
    <w:rsid w:val="0077603D"/>
    <w:rsid w:val="007764BB"/>
    <w:rsid w:val="00776BDE"/>
    <w:rsid w:val="0077728E"/>
    <w:rsid w:val="00777813"/>
    <w:rsid w:val="007804DE"/>
    <w:rsid w:val="0078098C"/>
    <w:rsid w:val="00780E04"/>
    <w:rsid w:val="00781511"/>
    <w:rsid w:val="00781C55"/>
    <w:rsid w:val="00781F8F"/>
    <w:rsid w:val="007824F9"/>
    <w:rsid w:val="00782727"/>
    <w:rsid w:val="007901D8"/>
    <w:rsid w:val="00790778"/>
    <w:rsid w:val="00791613"/>
    <w:rsid w:val="00791D57"/>
    <w:rsid w:val="00791DBE"/>
    <w:rsid w:val="00792C31"/>
    <w:rsid w:val="00793DBF"/>
    <w:rsid w:val="00793F4C"/>
    <w:rsid w:val="007941C5"/>
    <w:rsid w:val="007945F6"/>
    <w:rsid w:val="00794627"/>
    <w:rsid w:val="00796188"/>
    <w:rsid w:val="007977D0"/>
    <w:rsid w:val="007978A6"/>
    <w:rsid w:val="00797A80"/>
    <w:rsid w:val="007A0163"/>
    <w:rsid w:val="007A184A"/>
    <w:rsid w:val="007A29FA"/>
    <w:rsid w:val="007A2AAA"/>
    <w:rsid w:val="007A2EE9"/>
    <w:rsid w:val="007A2F6B"/>
    <w:rsid w:val="007A331E"/>
    <w:rsid w:val="007A3530"/>
    <w:rsid w:val="007A4230"/>
    <w:rsid w:val="007A4BD3"/>
    <w:rsid w:val="007A5756"/>
    <w:rsid w:val="007A5A2B"/>
    <w:rsid w:val="007A731C"/>
    <w:rsid w:val="007A7378"/>
    <w:rsid w:val="007A75AB"/>
    <w:rsid w:val="007A7817"/>
    <w:rsid w:val="007A7B71"/>
    <w:rsid w:val="007B00A7"/>
    <w:rsid w:val="007B04FE"/>
    <w:rsid w:val="007B09E8"/>
    <w:rsid w:val="007B0A8E"/>
    <w:rsid w:val="007B18A4"/>
    <w:rsid w:val="007B1E35"/>
    <w:rsid w:val="007B23ED"/>
    <w:rsid w:val="007B2B5A"/>
    <w:rsid w:val="007B3576"/>
    <w:rsid w:val="007B3B7F"/>
    <w:rsid w:val="007B44E6"/>
    <w:rsid w:val="007B5CDC"/>
    <w:rsid w:val="007B61E9"/>
    <w:rsid w:val="007B662E"/>
    <w:rsid w:val="007B7EE5"/>
    <w:rsid w:val="007C0A47"/>
    <w:rsid w:val="007C15D4"/>
    <w:rsid w:val="007C25E0"/>
    <w:rsid w:val="007C273B"/>
    <w:rsid w:val="007C41EA"/>
    <w:rsid w:val="007C429F"/>
    <w:rsid w:val="007C54BF"/>
    <w:rsid w:val="007C6EEC"/>
    <w:rsid w:val="007C7054"/>
    <w:rsid w:val="007C7416"/>
    <w:rsid w:val="007C7F68"/>
    <w:rsid w:val="007D12AD"/>
    <w:rsid w:val="007D134C"/>
    <w:rsid w:val="007D1430"/>
    <w:rsid w:val="007D18B7"/>
    <w:rsid w:val="007D2A64"/>
    <w:rsid w:val="007D3306"/>
    <w:rsid w:val="007D4942"/>
    <w:rsid w:val="007D4C9B"/>
    <w:rsid w:val="007D5024"/>
    <w:rsid w:val="007D7CAF"/>
    <w:rsid w:val="007E0800"/>
    <w:rsid w:val="007E0CB7"/>
    <w:rsid w:val="007E1362"/>
    <w:rsid w:val="007E31AB"/>
    <w:rsid w:val="007E35EA"/>
    <w:rsid w:val="007E3603"/>
    <w:rsid w:val="007E46F3"/>
    <w:rsid w:val="007E51C4"/>
    <w:rsid w:val="007E5234"/>
    <w:rsid w:val="007E527F"/>
    <w:rsid w:val="007E531B"/>
    <w:rsid w:val="007E5DBB"/>
    <w:rsid w:val="007E62A2"/>
    <w:rsid w:val="007E62D4"/>
    <w:rsid w:val="007E6FD2"/>
    <w:rsid w:val="007E70DB"/>
    <w:rsid w:val="007E7672"/>
    <w:rsid w:val="007E7D8A"/>
    <w:rsid w:val="007F0696"/>
    <w:rsid w:val="007F0F47"/>
    <w:rsid w:val="007F2EDE"/>
    <w:rsid w:val="007F39A8"/>
    <w:rsid w:val="007F3E5D"/>
    <w:rsid w:val="007F5093"/>
    <w:rsid w:val="007F6359"/>
    <w:rsid w:val="007F66DF"/>
    <w:rsid w:val="007F6B11"/>
    <w:rsid w:val="007F6CCD"/>
    <w:rsid w:val="007F7884"/>
    <w:rsid w:val="00800ADF"/>
    <w:rsid w:val="00800D9F"/>
    <w:rsid w:val="008012A9"/>
    <w:rsid w:val="00801974"/>
    <w:rsid w:val="00802424"/>
    <w:rsid w:val="00803D81"/>
    <w:rsid w:val="0080413B"/>
    <w:rsid w:val="00804D5C"/>
    <w:rsid w:val="00804FCC"/>
    <w:rsid w:val="00804FF5"/>
    <w:rsid w:val="00805304"/>
    <w:rsid w:val="008069DF"/>
    <w:rsid w:val="0080706C"/>
    <w:rsid w:val="0080767A"/>
    <w:rsid w:val="00810461"/>
    <w:rsid w:val="008113A0"/>
    <w:rsid w:val="0081199B"/>
    <w:rsid w:val="008125F1"/>
    <w:rsid w:val="00812CDA"/>
    <w:rsid w:val="00814FA2"/>
    <w:rsid w:val="008154C3"/>
    <w:rsid w:val="00816B16"/>
    <w:rsid w:val="008174E6"/>
    <w:rsid w:val="00817EBA"/>
    <w:rsid w:val="00821B66"/>
    <w:rsid w:val="00823B4A"/>
    <w:rsid w:val="008246F8"/>
    <w:rsid w:val="00824D9F"/>
    <w:rsid w:val="00826456"/>
    <w:rsid w:val="0082793C"/>
    <w:rsid w:val="00827A17"/>
    <w:rsid w:val="00827C56"/>
    <w:rsid w:val="00827FF0"/>
    <w:rsid w:val="00830884"/>
    <w:rsid w:val="00830893"/>
    <w:rsid w:val="008331DE"/>
    <w:rsid w:val="00833329"/>
    <w:rsid w:val="00833FC7"/>
    <w:rsid w:val="0083435A"/>
    <w:rsid w:val="008343C9"/>
    <w:rsid w:val="00834D2B"/>
    <w:rsid w:val="00835146"/>
    <w:rsid w:val="0083588E"/>
    <w:rsid w:val="00835990"/>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63EE"/>
    <w:rsid w:val="008463FC"/>
    <w:rsid w:val="00847EDC"/>
    <w:rsid w:val="00850061"/>
    <w:rsid w:val="008511D3"/>
    <w:rsid w:val="008515BE"/>
    <w:rsid w:val="0085254C"/>
    <w:rsid w:val="00852F0C"/>
    <w:rsid w:val="00853582"/>
    <w:rsid w:val="008536B5"/>
    <w:rsid w:val="00853C22"/>
    <w:rsid w:val="00854F79"/>
    <w:rsid w:val="00855F57"/>
    <w:rsid w:val="00856461"/>
    <w:rsid w:val="008564F6"/>
    <w:rsid w:val="008568DD"/>
    <w:rsid w:val="00857350"/>
    <w:rsid w:val="00857F1C"/>
    <w:rsid w:val="00860083"/>
    <w:rsid w:val="008616F1"/>
    <w:rsid w:val="00861BC5"/>
    <w:rsid w:val="00862627"/>
    <w:rsid w:val="00862C86"/>
    <w:rsid w:val="00863BDD"/>
    <w:rsid w:val="008658C6"/>
    <w:rsid w:val="00865A08"/>
    <w:rsid w:val="008660D2"/>
    <w:rsid w:val="00866BF8"/>
    <w:rsid w:val="008719A2"/>
    <w:rsid w:val="008720B1"/>
    <w:rsid w:val="00873482"/>
    <w:rsid w:val="00873BF1"/>
    <w:rsid w:val="00873C08"/>
    <w:rsid w:val="00874049"/>
    <w:rsid w:val="0087427D"/>
    <w:rsid w:val="00874C95"/>
    <w:rsid w:val="00875028"/>
    <w:rsid w:val="0087533E"/>
    <w:rsid w:val="0087550E"/>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EB8"/>
    <w:rsid w:val="00893B94"/>
    <w:rsid w:val="00894737"/>
    <w:rsid w:val="00894E75"/>
    <w:rsid w:val="00894F3B"/>
    <w:rsid w:val="00894FC7"/>
    <w:rsid w:val="0089735B"/>
    <w:rsid w:val="008A1F3E"/>
    <w:rsid w:val="008A2658"/>
    <w:rsid w:val="008A3444"/>
    <w:rsid w:val="008A3DFB"/>
    <w:rsid w:val="008A45C8"/>
    <w:rsid w:val="008A524B"/>
    <w:rsid w:val="008A58E0"/>
    <w:rsid w:val="008A5A77"/>
    <w:rsid w:val="008A5BCE"/>
    <w:rsid w:val="008A70C3"/>
    <w:rsid w:val="008A727B"/>
    <w:rsid w:val="008A7CFD"/>
    <w:rsid w:val="008B07FF"/>
    <w:rsid w:val="008B0BBB"/>
    <w:rsid w:val="008B0D77"/>
    <w:rsid w:val="008B2119"/>
    <w:rsid w:val="008B2587"/>
    <w:rsid w:val="008B315F"/>
    <w:rsid w:val="008B34C4"/>
    <w:rsid w:val="008B3652"/>
    <w:rsid w:val="008B3BE1"/>
    <w:rsid w:val="008B3FF4"/>
    <w:rsid w:val="008B537A"/>
    <w:rsid w:val="008B5880"/>
    <w:rsid w:val="008B5F55"/>
    <w:rsid w:val="008B6085"/>
    <w:rsid w:val="008B78D9"/>
    <w:rsid w:val="008B7B4C"/>
    <w:rsid w:val="008B7FAC"/>
    <w:rsid w:val="008C03ED"/>
    <w:rsid w:val="008C0EB0"/>
    <w:rsid w:val="008C12A4"/>
    <w:rsid w:val="008C1B70"/>
    <w:rsid w:val="008C1E04"/>
    <w:rsid w:val="008C2346"/>
    <w:rsid w:val="008C40AF"/>
    <w:rsid w:val="008C4CEE"/>
    <w:rsid w:val="008C5AE1"/>
    <w:rsid w:val="008C77F7"/>
    <w:rsid w:val="008D2F9C"/>
    <w:rsid w:val="008D3050"/>
    <w:rsid w:val="008D487D"/>
    <w:rsid w:val="008D538C"/>
    <w:rsid w:val="008D5632"/>
    <w:rsid w:val="008D56AC"/>
    <w:rsid w:val="008D62CA"/>
    <w:rsid w:val="008D6C82"/>
    <w:rsid w:val="008D7A69"/>
    <w:rsid w:val="008E0813"/>
    <w:rsid w:val="008E08C8"/>
    <w:rsid w:val="008E0D59"/>
    <w:rsid w:val="008E14CA"/>
    <w:rsid w:val="008E208A"/>
    <w:rsid w:val="008E26D6"/>
    <w:rsid w:val="008E2B29"/>
    <w:rsid w:val="008E3EB0"/>
    <w:rsid w:val="008E4871"/>
    <w:rsid w:val="008E518D"/>
    <w:rsid w:val="008E52B2"/>
    <w:rsid w:val="008E5532"/>
    <w:rsid w:val="008E5E6E"/>
    <w:rsid w:val="008E66F8"/>
    <w:rsid w:val="008E6D8A"/>
    <w:rsid w:val="008E721A"/>
    <w:rsid w:val="008E7264"/>
    <w:rsid w:val="008E7DB2"/>
    <w:rsid w:val="008F01CB"/>
    <w:rsid w:val="008F0875"/>
    <w:rsid w:val="008F1566"/>
    <w:rsid w:val="008F20A9"/>
    <w:rsid w:val="008F2206"/>
    <w:rsid w:val="008F3346"/>
    <w:rsid w:val="008F353E"/>
    <w:rsid w:val="008F3C9C"/>
    <w:rsid w:val="008F42F9"/>
    <w:rsid w:val="008F4749"/>
    <w:rsid w:val="008F4F00"/>
    <w:rsid w:val="008F5C2C"/>
    <w:rsid w:val="008F718B"/>
    <w:rsid w:val="008F77FB"/>
    <w:rsid w:val="008F79B7"/>
    <w:rsid w:val="0090297B"/>
    <w:rsid w:val="00903133"/>
    <w:rsid w:val="00903BA3"/>
    <w:rsid w:val="009040DF"/>
    <w:rsid w:val="009043DD"/>
    <w:rsid w:val="0090492C"/>
    <w:rsid w:val="00904A5E"/>
    <w:rsid w:val="0090594D"/>
    <w:rsid w:val="00905E9D"/>
    <w:rsid w:val="00906656"/>
    <w:rsid w:val="009071FB"/>
    <w:rsid w:val="009101D5"/>
    <w:rsid w:val="00910294"/>
    <w:rsid w:val="00910F1C"/>
    <w:rsid w:val="00911DEC"/>
    <w:rsid w:val="00912176"/>
    <w:rsid w:val="0091315E"/>
    <w:rsid w:val="009147AC"/>
    <w:rsid w:val="00914971"/>
    <w:rsid w:val="009155A3"/>
    <w:rsid w:val="0092056A"/>
    <w:rsid w:val="00923A7B"/>
    <w:rsid w:val="0092413C"/>
    <w:rsid w:val="00925072"/>
    <w:rsid w:val="00926120"/>
    <w:rsid w:val="00926A46"/>
    <w:rsid w:val="009270A0"/>
    <w:rsid w:val="009275E8"/>
    <w:rsid w:val="00927DE3"/>
    <w:rsid w:val="00927EA9"/>
    <w:rsid w:val="0093079C"/>
    <w:rsid w:val="0093095C"/>
    <w:rsid w:val="00930A10"/>
    <w:rsid w:val="00931B3D"/>
    <w:rsid w:val="00931F01"/>
    <w:rsid w:val="00932FA2"/>
    <w:rsid w:val="0093305E"/>
    <w:rsid w:val="009332D9"/>
    <w:rsid w:val="00934341"/>
    <w:rsid w:val="00935E25"/>
    <w:rsid w:val="009363E7"/>
    <w:rsid w:val="00936F5F"/>
    <w:rsid w:val="00937108"/>
    <w:rsid w:val="00940BB8"/>
    <w:rsid w:val="00941C98"/>
    <w:rsid w:val="009425C5"/>
    <w:rsid w:val="009430A3"/>
    <w:rsid w:val="00943198"/>
    <w:rsid w:val="00943C75"/>
    <w:rsid w:val="00943ECF"/>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B7C"/>
    <w:rsid w:val="0095728F"/>
    <w:rsid w:val="0095755D"/>
    <w:rsid w:val="00957A8C"/>
    <w:rsid w:val="00957F3C"/>
    <w:rsid w:val="00960219"/>
    <w:rsid w:val="009602D2"/>
    <w:rsid w:val="00960440"/>
    <w:rsid w:val="00960979"/>
    <w:rsid w:val="00960D34"/>
    <w:rsid w:val="00960E28"/>
    <w:rsid w:val="009633ED"/>
    <w:rsid w:val="00963B2B"/>
    <w:rsid w:val="009645CD"/>
    <w:rsid w:val="00964721"/>
    <w:rsid w:val="009654B3"/>
    <w:rsid w:val="0096560C"/>
    <w:rsid w:val="00965AF3"/>
    <w:rsid w:val="00965DEE"/>
    <w:rsid w:val="00965FFE"/>
    <w:rsid w:val="00972219"/>
    <w:rsid w:val="009727BC"/>
    <w:rsid w:val="00972E34"/>
    <w:rsid w:val="009736D9"/>
    <w:rsid w:val="00974817"/>
    <w:rsid w:val="0097482E"/>
    <w:rsid w:val="00974B95"/>
    <w:rsid w:val="009750E9"/>
    <w:rsid w:val="00975815"/>
    <w:rsid w:val="00975D33"/>
    <w:rsid w:val="009771C6"/>
    <w:rsid w:val="00977F51"/>
    <w:rsid w:val="00980102"/>
    <w:rsid w:val="00980E93"/>
    <w:rsid w:val="0098148E"/>
    <w:rsid w:val="00981E79"/>
    <w:rsid w:val="0098235D"/>
    <w:rsid w:val="00982894"/>
    <w:rsid w:val="00982A96"/>
    <w:rsid w:val="00982C23"/>
    <w:rsid w:val="009832F7"/>
    <w:rsid w:val="00983A48"/>
    <w:rsid w:val="0098505D"/>
    <w:rsid w:val="0098542A"/>
    <w:rsid w:val="0098589A"/>
    <w:rsid w:val="0098653E"/>
    <w:rsid w:val="00986A85"/>
    <w:rsid w:val="0098709C"/>
    <w:rsid w:val="00987442"/>
    <w:rsid w:val="00987E86"/>
    <w:rsid w:val="00990235"/>
    <w:rsid w:val="009902B6"/>
    <w:rsid w:val="00990955"/>
    <w:rsid w:val="0099131E"/>
    <w:rsid w:val="0099194E"/>
    <w:rsid w:val="00991A76"/>
    <w:rsid w:val="009922EE"/>
    <w:rsid w:val="00992DD2"/>
    <w:rsid w:val="00993795"/>
    <w:rsid w:val="00994168"/>
    <w:rsid w:val="00994B60"/>
    <w:rsid w:val="00995248"/>
    <w:rsid w:val="009958ED"/>
    <w:rsid w:val="00996BE2"/>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A5"/>
    <w:rsid w:val="009A682F"/>
    <w:rsid w:val="009A7A05"/>
    <w:rsid w:val="009B001B"/>
    <w:rsid w:val="009B09B1"/>
    <w:rsid w:val="009B0E04"/>
    <w:rsid w:val="009B1625"/>
    <w:rsid w:val="009B179B"/>
    <w:rsid w:val="009B1841"/>
    <w:rsid w:val="009B1AE2"/>
    <w:rsid w:val="009B2092"/>
    <w:rsid w:val="009B2484"/>
    <w:rsid w:val="009B31C9"/>
    <w:rsid w:val="009B39BC"/>
    <w:rsid w:val="009B4270"/>
    <w:rsid w:val="009B4601"/>
    <w:rsid w:val="009B4EA5"/>
    <w:rsid w:val="009B5B1D"/>
    <w:rsid w:val="009B5BFB"/>
    <w:rsid w:val="009B5E9D"/>
    <w:rsid w:val="009B6331"/>
    <w:rsid w:val="009B66FD"/>
    <w:rsid w:val="009C027E"/>
    <w:rsid w:val="009C02E9"/>
    <w:rsid w:val="009C0682"/>
    <w:rsid w:val="009C1012"/>
    <w:rsid w:val="009C3416"/>
    <w:rsid w:val="009C3957"/>
    <w:rsid w:val="009C4E9B"/>
    <w:rsid w:val="009C4EB0"/>
    <w:rsid w:val="009C5FBA"/>
    <w:rsid w:val="009C6A7B"/>
    <w:rsid w:val="009C74A0"/>
    <w:rsid w:val="009C7801"/>
    <w:rsid w:val="009C7EDB"/>
    <w:rsid w:val="009D18AC"/>
    <w:rsid w:val="009D1D51"/>
    <w:rsid w:val="009D2B04"/>
    <w:rsid w:val="009D361E"/>
    <w:rsid w:val="009D3667"/>
    <w:rsid w:val="009D3C71"/>
    <w:rsid w:val="009D3CD6"/>
    <w:rsid w:val="009D4AB9"/>
    <w:rsid w:val="009D55BE"/>
    <w:rsid w:val="009D5AD9"/>
    <w:rsid w:val="009D5BCE"/>
    <w:rsid w:val="009D5F42"/>
    <w:rsid w:val="009D6025"/>
    <w:rsid w:val="009D6242"/>
    <w:rsid w:val="009D6393"/>
    <w:rsid w:val="009D6556"/>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34CF"/>
    <w:rsid w:val="009F3A63"/>
    <w:rsid w:val="009F3C08"/>
    <w:rsid w:val="009F3FC6"/>
    <w:rsid w:val="009F4148"/>
    <w:rsid w:val="009F52D3"/>
    <w:rsid w:val="009F54BD"/>
    <w:rsid w:val="009F54CB"/>
    <w:rsid w:val="009F5FC0"/>
    <w:rsid w:val="00A0049B"/>
    <w:rsid w:val="00A006B1"/>
    <w:rsid w:val="00A00D06"/>
    <w:rsid w:val="00A01DCD"/>
    <w:rsid w:val="00A02541"/>
    <w:rsid w:val="00A0352B"/>
    <w:rsid w:val="00A03861"/>
    <w:rsid w:val="00A0465D"/>
    <w:rsid w:val="00A04D17"/>
    <w:rsid w:val="00A04EFF"/>
    <w:rsid w:val="00A05684"/>
    <w:rsid w:val="00A05CE3"/>
    <w:rsid w:val="00A06329"/>
    <w:rsid w:val="00A06C91"/>
    <w:rsid w:val="00A0767C"/>
    <w:rsid w:val="00A07FC6"/>
    <w:rsid w:val="00A1047A"/>
    <w:rsid w:val="00A1078C"/>
    <w:rsid w:val="00A10967"/>
    <w:rsid w:val="00A11156"/>
    <w:rsid w:val="00A125C1"/>
    <w:rsid w:val="00A1374A"/>
    <w:rsid w:val="00A155F1"/>
    <w:rsid w:val="00A15B56"/>
    <w:rsid w:val="00A17073"/>
    <w:rsid w:val="00A201AA"/>
    <w:rsid w:val="00A20D8D"/>
    <w:rsid w:val="00A21C65"/>
    <w:rsid w:val="00A224B4"/>
    <w:rsid w:val="00A22FFE"/>
    <w:rsid w:val="00A2328E"/>
    <w:rsid w:val="00A233B2"/>
    <w:rsid w:val="00A235AF"/>
    <w:rsid w:val="00A23BBA"/>
    <w:rsid w:val="00A24A8E"/>
    <w:rsid w:val="00A24BD2"/>
    <w:rsid w:val="00A24CCF"/>
    <w:rsid w:val="00A2562E"/>
    <w:rsid w:val="00A2590A"/>
    <w:rsid w:val="00A25D77"/>
    <w:rsid w:val="00A269F4"/>
    <w:rsid w:val="00A2706F"/>
    <w:rsid w:val="00A278D4"/>
    <w:rsid w:val="00A27B8A"/>
    <w:rsid w:val="00A27E60"/>
    <w:rsid w:val="00A31820"/>
    <w:rsid w:val="00A31903"/>
    <w:rsid w:val="00A32488"/>
    <w:rsid w:val="00A325B6"/>
    <w:rsid w:val="00A32DCA"/>
    <w:rsid w:val="00A33126"/>
    <w:rsid w:val="00A33DE4"/>
    <w:rsid w:val="00A34575"/>
    <w:rsid w:val="00A34B27"/>
    <w:rsid w:val="00A355DB"/>
    <w:rsid w:val="00A35A49"/>
    <w:rsid w:val="00A369F1"/>
    <w:rsid w:val="00A36CB2"/>
    <w:rsid w:val="00A37776"/>
    <w:rsid w:val="00A377F2"/>
    <w:rsid w:val="00A37B27"/>
    <w:rsid w:val="00A42D9A"/>
    <w:rsid w:val="00A43B01"/>
    <w:rsid w:val="00A47403"/>
    <w:rsid w:val="00A47CE3"/>
    <w:rsid w:val="00A501A0"/>
    <w:rsid w:val="00A513B8"/>
    <w:rsid w:val="00A51727"/>
    <w:rsid w:val="00A517C2"/>
    <w:rsid w:val="00A52C9D"/>
    <w:rsid w:val="00A53965"/>
    <w:rsid w:val="00A53A6E"/>
    <w:rsid w:val="00A53D0B"/>
    <w:rsid w:val="00A55453"/>
    <w:rsid w:val="00A564FE"/>
    <w:rsid w:val="00A5651D"/>
    <w:rsid w:val="00A5657F"/>
    <w:rsid w:val="00A56918"/>
    <w:rsid w:val="00A612C9"/>
    <w:rsid w:val="00A61883"/>
    <w:rsid w:val="00A61CB7"/>
    <w:rsid w:val="00A61E95"/>
    <w:rsid w:val="00A62014"/>
    <w:rsid w:val="00A624D5"/>
    <w:rsid w:val="00A62D39"/>
    <w:rsid w:val="00A631EE"/>
    <w:rsid w:val="00A63213"/>
    <w:rsid w:val="00A63994"/>
    <w:rsid w:val="00A63C73"/>
    <w:rsid w:val="00A63F03"/>
    <w:rsid w:val="00A64B14"/>
    <w:rsid w:val="00A65982"/>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54C"/>
    <w:rsid w:val="00A816A7"/>
    <w:rsid w:val="00A82381"/>
    <w:rsid w:val="00A82D7F"/>
    <w:rsid w:val="00A83E40"/>
    <w:rsid w:val="00A84FC3"/>
    <w:rsid w:val="00A852F0"/>
    <w:rsid w:val="00A8533C"/>
    <w:rsid w:val="00A86085"/>
    <w:rsid w:val="00A86B56"/>
    <w:rsid w:val="00A87368"/>
    <w:rsid w:val="00A87AB0"/>
    <w:rsid w:val="00A90160"/>
    <w:rsid w:val="00A90A53"/>
    <w:rsid w:val="00A90B17"/>
    <w:rsid w:val="00A91D0F"/>
    <w:rsid w:val="00A91F9F"/>
    <w:rsid w:val="00A92372"/>
    <w:rsid w:val="00A92779"/>
    <w:rsid w:val="00A9277C"/>
    <w:rsid w:val="00A945FE"/>
    <w:rsid w:val="00A946B1"/>
    <w:rsid w:val="00A95D3E"/>
    <w:rsid w:val="00A96B11"/>
    <w:rsid w:val="00A978F0"/>
    <w:rsid w:val="00A97E54"/>
    <w:rsid w:val="00A97F99"/>
    <w:rsid w:val="00AA0894"/>
    <w:rsid w:val="00AA0FF3"/>
    <w:rsid w:val="00AA129A"/>
    <w:rsid w:val="00AA157D"/>
    <w:rsid w:val="00AA16F1"/>
    <w:rsid w:val="00AA2446"/>
    <w:rsid w:val="00AA2A85"/>
    <w:rsid w:val="00AA347C"/>
    <w:rsid w:val="00AA5C3A"/>
    <w:rsid w:val="00AA64A2"/>
    <w:rsid w:val="00AA74D0"/>
    <w:rsid w:val="00AA79E6"/>
    <w:rsid w:val="00AB0AAD"/>
    <w:rsid w:val="00AB0B38"/>
    <w:rsid w:val="00AB0DEE"/>
    <w:rsid w:val="00AB1EFA"/>
    <w:rsid w:val="00AB2603"/>
    <w:rsid w:val="00AB2F6D"/>
    <w:rsid w:val="00AB44C7"/>
    <w:rsid w:val="00AB5679"/>
    <w:rsid w:val="00AB6D15"/>
    <w:rsid w:val="00AB6F2F"/>
    <w:rsid w:val="00AB753B"/>
    <w:rsid w:val="00AB78C9"/>
    <w:rsid w:val="00AB7C44"/>
    <w:rsid w:val="00AB7CA8"/>
    <w:rsid w:val="00AC1DC5"/>
    <w:rsid w:val="00AC25FF"/>
    <w:rsid w:val="00AC2A78"/>
    <w:rsid w:val="00AC3C32"/>
    <w:rsid w:val="00AC3C86"/>
    <w:rsid w:val="00AC4F2B"/>
    <w:rsid w:val="00AC60C2"/>
    <w:rsid w:val="00AC6B3B"/>
    <w:rsid w:val="00AC739A"/>
    <w:rsid w:val="00AC7B83"/>
    <w:rsid w:val="00AD0ABF"/>
    <w:rsid w:val="00AD11AF"/>
    <w:rsid w:val="00AD12C1"/>
    <w:rsid w:val="00AD1314"/>
    <w:rsid w:val="00AD1ACA"/>
    <w:rsid w:val="00AD295D"/>
    <w:rsid w:val="00AD3544"/>
    <w:rsid w:val="00AD3585"/>
    <w:rsid w:val="00AD3671"/>
    <w:rsid w:val="00AD5397"/>
    <w:rsid w:val="00AD5FE6"/>
    <w:rsid w:val="00AD7424"/>
    <w:rsid w:val="00AD7855"/>
    <w:rsid w:val="00AD7B83"/>
    <w:rsid w:val="00AE035C"/>
    <w:rsid w:val="00AE0743"/>
    <w:rsid w:val="00AE127E"/>
    <w:rsid w:val="00AE1564"/>
    <w:rsid w:val="00AE16BB"/>
    <w:rsid w:val="00AE3170"/>
    <w:rsid w:val="00AE3A7E"/>
    <w:rsid w:val="00AE3F57"/>
    <w:rsid w:val="00AE4971"/>
    <w:rsid w:val="00AE52F3"/>
    <w:rsid w:val="00AE6062"/>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7C"/>
    <w:rsid w:val="00B0094D"/>
    <w:rsid w:val="00B00FAA"/>
    <w:rsid w:val="00B012AC"/>
    <w:rsid w:val="00B01741"/>
    <w:rsid w:val="00B017AC"/>
    <w:rsid w:val="00B01F11"/>
    <w:rsid w:val="00B02BF5"/>
    <w:rsid w:val="00B02EA7"/>
    <w:rsid w:val="00B031AE"/>
    <w:rsid w:val="00B0525F"/>
    <w:rsid w:val="00B065D2"/>
    <w:rsid w:val="00B06663"/>
    <w:rsid w:val="00B06A94"/>
    <w:rsid w:val="00B06E39"/>
    <w:rsid w:val="00B070FC"/>
    <w:rsid w:val="00B10703"/>
    <w:rsid w:val="00B10E25"/>
    <w:rsid w:val="00B111CC"/>
    <w:rsid w:val="00B113AF"/>
    <w:rsid w:val="00B118B9"/>
    <w:rsid w:val="00B119CC"/>
    <w:rsid w:val="00B11A4D"/>
    <w:rsid w:val="00B11CC1"/>
    <w:rsid w:val="00B13A7E"/>
    <w:rsid w:val="00B13A80"/>
    <w:rsid w:val="00B14540"/>
    <w:rsid w:val="00B1547F"/>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797B"/>
    <w:rsid w:val="00B3041F"/>
    <w:rsid w:val="00B304DC"/>
    <w:rsid w:val="00B31277"/>
    <w:rsid w:val="00B3135D"/>
    <w:rsid w:val="00B313E3"/>
    <w:rsid w:val="00B3157E"/>
    <w:rsid w:val="00B3226C"/>
    <w:rsid w:val="00B32CBB"/>
    <w:rsid w:val="00B332BD"/>
    <w:rsid w:val="00B33DDF"/>
    <w:rsid w:val="00B35568"/>
    <w:rsid w:val="00B3570D"/>
    <w:rsid w:val="00B36956"/>
    <w:rsid w:val="00B36BEF"/>
    <w:rsid w:val="00B37B25"/>
    <w:rsid w:val="00B40194"/>
    <w:rsid w:val="00B40BC3"/>
    <w:rsid w:val="00B411AF"/>
    <w:rsid w:val="00B42F5F"/>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51791"/>
    <w:rsid w:val="00B519CF"/>
    <w:rsid w:val="00B53020"/>
    <w:rsid w:val="00B53175"/>
    <w:rsid w:val="00B53AF4"/>
    <w:rsid w:val="00B542A0"/>
    <w:rsid w:val="00B562A2"/>
    <w:rsid w:val="00B564C1"/>
    <w:rsid w:val="00B60142"/>
    <w:rsid w:val="00B6015E"/>
    <w:rsid w:val="00B6106E"/>
    <w:rsid w:val="00B61870"/>
    <w:rsid w:val="00B6248C"/>
    <w:rsid w:val="00B627BB"/>
    <w:rsid w:val="00B6298A"/>
    <w:rsid w:val="00B62F9B"/>
    <w:rsid w:val="00B62FC6"/>
    <w:rsid w:val="00B63D8C"/>
    <w:rsid w:val="00B6436A"/>
    <w:rsid w:val="00B64D91"/>
    <w:rsid w:val="00B661A9"/>
    <w:rsid w:val="00B66334"/>
    <w:rsid w:val="00B6719A"/>
    <w:rsid w:val="00B71321"/>
    <w:rsid w:val="00B719F9"/>
    <w:rsid w:val="00B72D24"/>
    <w:rsid w:val="00B72FE3"/>
    <w:rsid w:val="00B733CA"/>
    <w:rsid w:val="00B734E0"/>
    <w:rsid w:val="00B73B8C"/>
    <w:rsid w:val="00B73FA0"/>
    <w:rsid w:val="00B741C7"/>
    <w:rsid w:val="00B746A4"/>
    <w:rsid w:val="00B75A54"/>
    <w:rsid w:val="00B75F1A"/>
    <w:rsid w:val="00B776D5"/>
    <w:rsid w:val="00B80403"/>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8B7"/>
    <w:rsid w:val="00B94AFC"/>
    <w:rsid w:val="00B94E20"/>
    <w:rsid w:val="00B9578A"/>
    <w:rsid w:val="00BA02DF"/>
    <w:rsid w:val="00BA0420"/>
    <w:rsid w:val="00BA0C02"/>
    <w:rsid w:val="00BA0F73"/>
    <w:rsid w:val="00BA0FD0"/>
    <w:rsid w:val="00BA2256"/>
    <w:rsid w:val="00BA39F6"/>
    <w:rsid w:val="00BA3C87"/>
    <w:rsid w:val="00BA54D3"/>
    <w:rsid w:val="00BA66DF"/>
    <w:rsid w:val="00BA6E44"/>
    <w:rsid w:val="00BA7870"/>
    <w:rsid w:val="00BB0BB1"/>
    <w:rsid w:val="00BB0FDB"/>
    <w:rsid w:val="00BB1C2C"/>
    <w:rsid w:val="00BB1EE7"/>
    <w:rsid w:val="00BB347F"/>
    <w:rsid w:val="00BB34B8"/>
    <w:rsid w:val="00BB4097"/>
    <w:rsid w:val="00BB5E8D"/>
    <w:rsid w:val="00BB6B15"/>
    <w:rsid w:val="00BB6DF1"/>
    <w:rsid w:val="00BB6F6C"/>
    <w:rsid w:val="00BB73FD"/>
    <w:rsid w:val="00BB7C16"/>
    <w:rsid w:val="00BC02D4"/>
    <w:rsid w:val="00BC0BA4"/>
    <w:rsid w:val="00BC1A9C"/>
    <w:rsid w:val="00BC219A"/>
    <w:rsid w:val="00BC2472"/>
    <w:rsid w:val="00BC28B3"/>
    <w:rsid w:val="00BC2C99"/>
    <w:rsid w:val="00BC3092"/>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768A"/>
    <w:rsid w:val="00BD7AE1"/>
    <w:rsid w:val="00BD7E89"/>
    <w:rsid w:val="00BE0184"/>
    <w:rsid w:val="00BE05ED"/>
    <w:rsid w:val="00BE06DC"/>
    <w:rsid w:val="00BE155B"/>
    <w:rsid w:val="00BE4DC0"/>
    <w:rsid w:val="00BE5456"/>
    <w:rsid w:val="00BE5625"/>
    <w:rsid w:val="00BE59EB"/>
    <w:rsid w:val="00BE5C2E"/>
    <w:rsid w:val="00BE6122"/>
    <w:rsid w:val="00BE63D9"/>
    <w:rsid w:val="00BE6DD2"/>
    <w:rsid w:val="00BE6EE7"/>
    <w:rsid w:val="00BE6FB2"/>
    <w:rsid w:val="00BE7162"/>
    <w:rsid w:val="00BE721C"/>
    <w:rsid w:val="00BE73D8"/>
    <w:rsid w:val="00BE75BA"/>
    <w:rsid w:val="00BF0737"/>
    <w:rsid w:val="00BF17D0"/>
    <w:rsid w:val="00BF1CC2"/>
    <w:rsid w:val="00BF23BF"/>
    <w:rsid w:val="00BF42BF"/>
    <w:rsid w:val="00BF45D2"/>
    <w:rsid w:val="00BF4F6B"/>
    <w:rsid w:val="00BF5449"/>
    <w:rsid w:val="00BF544A"/>
    <w:rsid w:val="00BF5B93"/>
    <w:rsid w:val="00BF68BE"/>
    <w:rsid w:val="00BF6DF2"/>
    <w:rsid w:val="00BF71BA"/>
    <w:rsid w:val="00BF751A"/>
    <w:rsid w:val="00BF79AE"/>
    <w:rsid w:val="00BF7AA6"/>
    <w:rsid w:val="00BF7C2C"/>
    <w:rsid w:val="00C00717"/>
    <w:rsid w:val="00C01C76"/>
    <w:rsid w:val="00C03613"/>
    <w:rsid w:val="00C03901"/>
    <w:rsid w:val="00C056A9"/>
    <w:rsid w:val="00C056D6"/>
    <w:rsid w:val="00C06046"/>
    <w:rsid w:val="00C060F1"/>
    <w:rsid w:val="00C06811"/>
    <w:rsid w:val="00C07388"/>
    <w:rsid w:val="00C10D85"/>
    <w:rsid w:val="00C10D8E"/>
    <w:rsid w:val="00C10EA0"/>
    <w:rsid w:val="00C12210"/>
    <w:rsid w:val="00C12BDE"/>
    <w:rsid w:val="00C14D4D"/>
    <w:rsid w:val="00C14E33"/>
    <w:rsid w:val="00C17E15"/>
    <w:rsid w:val="00C20638"/>
    <w:rsid w:val="00C20AC4"/>
    <w:rsid w:val="00C21085"/>
    <w:rsid w:val="00C236DC"/>
    <w:rsid w:val="00C24EE1"/>
    <w:rsid w:val="00C25B8A"/>
    <w:rsid w:val="00C264AC"/>
    <w:rsid w:val="00C26991"/>
    <w:rsid w:val="00C276CE"/>
    <w:rsid w:val="00C30013"/>
    <w:rsid w:val="00C31625"/>
    <w:rsid w:val="00C3283A"/>
    <w:rsid w:val="00C33366"/>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18C6"/>
    <w:rsid w:val="00C520E8"/>
    <w:rsid w:val="00C52178"/>
    <w:rsid w:val="00C52A6F"/>
    <w:rsid w:val="00C53196"/>
    <w:rsid w:val="00C535B8"/>
    <w:rsid w:val="00C5627A"/>
    <w:rsid w:val="00C57037"/>
    <w:rsid w:val="00C57309"/>
    <w:rsid w:val="00C60190"/>
    <w:rsid w:val="00C60633"/>
    <w:rsid w:val="00C60858"/>
    <w:rsid w:val="00C6114D"/>
    <w:rsid w:val="00C62B6C"/>
    <w:rsid w:val="00C6342C"/>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5A2"/>
    <w:rsid w:val="00C8289C"/>
    <w:rsid w:val="00C84485"/>
    <w:rsid w:val="00C84964"/>
    <w:rsid w:val="00C84AF8"/>
    <w:rsid w:val="00C8549E"/>
    <w:rsid w:val="00C856B3"/>
    <w:rsid w:val="00C86DB5"/>
    <w:rsid w:val="00C90193"/>
    <w:rsid w:val="00C9026A"/>
    <w:rsid w:val="00C903E5"/>
    <w:rsid w:val="00C91F2A"/>
    <w:rsid w:val="00C93114"/>
    <w:rsid w:val="00C939B9"/>
    <w:rsid w:val="00C9416B"/>
    <w:rsid w:val="00C95740"/>
    <w:rsid w:val="00C9580C"/>
    <w:rsid w:val="00C963F3"/>
    <w:rsid w:val="00C97E13"/>
    <w:rsid w:val="00CA15FF"/>
    <w:rsid w:val="00CA1D04"/>
    <w:rsid w:val="00CA2A13"/>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FB8"/>
    <w:rsid w:val="00CC1324"/>
    <w:rsid w:val="00CC17DA"/>
    <w:rsid w:val="00CC1960"/>
    <w:rsid w:val="00CC2F01"/>
    <w:rsid w:val="00CC2FF0"/>
    <w:rsid w:val="00CC3A6D"/>
    <w:rsid w:val="00CC3B14"/>
    <w:rsid w:val="00CC3E1B"/>
    <w:rsid w:val="00CC3EB9"/>
    <w:rsid w:val="00CC450F"/>
    <w:rsid w:val="00CC459E"/>
    <w:rsid w:val="00CC4BBF"/>
    <w:rsid w:val="00CC51EE"/>
    <w:rsid w:val="00CC534A"/>
    <w:rsid w:val="00CC6D0A"/>
    <w:rsid w:val="00CD0961"/>
    <w:rsid w:val="00CD0B13"/>
    <w:rsid w:val="00CD2B8F"/>
    <w:rsid w:val="00CD3086"/>
    <w:rsid w:val="00CD3645"/>
    <w:rsid w:val="00CD4256"/>
    <w:rsid w:val="00CD5596"/>
    <w:rsid w:val="00CD5BAC"/>
    <w:rsid w:val="00CD6B00"/>
    <w:rsid w:val="00CD7F79"/>
    <w:rsid w:val="00CE1CA4"/>
    <w:rsid w:val="00CE20D4"/>
    <w:rsid w:val="00CE24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C7"/>
    <w:rsid w:val="00CF1BE5"/>
    <w:rsid w:val="00CF1F4D"/>
    <w:rsid w:val="00CF2894"/>
    <w:rsid w:val="00CF2ED8"/>
    <w:rsid w:val="00CF341A"/>
    <w:rsid w:val="00CF3B9F"/>
    <w:rsid w:val="00CF49C2"/>
    <w:rsid w:val="00CF543E"/>
    <w:rsid w:val="00CF5571"/>
    <w:rsid w:val="00CF58CA"/>
    <w:rsid w:val="00CF5DD9"/>
    <w:rsid w:val="00CF664D"/>
    <w:rsid w:val="00CF6AD9"/>
    <w:rsid w:val="00CF7526"/>
    <w:rsid w:val="00CF7664"/>
    <w:rsid w:val="00CF7800"/>
    <w:rsid w:val="00CF7A5A"/>
    <w:rsid w:val="00D002AE"/>
    <w:rsid w:val="00D00573"/>
    <w:rsid w:val="00D01D7F"/>
    <w:rsid w:val="00D0271B"/>
    <w:rsid w:val="00D02ACC"/>
    <w:rsid w:val="00D02C93"/>
    <w:rsid w:val="00D02D96"/>
    <w:rsid w:val="00D035BF"/>
    <w:rsid w:val="00D036C1"/>
    <w:rsid w:val="00D03EE8"/>
    <w:rsid w:val="00D04891"/>
    <w:rsid w:val="00D04B00"/>
    <w:rsid w:val="00D054D2"/>
    <w:rsid w:val="00D07B99"/>
    <w:rsid w:val="00D07F68"/>
    <w:rsid w:val="00D114D4"/>
    <w:rsid w:val="00D11F22"/>
    <w:rsid w:val="00D12DE4"/>
    <w:rsid w:val="00D13363"/>
    <w:rsid w:val="00D13697"/>
    <w:rsid w:val="00D139EF"/>
    <w:rsid w:val="00D13A41"/>
    <w:rsid w:val="00D1426A"/>
    <w:rsid w:val="00D14734"/>
    <w:rsid w:val="00D14A5B"/>
    <w:rsid w:val="00D15ED7"/>
    <w:rsid w:val="00D15F1F"/>
    <w:rsid w:val="00D1655C"/>
    <w:rsid w:val="00D16C58"/>
    <w:rsid w:val="00D16D48"/>
    <w:rsid w:val="00D17AA3"/>
    <w:rsid w:val="00D17C2F"/>
    <w:rsid w:val="00D20B23"/>
    <w:rsid w:val="00D20DA9"/>
    <w:rsid w:val="00D2148F"/>
    <w:rsid w:val="00D2191B"/>
    <w:rsid w:val="00D21C42"/>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BF3"/>
    <w:rsid w:val="00D3392D"/>
    <w:rsid w:val="00D33D2A"/>
    <w:rsid w:val="00D33D9C"/>
    <w:rsid w:val="00D33F31"/>
    <w:rsid w:val="00D35336"/>
    <w:rsid w:val="00D362AF"/>
    <w:rsid w:val="00D36416"/>
    <w:rsid w:val="00D371A4"/>
    <w:rsid w:val="00D3772C"/>
    <w:rsid w:val="00D37D06"/>
    <w:rsid w:val="00D40D0B"/>
    <w:rsid w:val="00D4151D"/>
    <w:rsid w:val="00D431B8"/>
    <w:rsid w:val="00D4454F"/>
    <w:rsid w:val="00D447AA"/>
    <w:rsid w:val="00D44F7A"/>
    <w:rsid w:val="00D45046"/>
    <w:rsid w:val="00D451AE"/>
    <w:rsid w:val="00D47073"/>
    <w:rsid w:val="00D476FF"/>
    <w:rsid w:val="00D47B2A"/>
    <w:rsid w:val="00D501F1"/>
    <w:rsid w:val="00D507EC"/>
    <w:rsid w:val="00D52B12"/>
    <w:rsid w:val="00D531D1"/>
    <w:rsid w:val="00D53C7B"/>
    <w:rsid w:val="00D5411B"/>
    <w:rsid w:val="00D54583"/>
    <w:rsid w:val="00D54D27"/>
    <w:rsid w:val="00D55F8C"/>
    <w:rsid w:val="00D60C0B"/>
    <w:rsid w:val="00D60D5D"/>
    <w:rsid w:val="00D60F1D"/>
    <w:rsid w:val="00D6239C"/>
    <w:rsid w:val="00D6241A"/>
    <w:rsid w:val="00D630FF"/>
    <w:rsid w:val="00D6316A"/>
    <w:rsid w:val="00D6371F"/>
    <w:rsid w:val="00D639E3"/>
    <w:rsid w:val="00D64352"/>
    <w:rsid w:val="00D64538"/>
    <w:rsid w:val="00D64F39"/>
    <w:rsid w:val="00D6500A"/>
    <w:rsid w:val="00D657BE"/>
    <w:rsid w:val="00D66BB9"/>
    <w:rsid w:val="00D67021"/>
    <w:rsid w:val="00D671B7"/>
    <w:rsid w:val="00D67498"/>
    <w:rsid w:val="00D67AFA"/>
    <w:rsid w:val="00D702A2"/>
    <w:rsid w:val="00D70964"/>
    <w:rsid w:val="00D70EFC"/>
    <w:rsid w:val="00D71F46"/>
    <w:rsid w:val="00D732BA"/>
    <w:rsid w:val="00D74D40"/>
    <w:rsid w:val="00D7546A"/>
    <w:rsid w:val="00D76703"/>
    <w:rsid w:val="00D777FF"/>
    <w:rsid w:val="00D8010A"/>
    <w:rsid w:val="00D801B6"/>
    <w:rsid w:val="00D8071D"/>
    <w:rsid w:val="00D80754"/>
    <w:rsid w:val="00D80D35"/>
    <w:rsid w:val="00D81356"/>
    <w:rsid w:val="00D8158B"/>
    <w:rsid w:val="00D81D64"/>
    <w:rsid w:val="00D81F71"/>
    <w:rsid w:val="00D83019"/>
    <w:rsid w:val="00D8395B"/>
    <w:rsid w:val="00D849B8"/>
    <w:rsid w:val="00D84E6A"/>
    <w:rsid w:val="00D84F01"/>
    <w:rsid w:val="00D862E3"/>
    <w:rsid w:val="00D864BF"/>
    <w:rsid w:val="00D8694E"/>
    <w:rsid w:val="00D87593"/>
    <w:rsid w:val="00D87E86"/>
    <w:rsid w:val="00D87FD1"/>
    <w:rsid w:val="00D90FB6"/>
    <w:rsid w:val="00D926C2"/>
    <w:rsid w:val="00D92A4B"/>
    <w:rsid w:val="00D92D6E"/>
    <w:rsid w:val="00D93A05"/>
    <w:rsid w:val="00D94153"/>
    <w:rsid w:val="00D94676"/>
    <w:rsid w:val="00D94FE0"/>
    <w:rsid w:val="00D95657"/>
    <w:rsid w:val="00D95A97"/>
    <w:rsid w:val="00D95F22"/>
    <w:rsid w:val="00D9603E"/>
    <w:rsid w:val="00D971C0"/>
    <w:rsid w:val="00D9754D"/>
    <w:rsid w:val="00D9760B"/>
    <w:rsid w:val="00D978D8"/>
    <w:rsid w:val="00D97F7F"/>
    <w:rsid w:val="00DA15C7"/>
    <w:rsid w:val="00DA1A53"/>
    <w:rsid w:val="00DA1BA2"/>
    <w:rsid w:val="00DA2517"/>
    <w:rsid w:val="00DA3242"/>
    <w:rsid w:val="00DA32C4"/>
    <w:rsid w:val="00DA3374"/>
    <w:rsid w:val="00DA36AB"/>
    <w:rsid w:val="00DA4240"/>
    <w:rsid w:val="00DA66D4"/>
    <w:rsid w:val="00DA6CC4"/>
    <w:rsid w:val="00DA6ECF"/>
    <w:rsid w:val="00DA78EF"/>
    <w:rsid w:val="00DA7BA4"/>
    <w:rsid w:val="00DA7F52"/>
    <w:rsid w:val="00DB0095"/>
    <w:rsid w:val="00DB10F3"/>
    <w:rsid w:val="00DB18A3"/>
    <w:rsid w:val="00DB2119"/>
    <w:rsid w:val="00DB25F7"/>
    <w:rsid w:val="00DB2851"/>
    <w:rsid w:val="00DB36A6"/>
    <w:rsid w:val="00DB36B8"/>
    <w:rsid w:val="00DB4981"/>
    <w:rsid w:val="00DB4C03"/>
    <w:rsid w:val="00DB6481"/>
    <w:rsid w:val="00DB6912"/>
    <w:rsid w:val="00DB70ED"/>
    <w:rsid w:val="00DC06F4"/>
    <w:rsid w:val="00DC0874"/>
    <w:rsid w:val="00DC18FB"/>
    <w:rsid w:val="00DC1B14"/>
    <w:rsid w:val="00DC1BFA"/>
    <w:rsid w:val="00DC2B7C"/>
    <w:rsid w:val="00DC385F"/>
    <w:rsid w:val="00DC3DE0"/>
    <w:rsid w:val="00DC6E2E"/>
    <w:rsid w:val="00DD0CAA"/>
    <w:rsid w:val="00DD1911"/>
    <w:rsid w:val="00DD2F6F"/>
    <w:rsid w:val="00DD34CC"/>
    <w:rsid w:val="00DD36F0"/>
    <w:rsid w:val="00DD3A92"/>
    <w:rsid w:val="00DD4CF2"/>
    <w:rsid w:val="00DD5612"/>
    <w:rsid w:val="00DD5EC3"/>
    <w:rsid w:val="00DD604A"/>
    <w:rsid w:val="00DD6B64"/>
    <w:rsid w:val="00DD7255"/>
    <w:rsid w:val="00DD7379"/>
    <w:rsid w:val="00DE01A4"/>
    <w:rsid w:val="00DE1045"/>
    <w:rsid w:val="00DE42D0"/>
    <w:rsid w:val="00DE491D"/>
    <w:rsid w:val="00DE5D29"/>
    <w:rsid w:val="00DE6092"/>
    <w:rsid w:val="00DE61F2"/>
    <w:rsid w:val="00DF0004"/>
    <w:rsid w:val="00DF0036"/>
    <w:rsid w:val="00DF0893"/>
    <w:rsid w:val="00DF0E77"/>
    <w:rsid w:val="00DF1066"/>
    <w:rsid w:val="00DF1D81"/>
    <w:rsid w:val="00DF2613"/>
    <w:rsid w:val="00DF3968"/>
    <w:rsid w:val="00DF4A67"/>
    <w:rsid w:val="00DF60CA"/>
    <w:rsid w:val="00DF7122"/>
    <w:rsid w:val="00DF7222"/>
    <w:rsid w:val="00DF75C9"/>
    <w:rsid w:val="00DF75D5"/>
    <w:rsid w:val="00DF7749"/>
    <w:rsid w:val="00DF7C94"/>
    <w:rsid w:val="00DF7D21"/>
    <w:rsid w:val="00DF7E84"/>
    <w:rsid w:val="00DF7EB1"/>
    <w:rsid w:val="00DF7F86"/>
    <w:rsid w:val="00E00484"/>
    <w:rsid w:val="00E014CD"/>
    <w:rsid w:val="00E01847"/>
    <w:rsid w:val="00E01DFF"/>
    <w:rsid w:val="00E024DE"/>
    <w:rsid w:val="00E025E8"/>
    <w:rsid w:val="00E02AE6"/>
    <w:rsid w:val="00E02F78"/>
    <w:rsid w:val="00E0339D"/>
    <w:rsid w:val="00E03E52"/>
    <w:rsid w:val="00E04CF8"/>
    <w:rsid w:val="00E05E1B"/>
    <w:rsid w:val="00E06A29"/>
    <w:rsid w:val="00E06CC2"/>
    <w:rsid w:val="00E06E48"/>
    <w:rsid w:val="00E072B5"/>
    <w:rsid w:val="00E1109A"/>
    <w:rsid w:val="00E11F45"/>
    <w:rsid w:val="00E12715"/>
    <w:rsid w:val="00E132FC"/>
    <w:rsid w:val="00E13DBE"/>
    <w:rsid w:val="00E141FD"/>
    <w:rsid w:val="00E1483E"/>
    <w:rsid w:val="00E15182"/>
    <w:rsid w:val="00E15EAC"/>
    <w:rsid w:val="00E16BE3"/>
    <w:rsid w:val="00E16D79"/>
    <w:rsid w:val="00E173EC"/>
    <w:rsid w:val="00E17CCC"/>
    <w:rsid w:val="00E208C6"/>
    <w:rsid w:val="00E223E5"/>
    <w:rsid w:val="00E2283A"/>
    <w:rsid w:val="00E26348"/>
    <w:rsid w:val="00E2789C"/>
    <w:rsid w:val="00E27954"/>
    <w:rsid w:val="00E27D28"/>
    <w:rsid w:val="00E30246"/>
    <w:rsid w:val="00E30C70"/>
    <w:rsid w:val="00E30FF0"/>
    <w:rsid w:val="00E31BEC"/>
    <w:rsid w:val="00E31E5F"/>
    <w:rsid w:val="00E331A9"/>
    <w:rsid w:val="00E33230"/>
    <w:rsid w:val="00E33740"/>
    <w:rsid w:val="00E34008"/>
    <w:rsid w:val="00E34100"/>
    <w:rsid w:val="00E34479"/>
    <w:rsid w:val="00E34607"/>
    <w:rsid w:val="00E34E36"/>
    <w:rsid w:val="00E35F6A"/>
    <w:rsid w:val="00E37B44"/>
    <w:rsid w:val="00E40129"/>
    <w:rsid w:val="00E40F62"/>
    <w:rsid w:val="00E41EED"/>
    <w:rsid w:val="00E42209"/>
    <w:rsid w:val="00E425DD"/>
    <w:rsid w:val="00E42BB4"/>
    <w:rsid w:val="00E433F8"/>
    <w:rsid w:val="00E43EE9"/>
    <w:rsid w:val="00E440CE"/>
    <w:rsid w:val="00E4512F"/>
    <w:rsid w:val="00E4536C"/>
    <w:rsid w:val="00E45BA1"/>
    <w:rsid w:val="00E46AA3"/>
    <w:rsid w:val="00E46D4B"/>
    <w:rsid w:val="00E46FF7"/>
    <w:rsid w:val="00E477F2"/>
    <w:rsid w:val="00E47D61"/>
    <w:rsid w:val="00E47F0D"/>
    <w:rsid w:val="00E50A67"/>
    <w:rsid w:val="00E52C41"/>
    <w:rsid w:val="00E5314D"/>
    <w:rsid w:val="00E551C0"/>
    <w:rsid w:val="00E56FA7"/>
    <w:rsid w:val="00E57B90"/>
    <w:rsid w:val="00E57F86"/>
    <w:rsid w:val="00E6013F"/>
    <w:rsid w:val="00E60DBA"/>
    <w:rsid w:val="00E60FC7"/>
    <w:rsid w:val="00E61FC7"/>
    <w:rsid w:val="00E62B27"/>
    <w:rsid w:val="00E62C47"/>
    <w:rsid w:val="00E62FB6"/>
    <w:rsid w:val="00E642E5"/>
    <w:rsid w:val="00E650C9"/>
    <w:rsid w:val="00E65B33"/>
    <w:rsid w:val="00E66B92"/>
    <w:rsid w:val="00E67018"/>
    <w:rsid w:val="00E670A5"/>
    <w:rsid w:val="00E67795"/>
    <w:rsid w:val="00E67A1E"/>
    <w:rsid w:val="00E67D61"/>
    <w:rsid w:val="00E7078C"/>
    <w:rsid w:val="00E70B3E"/>
    <w:rsid w:val="00E70E17"/>
    <w:rsid w:val="00E70F47"/>
    <w:rsid w:val="00E718D3"/>
    <w:rsid w:val="00E71CDE"/>
    <w:rsid w:val="00E72C13"/>
    <w:rsid w:val="00E72FB5"/>
    <w:rsid w:val="00E73465"/>
    <w:rsid w:val="00E737FE"/>
    <w:rsid w:val="00E75780"/>
    <w:rsid w:val="00E759FC"/>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42D9"/>
    <w:rsid w:val="00EA531C"/>
    <w:rsid w:val="00EA54B3"/>
    <w:rsid w:val="00EA5D8C"/>
    <w:rsid w:val="00EA6335"/>
    <w:rsid w:val="00EA7268"/>
    <w:rsid w:val="00EA727E"/>
    <w:rsid w:val="00EA7366"/>
    <w:rsid w:val="00EA79B7"/>
    <w:rsid w:val="00EB0367"/>
    <w:rsid w:val="00EB05D0"/>
    <w:rsid w:val="00EB0A5F"/>
    <w:rsid w:val="00EB170D"/>
    <w:rsid w:val="00EB2BA4"/>
    <w:rsid w:val="00EB2CB2"/>
    <w:rsid w:val="00EB2DC6"/>
    <w:rsid w:val="00EB311E"/>
    <w:rsid w:val="00EB3AFF"/>
    <w:rsid w:val="00EB3C6A"/>
    <w:rsid w:val="00EB6F49"/>
    <w:rsid w:val="00EB71F2"/>
    <w:rsid w:val="00EC1288"/>
    <w:rsid w:val="00EC2693"/>
    <w:rsid w:val="00EC3B14"/>
    <w:rsid w:val="00EC4FAF"/>
    <w:rsid w:val="00EC7751"/>
    <w:rsid w:val="00EC7FAD"/>
    <w:rsid w:val="00ED05EA"/>
    <w:rsid w:val="00ED05ED"/>
    <w:rsid w:val="00ED08D7"/>
    <w:rsid w:val="00ED143D"/>
    <w:rsid w:val="00ED2110"/>
    <w:rsid w:val="00ED2CE1"/>
    <w:rsid w:val="00ED349F"/>
    <w:rsid w:val="00ED37ED"/>
    <w:rsid w:val="00ED3B5F"/>
    <w:rsid w:val="00ED4170"/>
    <w:rsid w:val="00ED46E6"/>
    <w:rsid w:val="00ED695E"/>
    <w:rsid w:val="00ED740B"/>
    <w:rsid w:val="00ED7B8C"/>
    <w:rsid w:val="00ED7D10"/>
    <w:rsid w:val="00EE04CB"/>
    <w:rsid w:val="00EE0BFF"/>
    <w:rsid w:val="00EE0F58"/>
    <w:rsid w:val="00EE106C"/>
    <w:rsid w:val="00EE1F13"/>
    <w:rsid w:val="00EE21C3"/>
    <w:rsid w:val="00EE225E"/>
    <w:rsid w:val="00EE22ED"/>
    <w:rsid w:val="00EE2786"/>
    <w:rsid w:val="00EE306A"/>
    <w:rsid w:val="00EE3367"/>
    <w:rsid w:val="00EE3B4E"/>
    <w:rsid w:val="00EE4813"/>
    <w:rsid w:val="00EE48D3"/>
    <w:rsid w:val="00EE4AC1"/>
    <w:rsid w:val="00EE4E26"/>
    <w:rsid w:val="00EE52B0"/>
    <w:rsid w:val="00EE5655"/>
    <w:rsid w:val="00EE6D4B"/>
    <w:rsid w:val="00EE7AFC"/>
    <w:rsid w:val="00EF039D"/>
    <w:rsid w:val="00EF0D41"/>
    <w:rsid w:val="00EF1513"/>
    <w:rsid w:val="00EF16F8"/>
    <w:rsid w:val="00EF1EB1"/>
    <w:rsid w:val="00EF21E0"/>
    <w:rsid w:val="00EF2367"/>
    <w:rsid w:val="00EF2EFF"/>
    <w:rsid w:val="00EF3615"/>
    <w:rsid w:val="00EF41B2"/>
    <w:rsid w:val="00EF46FC"/>
    <w:rsid w:val="00EF4FD3"/>
    <w:rsid w:val="00EF5AE9"/>
    <w:rsid w:val="00EF64E6"/>
    <w:rsid w:val="00EF6743"/>
    <w:rsid w:val="00EF6813"/>
    <w:rsid w:val="00EF6C64"/>
    <w:rsid w:val="00EF6F8B"/>
    <w:rsid w:val="00EF715A"/>
    <w:rsid w:val="00EF753D"/>
    <w:rsid w:val="00EF78B7"/>
    <w:rsid w:val="00F00AC0"/>
    <w:rsid w:val="00F00D30"/>
    <w:rsid w:val="00F019D8"/>
    <w:rsid w:val="00F04CED"/>
    <w:rsid w:val="00F04E55"/>
    <w:rsid w:val="00F04FA1"/>
    <w:rsid w:val="00F05491"/>
    <w:rsid w:val="00F05743"/>
    <w:rsid w:val="00F06408"/>
    <w:rsid w:val="00F07D1E"/>
    <w:rsid w:val="00F105CA"/>
    <w:rsid w:val="00F10AA5"/>
    <w:rsid w:val="00F1130E"/>
    <w:rsid w:val="00F1206F"/>
    <w:rsid w:val="00F1228F"/>
    <w:rsid w:val="00F12645"/>
    <w:rsid w:val="00F126C5"/>
    <w:rsid w:val="00F126F1"/>
    <w:rsid w:val="00F12B92"/>
    <w:rsid w:val="00F13228"/>
    <w:rsid w:val="00F137E9"/>
    <w:rsid w:val="00F13D29"/>
    <w:rsid w:val="00F1443E"/>
    <w:rsid w:val="00F14D97"/>
    <w:rsid w:val="00F166E6"/>
    <w:rsid w:val="00F168FE"/>
    <w:rsid w:val="00F17EB9"/>
    <w:rsid w:val="00F20600"/>
    <w:rsid w:val="00F20873"/>
    <w:rsid w:val="00F20EC9"/>
    <w:rsid w:val="00F2154E"/>
    <w:rsid w:val="00F22023"/>
    <w:rsid w:val="00F224A6"/>
    <w:rsid w:val="00F2367A"/>
    <w:rsid w:val="00F24A4B"/>
    <w:rsid w:val="00F24B41"/>
    <w:rsid w:val="00F24BB9"/>
    <w:rsid w:val="00F2610B"/>
    <w:rsid w:val="00F26AC2"/>
    <w:rsid w:val="00F27803"/>
    <w:rsid w:val="00F30FB3"/>
    <w:rsid w:val="00F312DD"/>
    <w:rsid w:val="00F3157C"/>
    <w:rsid w:val="00F329EC"/>
    <w:rsid w:val="00F32A49"/>
    <w:rsid w:val="00F32E8F"/>
    <w:rsid w:val="00F33329"/>
    <w:rsid w:val="00F33AA3"/>
    <w:rsid w:val="00F33B12"/>
    <w:rsid w:val="00F342A7"/>
    <w:rsid w:val="00F348E9"/>
    <w:rsid w:val="00F34B49"/>
    <w:rsid w:val="00F34CE6"/>
    <w:rsid w:val="00F35E50"/>
    <w:rsid w:val="00F360D7"/>
    <w:rsid w:val="00F36B74"/>
    <w:rsid w:val="00F40D4E"/>
    <w:rsid w:val="00F40DE8"/>
    <w:rsid w:val="00F41F85"/>
    <w:rsid w:val="00F428DE"/>
    <w:rsid w:val="00F43122"/>
    <w:rsid w:val="00F43A27"/>
    <w:rsid w:val="00F43A41"/>
    <w:rsid w:val="00F44F65"/>
    <w:rsid w:val="00F45DFE"/>
    <w:rsid w:val="00F46B30"/>
    <w:rsid w:val="00F506AB"/>
    <w:rsid w:val="00F50A5B"/>
    <w:rsid w:val="00F51667"/>
    <w:rsid w:val="00F51C4B"/>
    <w:rsid w:val="00F5339D"/>
    <w:rsid w:val="00F534BD"/>
    <w:rsid w:val="00F55245"/>
    <w:rsid w:val="00F556ED"/>
    <w:rsid w:val="00F56A6C"/>
    <w:rsid w:val="00F572A1"/>
    <w:rsid w:val="00F57F23"/>
    <w:rsid w:val="00F60853"/>
    <w:rsid w:val="00F60944"/>
    <w:rsid w:val="00F61ADB"/>
    <w:rsid w:val="00F627BA"/>
    <w:rsid w:val="00F62B4C"/>
    <w:rsid w:val="00F62C88"/>
    <w:rsid w:val="00F636F7"/>
    <w:rsid w:val="00F64915"/>
    <w:rsid w:val="00F65DB9"/>
    <w:rsid w:val="00F65F4D"/>
    <w:rsid w:val="00F66194"/>
    <w:rsid w:val="00F66B14"/>
    <w:rsid w:val="00F671D0"/>
    <w:rsid w:val="00F673F6"/>
    <w:rsid w:val="00F701D7"/>
    <w:rsid w:val="00F708C9"/>
    <w:rsid w:val="00F71055"/>
    <w:rsid w:val="00F71F4C"/>
    <w:rsid w:val="00F72349"/>
    <w:rsid w:val="00F73A7E"/>
    <w:rsid w:val="00F73B24"/>
    <w:rsid w:val="00F744F6"/>
    <w:rsid w:val="00F748B1"/>
    <w:rsid w:val="00F75FB9"/>
    <w:rsid w:val="00F76E19"/>
    <w:rsid w:val="00F77629"/>
    <w:rsid w:val="00F8025A"/>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3FC"/>
    <w:rsid w:val="00F943FD"/>
    <w:rsid w:val="00F9535F"/>
    <w:rsid w:val="00F954DD"/>
    <w:rsid w:val="00F956B5"/>
    <w:rsid w:val="00F95A6E"/>
    <w:rsid w:val="00F95F04"/>
    <w:rsid w:val="00F96442"/>
    <w:rsid w:val="00F967F0"/>
    <w:rsid w:val="00F970E0"/>
    <w:rsid w:val="00F97716"/>
    <w:rsid w:val="00FA010B"/>
    <w:rsid w:val="00FA12B8"/>
    <w:rsid w:val="00FA1D08"/>
    <w:rsid w:val="00FA3C90"/>
    <w:rsid w:val="00FA3FEB"/>
    <w:rsid w:val="00FA440D"/>
    <w:rsid w:val="00FA6F65"/>
    <w:rsid w:val="00FA702F"/>
    <w:rsid w:val="00FA7BA1"/>
    <w:rsid w:val="00FB05F4"/>
    <w:rsid w:val="00FB0C89"/>
    <w:rsid w:val="00FB115F"/>
    <w:rsid w:val="00FB3A9D"/>
    <w:rsid w:val="00FB3CBD"/>
    <w:rsid w:val="00FB42F9"/>
    <w:rsid w:val="00FB44E0"/>
    <w:rsid w:val="00FB57D9"/>
    <w:rsid w:val="00FB6090"/>
    <w:rsid w:val="00FB6886"/>
    <w:rsid w:val="00FB6D48"/>
    <w:rsid w:val="00FB6E74"/>
    <w:rsid w:val="00FB71F6"/>
    <w:rsid w:val="00FC04EC"/>
    <w:rsid w:val="00FC1420"/>
    <w:rsid w:val="00FC1C55"/>
    <w:rsid w:val="00FC2AE2"/>
    <w:rsid w:val="00FC4088"/>
    <w:rsid w:val="00FC4450"/>
    <w:rsid w:val="00FC44F9"/>
    <w:rsid w:val="00FC4BB1"/>
    <w:rsid w:val="00FC5270"/>
    <w:rsid w:val="00FC5FD0"/>
    <w:rsid w:val="00FC6369"/>
    <w:rsid w:val="00FC654F"/>
    <w:rsid w:val="00FC68CA"/>
    <w:rsid w:val="00FC6C31"/>
    <w:rsid w:val="00FC7539"/>
    <w:rsid w:val="00FC7584"/>
    <w:rsid w:val="00FD084E"/>
    <w:rsid w:val="00FD10AA"/>
    <w:rsid w:val="00FD2488"/>
    <w:rsid w:val="00FD251E"/>
    <w:rsid w:val="00FD2D66"/>
    <w:rsid w:val="00FD36BD"/>
    <w:rsid w:val="00FD40AD"/>
    <w:rsid w:val="00FD438E"/>
    <w:rsid w:val="00FD76DF"/>
    <w:rsid w:val="00FE0146"/>
    <w:rsid w:val="00FE01C3"/>
    <w:rsid w:val="00FE0F3C"/>
    <w:rsid w:val="00FE17F6"/>
    <w:rsid w:val="00FE2880"/>
    <w:rsid w:val="00FE3700"/>
    <w:rsid w:val="00FE3815"/>
    <w:rsid w:val="00FE3974"/>
    <w:rsid w:val="00FE3E4C"/>
    <w:rsid w:val="00FE3EB9"/>
    <w:rsid w:val="00FE4A5C"/>
    <w:rsid w:val="00FE4A76"/>
    <w:rsid w:val="00FE5288"/>
    <w:rsid w:val="00FE54DD"/>
    <w:rsid w:val="00FE5E49"/>
    <w:rsid w:val="00FE5FF8"/>
    <w:rsid w:val="00FE6E7B"/>
    <w:rsid w:val="00FE7A68"/>
    <w:rsid w:val="00FF19CB"/>
    <w:rsid w:val="00FF3506"/>
    <w:rsid w:val="00FF48E9"/>
    <w:rsid w:val="00FF492B"/>
    <w:rsid w:val="00FF4D7D"/>
    <w:rsid w:val="00FF6325"/>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semiHidden/>
    <w:rsid w:val="002A3B35"/>
    <w:rPr>
      <w:sz w:val="16"/>
      <w:szCs w:val="16"/>
    </w:rPr>
  </w:style>
  <w:style w:type="paragraph" w:styleId="CommentText">
    <w:name w:val="annotation text"/>
    <w:basedOn w:val="Normal"/>
    <w:semiHidden/>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ED768-FEE8-4EF2-BF6A-BEEE41FC0E4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3D27B19-287B-4205-A4A0-4A8BE7F74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700E29-8BC3-4458-891F-119DA5C23435}">
  <ds:schemaRefs>
    <ds:schemaRef ds:uri="http://schemas.microsoft.com/sharepoint/v3/contenttype/forms"/>
  </ds:schemaRefs>
</ds:datastoreItem>
</file>

<file path=customXml/itemProps4.xml><?xml version="1.0" encoding="utf-8"?>
<ds:datastoreItem xmlns:ds="http://schemas.openxmlformats.org/officeDocument/2006/customXml" ds:itemID="{A97A8D3F-6349-494F-A205-3AA79AD7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18584</Words>
  <Characters>98605</Characters>
  <Application>Microsoft Office Word</Application>
  <DocSecurity>0</DocSecurity>
  <Lines>821</Lines>
  <Paragraphs>233</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116956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subject/>
  <dc:creator>Andrea Curtis</dc:creator>
  <cp:keywords/>
  <dc:description/>
  <cp:lastModifiedBy>Stephanie Clark</cp:lastModifiedBy>
  <cp:revision>2</cp:revision>
  <cp:lastPrinted>2011-03-01T19:16:00Z</cp:lastPrinted>
  <dcterms:created xsi:type="dcterms:W3CDTF">2011-03-31T22:16:00Z</dcterms:created>
  <dcterms:modified xsi:type="dcterms:W3CDTF">2011-03-31T22:16:00Z</dcterms:modified>
</cp:coreProperties>
</file>