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375" w:rsidRDefault="004921CA" w:rsidP="0007409F">
      <w:pPr>
        <w:tabs>
          <w:tab w:val="center" w:pos="4680"/>
        </w:tabs>
        <w:suppressAutoHyphens/>
        <w:jc w:val="center"/>
        <w:rPr>
          <w:spacing w:val="-3"/>
        </w:rPr>
      </w:pPr>
      <w:r>
        <w:rPr>
          <w:spacing w:val="-3"/>
        </w:rPr>
        <w:t xml:space="preserve"> </w:t>
      </w:r>
      <w:r w:rsidR="00425375">
        <w:rPr>
          <w:spacing w:val="-3"/>
        </w:rPr>
        <w:t xml:space="preserve">State of </w:t>
      </w:r>
      <w:smartTag w:uri="urn:schemas-microsoft-com:office:smarttags" w:element="State">
        <w:smartTag w:uri="urn:schemas-microsoft-com:office:smarttags" w:element="Street">
          <w:r w:rsidR="00425375">
            <w:rPr>
              <w:spacing w:val="-3"/>
            </w:rPr>
            <w:t>Oregon</w:t>
          </w:r>
        </w:smartTag>
      </w:smartTag>
    </w:p>
    <w:p w:rsidR="00425375" w:rsidRDefault="00425375" w:rsidP="0007409F">
      <w:pPr>
        <w:tabs>
          <w:tab w:val="center" w:pos="4680"/>
        </w:tabs>
        <w:suppressAutoHyphens/>
        <w:jc w:val="both"/>
        <w:rPr>
          <w:spacing w:val="-3"/>
        </w:rPr>
      </w:pPr>
      <w:r>
        <w:rPr>
          <w:spacing w:val="-3"/>
        </w:rPr>
        <w:tab/>
        <w:t>DEPARTMENT OF ENVIRONMENTAL QUALITY</w:t>
      </w:r>
    </w:p>
    <w:p w:rsidR="00425375" w:rsidRPr="00B56084" w:rsidRDefault="00425375" w:rsidP="0007409F">
      <w:pPr>
        <w:keepNext/>
        <w:keepLines/>
        <w:tabs>
          <w:tab w:val="left" w:pos="-1440"/>
          <w:tab w:val="left" w:pos="-720"/>
          <w:tab w:val="left" w:pos="0"/>
        </w:tabs>
        <w:suppressAutoHyphens/>
        <w:jc w:val="center"/>
        <w:rPr>
          <w:b/>
        </w:rPr>
      </w:pPr>
    </w:p>
    <w:p w:rsidR="00425375" w:rsidRDefault="00425375" w:rsidP="0007409F">
      <w:pPr>
        <w:keepNext/>
        <w:keepLines/>
        <w:tabs>
          <w:tab w:val="left" w:pos="-1440"/>
          <w:tab w:val="left" w:pos="-720"/>
          <w:tab w:val="left" w:pos="0"/>
        </w:tabs>
        <w:suppressAutoHyphens/>
        <w:jc w:val="center"/>
        <w:rPr>
          <w:b/>
          <w:sz w:val="28"/>
          <w:szCs w:val="28"/>
        </w:rPr>
      </w:pPr>
      <w:r w:rsidRPr="00565CB5">
        <w:rPr>
          <w:b/>
          <w:sz w:val="28"/>
          <w:szCs w:val="28"/>
        </w:rPr>
        <w:t>Relationship to Federal Requirements</w:t>
      </w:r>
    </w:p>
    <w:p w:rsidR="00CB537F" w:rsidRDefault="00CB537F" w:rsidP="0007409F">
      <w:pPr>
        <w:tabs>
          <w:tab w:val="center" w:pos="2340"/>
          <w:tab w:val="center" w:pos="7020"/>
        </w:tabs>
        <w:jc w:val="center"/>
        <w:rPr>
          <w:b/>
        </w:rPr>
      </w:pPr>
    </w:p>
    <w:p w:rsidR="00B56084" w:rsidRPr="00301491" w:rsidRDefault="00B56084" w:rsidP="00B56084">
      <w:pPr>
        <w:jc w:val="center"/>
        <w:rPr>
          <w:b/>
        </w:rPr>
      </w:pPr>
      <w:r w:rsidRPr="00301491">
        <w:rPr>
          <w:b/>
        </w:rPr>
        <w:t xml:space="preserve">New Source Review, Particulate Matter and Greenhouse Gas Permitting Requirements and Other Permitting Rule Updates </w:t>
      </w:r>
    </w:p>
    <w:p w:rsidR="00425375" w:rsidRPr="003B2111" w:rsidRDefault="00425375" w:rsidP="0007409F">
      <w:pPr>
        <w:tabs>
          <w:tab w:val="center" w:pos="2340"/>
          <w:tab w:val="center" w:pos="7020"/>
        </w:tabs>
        <w:jc w:val="center"/>
        <w:rPr>
          <w:b/>
          <w:sz w:val="28"/>
          <w:szCs w:val="28"/>
        </w:rPr>
      </w:pPr>
      <w:r w:rsidRPr="003B2111">
        <w:rPr>
          <w:b/>
          <w:sz w:val="28"/>
          <w:szCs w:val="28"/>
        </w:rPr>
        <w:t xml:space="preserve">     _______________________________________________________________</w:t>
      </w:r>
    </w:p>
    <w:p w:rsidR="00432A7A" w:rsidRDefault="00432A7A" w:rsidP="0007409F">
      <w:pPr>
        <w:tabs>
          <w:tab w:val="center" w:pos="2340"/>
          <w:tab w:val="center" w:pos="7020"/>
        </w:tabs>
        <w:jc w:val="center"/>
        <w:rPr>
          <w:rFonts w:ascii="Arial" w:hAnsi="Arial" w:cs="Arial"/>
          <w:sz w:val="22"/>
          <w:szCs w:val="22"/>
        </w:rPr>
      </w:pPr>
    </w:p>
    <w:p w:rsidR="00B56084" w:rsidRPr="00301491" w:rsidRDefault="00B56084" w:rsidP="00B56084">
      <w:pPr>
        <w:tabs>
          <w:tab w:val="center" w:pos="2340"/>
          <w:tab w:val="center" w:pos="7020"/>
        </w:tabs>
        <w:jc w:val="center"/>
      </w:pPr>
      <w:r w:rsidRPr="00301491">
        <w:t>The Oregon Department of Environmental Quality (DEQ) is proposing rules that would update New Source Review/Prevention of Significant Deterioration (NSR/PSD) for fine</w:t>
      </w:r>
      <w:r w:rsidR="00F702A8" w:rsidRPr="00301491">
        <w:t xml:space="preserve"> particles and greenhouse gases</w:t>
      </w:r>
      <w:r w:rsidRPr="00301491">
        <w:t xml:space="preserve"> and make other permitting rule updates.</w:t>
      </w:r>
    </w:p>
    <w:p w:rsidR="00425375" w:rsidRDefault="00425375" w:rsidP="0007409F">
      <w:pPr>
        <w:rPr>
          <w:b/>
        </w:rPr>
      </w:pPr>
    </w:p>
    <w:p w:rsidR="00425375" w:rsidRPr="008837DD" w:rsidRDefault="00425375" w:rsidP="0007409F">
      <w:pPr>
        <w:rPr>
          <w:b/>
          <w:i/>
        </w:rPr>
      </w:pPr>
      <w:r w:rsidRPr="008837DD">
        <w:rPr>
          <w:b/>
          <w:i/>
        </w:rPr>
        <w:t xml:space="preserve">Answers to the following questions identify how the proposed rulemaking relates to federal requirements and </w:t>
      </w:r>
      <w:r w:rsidR="00BC139B">
        <w:rPr>
          <w:b/>
          <w:i/>
        </w:rPr>
        <w:t>the</w:t>
      </w:r>
      <w:r w:rsidRPr="008837DD">
        <w:rPr>
          <w:b/>
          <w:i/>
        </w:rPr>
        <w:t xml:space="preserve"> justification for differing from</w:t>
      </w:r>
      <w:r w:rsidR="00D062F4" w:rsidRPr="008837DD">
        <w:rPr>
          <w:b/>
          <w:i/>
        </w:rPr>
        <w:t>,</w:t>
      </w:r>
      <w:r w:rsidRPr="008837DD">
        <w:rPr>
          <w:b/>
          <w:i/>
        </w:rPr>
        <w:t xml:space="preserve"> or adding to</w:t>
      </w:r>
      <w:r w:rsidR="00D062F4" w:rsidRPr="008837DD">
        <w:rPr>
          <w:b/>
          <w:i/>
        </w:rPr>
        <w:t>,</w:t>
      </w:r>
      <w:r w:rsidRPr="008837DD">
        <w:rPr>
          <w:b/>
          <w:i/>
        </w:rPr>
        <w:t xml:space="preserve"> federal requirements. This statement is required by OAR 340-011-0029(1).</w:t>
      </w:r>
    </w:p>
    <w:p w:rsidR="00650005" w:rsidRDefault="00650005" w:rsidP="0007409F">
      <w:pPr>
        <w:rPr>
          <w:b/>
          <w:spacing w:val="-3"/>
        </w:rPr>
      </w:pPr>
    </w:p>
    <w:p w:rsidR="00425375" w:rsidRPr="00BC139B" w:rsidRDefault="00DA749A" w:rsidP="0007409F">
      <w:pPr>
        <w:rPr>
          <w:rFonts w:ascii="Arial" w:hAnsi="Arial" w:cs="Arial"/>
          <w:b/>
          <w:spacing w:val="-3"/>
        </w:rPr>
      </w:pPr>
      <w:r w:rsidRPr="00BC139B">
        <w:rPr>
          <w:rFonts w:ascii="Arial" w:hAnsi="Arial" w:cs="Arial"/>
          <w:b/>
          <w:spacing w:val="-3"/>
        </w:rPr>
        <w:t>1.</w:t>
      </w:r>
      <w:r w:rsidR="004E72B3" w:rsidRPr="00BC139B" w:rsidDel="004E72B3">
        <w:rPr>
          <w:rFonts w:ascii="Arial" w:hAnsi="Arial" w:cs="Arial"/>
          <w:b/>
          <w:spacing w:val="-3"/>
        </w:rPr>
        <w:t xml:space="preserve"> </w:t>
      </w:r>
      <w:r w:rsidR="00425375" w:rsidRPr="00BC139B">
        <w:rPr>
          <w:rFonts w:ascii="Arial" w:hAnsi="Arial" w:cs="Arial"/>
          <w:b/>
          <w:spacing w:val="-3"/>
        </w:rPr>
        <w:t xml:space="preserve">Is the proposed rulemaking different from, or in addition to, applicable federal requirements? </w:t>
      </w:r>
      <w:r w:rsidR="00B56084">
        <w:rPr>
          <w:rFonts w:ascii="Arial" w:hAnsi="Arial" w:cs="Arial"/>
          <w:b/>
          <w:spacing w:val="-3"/>
        </w:rPr>
        <w:t xml:space="preserve"> </w:t>
      </w:r>
      <w:r w:rsidR="00425375" w:rsidRPr="00BC139B">
        <w:rPr>
          <w:rFonts w:ascii="Arial" w:hAnsi="Arial" w:cs="Arial"/>
          <w:b/>
          <w:spacing w:val="-3"/>
        </w:rPr>
        <w:t>If so, what are the differences or additions?</w:t>
      </w:r>
      <w:r w:rsidR="001B203A">
        <w:rPr>
          <w:rFonts w:ascii="Arial" w:hAnsi="Arial" w:cs="Arial"/>
          <w:b/>
          <w:spacing w:val="-3"/>
        </w:rPr>
        <w:t xml:space="preserve">  </w:t>
      </w:r>
    </w:p>
    <w:p w:rsidR="002A4F1A" w:rsidRDefault="002A4F1A"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p>
    <w:p w:rsidR="00C40557" w:rsidRPr="00301491" w:rsidRDefault="00C179E3"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r w:rsidRPr="00301491">
        <w:t xml:space="preserve">Yes, </w:t>
      </w:r>
      <w:r w:rsidR="002E2FCF" w:rsidRPr="00301491">
        <w:t xml:space="preserve">the proposed rulemaking is different because it modifies Oregon’s existing permitting rules which are different than federal rules.  Oregon’s permitting program has been structured in a different way than the federal program since it originated in 1982, </w:t>
      </w:r>
      <w:r w:rsidRPr="00301491">
        <w:t xml:space="preserve">but </w:t>
      </w:r>
      <w:r w:rsidR="002E2FCF" w:rsidRPr="00301491">
        <w:t xml:space="preserve">is </w:t>
      </w:r>
      <w:r w:rsidRPr="00301491">
        <w:t xml:space="preserve">considered </w:t>
      </w:r>
      <w:r w:rsidR="00C40557" w:rsidRPr="00301491">
        <w:t>equivalent by</w:t>
      </w:r>
      <w:r w:rsidRPr="00301491">
        <w:t xml:space="preserve"> </w:t>
      </w:r>
      <w:r w:rsidR="00C40557" w:rsidRPr="00301491">
        <w:t xml:space="preserve">the </w:t>
      </w:r>
      <w:r w:rsidRPr="00301491">
        <w:t xml:space="preserve">Environmental Protection Agency.  </w:t>
      </w:r>
      <w:r w:rsidR="00C40557" w:rsidRPr="00301491">
        <w:t xml:space="preserve">  </w:t>
      </w:r>
    </w:p>
    <w:p w:rsidR="00C179E3" w:rsidRPr="00301491" w:rsidRDefault="00C179E3"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p>
    <w:p w:rsidR="001B4FB5" w:rsidRPr="00301491" w:rsidRDefault="00C40557"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r w:rsidRPr="00301491">
        <w:t xml:space="preserve">Both programs require preconstruction approval </w:t>
      </w:r>
      <w:r w:rsidR="002E2FCF" w:rsidRPr="00301491">
        <w:t xml:space="preserve">(NSR/PSD) </w:t>
      </w:r>
      <w:r w:rsidRPr="00301491">
        <w:t xml:space="preserve">for new major </w:t>
      </w:r>
      <w:r w:rsidR="002C657A" w:rsidRPr="00301491">
        <w:t xml:space="preserve">air pollution </w:t>
      </w:r>
      <w:r w:rsidRPr="00301491">
        <w:t xml:space="preserve">sources </w:t>
      </w:r>
      <w:r w:rsidR="002C657A" w:rsidRPr="00301491">
        <w:t>or existing sources making</w:t>
      </w:r>
      <w:r w:rsidRPr="00301491">
        <w:t xml:space="preserve"> modification</w:t>
      </w:r>
      <w:r w:rsidR="001B4FB5" w:rsidRPr="00301491">
        <w:t>s</w:t>
      </w:r>
      <w:r w:rsidR="002C657A" w:rsidRPr="00301491">
        <w:t xml:space="preserve"> that will increa</w:t>
      </w:r>
      <w:r w:rsidR="00056050" w:rsidRPr="00301491">
        <w:t>se their</w:t>
      </w:r>
      <w:r w:rsidR="002C657A" w:rsidRPr="00301491">
        <w:t xml:space="preserve"> emissions </w:t>
      </w:r>
      <w:r w:rsidR="00B11B32" w:rsidRPr="00301491">
        <w:t xml:space="preserve">above </w:t>
      </w:r>
      <w:r w:rsidR="002E2FCF" w:rsidRPr="00301491">
        <w:t xml:space="preserve">a </w:t>
      </w:r>
      <w:r w:rsidR="00B11B32" w:rsidRPr="00301491">
        <w:t xml:space="preserve">baseline level </w:t>
      </w:r>
      <w:r w:rsidR="00056050" w:rsidRPr="00301491">
        <w:t xml:space="preserve">by a defined amount known as </w:t>
      </w:r>
      <w:r w:rsidR="00B11B32" w:rsidRPr="00301491">
        <w:t>a</w:t>
      </w:r>
      <w:r w:rsidR="00056050" w:rsidRPr="00301491">
        <w:t xml:space="preserve"> “Significant Emission Rate.” </w:t>
      </w:r>
      <w:r w:rsidR="00B11B32" w:rsidRPr="00301491">
        <w:t xml:space="preserve"> </w:t>
      </w:r>
      <w:r w:rsidRPr="00301491">
        <w:t>The primary difference between Oregon’s existing</w:t>
      </w:r>
      <w:r w:rsidR="00B11B32" w:rsidRPr="00301491">
        <w:t xml:space="preserve"> rules and the federal rules is</w:t>
      </w:r>
      <w:r w:rsidRPr="00301491">
        <w:t xml:space="preserve"> </w:t>
      </w:r>
      <w:r w:rsidR="00B11B32" w:rsidRPr="00301491">
        <w:t>how the baseline emission level</w:t>
      </w:r>
      <w:r w:rsidR="00C65AF7" w:rsidRPr="00301491">
        <w:t>, or netting basis,</w:t>
      </w:r>
      <w:r w:rsidR="00B11B32" w:rsidRPr="00301491">
        <w:t xml:space="preserve"> is established.</w:t>
      </w:r>
      <w:r w:rsidRPr="00301491">
        <w:t xml:space="preserve"> </w:t>
      </w:r>
      <w:r w:rsidR="007F2C23" w:rsidRPr="00301491">
        <w:t>The netting basis is the emission level in a defined baseline year, adjusted by any required decreases and approved increases of emissions.</w:t>
      </w:r>
      <w:r w:rsidR="00FE7D58" w:rsidRPr="00301491">
        <w:t xml:space="preserve">  </w:t>
      </w:r>
    </w:p>
    <w:p w:rsidR="005E6A57" w:rsidRPr="00301491" w:rsidRDefault="005E6A57"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p>
    <w:p w:rsidR="005E6A57" w:rsidRPr="00301491" w:rsidRDefault="009C7195"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r w:rsidRPr="00301491">
        <w:t xml:space="preserve">Under </w:t>
      </w:r>
      <w:r w:rsidR="00BA7421" w:rsidRPr="00301491">
        <w:t>Oregon</w:t>
      </w:r>
      <w:r w:rsidRPr="00301491">
        <w:t xml:space="preserve">’s program, </w:t>
      </w:r>
      <w:r w:rsidR="00C65AF7" w:rsidRPr="00301491">
        <w:t xml:space="preserve">the </w:t>
      </w:r>
      <w:r w:rsidR="005D496A" w:rsidRPr="00301491">
        <w:t>netting ba</w:t>
      </w:r>
      <w:r w:rsidR="00FE7D58" w:rsidRPr="00301491">
        <w:t xml:space="preserve">sis </w:t>
      </w:r>
      <w:r w:rsidRPr="00301491">
        <w:t xml:space="preserve">is based on </w:t>
      </w:r>
      <w:r w:rsidR="00C65AF7" w:rsidRPr="00301491">
        <w:t xml:space="preserve">actual </w:t>
      </w:r>
      <w:r w:rsidRPr="00301491">
        <w:t xml:space="preserve">emissions </w:t>
      </w:r>
      <w:r w:rsidR="002F0FEF" w:rsidRPr="00301491">
        <w:t>from a set</w:t>
      </w:r>
      <w:r w:rsidR="00B11B32" w:rsidRPr="00301491">
        <w:t xml:space="preserve"> time period, often the year </w:t>
      </w:r>
      <w:r w:rsidRPr="00301491">
        <w:t>1977</w:t>
      </w:r>
      <w:r w:rsidR="00B11B32" w:rsidRPr="00301491">
        <w:t xml:space="preserve"> or 1978</w:t>
      </w:r>
      <w:r w:rsidR="005E6A57" w:rsidRPr="00301491">
        <w:t>, and is adjusted according</w:t>
      </w:r>
      <w:r w:rsidR="0090739D" w:rsidRPr="00301491">
        <w:t>ly</w:t>
      </w:r>
      <w:r w:rsidR="005E6A57" w:rsidRPr="00301491">
        <w:t xml:space="preserve"> based on subsequent changes at the facility</w:t>
      </w:r>
      <w:r w:rsidR="00BA7421" w:rsidRPr="00301491">
        <w:t xml:space="preserve">.  If </w:t>
      </w:r>
      <w:r w:rsidRPr="00301491">
        <w:t xml:space="preserve">emissions </w:t>
      </w:r>
      <w:r w:rsidR="005D496A" w:rsidRPr="00301491">
        <w:t>increase</w:t>
      </w:r>
      <w:r w:rsidRPr="00301491">
        <w:t xml:space="preserve"> above the </w:t>
      </w:r>
      <w:r w:rsidR="005E6A57" w:rsidRPr="00301491">
        <w:t xml:space="preserve">netting basis </w:t>
      </w:r>
      <w:r w:rsidR="00B11B32" w:rsidRPr="00301491">
        <w:t xml:space="preserve">by the </w:t>
      </w:r>
      <w:r w:rsidRPr="00301491">
        <w:t>S</w:t>
      </w:r>
      <w:r w:rsidR="00BA7421" w:rsidRPr="00301491">
        <w:t xml:space="preserve">ignificant </w:t>
      </w:r>
      <w:r w:rsidRPr="00301491">
        <w:t>E</w:t>
      </w:r>
      <w:r w:rsidR="00BA7421" w:rsidRPr="00301491">
        <w:t xml:space="preserve">mission </w:t>
      </w:r>
      <w:r w:rsidRPr="00301491">
        <w:t>R</w:t>
      </w:r>
      <w:r w:rsidR="00BA7421" w:rsidRPr="00301491">
        <w:t xml:space="preserve">ate for a pollutant, the source triggers NSR/PSD. </w:t>
      </w:r>
    </w:p>
    <w:p w:rsidR="005E6A57" w:rsidRPr="00301491" w:rsidRDefault="005E6A57"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p>
    <w:p w:rsidR="0081209A" w:rsidRPr="00301491" w:rsidRDefault="00BA7421"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r w:rsidRPr="00301491">
        <w:t>Under the federal program</w:t>
      </w:r>
      <w:r w:rsidR="003E06B9" w:rsidRPr="00301491">
        <w:t xml:space="preserve"> </w:t>
      </w:r>
      <w:r w:rsidR="00C65AF7" w:rsidRPr="00301491">
        <w:t xml:space="preserve">NSR/PSD is </w:t>
      </w:r>
      <w:r w:rsidR="003E06B9" w:rsidRPr="00301491">
        <w:t xml:space="preserve">also </w:t>
      </w:r>
      <w:r w:rsidR="00C65AF7" w:rsidRPr="00301491">
        <w:t xml:space="preserve">triggered by an increase over </w:t>
      </w:r>
      <w:r w:rsidR="005E6A57" w:rsidRPr="00301491">
        <w:t xml:space="preserve">a </w:t>
      </w:r>
      <w:r w:rsidR="005D496A" w:rsidRPr="00301491">
        <w:t>S</w:t>
      </w:r>
      <w:r w:rsidR="005E6A57" w:rsidRPr="00301491">
        <w:t xml:space="preserve">ignificant </w:t>
      </w:r>
      <w:r w:rsidR="005D496A" w:rsidRPr="00301491">
        <w:t>E</w:t>
      </w:r>
      <w:r w:rsidR="005E6A57" w:rsidRPr="00301491">
        <w:t xml:space="preserve">mission </w:t>
      </w:r>
      <w:r w:rsidR="005D496A" w:rsidRPr="00301491">
        <w:t>R</w:t>
      </w:r>
      <w:r w:rsidR="005E6A57" w:rsidRPr="00301491">
        <w:t xml:space="preserve">ate, however the concept of </w:t>
      </w:r>
      <w:r w:rsidR="00993E8D" w:rsidRPr="00301491">
        <w:t>baseline and</w:t>
      </w:r>
      <w:r w:rsidR="005E6A57" w:rsidRPr="00301491">
        <w:t xml:space="preserve"> netting basis is different.  Instead of having a fixed</w:t>
      </w:r>
      <w:r w:rsidR="003E06B9" w:rsidRPr="00301491">
        <w:t xml:space="preserve"> </w:t>
      </w:r>
      <w:r w:rsidRPr="00301491">
        <w:t xml:space="preserve">baseline </w:t>
      </w:r>
      <w:r w:rsidR="005E6A57" w:rsidRPr="00301491">
        <w:t>period</w:t>
      </w:r>
      <w:r w:rsidR="005D496A" w:rsidRPr="00301491">
        <w:t>,</w:t>
      </w:r>
      <w:r w:rsidR="005E6A57" w:rsidRPr="00301491">
        <w:t xml:space="preserve"> the federal program </w:t>
      </w:r>
      <w:r w:rsidR="003F5D40" w:rsidRPr="00301491">
        <w:t>typically</w:t>
      </w:r>
      <w:r w:rsidR="005E6A57" w:rsidRPr="00301491">
        <w:t xml:space="preserve"> </w:t>
      </w:r>
      <w:r w:rsidR="00993E8D" w:rsidRPr="00301491">
        <w:t xml:space="preserve">requires a </w:t>
      </w:r>
      <w:r w:rsidR="003F5D40" w:rsidRPr="00301491">
        <w:t xml:space="preserve">review </w:t>
      </w:r>
      <w:r w:rsidR="00993E8D" w:rsidRPr="00301491">
        <w:t xml:space="preserve">of </w:t>
      </w:r>
      <w:r w:rsidRPr="00301491">
        <w:t xml:space="preserve">the </w:t>
      </w:r>
      <w:r w:rsidR="00C71991" w:rsidRPr="00301491">
        <w:rPr>
          <w:rStyle w:val="Emphasis"/>
          <w:i w:val="0"/>
        </w:rPr>
        <w:t xml:space="preserve">highest actual emissions </w:t>
      </w:r>
      <w:r w:rsidR="005E6A57" w:rsidRPr="00301491">
        <w:rPr>
          <w:rStyle w:val="Emphasis"/>
          <w:i w:val="0"/>
        </w:rPr>
        <w:t xml:space="preserve">at a source </w:t>
      </w:r>
      <w:r w:rsidR="00A54286" w:rsidRPr="00301491">
        <w:rPr>
          <w:rStyle w:val="Emphasis"/>
          <w:i w:val="0"/>
        </w:rPr>
        <w:t xml:space="preserve">over </w:t>
      </w:r>
      <w:r w:rsidR="00C71991" w:rsidRPr="00301491">
        <w:rPr>
          <w:rStyle w:val="Emphasis"/>
          <w:i w:val="0"/>
        </w:rPr>
        <w:t>any two year period in the previous ten years</w:t>
      </w:r>
      <w:r w:rsidR="00A0670E" w:rsidRPr="00301491">
        <w:rPr>
          <w:rStyle w:val="Emphasis"/>
          <w:i w:val="0"/>
        </w:rPr>
        <w:t xml:space="preserve">.  </w:t>
      </w:r>
      <w:r w:rsidR="0090739D" w:rsidRPr="00301491">
        <w:rPr>
          <w:rStyle w:val="Emphasis"/>
          <w:i w:val="0"/>
        </w:rPr>
        <w:t xml:space="preserve">Following </w:t>
      </w:r>
      <w:r w:rsidR="00993E8D" w:rsidRPr="00301491">
        <w:rPr>
          <w:rStyle w:val="Emphasis"/>
          <w:i w:val="0"/>
        </w:rPr>
        <w:t xml:space="preserve">that review, an annual highest emission level is established and that level is used as the baseline for </w:t>
      </w:r>
      <w:r w:rsidR="0090739D" w:rsidRPr="00301491">
        <w:rPr>
          <w:rStyle w:val="Emphasis"/>
          <w:i w:val="0"/>
        </w:rPr>
        <w:t>determining</w:t>
      </w:r>
      <w:r w:rsidR="00993E8D" w:rsidRPr="00301491">
        <w:rPr>
          <w:rStyle w:val="Emphasis"/>
          <w:i w:val="0"/>
        </w:rPr>
        <w:t xml:space="preserve"> if emission</w:t>
      </w:r>
      <w:r w:rsidR="0090739D" w:rsidRPr="00301491">
        <w:rPr>
          <w:rStyle w:val="Emphasis"/>
          <w:i w:val="0"/>
        </w:rPr>
        <w:t>s</w:t>
      </w:r>
      <w:r w:rsidR="00993E8D" w:rsidRPr="00301491">
        <w:rPr>
          <w:rStyle w:val="Emphasis"/>
          <w:i w:val="0"/>
        </w:rPr>
        <w:t xml:space="preserve"> </w:t>
      </w:r>
      <w:r w:rsidR="0090739D" w:rsidRPr="00301491">
        <w:rPr>
          <w:rStyle w:val="Emphasis"/>
          <w:i w:val="0"/>
        </w:rPr>
        <w:t xml:space="preserve">will increase by more than a </w:t>
      </w:r>
      <w:r w:rsidR="005D496A" w:rsidRPr="00301491">
        <w:rPr>
          <w:rStyle w:val="Emphasis"/>
          <w:i w:val="0"/>
        </w:rPr>
        <w:t>S</w:t>
      </w:r>
      <w:r w:rsidR="0090739D" w:rsidRPr="00301491">
        <w:rPr>
          <w:rStyle w:val="Emphasis"/>
          <w:i w:val="0"/>
        </w:rPr>
        <w:t xml:space="preserve">ignificant </w:t>
      </w:r>
      <w:r w:rsidR="005D496A" w:rsidRPr="00301491">
        <w:rPr>
          <w:rStyle w:val="Emphasis"/>
          <w:i w:val="0"/>
        </w:rPr>
        <w:t>E</w:t>
      </w:r>
      <w:r w:rsidR="0090739D" w:rsidRPr="00301491">
        <w:rPr>
          <w:rStyle w:val="Emphasis"/>
          <w:i w:val="0"/>
        </w:rPr>
        <w:t xml:space="preserve">mission </w:t>
      </w:r>
      <w:r w:rsidR="005D496A" w:rsidRPr="00301491">
        <w:rPr>
          <w:rStyle w:val="Emphasis"/>
          <w:i w:val="0"/>
        </w:rPr>
        <w:t>R</w:t>
      </w:r>
      <w:r w:rsidR="0090739D" w:rsidRPr="00301491">
        <w:rPr>
          <w:rStyle w:val="Emphasis"/>
          <w:i w:val="0"/>
        </w:rPr>
        <w:t>ate</w:t>
      </w:r>
      <w:r w:rsidR="00993E8D" w:rsidRPr="00301491">
        <w:rPr>
          <w:rStyle w:val="Emphasis"/>
          <w:i w:val="0"/>
        </w:rPr>
        <w:t xml:space="preserve">.    </w:t>
      </w:r>
      <w:r w:rsidR="002E2FCF" w:rsidRPr="00301491">
        <w:t xml:space="preserve"> </w:t>
      </w:r>
    </w:p>
    <w:p w:rsidR="00B11B32" w:rsidRPr="00301491" w:rsidRDefault="00B11B32" w:rsidP="00DC7CAF">
      <w:pPr>
        <w:rPr>
          <w:color w:val="000000"/>
        </w:rPr>
      </w:pPr>
    </w:p>
    <w:p w:rsidR="00B11B32" w:rsidRPr="00301491" w:rsidRDefault="00B11B32" w:rsidP="00DC7CAF">
      <w:pPr>
        <w:rPr>
          <w:color w:val="000000"/>
        </w:rPr>
      </w:pPr>
      <w:r w:rsidRPr="00301491">
        <w:rPr>
          <w:color w:val="000000"/>
        </w:rPr>
        <w:t>The proposed rule do</w:t>
      </w:r>
      <w:r w:rsidR="002F0FEF" w:rsidRPr="00301491">
        <w:rPr>
          <w:color w:val="000000"/>
        </w:rPr>
        <w:t>es</w:t>
      </w:r>
      <w:r w:rsidRPr="00301491">
        <w:rPr>
          <w:color w:val="000000"/>
        </w:rPr>
        <w:t xml:space="preserve"> not create</w:t>
      </w:r>
      <w:r w:rsidR="003E06B9" w:rsidRPr="00301491">
        <w:rPr>
          <w:color w:val="000000"/>
        </w:rPr>
        <w:t xml:space="preserve"> new differences </w:t>
      </w:r>
      <w:r w:rsidR="00C13D1E" w:rsidRPr="00301491">
        <w:rPr>
          <w:color w:val="000000"/>
        </w:rPr>
        <w:t xml:space="preserve">in the major source preconstruction program </w:t>
      </w:r>
      <w:r w:rsidR="003E06B9" w:rsidRPr="00301491">
        <w:rPr>
          <w:color w:val="000000"/>
        </w:rPr>
        <w:t>from the federal program</w:t>
      </w:r>
      <w:r w:rsidR="002F0FEF" w:rsidRPr="00301491">
        <w:rPr>
          <w:color w:val="000000"/>
        </w:rPr>
        <w:t>.  It makes changes to Oregon</w:t>
      </w:r>
      <w:r w:rsidR="00B67755" w:rsidRPr="00301491">
        <w:rPr>
          <w:color w:val="000000"/>
        </w:rPr>
        <w:t>’</w:t>
      </w:r>
      <w:r w:rsidR="002F0FEF" w:rsidRPr="00301491">
        <w:rPr>
          <w:color w:val="000000"/>
        </w:rPr>
        <w:t>s rules to maintain equivalency with the federal program</w:t>
      </w:r>
      <w:r w:rsidR="003E06B9" w:rsidRPr="00301491">
        <w:rPr>
          <w:color w:val="000000"/>
        </w:rPr>
        <w:t xml:space="preserve">.  The proposed rule incorporates two new federally regulated pollutants </w:t>
      </w:r>
      <w:r w:rsidR="003E06B9" w:rsidRPr="00301491">
        <w:rPr>
          <w:color w:val="000000"/>
        </w:rPr>
        <w:lastRenderedPageBreak/>
        <w:t xml:space="preserve">(greenhouse gases and fine particulates) </w:t>
      </w:r>
      <w:r w:rsidR="002F0FEF" w:rsidRPr="00301491">
        <w:rPr>
          <w:color w:val="000000"/>
        </w:rPr>
        <w:t xml:space="preserve">into </w:t>
      </w:r>
      <w:r w:rsidR="003E06B9" w:rsidRPr="00301491">
        <w:rPr>
          <w:color w:val="000000"/>
        </w:rPr>
        <w:t xml:space="preserve">Oregon’s existing </w:t>
      </w:r>
      <w:r w:rsidR="002F0FEF" w:rsidRPr="00301491">
        <w:rPr>
          <w:color w:val="000000"/>
        </w:rPr>
        <w:t>program which is</w:t>
      </w:r>
      <w:r w:rsidR="00B92319" w:rsidRPr="00301491">
        <w:rPr>
          <w:color w:val="000000"/>
        </w:rPr>
        <w:t>,</w:t>
      </w:r>
      <w:r w:rsidR="002F0FEF" w:rsidRPr="00301491">
        <w:rPr>
          <w:color w:val="000000"/>
        </w:rPr>
        <w:t xml:space="preserve"> and has been </w:t>
      </w:r>
      <w:r w:rsidR="003E06B9" w:rsidRPr="00301491">
        <w:rPr>
          <w:color w:val="000000"/>
        </w:rPr>
        <w:t>diffe</w:t>
      </w:r>
      <w:r w:rsidR="002F0FEF" w:rsidRPr="00301491">
        <w:rPr>
          <w:color w:val="000000"/>
        </w:rPr>
        <w:t>rent from the</w:t>
      </w:r>
      <w:r w:rsidR="003E06B9" w:rsidRPr="00301491">
        <w:rPr>
          <w:color w:val="000000"/>
        </w:rPr>
        <w:t xml:space="preserve"> federal</w:t>
      </w:r>
      <w:r w:rsidR="002F0FEF" w:rsidRPr="00301491">
        <w:rPr>
          <w:color w:val="000000"/>
        </w:rPr>
        <w:t xml:space="preserve"> program </w:t>
      </w:r>
      <w:r w:rsidR="003F5D40" w:rsidRPr="00301491">
        <w:rPr>
          <w:color w:val="000000"/>
        </w:rPr>
        <w:t>since</w:t>
      </w:r>
      <w:r w:rsidR="001B4FB5" w:rsidRPr="00301491">
        <w:rPr>
          <w:color w:val="000000"/>
        </w:rPr>
        <w:t xml:space="preserve"> </w:t>
      </w:r>
      <w:r w:rsidR="00B67755" w:rsidRPr="00301491">
        <w:rPr>
          <w:color w:val="000000"/>
        </w:rPr>
        <w:t xml:space="preserve">its </w:t>
      </w:r>
      <w:r w:rsidR="001B4FB5" w:rsidRPr="00301491">
        <w:rPr>
          <w:color w:val="000000"/>
        </w:rPr>
        <w:t>inception</w:t>
      </w:r>
      <w:r w:rsidR="003E06B9" w:rsidRPr="00301491">
        <w:rPr>
          <w:color w:val="000000"/>
        </w:rPr>
        <w:t xml:space="preserve">.  </w:t>
      </w:r>
    </w:p>
    <w:p w:rsidR="0007409F" w:rsidRPr="00B82BAC" w:rsidRDefault="0007409F"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p>
    <w:p w:rsidR="00B92319" w:rsidRPr="00301491" w:rsidRDefault="00C13D1E" w:rsidP="00762C65">
      <w:pPr>
        <w:autoSpaceDE w:val="0"/>
        <w:autoSpaceDN w:val="0"/>
        <w:adjustRightInd w:val="0"/>
      </w:pPr>
      <w:r w:rsidRPr="00301491">
        <w:t xml:space="preserve">Another change </w:t>
      </w:r>
      <w:r w:rsidR="006F34D1" w:rsidRPr="00301491">
        <w:t>is the</w:t>
      </w:r>
      <w:r w:rsidR="00B92319" w:rsidRPr="00301491">
        <w:t xml:space="preserve"> proposed rule </w:t>
      </w:r>
      <w:r w:rsidR="0060099D" w:rsidRPr="00301491">
        <w:t xml:space="preserve">to </w:t>
      </w:r>
      <w:r w:rsidR="006F34D1" w:rsidRPr="00301491">
        <w:t>establish</w:t>
      </w:r>
      <w:r w:rsidR="00B92319" w:rsidRPr="00301491">
        <w:t xml:space="preserve"> a Significant Impact Level (SIL)</w:t>
      </w:r>
      <w:r w:rsidR="00B04E47" w:rsidRPr="00301491">
        <w:t>,</w:t>
      </w:r>
      <w:r w:rsidR="00B92319" w:rsidRPr="00301491">
        <w:t xml:space="preserve"> used to determine if additional air quality analysis is required during preconstruction approval</w:t>
      </w:r>
      <w:r w:rsidR="006F34D1" w:rsidRPr="00301491">
        <w:t xml:space="preserve">.  </w:t>
      </w:r>
      <w:r w:rsidR="00F42715" w:rsidRPr="00301491">
        <w:t xml:space="preserve">EPA’s </w:t>
      </w:r>
      <w:r w:rsidR="00EB2E67" w:rsidRPr="00301491">
        <w:t xml:space="preserve">recently adopted </w:t>
      </w:r>
      <w:r w:rsidR="0068430F" w:rsidRPr="00301491">
        <w:t>SILs for PM2.5 were</w:t>
      </w:r>
      <w:r w:rsidR="00762C65" w:rsidRPr="00301491">
        <w:t xml:space="preserve"> </w:t>
      </w:r>
      <w:r w:rsidR="0068430F" w:rsidRPr="00301491">
        <w:t>developed by scaling the existing PM10 SILs using a PM2.5-to-PM10</w:t>
      </w:r>
      <w:r w:rsidR="00762C65" w:rsidRPr="00301491">
        <w:t xml:space="preserve"> </w:t>
      </w:r>
      <w:r w:rsidR="0068430F" w:rsidRPr="00301491">
        <w:t>N</w:t>
      </w:r>
      <w:r w:rsidR="003F5D40" w:rsidRPr="00301491">
        <w:t xml:space="preserve">ational </w:t>
      </w:r>
      <w:r w:rsidR="0068430F" w:rsidRPr="00301491">
        <w:t>A</w:t>
      </w:r>
      <w:r w:rsidR="003F5D40" w:rsidRPr="00301491">
        <w:t xml:space="preserve">mbient </w:t>
      </w:r>
      <w:r w:rsidR="0068430F" w:rsidRPr="00301491">
        <w:t>A</w:t>
      </w:r>
      <w:r w:rsidR="003F5D40" w:rsidRPr="00301491">
        <w:t xml:space="preserve">ir </w:t>
      </w:r>
      <w:r w:rsidR="0068430F" w:rsidRPr="00301491">
        <w:t>Q</w:t>
      </w:r>
      <w:r w:rsidR="003F5D40" w:rsidRPr="00301491">
        <w:t xml:space="preserve">uality </w:t>
      </w:r>
      <w:r w:rsidR="0068430F" w:rsidRPr="00301491">
        <w:t>S</w:t>
      </w:r>
      <w:r w:rsidR="003F5D40" w:rsidRPr="00301491">
        <w:t>tandard</w:t>
      </w:r>
      <w:r w:rsidR="0068430F" w:rsidRPr="00301491">
        <w:t xml:space="preserve"> ratio.</w:t>
      </w:r>
      <w:r w:rsidR="00F42715" w:rsidRPr="00301491">
        <w:t> </w:t>
      </w:r>
      <w:r w:rsidR="00B92319" w:rsidRPr="00301491">
        <w:t xml:space="preserve"> </w:t>
      </w:r>
    </w:p>
    <w:p w:rsidR="003A10C0" w:rsidRPr="00762C65" w:rsidRDefault="003A10C0" w:rsidP="003A10C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p>
    <w:tbl>
      <w:tblPr>
        <w:tblW w:w="43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0"/>
        <w:gridCol w:w="2097"/>
        <w:gridCol w:w="1758"/>
        <w:gridCol w:w="1852"/>
      </w:tblGrid>
      <w:tr w:rsidR="003A10C0" w:rsidRPr="00762C65" w:rsidTr="0068430F">
        <w:trPr>
          <w:jc w:val="center"/>
        </w:trPr>
        <w:tc>
          <w:tcPr>
            <w:tcW w:w="1598" w:type="pct"/>
          </w:tcPr>
          <w:p w:rsidR="003A10C0" w:rsidRPr="00762C65" w:rsidRDefault="003A10C0" w:rsidP="0068430F">
            <w:pPr>
              <w:pStyle w:val="Default"/>
              <w:jc w:val="center"/>
              <w:rPr>
                <w:rFonts w:ascii="Arial" w:hAnsi="Arial" w:cs="Arial"/>
                <w:b/>
                <w:sz w:val="22"/>
                <w:szCs w:val="22"/>
              </w:rPr>
            </w:pPr>
            <w:r w:rsidRPr="00762C65">
              <w:rPr>
                <w:rFonts w:ascii="Arial" w:hAnsi="Arial" w:cs="Arial"/>
                <w:b/>
                <w:sz w:val="22"/>
                <w:szCs w:val="22"/>
              </w:rPr>
              <w:t>EPA SILs</w:t>
            </w:r>
          </w:p>
        </w:tc>
        <w:tc>
          <w:tcPr>
            <w:tcW w:w="3402" w:type="pct"/>
            <w:gridSpan w:val="3"/>
          </w:tcPr>
          <w:p w:rsidR="003A10C0" w:rsidRPr="00762C65" w:rsidRDefault="003A10C0" w:rsidP="00741DCC">
            <w:pPr>
              <w:pStyle w:val="Default"/>
              <w:jc w:val="center"/>
              <w:rPr>
                <w:rFonts w:ascii="Arial" w:hAnsi="Arial" w:cs="Arial"/>
                <w:b/>
                <w:sz w:val="22"/>
                <w:szCs w:val="22"/>
              </w:rPr>
            </w:pPr>
            <w:r w:rsidRPr="00762C65">
              <w:rPr>
                <w:rFonts w:ascii="Arial" w:hAnsi="Arial" w:cs="Arial"/>
                <w:b/>
                <w:sz w:val="22"/>
                <w:szCs w:val="22"/>
              </w:rPr>
              <w:t>Air Quality Area Designation</w:t>
            </w:r>
          </w:p>
        </w:tc>
      </w:tr>
      <w:tr w:rsidR="003A10C0" w:rsidRPr="00762C65" w:rsidTr="0068430F">
        <w:trPr>
          <w:jc w:val="center"/>
        </w:trPr>
        <w:tc>
          <w:tcPr>
            <w:tcW w:w="1598" w:type="pct"/>
          </w:tcPr>
          <w:p w:rsidR="003A10C0" w:rsidRPr="00762C65" w:rsidRDefault="003A10C0" w:rsidP="00741DCC">
            <w:pPr>
              <w:pStyle w:val="Default"/>
              <w:jc w:val="center"/>
              <w:rPr>
                <w:rFonts w:ascii="Arial" w:hAnsi="Arial" w:cs="Arial"/>
                <w:b/>
                <w:sz w:val="22"/>
                <w:szCs w:val="22"/>
              </w:rPr>
            </w:pPr>
            <w:r w:rsidRPr="00762C65">
              <w:rPr>
                <w:rFonts w:ascii="Arial" w:hAnsi="Arial" w:cs="Arial"/>
                <w:b/>
                <w:sz w:val="22"/>
                <w:szCs w:val="22"/>
              </w:rPr>
              <w:t>Averaging Time</w:t>
            </w:r>
          </w:p>
        </w:tc>
        <w:tc>
          <w:tcPr>
            <w:tcW w:w="1250" w:type="pct"/>
          </w:tcPr>
          <w:p w:rsidR="003A10C0" w:rsidRPr="00762C65" w:rsidRDefault="003A10C0" w:rsidP="0068430F">
            <w:pPr>
              <w:pStyle w:val="Default"/>
              <w:jc w:val="center"/>
              <w:rPr>
                <w:rFonts w:ascii="Arial" w:hAnsi="Arial" w:cs="Arial"/>
                <w:b/>
                <w:sz w:val="22"/>
                <w:szCs w:val="22"/>
              </w:rPr>
            </w:pPr>
            <w:r w:rsidRPr="00762C65">
              <w:rPr>
                <w:rFonts w:ascii="Arial" w:hAnsi="Arial" w:cs="Arial"/>
                <w:b/>
                <w:sz w:val="22"/>
                <w:szCs w:val="22"/>
              </w:rPr>
              <w:t>Class I</w:t>
            </w:r>
          </w:p>
        </w:tc>
        <w:tc>
          <w:tcPr>
            <w:tcW w:w="1048" w:type="pct"/>
          </w:tcPr>
          <w:p w:rsidR="003A10C0" w:rsidRPr="00762C65" w:rsidRDefault="003A10C0" w:rsidP="0068430F">
            <w:pPr>
              <w:pStyle w:val="Default"/>
              <w:jc w:val="center"/>
              <w:rPr>
                <w:rFonts w:ascii="Arial" w:hAnsi="Arial" w:cs="Arial"/>
                <w:b/>
                <w:sz w:val="22"/>
                <w:szCs w:val="22"/>
              </w:rPr>
            </w:pPr>
            <w:r w:rsidRPr="00762C65">
              <w:rPr>
                <w:rFonts w:ascii="Arial" w:hAnsi="Arial" w:cs="Arial"/>
                <w:b/>
                <w:sz w:val="22"/>
                <w:szCs w:val="22"/>
              </w:rPr>
              <w:t>Class II</w:t>
            </w:r>
          </w:p>
        </w:tc>
        <w:tc>
          <w:tcPr>
            <w:tcW w:w="1104" w:type="pct"/>
          </w:tcPr>
          <w:p w:rsidR="003A10C0" w:rsidRPr="00762C65" w:rsidRDefault="003A10C0" w:rsidP="0068430F">
            <w:pPr>
              <w:pStyle w:val="Default"/>
              <w:jc w:val="center"/>
              <w:rPr>
                <w:rFonts w:ascii="Arial" w:hAnsi="Arial" w:cs="Arial"/>
                <w:b/>
                <w:sz w:val="22"/>
                <w:szCs w:val="22"/>
              </w:rPr>
            </w:pPr>
            <w:r w:rsidRPr="00762C65">
              <w:rPr>
                <w:rFonts w:ascii="Arial" w:hAnsi="Arial" w:cs="Arial"/>
                <w:b/>
                <w:sz w:val="22"/>
                <w:szCs w:val="22"/>
              </w:rPr>
              <w:t>Class III</w:t>
            </w:r>
          </w:p>
        </w:tc>
      </w:tr>
      <w:tr w:rsidR="003A10C0" w:rsidRPr="00762C65" w:rsidTr="0068430F">
        <w:trPr>
          <w:jc w:val="center"/>
        </w:trPr>
        <w:tc>
          <w:tcPr>
            <w:tcW w:w="1598" w:type="pct"/>
          </w:tcPr>
          <w:p w:rsidR="003A10C0" w:rsidRPr="00762C65" w:rsidRDefault="003A10C0" w:rsidP="0068430F">
            <w:pPr>
              <w:pStyle w:val="Default"/>
              <w:rPr>
                <w:rFonts w:ascii="Arial" w:hAnsi="Arial" w:cs="Arial"/>
                <w:sz w:val="22"/>
                <w:szCs w:val="22"/>
              </w:rPr>
            </w:pPr>
            <w:r w:rsidRPr="00762C65">
              <w:rPr>
                <w:rFonts w:ascii="Arial" w:hAnsi="Arial" w:cs="Arial"/>
                <w:sz w:val="22"/>
                <w:szCs w:val="22"/>
              </w:rPr>
              <w:t>Annual</w:t>
            </w:r>
          </w:p>
        </w:tc>
        <w:tc>
          <w:tcPr>
            <w:tcW w:w="1250" w:type="pct"/>
          </w:tcPr>
          <w:p w:rsidR="003A10C0" w:rsidRPr="00762C65" w:rsidRDefault="0068430F" w:rsidP="0068430F">
            <w:pPr>
              <w:pStyle w:val="Default"/>
              <w:rPr>
                <w:rFonts w:ascii="Arial" w:hAnsi="Arial" w:cs="Arial"/>
                <w:sz w:val="22"/>
                <w:szCs w:val="22"/>
              </w:rPr>
            </w:pPr>
            <w:r w:rsidRPr="00762C65">
              <w:rPr>
                <w:rFonts w:ascii="Arial" w:hAnsi="Arial" w:cs="Arial"/>
                <w:sz w:val="22"/>
                <w:szCs w:val="22"/>
              </w:rPr>
              <w:t>0.06</w:t>
            </w:r>
            <w:r w:rsidR="003A10C0" w:rsidRPr="00762C65">
              <w:rPr>
                <w:rFonts w:ascii="Arial" w:hAnsi="Arial" w:cs="Arial"/>
                <w:sz w:val="22"/>
                <w:szCs w:val="22"/>
              </w:rPr>
              <w:t xml:space="preserve"> μg/m</w:t>
            </w:r>
            <w:r w:rsidR="003A10C0" w:rsidRPr="00762C65">
              <w:rPr>
                <w:rFonts w:ascii="Arial" w:hAnsi="Arial" w:cs="Arial"/>
                <w:sz w:val="22"/>
                <w:szCs w:val="22"/>
                <w:vertAlign w:val="superscript"/>
              </w:rPr>
              <w:t>3</w:t>
            </w:r>
          </w:p>
        </w:tc>
        <w:tc>
          <w:tcPr>
            <w:tcW w:w="1048" w:type="pct"/>
          </w:tcPr>
          <w:p w:rsidR="003A10C0" w:rsidRPr="00762C65" w:rsidRDefault="0068430F" w:rsidP="0068430F">
            <w:pPr>
              <w:pStyle w:val="Default"/>
              <w:rPr>
                <w:rFonts w:ascii="Arial" w:hAnsi="Arial" w:cs="Arial"/>
                <w:sz w:val="22"/>
                <w:szCs w:val="22"/>
              </w:rPr>
            </w:pPr>
            <w:r w:rsidRPr="00762C65">
              <w:rPr>
                <w:rFonts w:ascii="Arial" w:hAnsi="Arial" w:cs="Arial"/>
                <w:sz w:val="22"/>
                <w:szCs w:val="22"/>
              </w:rPr>
              <w:t>0.3</w:t>
            </w:r>
            <w:r w:rsidR="003A10C0" w:rsidRPr="00762C65">
              <w:rPr>
                <w:rFonts w:ascii="Arial" w:hAnsi="Arial" w:cs="Arial"/>
                <w:sz w:val="22"/>
                <w:szCs w:val="22"/>
              </w:rPr>
              <w:t xml:space="preserve"> μg/m</w:t>
            </w:r>
            <w:r w:rsidR="003A10C0" w:rsidRPr="00762C65">
              <w:rPr>
                <w:rFonts w:ascii="Arial" w:hAnsi="Arial" w:cs="Arial"/>
                <w:sz w:val="22"/>
                <w:szCs w:val="22"/>
                <w:vertAlign w:val="superscript"/>
              </w:rPr>
              <w:t>3</w:t>
            </w:r>
          </w:p>
        </w:tc>
        <w:tc>
          <w:tcPr>
            <w:tcW w:w="1104" w:type="pct"/>
          </w:tcPr>
          <w:p w:rsidR="003A10C0" w:rsidRPr="00762C65" w:rsidRDefault="0068430F" w:rsidP="0068430F">
            <w:pPr>
              <w:pStyle w:val="Default"/>
              <w:rPr>
                <w:rFonts w:ascii="Arial" w:hAnsi="Arial" w:cs="Arial"/>
                <w:sz w:val="22"/>
                <w:szCs w:val="22"/>
              </w:rPr>
            </w:pPr>
            <w:r w:rsidRPr="00762C65">
              <w:rPr>
                <w:rFonts w:ascii="Arial" w:hAnsi="Arial" w:cs="Arial"/>
                <w:sz w:val="22"/>
                <w:szCs w:val="22"/>
              </w:rPr>
              <w:t>0.3</w:t>
            </w:r>
            <w:r w:rsidR="003A10C0" w:rsidRPr="00762C65">
              <w:rPr>
                <w:rFonts w:ascii="Arial" w:hAnsi="Arial" w:cs="Arial"/>
                <w:sz w:val="22"/>
                <w:szCs w:val="22"/>
              </w:rPr>
              <w:t xml:space="preserve"> μg/m</w:t>
            </w:r>
            <w:r w:rsidR="003A10C0" w:rsidRPr="00762C65">
              <w:rPr>
                <w:rFonts w:ascii="Arial" w:hAnsi="Arial" w:cs="Arial"/>
                <w:sz w:val="22"/>
                <w:szCs w:val="22"/>
                <w:vertAlign w:val="superscript"/>
              </w:rPr>
              <w:t>3</w:t>
            </w:r>
          </w:p>
        </w:tc>
      </w:tr>
      <w:tr w:rsidR="003A10C0" w:rsidRPr="00D5367E" w:rsidTr="0068430F">
        <w:trPr>
          <w:jc w:val="center"/>
        </w:trPr>
        <w:tc>
          <w:tcPr>
            <w:tcW w:w="1598" w:type="pct"/>
          </w:tcPr>
          <w:p w:rsidR="003A10C0" w:rsidRPr="00762C65" w:rsidRDefault="003A10C0" w:rsidP="0068430F">
            <w:pPr>
              <w:pStyle w:val="Default"/>
              <w:rPr>
                <w:rFonts w:ascii="Arial" w:hAnsi="Arial" w:cs="Arial"/>
                <w:sz w:val="22"/>
                <w:szCs w:val="22"/>
              </w:rPr>
            </w:pPr>
            <w:r w:rsidRPr="00762C65">
              <w:rPr>
                <w:rFonts w:ascii="Arial" w:hAnsi="Arial" w:cs="Arial"/>
                <w:sz w:val="22"/>
                <w:szCs w:val="22"/>
              </w:rPr>
              <w:t>24-hour</w:t>
            </w:r>
          </w:p>
        </w:tc>
        <w:tc>
          <w:tcPr>
            <w:tcW w:w="1250" w:type="pct"/>
          </w:tcPr>
          <w:p w:rsidR="003A10C0" w:rsidRPr="00762C65" w:rsidRDefault="0068430F" w:rsidP="0068430F">
            <w:pPr>
              <w:pStyle w:val="Default"/>
              <w:rPr>
                <w:rFonts w:ascii="Arial" w:hAnsi="Arial" w:cs="Arial"/>
                <w:sz w:val="22"/>
                <w:szCs w:val="22"/>
              </w:rPr>
            </w:pPr>
            <w:r w:rsidRPr="00762C65">
              <w:rPr>
                <w:rFonts w:ascii="Arial" w:hAnsi="Arial" w:cs="Arial"/>
                <w:sz w:val="22"/>
                <w:szCs w:val="22"/>
              </w:rPr>
              <w:t>0.07</w:t>
            </w:r>
            <w:r w:rsidR="003A10C0" w:rsidRPr="00762C65">
              <w:rPr>
                <w:rFonts w:ascii="Arial" w:hAnsi="Arial" w:cs="Arial"/>
                <w:sz w:val="22"/>
                <w:szCs w:val="22"/>
              </w:rPr>
              <w:t xml:space="preserve"> μg/m</w:t>
            </w:r>
            <w:r w:rsidR="003A10C0" w:rsidRPr="00762C65">
              <w:rPr>
                <w:rFonts w:ascii="Arial" w:hAnsi="Arial" w:cs="Arial"/>
                <w:sz w:val="22"/>
                <w:szCs w:val="22"/>
                <w:vertAlign w:val="superscript"/>
              </w:rPr>
              <w:t>3</w:t>
            </w:r>
          </w:p>
        </w:tc>
        <w:tc>
          <w:tcPr>
            <w:tcW w:w="1048" w:type="pct"/>
          </w:tcPr>
          <w:p w:rsidR="003A10C0" w:rsidRPr="00762C65" w:rsidRDefault="0068430F" w:rsidP="0068430F">
            <w:pPr>
              <w:pStyle w:val="Default"/>
              <w:rPr>
                <w:rFonts w:ascii="Arial" w:hAnsi="Arial" w:cs="Arial"/>
                <w:sz w:val="22"/>
                <w:szCs w:val="22"/>
              </w:rPr>
            </w:pPr>
            <w:r w:rsidRPr="00762C65">
              <w:rPr>
                <w:rFonts w:ascii="Arial" w:hAnsi="Arial" w:cs="Arial"/>
                <w:sz w:val="22"/>
                <w:szCs w:val="22"/>
              </w:rPr>
              <w:t>1.2</w:t>
            </w:r>
            <w:r w:rsidR="003A10C0" w:rsidRPr="00762C65">
              <w:rPr>
                <w:rFonts w:ascii="Arial" w:hAnsi="Arial" w:cs="Arial"/>
                <w:sz w:val="22"/>
                <w:szCs w:val="22"/>
              </w:rPr>
              <w:t xml:space="preserve"> μg/m</w:t>
            </w:r>
            <w:r w:rsidR="003A10C0" w:rsidRPr="00762C65">
              <w:rPr>
                <w:rFonts w:ascii="Arial" w:hAnsi="Arial" w:cs="Arial"/>
                <w:sz w:val="22"/>
                <w:szCs w:val="22"/>
                <w:vertAlign w:val="superscript"/>
              </w:rPr>
              <w:t>3</w:t>
            </w:r>
          </w:p>
        </w:tc>
        <w:tc>
          <w:tcPr>
            <w:tcW w:w="1104" w:type="pct"/>
          </w:tcPr>
          <w:p w:rsidR="003A10C0" w:rsidRPr="00762C65" w:rsidRDefault="0068430F" w:rsidP="0068430F">
            <w:pPr>
              <w:pStyle w:val="Default"/>
              <w:rPr>
                <w:rFonts w:ascii="Arial" w:hAnsi="Arial" w:cs="Arial"/>
                <w:sz w:val="22"/>
                <w:szCs w:val="22"/>
              </w:rPr>
            </w:pPr>
            <w:r w:rsidRPr="00762C65">
              <w:rPr>
                <w:rFonts w:ascii="Arial" w:hAnsi="Arial" w:cs="Arial"/>
                <w:sz w:val="22"/>
                <w:szCs w:val="22"/>
              </w:rPr>
              <w:t>1.2</w:t>
            </w:r>
            <w:r w:rsidR="003A10C0" w:rsidRPr="00762C65">
              <w:rPr>
                <w:rFonts w:ascii="Arial" w:hAnsi="Arial" w:cs="Arial"/>
                <w:sz w:val="22"/>
                <w:szCs w:val="22"/>
              </w:rPr>
              <w:t xml:space="preserve"> μg/m</w:t>
            </w:r>
            <w:r w:rsidR="003A10C0" w:rsidRPr="00762C65">
              <w:rPr>
                <w:rFonts w:ascii="Arial" w:hAnsi="Arial" w:cs="Arial"/>
                <w:sz w:val="22"/>
                <w:szCs w:val="22"/>
                <w:vertAlign w:val="superscript"/>
              </w:rPr>
              <w:t>3</w:t>
            </w:r>
          </w:p>
        </w:tc>
      </w:tr>
    </w:tbl>
    <w:p w:rsidR="001B4FB5" w:rsidRDefault="001B4FB5" w:rsidP="003A10C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p>
    <w:p w:rsidR="003A10C0" w:rsidRPr="00301491" w:rsidRDefault="003A10C0" w:rsidP="003A10C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r w:rsidRPr="00301491">
        <w:t>EQC adopted the following SILs for PM</w:t>
      </w:r>
      <w:r w:rsidRPr="00301491">
        <w:rPr>
          <w:vertAlign w:val="subscript"/>
        </w:rPr>
        <w:t xml:space="preserve">2.5 </w:t>
      </w:r>
      <w:r w:rsidRPr="00301491">
        <w:t>in a temporary rule at the August 19, 2010 meeting</w:t>
      </w:r>
      <w:r w:rsidR="00762C65" w:rsidRPr="00301491">
        <w:t xml:space="preserve"> based on the EPA proposed SILs at that time</w:t>
      </w:r>
      <w:r w:rsidRPr="00301491">
        <w:t xml:space="preserve">.  </w:t>
      </w:r>
    </w:p>
    <w:p w:rsidR="008316F8" w:rsidRPr="00762C65" w:rsidRDefault="008316F8"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p>
    <w:tbl>
      <w:tblPr>
        <w:tblW w:w="43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0"/>
        <w:gridCol w:w="2097"/>
        <w:gridCol w:w="1758"/>
        <w:gridCol w:w="1852"/>
      </w:tblGrid>
      <w:tr w:rsidR="008316F8" w:rsidRPr="00762C65" w:rsidTr="008316F8">
        <w:trPr>
          <w:jc w:val="center"/>
        </w:trPr>
        <w:tc>
          <w:tcPr>
            <w:tcW w:w="1598" w:type="pct"/>
          </w:tcPr>
          <w:p w:rsidR="008316F8" w:rsidRPr="00762C65" w:rsidRDefault="008316F8" w:rsidP="0007409F">
            <w:pPr>
              <w:pStyle w:val="Default"/>
              <w:jc w:val="center"/>
              <w:rPr>
                <w:rFonts w:ascii="Arial" w:hAnsi="Arial" w:cs="Arial"/>
                <w:b/>
                <w:sz w:val="22"/>
                <w:szCs w:val="22"/>
              </w:rPr>
            </w:pPr>
            <w:r w:rsidRPr="00762C65">
              <w:rPr>
                <w:rFonts w:ascii="Arial" w:hAnsi="Arial" w:cs="Arial"/>
                <w:b/>
                <w:sz w:val="22"/>
                <w:szCs w:val="22"/>
              </w:rPr>
              <w:t>DEQ SILs</w:t>
            </w:r>
          </w:p>
        </w:tc>
        <w:tc>
          <w:tcPr>
            <w:tcW w:w="3402" w:type="pct"/>
            <w:gridSpan w:val="3"/>
          </w:tcPr>
          <w:p w:rsidR="008316F8" w:rsidRPr="00762C65" w:rsidRDefault="008316F8" w:rsidP="00741DCC">
            <w:pPr>
              <w:pStyle w:val="Default"/>
              <w:jc w:val="center"/>
              <w:rPr>
                <w:rFonts w:ascii="Arial" w:hAnsi="Arial" w:cs="Arial"/>
                <w:b/>
                <w:sz w:val="22"/>
                <w:szCs w:val="22"/>
              </w:rPr>
            </w:pPr>
            <w:r w:rsidRPr="00762C65">
              <w:rPr>
                <w:rFonts w:ascii="Arial" w:hAnsi="Arial" w:cs="Arial"/>
                <w:b/>
                <w:sz w:val="22"/>
                <w:szCs w:val="22"/>
              </w:rPr>
              <w:t>Air Quality Area Designation</w:t>
            </w:r>
          </w:p>
        </w:tc>
      </w:tr>
      <w:tr w:rsidR="008316F8" w:rsidRPr="00762C65" w:rsidTr="008316F8">
        <w:trPr>
          <w:jc w:val="center"/>
        </w:trPr>
        <w:tc>
          <w:tcPr>
            <w:tcW w:w="1598" w:type="pct"/>
          </w:tcPr>
          <w:p w:rsidR="008316F8" w:rsidRPr="00762C65" w:rsidRDefault="008316F8" w:rsidP="00741DCC">
            <w:pPr>
              <w:pStyle w:val="Default"/>
              <w:jc w:val="center"/>
              <w:rPr>
                <w:rFonts w:ascii="Arial" w:hAnsi="Arial" w:cs="Arial"/>
                <w:b/>
                <w:sz w:val="22"/>
                <w:szCs w:val="22"/>
              </w:rPr>
            </w:pPr>
            <w:r w:rsidRPr="00762C65">
              <w:rPr>
                <w:rFonts w:ascii="Arial" w:hAnsi="Arial" w:cs="Arial"/>
                <w:b/>
                <w:sz w:val="22"/>
                <w:szCs w:val="22"/>
              </w:rPr>
              <w:t>Averaging Time</w:t>
            </w:r>
          </w:p>
        </w:tc>
        <w:tc>
          <w:tcPr>
            <w:tcW w:w="1250" w:type="pct"/>
          </w:tcPr>
          <w:p w:rsidR="008316F8" w:rsidRPr="00762C65" w:rsidRDefault="008316F8" w:rsidP="0007409F">
            <w:pPr>
              <w:pStyle w:val="Default"/>
              <w:jc w:val="center"/>
              <w:rPr>
                <w:rFonts w:ascii="Arial" w:hAnsi="Arial" w:cs="Arial"/>
                <w:b/>
                <w:sz w:val="22"/>
                <w:szCs w:val="22"/>
              </w:rPr>
            </w:pPr>
            <w:r w:rsidRPr="00762C65">
              <w:rPr>
                <w:rFonts w:ascii="Arial" w:hAnsi="Arial" w:cs="Arial"/>
                <w:b/>
                <w:sz w:val="22"/>
                <w:szCs w:val="22"/>
              </w:rPr>
              <w:t>Class I</w:t>
            </w:r>
          </w:p>
        </w:tc>
        <w:tc>
          <w:tcPr>
            <w:tcW w:w="1048" w:type="pct"/>
          </w:tcPr>
          <w:p w:rsidR="008316F8" w:rsidRPr="00762C65" w:rsidRDefault="008316F8" w:rsidP="0007409F">
            <w:pPr>
              <w:pStyle w:val="Default"/>
              <w:jc w:val="center"/>
              <w:rPr>
                <w:rFonts w:ascii="Arial" w:hAnsi="Arial" w:cs="Arial"/>
                <w:b/>
                <w:sz w:val="22"/>
                <w:szCs w:val="22"/>
              </w:rPr>
            </w:pPr>
            <w:r w:rsidRPr="00762C65">
              <w:rPr>
                <w:rFonts w:ascii="Arial" w:hAnsi="Arial" w:cs="Arial"/>
                <w:b/>
                <w:sz w:val="22"/>
                <w:szCs w:val="22"/>
              </w:rPr>
              <w:t>Class II</w:t>
            </w:r>
          </w:p>
        </w:tc>
        <w:tc>
          <w:tcPr>
            <w:tcW w:w="1104" w:type="pct"/>
          </w:tcPr>
          <w:p w:rsidR="008316F8" w:rsidRPr="00762C65" w:rsidRDefault="008316F8" w:rsidP="0007409F">
            <w:pPr>
              <w:pStyle w:val="Default"/>
              <w:jc w:val="center"/>
              <w:rPr>
                <w:rFonts w:ascii="Arial" w:hAnsi="Arial" w:cs="Arial"/>
                <w:b/>
                <w:sz w:val="22"/>
                <w:szCs w:val="22"/>
              </w:rPr>
            </w:pPr>
            <w:r w:rsidRPr="00762C65">
              <w:rPr>
                <w:rFonts w:ascii="Arial" w:hAnsi="Arial" w:cs="Arial"/>
                <w:b/>
                <w:sz w:val="22"/>
                <w:szCs w:val="22"/>
              </w:rPr>
              <w:t>Class III</w:t>
            </w:r>
          </w:p>
        </w:tc>
      </w:tr>
      <w:tr w:rsidR="008316F8" w:rsidRPr="00762C65" w:rsidTr="008316F8">
        <w:trPr>
          <w:jc w:val="center"/>
        </w:trPr>
        <w:tc>
          <w:tcPr>
            <w:tcW w:w="1598" w:type="pct"/>
          </w:tcPr>
          <w:p w:rsidR="008316F8" w:rsidRPr="00762C65" w:rsidRDefault="008316F8" w:rsidP="0007409F">
            <w:pPr>
              <w:pStyle w:val="Default"/>
              <w:rPr>
                <w:rFonts w:ascii="Arial" w:hAnsi="Arial" w:cs="Arial"/>
                <w:sz w:val="22"/>
                <w:szCs w:val="22"/>
              </w:rPr>
            </w:pPr>
            <w:r w:rsidRPr="00762C65">
              <w:rPr>
                <w:rFonts w:ascii="Arial" w:hAnsi="Arial" w:cs="Arial"/>
                <w:sz w:val="22"/>
                <w:szCs w:val="22"/>
              </w:rPr>
              <w:t>Annual</w:t>
            </w:r>
          </w:p>
        </w:tc>
        <w:tc>
          <w:tcPr>
            <w:tcW w:w="1250" w:type="pct"/>
          </w:tcPr>
          <w:p w:rsidR="008316F8" w:rsidRPr="00762C65" w:rsidRDefault="008316F8" w:rsidP="0007409F">
            <w:pPr>
              <w:pStyle w:val="Default"/>
              <w:rPr>
                <w:rFonts w:ascii="Arial" w:hAnsi="Arial" w:cs="Arial"/>
                <w:sz w:val="22"/>
                <w:szCs w:val="22"/>
              </w:rPr>
            </w:pPr>
            <w:r w:rsidRPr="00762C65">
              <w:rPr>
                <w:rFonts w:ascii="Arial" w:hAnsi="Arial" w:cs="Arial"/>
                <w:sz w:val="22"/>
                <w:szCs w:val="22"/>
              </w:rPr>
              <w:t>0.04 μg/m</w:t>
            </w:r>
            <w:r w:rsidRPr="00762C65">
              <w:rPr>
                <w:rFonts w:ascii="Arial" w:hAnsi="Arial" w:cs="Arial"/>
                <w:sz w:val="22"/>
                <w:szCs w:val="22"/>
                <w:vertAlign w:val="superscript"/>
              </w:rPr>
              <w:t>3</w:t>
            </w:r>
          </w:p>
        </w:tc>
        <w:tc>
          <w:tcPr>
            <w:tcW w:w="1048" w:type="pct"/>
          </w:tcPr>
          <w:p w:rsidR="008316F8" w:rsidRPr="00762C65" w:rsidRDefault="008316F8" w:rsidP="0007409F">
            <w:pPr>
              <w:pStyle w:val="Default"/>
              <w:rPr>
                <w:rFonts w:ascii="Arial" w:hAnsi="Arial" w:cs="Arial"/>
                <w:sz w:val="22"/>
                <w:szCs w:val="22"/>
              </w:rPr>
            </w:pPr>
            <w:r w:rsidRPr="00762C65">
              <w:rPr>
                <w:rFonts w:ascii="Arial" w:hAnsi="Arial" w:cs="Arial"/>
                <w:sz w:val="22"/>
                <w:szCs w:val="22"/>
              </w:rPr>
              <w:t>0.2 μg/m</w:t>
            </w:r>
            <w:r w:rsidRPr="00762C65">
              <w:rPr>
                <w:rFonts w:ascii="Arial" w:hAnsi="Arial" w:cs="Arial"/>
                <w:sz w:val="22"/>
                <w:szCs w:val="22"/>
                <w:vertAlign w:val="superscript"/>
              </w:rPr>
              <w:t>3</w:t>
            </w:r>
          </w:p>
        </w:tc>
        <w:tc>
          <w:tcPr>
            <w:tcW w:w="1104" w:type="pct"/>
          </w:tcPr>
          <w:p w:rsidR="008316F8" w:rsidRPr="00762C65" w:rsidRDefault="008316F8" w:rsidP="0007409F">
            <w:pPr>
              <w:pStyle w:val="Default"/>
              <w:rPr>
                <w:rFonts w:ascii="Arial" w:hAnsi="Arial" w:cs="Arial"/>
                <w:sz w:val="22"/>
                <w:szCs w:val="22"/>
              </w:rPr>
            </w:pPr>
            <w:r w:rsidRPr="00762C65">
              <w:rPr>
                <w:rFonts w:ascii="Arial" w:hAnsi="Arial" w:cs="Arial"/>
                <w:sz w:val="22"/>
                <w:szCs w:val="22"/>
              </w:rPr>
              <w:t>0.2 μg/m</w:t>
            </w:r>
            <w:r w:rsidRPr="00762C65">
              <w:rPr>
                <w:rFonts w:ascii="Arial" w:hAnsi="Arial" w:cs="Arial"/>
                <w:sz w:val="22"/>
                <w:szCs w:val="22"/>
                <w:vertAlign w:val="superscript"/>
              </w:rPr>
              <w:t>3</w:t>
            </w:r>
          </w:p>
        </w:tc>
      </w:tr>
      <w:tr w:rsidR="008316F8" w:rsidRPr="00D5367E" w:rsidTr="008316F8">
        <w:trPr>
          <w:jc w:val="center"/>
        </w:trPr>
        <w:tc>
          <w:tcPr>
            <w:tcW w:w="1598" w:type="pct"/>
          </w:tcPr>
          <w:p w:rsidR="008316F8" w:rsidRPr="00762C65" w:rsidRDefault="008316F8" w:rsidP="0007409F">
            <w:pPr>
              <w:pStyle w:val="Default"/>
              <w:rPr>
                <w:rFonts w:ascii="Arial" w:hAnsi="Arial" w:cs="Arial"/>
                <w:sz w:val="22"/>
                <w:szCs w:val="22"/>
              </w:rPr>
            </w:pPr>
            <w:r w:rsidRPr="00762C65">
              <w:rPr>
                <w:rFonts w:ascii="Arial" w:hAnsi="Arial" w:cs="Arial"/>
                <w:sz w:val="22"/>
                <w:szCs w:val="22"/>
              </w:rPr>
              <w:t>24-hour</w:t>
            </w:r>
          </w:p>
        </w:tc>
        <w:tc>
          <w:tcPr>
            <w:tcW w:w="1250" w:type="pct"/>
          </w:tcPr>
          <w:p w:rsidR="008316F8" w:rsidRPr="00762C65" w:rsidRDefault="008316F8" w:rsidP="0007409F">
            <w:pPr>
              <w:pStyle w:val="Default"/>
              <w:rPr>
                <w:rFonts w:ascii="Arial" w:hAnsi="Arial" w:cs="Arial"/>
                <w:sz w:val="22"/>
                <w:szCs w:val="22"/>
              </w:rPr>
            </w:pPr>
            <w:r w:rsidRPr="00762C65">
              <w:rPr>
                <w:rFonts w:ascii="Arial" w:hAnsi="Arial" w:cs="Arial"/>
                <w:sz w:val="22"/>
                <w:szCs w:val="22"/>
              </w:rPr>
              <w:t>0.08 μg/m</w:t>
            </w:r>
            <w:r w:rsidRPr="00762C65">
              <w:rPr>
                <w:rFonts w:ascii="Arial" w:hAnsi="Arial" w:cs="Arial"/>
                <w:sz w:val="22"/>
                <w:szCs w:val="22"/>
                <w:vertAlign w:val="superscript"/>
              </w:rPr>
              <w:t>3</w:t>
            </w:r>
          </w:p>
        </w:tc>
        <w:tc>
          <w:tcPr>
            <w:tcW w:w="1048" w:type="pct"/>
          </w:tcPr>
          <w:p w:rsidR="008316F8" w:rsidRPr="00762C65" w:rsidRDefault="008316F8" w:rsidP="0007409F">
            <w:pPr>
              <w:pStyle w:val="Default"/>
              <w:rPr>
                <w:rFonts w:ascii="Arial" w:hAnsi="Arial" w:cs="Arial"/>
                <w:sz w:val="22"/>
                <w:szCs w:val="22"/>
              </w:rPr>
            </w:pPr>
            <w:r w:rsidRPr="00762C65">
              <w:rPr>
                <w:rFonts w:ascii="Arial" w:hAnsi="Arial" w:cs="Arial"/>
                <w:sz w:val="22"/>
                <w:szCs w:val="22"/>
              </w:rPr>
              <w:t>1.0 μg/m</w:t>
            </w:r>
            <w:r w:rsidRPr="00762C65">
              <w:rPr>
                <w:rFonts w:ascii="Arial" w:hAnsi="Arial" w:cs="Arial"/>
                <w:sz w:val="22"/>
                <w:szCs w:val="22"/>
                <w:vertAlign w:val="superscript"/>
              </w:rPr>
              <w:t>3</w:t>
            </w:r>
          </w:p>
        </w:tc>
        <w:tc>
          <w:tcPr>
            <w:tcW w:w="1104" w:type="pct"/>
          </w:tcPr>
          <w:p w:rsidR="008316F8" w:rsidRPr="00762C65" w:rsidRDefault="008316F8" w:rsidP="0007409F">
            <w:pPr>
              <w:pStyle w:val="Default"/>
              <w:rPr>
                <w:rFonts w:ascii="Arial" w:hAnsi="Arial" w:cs="Arial"/>
                <w:sz w:val="22"/>
                <w:szCs w:val="22"/>
              </w:rPr>
            </w:pPr>
            <w:r w:rsidRPr="00762C65">
              <w:rPr>
                <w:rFonts w:ascii="Arial" w:hAnsi="Arial" w:cs="Arial"/>
                <w:sz w:val="22"/>
                <w:szCs w:val="22"/>
              </w:rPr>
              <w:t>1.0 μg/m</w:t>
            </w:r>
            <w:r w:rsidRPr="00762C65">
              <w:rPr>
                <w:rFonts w:ascii="Arial" w:hAnsi="Arial" w:cs="Arial"/>
                <w:sz w:val="22"/>
                <w:szCs w:val="22"/>
                <w:vertAlign w:val="superscript"/>
              </w:rPr>
              <w:t>3</w:t>
            </w:r>
          </w:p>
        </w:tc>
      </w:tr>
    </w:tbl>
    <w:p w:rsidR="008316F8" w:rsidRPr="00D5367E" w:rsidRDefault="008316F8"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highlight w:val="yellow"/>
        </w:rPr>
      </w:pPr>
    </w:p>
    <w:p w:rsidR="00762C65" w:rsidRPr="00301491" w:rsidRDefault="00762C65" w:rsidP="009066C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r w:rsidRPr="00301491">
        <w:t xml:space="preserve">Since EPA did not adopt </w:t>
      </w:r>
      <w:r w:rsidR="001B4FB5" w:rsidRPr="00301491">
        <w:t xml:space="preserve">the </w:t>
      </w:r>
      <w:r w:rsidRPr="00301491">
        <w:t>option expected, DEQ is proposing adoption of EPA’s Class I SILs</w:t>
      </w:r>
      <w:r w:rsidR="00CB0481" w:rsidRPr="00301491">
        <w:t xml:space="preserve"> to replace the SILs adopted in </w:t>
      </w:r>
      <w:r w:rsidR="00246F2A" w:rsidRPr="00301491">
        <w:t xml:space="preserve">the </w:t>
      </w:r>
      <w:r w:rsidR="00CB0481" w:rsidRPr="00301491">
        <w:t>temporary rule.</w:t>
      </w:r>
      <w:r w:rsidRPr="00301491">
        <w:t xml:space="preserve">  </w:t>
      </w:r>
    </w:p>
    <w:p w:rsidR="00762C65" w:rsidRPr="00762C65" w:rsidRDefault="00762C65" w:rsidP="00762C65">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p>
    <w:tbl>
      <w:tblPr>
        <w:tblW w:w="43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0"/>
        <w:gridCol w:w="2097"/>
        <w:gridCol w:w="1758"/>
        <w:gridCol w:w="1852"/>
      </w:tblGrid>
      <w:tr w:rsidR="00762C65" w:rsidRPr="00762C65" w:rsidTr="004921CA">
        <w:trPr>
          <w:jc w:val="center"/>
        </w:trPr>
        <w:tc>
          <w:tcPr>
            <w:tcW w:w="1598" w:type="pct"/>
          </w:tcPr>
          <w:p w:rsidR="00762C65" w:rsidRPr="00762C65" w:rsidRDefault="00762C65" w:rsidP="004921CA">
            <w:pPr>
              <w:pStyle w:val="Default"/>
              <w:jc w:val="center"/>
              <w:rPr>
                <w:rFonts w:ascii="Arial" w:hAnsi="Arial" w:cs="Arial"/>
                <w:b/>
                <w:sz w:val="22"/>
                <w:szCs w:val="22"/>
              </w:rPr>
            </w:pPr>
            <w:r w:rsidRPr="00762C65">
              <w:rPr>
                <w:rFonts w:ascii="Arial" w:hAnsi="Arial" w:cs="Arial"/>
                <w:b/>
                <w:sz w:val="22"/>
                <w:szCs w:val="22"/>
              </w:rPr>
              <w:t>DEQ SILs</w:t>
            </w:r>
          </w:p>
        </w:tc>
        <w:tc>
          <w:tcPr>
            <w:tcW w:w="3402" w:type="pct"/>
            <w:gridSpan w:val="3"/>
          </w:tcPr>
          <w:p w:rsidR="00762C65" w:rsidRPr="00762C65" w:rsidRDefault="00762C65" w:rsidP="004921CA">
            <w:pPr>
              <w:pStyle w:val="Default"/>
              <w:jc w:val="center"/>
              <w:rPr>
                <w:rFonts w:ascii="Arial" w:hAnsi="Arial" w:cs="Arial"/>
                <w:b/>
                <w:sz w:val="22"/>
                <w:szCs w:val="22"/>
              </w:rPr>
            </w:pPr>
            <w:r w:rsidRPr="00762C65">
              <w:rPr>
                <w:rFonts w:ascii="Arial" w:hAnsi="Arial" w:cs="Arial"/>
                <w:b/>
                <w:sz w:val="22"/>
                <w:szCs w:val="22"/>
              </w:rPr>
              <w:t>Air Quality Area Designation</w:t>
            </w:r>
          </w:p>
        </w:tc>
      </w:tr>
      <w:tr w:rsidR="00762C65" w:rsidRPr="00762C65" w:rsidTr="004921CA">
        <w:trPr>
          <w:jc w:val="center"/>
        </w:trPr>
        <w:tc>
          <w:tcPr>
            <w:tcW w:w="1598" w:type="pct"/>
          </w:tcPr>
          <w:p w:rsidR="00762C65" w:rsidRPr="00762C65" w:rsidRDefault="00762C65" w:rsidP="00741DCC">
            <w:pPr>
              <w:pStyle w:val="Default"/>
              <w:jc w:val="center"/>
              <w:rPr>
                <w:rFonts w:ascii="Arial" w:hAnsi="Arial" w:cs="Arial"/>
                <w:b/>
                <w:sz w:val="22"/>
                <w:szCs w:val="22"/>
              </w:rPr>
            </w:pPr>
            <w:r w:rsidRPr="00762C65">
              <w:rPr>
                <w:rFonts w:ascii="Arial" w:hAnsi="Arial" w:cs="Arial"/>
                <w:b/>
                <w:sz w:val="22"/>
                <w:szCs w:val="22"/>
              </w:rPr>
              <w:t>Averaging Time</w:t>
            </w:r>
          </w:p>
        </w:tc>
        <w:tc>
          <w:tcPr>
            <w:tcW w:w="1250" w:type="pct"/>
          </w:tcPr>
          <w:p w:rsidR="00762C65" w:rsidRPr="00762C65" w:rsidRDefault="00762C65" w:rsidP="004921CA">
            <w:pPr>
              <w:pStyle w:val="Default"/>
              <w:jc w:val="center"/>
              <w:rPr>
                <w:rFonts w:ascii="Arial" w:hAnsi="Arial" w:cs="Arial"/>
                <w:b/>
                <w:sz w:val="22"/>
                <w:szCs w:val="22"/>
              </w:rPr>
            </w:pPr>
            <w:r w:rsidRPr="00762C65">
              <w:rPr>
                <w:rFonts w:ascii="Arial" w:hAnsi="Arial" w:cs="Arial"/>
                <w:b/>
                <w:sz w:val="22"/>
                <w:szCs w:val="22"/>
              </w:rPr>
              <w:t>Class I</w:t>
            </w:r>
          </w:p>
        </w:tc>
        <w:tc>
          <w:tcPr>
            <w:tcW w:w="1048" w:type="pct"/>
          </w:tcPr>
          <w:p w:rsidR="00762C65" w:rsidRPr="00762C65" w:rsidRDefault="00762C65" w:rsidP="004921CA">
            <w:pPr>
              <w:pStyle w:val="Default"/>
              <w:jc w:val="center"/>
              <w:rPr>
                <w:rFonts w:ascii="Arial" w:hAnsi="Arial" w:cs="Arial"/>
                <w:b/>
                <w:sz w:val="22"/>
                <w:szCs w:val="22"/>
              </w:rPr>
            </w:pPr>
            <w:r w:rsidRPr="00762C65">
              <w:rPr>
                <w:rFonts w:ascii="Arial" w:hAnsi="Arial" w:cs="Arial"/>
                <w:b/>
                <w:sz w:val="22"/>
                <w:szCs w:val="22"/>
              </w:rPr>
              <w:t>Class II</w:t>
            </w:r>
          </w:p>
        </w:tc>
        <w:tc>
          <w:tcPr>
            <w:tcW w:w="1104" w:type="pct"/>
          </w:tcPr>
          <w:p w:rsidR="00762C65" w:rsidRPr="00762C65" w:rsidRDefault="00762C65" w:rsidP="004921CA">
            <w:pPr>
              <w:pStyle w:val="Default"/>
              <w:jc w:val="center"/>
              <w:rPr>
                <w:rFonts w:ascii="Arial" w:hAnsi="Arial" w:cs="Arial"/>
                <w:b/>
                <w:sz w:val="22"/>
                <w:szCs w:val="22"/>
              </w:rPr>
            </w:pPr>
            <w:r w:rsidRPr="00762C65">
              <w:rPr>
                <w:rFonts w:ascii="Arial" w:hAnsi="Arial" w:cs="Arial"/>
                <w:b/>
                <w:sz w:val="22"/>
                <w:szCs w:val="22"/>
              </w:rPr>
              <w:t>Class III</w:t>
            </w:r>
          </w:p>
        </w:tc>
      </w:tr>
      <w:tr w:rsidR="00762C65" w:rsidRPr="00762C65" w:rsidTr="004921CA">
        <w:trPr>
          <w:jc w:val="center"/>
        </w:trPr>
        <w:tc>
          <w:tcPr>
            <w:tcW w:w="1598" w:type="pct"/>
          </w:tcPr>
          <w:p w:rsidR="00762C65" w:rsidRPr="00762C65" w:rsidRDefault="00762C65" w:rsidP="004921CA">
            <w:pPr>
              <w:pStyle w:val="Default"/>
              <w:rPr>
                <w:rFonts w:ascii="Arial" w:hAnsi="Arial" w:cs="Arial"/>
                <w:sz w:val="22"/>
                <w:szCs w:val="22"/>
              </w:rPr>
            </w:pPr>
            <w:r w:rsidRPr="00762C65">
              <w:rPr>
                <w:rFonts w:ascii="Arial" w:hAnsi="Arial" w:cs="Arial"/>
                <w:sz w:val="22"/>
                <w:szCs w:val="22"/>
              </w:rPr>
              <w:t>Annual</w:t>
            </w:r>
          </w:p>
        </w:tc>
        <w:tc>
          <w:tcPr>
            <w:tcW w:w="1250" w:type="pct"/>
          </w:tcPr>
          <w:p w:rsidR="00762C65" w:rsidRPr="00762C65" w:rsidRDefault="00762C65" w:rsidP="004921CA">
            <w:pPr>
              <w:pStyle w:val="Default"/>
              <w:rPr>
                <w:rFonts w:ascii="Arial" w:hAnsi="Arial" w:cs="Arial"/>
                <w:sz w:val="22"/>
                <w:szCs w:val="22"/>
              </w:rPr>
            </w:pPr>
            <w:r w:rsidRPr="00762C65">
              <w:rPr>
                <w:rFonts w:ascii="Arial" w:hAnsi="Arial" w:cs="Arial"/>
                <w:sz w:val="22"/>
                <w:szCs w:val="22"/>
              </w:rPr>
              <w:t>0.06 μg/m</w:t>
            </w:r>
            <w:r w:rsidRPr="00762C65">
              <w:rPr>
                <w:rFonts w:ascii="Arial" w:hAnsi="Arial" w:cs="Arial"/>
                <w:sz w:val="22"/>
                <w:szCs w:val="22"/>
                <w:vertAlign w:val="superscript"/>
              </w:rPr>
              <w:t>3</w:t>
            </w:r>
          </w:p>
        </w:tc>
        <w:tc>
          <w:tcPr>
            <w:tcW w:w="1048" w:type="pct"/>
          </w:tcPr>
          <w:p w:rsidR="00762C65" w:rsidRPr="00762C65" w:rsidRDefault="00762C65" w:rsidP="004921CA">
            <w:pPr>
              <w:pStyle w:val="Default"/>
              <w:rPr>
                <w:rFonts w:ascii="Arial" w:hAnsi="Arial" w:cs="Arial"/>
                <w:sz w:val="22"/>
                <w:szCs w:val="22"/>
              </w:rPr>
            </w:pPr>
            <w:r w:rsidRPr="00762C65">
              <w:rPr>
                <w:rFonts w:ascii="Arial" w:hAnsi="Arial" w:cs="Arial"/>
                <w:sz w:val="22"/>
                <w:szCs w:val="22"/>
              </w:rPr>
              <w:t>0.2 μg/m</w:t>
            </w:r>
            <w:r w:rsidRPr="00762C65">
              <w:rPr>
                <w:rFonts w:ascii="Arial" w:hAnsi="Arial" w:cs="Arial"/>
                <w:sz w:val="22"/>
                <w:szCs w:val="22"/>
                <w:vertAlign w:val="superscript"/>
              </w:rPr>
              <w:t>3</w:t>
            </w:r>
          </w:p>
        </w:tc>
        <w:tc>
          <w:tcPr>
            <w:tcW w:w="1104" w:type="pct"/>
          </w:tcPr>
          <w:p w:rsidR="00762C65" w:rsidRPr="00762C65" w:rsidRDefault="00762C65" w:rsidP="004921CA">
            <w:pPr>
              <w:pStyle w:val="Default"/>
              <w:rPr>
                <w:rFonts w:ascii="Arial" w:hAnsi="Arial" w:cs="Arial"/>
                <w:sz w:val="22"/>
                <w:szCs w:val="22"/>
              </w:rPr>
            </w:pPr>
            <w:r w:rsidRPr="00762C65">
              <w:rPr>
                <w:rFonts w:ascii="Arial" w:hAnsi="Arial" w:cs="Arial"/>
                <w:sz w:val="22"/>
                <w:szCs w:val="22"/>
              </w:rPr>
              <w:t>0.2 μg/m</w:t>
            </w:r>
            <w:r w:rsidRPr="00762C65">
              <w:rPr>
                <w:rFonts w:ascii="Arial" w:hAnsi="Arial" w:cs="Arial"/>
                <w:sz w:val="22"/>
                <w:szCs w:val="22"/>
                <w:vertAlign w:val="superscript"/>
              </w:rPr>
              <w:t>3</w:t>
            </w:r>
          </w:p>
        </w:tc>
      </w:tr>
      <w:tr w:rsidR="00762C65" w:rsidRPr="00762C65" w:rsidTr="004921CA">
        <w:trPr>
          <w:jc w:val="center"/>
        </w:trPr>
        <w:tc>
          <w:tcPr>
            <w:tcW w:w="1598" w:type="pct"/>
          </w:tcPr>
          <w:p w:rsidR="00762C65" w:rsidRPr="00762C65" w:rsidRDefault="00762C65" w:rsidP="004921CA">
            <w:pPr>
              <w:pStyle w:val="Default"/>
              <w:rPr>
                <w:rFonts w:ascii="Arial" w:hAnsi="Arial" w:cs="Arial"/>
                <w:sz w:val="22"/>
                <w:szCs w:val="22"/>
              </w:rPr>
            </w:pPr>
            <w:r w:rsidRPr="00762C65">
              <w:rPr>
                <w:rFonts w:ascii="Arial" w:hAnsi="Arial" w:cs="Arial"/>
                <w:sz w:val="22"/>
                <w:szCs w:val="22"/>
              </w:rPr>
              <w:t>24-hour</w:t>
            </w:r>
          </w:p>
        </w:tc>
        <w:tc>
          <w:tcPr>
            <w:tcW w:w="1250" w:type="pct"/>
          </w:tcPr>
          <w:p w:rsidR="00762C65" w:rsidRPr="00762C65" w:rsidRDefault="00762C65" w:rsidP="004921CA">
            <w:pPr>
              <w:pStyle w:val="Default"/>
              <w:rPr>
                <w:rFonts w:ascii="Arial" w:hAnsi="Arial" w:cs="Arial"/>
                <w:sz w:val="22"/>
                <w:szCs w:val="22"/>
              </w:rPr>
            </w:pPr>
            <w:r w:rsidRPr="00762C65">
              <w:rPr>
                <w:rFonts w:ascii="Arial" w:hAnsi="Arial" w:cs="Arial"/>
                <w:sz w:val="22"/>
                <w:szCs w:val="22"/>
              </w:rPr>
              <w:t>0.07 μg/m</w:t>
            </w:r>
            <w:r w:rsidRPr="00762C65">
              <w:rPr>
                <w:rFonts w:ascii="Arial" w:hAnsi="Arial" w:cs="Arial"/>
                <w:sz w:val="22"/>
                <w:szCs w:val="22"/>
                <w:vertAlign w:val="superscript"/>
              </w:rPr>
              <w:t>3</w:t>
            </w:r>
          </w:p>
        </w:tc>
        <w:tc>
          <w:tcPr>
            <w:tcW w:w="1048" w:type="pct"/>
          </w:tcPr>
          <w:p w:rsidR="00762C65" w:rsidRPr="00762C65" w:rsidRDefault="00762C65" w:rsidP="004921CA">
            <w:pPr>
              <w:pStyle w:val="Default"/>
              <w:rPr>
                <w:rFonts w:ascii="Arial" w:hAnsi="Arial" w:cs="Arial"/>
                <w:sz w:val="22"/>
                <w:szCs w:val="22"/>
              </w:rPr>
            </w:pPr>
            <w:r w:rsidRPr="00762C65">
              <w:rPr>
                <w:rFonts w:ascii="Arial" w:hAnsi="Arial" w:cs="Arial"/>
                <w:sz w:val="22"/>
                <w:szCs w:val="22"/>
              </w:rPr>
              <w:t>1.0 μg/m</w:t>
            </w:r>
            <w:r w:rsidRPr="00762C65">
              <w:rPr>
                <w:rFonts w:ascii="Arial" w:hAnsi="Arial" w:cs="Arial"/>
                <w:sz w:val="22"/>
                <w:szCs w:val="22"/>
                <w:vertAlign w:val="superscript"/>
              </w:rPr>
              <w:t>3</w:t>
            </w:r>
          </w:p>
        </w:tc>
        <w:tc>
          <w:tcPr>
            <w:tcW w:w="1104" w:type="pct"/>
          </w:tcPr>
          <w:p w:rsidR="00762C65" w:rsidRPr="00762C65" w:rsidRDefault="00762C65" w:rsidP="004921CA">
            <w:pPr>
              <w:pStyle w:val="Default"/>
              <w:rPr>
                <w:rFonts w:ascii="Arial" w:hAnsi="Arial" w:cs="Arial"/>
                <w:sz w:val="22"/>
                <w:szCs w:val="22"/>
              </w:rPr>
            </w:pPr>
            <w:r w:rsidRPr="00762C65">
              <w:rPr>
                <w:rFonts w:ascii="Arial" w:hAnsi="Arial" w:cs="Arial"/>
                <w:sz w:val="22"/>
                <w:szCs w:val="22"/>
              </w:rPr>
              <w:t>1.0 μg/m</w:t>
            </w:r>
            <w:r w:rsidRPr="00762C65">
              <w:rPr>
                <w:rFonts w:ascii="Arial" w:hAnsi="Arial" w:cs="Arial"/>
                <w:sz w:val="22"/>
                <w:szCs w:val="22"/>
                <w:vertAlign w:val="superscript"/>
              </w:rPr>
              <w:t>3</w:t>
            </w:r>
          </w:p>
        </w:tc>
      </w:tr>
    </w:tbl>
    <w:p w:rsidR="00762C65" w:rsidRPr="00762C65" w:rsidRDefault="00762C65" w:rsidP="00762C65">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p>
    <w:p w:rsidR="000149D4" w:rsidRPr="00301491" w:rsidRDefault="00F42715" w:rsidP="009066C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vertAlign w:val="subscript"/>
        </w:rPr>
      </w:pPr>
      <w:r w:rsidRPr="00301491">
        <w:t xml:space="preserve">DEQ’s proposed Class II and Class III SILs are lower than EPA’s values because DEQ established </w:t>
      </w:r>
      <w:r w:rsidR="00EC1BA9" w:rsidRPr="00301491">
        <w:t xml:space="preserve">lower </w:t>
      </w:r>
      <w:r w:rsidRPr="00301491">
        <w:t>levels in the early 1990’s for PM</w:t>
      </w:r>
      <w:r w:rsidRPr="00301491">
        <w:rPr>
          <w:vertAlign w:val="subscript"/>
        </w:rPr>
        <w:t>10</w:t>
      </w:r>
      <w:r w:rsidRPr="00301491">
        <w:t xml:space="preserve"> due to </w:t>
      </w:r>
      <w:r w:rsidR="00DA34B4" w:rsidRPr="00301491">
        <w:t xml:space="preserve">significant air quality problems in the </w:t>
      </w:r>
      <w:r w:rsidRPr="00301491">
        <w:t xml:space="preserve">Medford area.  </w:t>
      </w:r>
      <w:r w:rsidR="00DA34B4" w:rsidRPr="00301491">
        <w:t xml:space="preserve">Air quality in this area has improved over time but it is still an area of concern.  </w:t>
      </w:r>
      <w:r w:rsidR="00EC1BA9" w:rsidRPr="00301491">
        <w:t xml:space="preserve">The lower </w:t>
      </w:r>
      <w:r w:rsidR="00DA34B4" w:rsidRPr="00301491">
        <w:t xml:space="preserve">SILs </w:t>
      </w:r>
      <w:r w:rsidR="00EC1BA9" w:rsidRPr="00301491">
        <w:t>have been maintained as</w:t>
      </w:r>
      <w:r w:rsidR="00DA34B4" w:rsidRPr="00301491">
        <w:t xml:space="preserve"> part of </w:t>
      </w:r>
      <w:r w:rsidR="005D496A" w:rsidRPr="00301491">
        <w:t>Oregon’s State</w:t>
      </w:r>
      <w:r w:rsidR="00DA34B4" w:rsidRPr="00301491">
        <w:t xml:space="preserve"> Implementation Plan to ensure that air quality does not deteriorate.  </w:t>
      </w:r>
      <w:r w:rsidR="003F5D40" w:rsidRPr="00301491">
        <w:t>Despite the lower PM</w:t>
      </w:r>
      <w:r w:rsidR="003F5D40" w:rsidRPr="00301491">
        <w:rPr>
          <w:vertAlign w:val="subscript"/>
        </w:rPr>
        <w:t xml:space="preserve">10 </w:t>
      </w:r>
      <w:r w:rsidR="000149D4" w:rsidRPr="00301491">
        <w:t>SILs</w:t>
      </w:r>
      <w:r w:rsidR="005D496A" w:rsidRPr="00301491">
        <w:t>,</w:t>
      </w:r>
      <w:r w:rsidR="000149D4" w:rsidRPr="00301491">
        <w:t xml:space="preserve"> Oregon currently has two areas in the state that do not meet ambient air quality standards for PM</w:t>
      </w:r>
      <w:r w:rsidR="000149D4" w:rsidRPr="00301491">
        <w:rPr>
          <w:vertAlign w:val="subscript"/>
        </w:rPr>
        <w:t>2.5</w:t>
      </w:r>
    </w:p>
    <w:p w:rsidR="000149D4" w:rsidRPr="00301491" w:rsidRDefault="000149D4" w:rsidP="009066C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vertAlign w:val="subscript"/>
        </w:rPr>
      </w:pPr>
    </w:p>
    <w:p w:rsidR="009066CA" w:rsidRPr="00301491" w:rsidRDefault="00EC1BA9" w:rsidP="009066C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r w:rsidRPr="00301491">
        <w:t>EPA’s Class II and III SILs for PM</w:t>
      </w:r>
      <w:r w:rsidRPr="00301491">
        <w:rPr>
          <w:vertAlign w:val="subscript"/>
        </w:rPr>
        <w:t>2.5</w:t>
      </w:r>
      <w:r w:rsidRPr="00301491">
        <w:t xml:space="preserve"> are higher than DEQ’s existing SILs for PM</w:t>
      </w:r>
      <w:r w:rsidRPr="00301491">
        <w:rPr>
          <w:vertAlign w:val="subscript"/>
        </w:rPr>
        <w:t>10.</w:t>
      </w:r>
      <w:r w:rsidRPr="00301491">
        <w:t xml:space="preserve">  Since PM</w:t>
      </w:r>
      <w:r w:rsidRPr="00301491">
        <w:rPr>
          <w:vertAlign w:val="subscript"/>
        </w:rPr>
        <w:t>2.5</w:t>
      </w:r>
      <w:r w:rsidRPr="00301491">
        <w:t xml:space="preserve"> emissions </w:t>
      </w:r>
      <w:r w:rsidR="000149D4" w:rsidRPr="00301491">
        <w:t xml:space="preserve">consist of smaller </w:t>
      </w:r>
      <w:r w:rsidR="003F5D40" w:rsidRPr="00301491">
        <w:t xml:space="preserve">particles </w:t>
      </w:r>
      <w:r w:rsidRPr="00301491">
        <w:t>a</w:t>
      </w:r>
      <w:r w:rsidR="000149D4" w:rsidRPr="00301491">
        <w:t>nd are considered a</w:t>
      </w:r>
      <w:r w:rsidRPr="00301491">
        <w:t xml:space="preserve"> subset of PM</w:t>
      </w:r>
      <w:r w:rsidRPr="00301491">
        <w:rPr>
          <w:vertAlign w:val="subscript"/>
        </w:rPr>
        <w:t>10</w:t>
      </w:r>
      <w:r w:rsidRPr="00301491">
        <w:t xml:space="preserve"> emissions</w:t>
      </w:r>
      <w:r w:rsidR="000149D4" w:rsidRPr="00301491">
        <w:t>,</w:t>
      </w:r>
      <w:r w:rsidRPr="00301491">
        <w:t xml:space="preserve"> DEQ is proposing that the </w:t>
      </w:r>
      <w:r w:rsidR="005D496A" w:rsidRPr="00301491">
        <w:t>PM</w:t>
      </w:r>
      <w:r w:rsidR="005D496A" w:rsidRPr="00301491">
        <w:rPr>
          <w:vertAlign w:val="subscript"/>
        </w:rPr>
        <w:t xml:space="preserve">2.5 </w:t>
      </w:r>
      <w:r w:rsidR="005D496A" w:rsidRPr="00301491">
        <w:t>SIL</w:t>
      </w:r>
      <w:r w:rsidR="000149D4" w:rsidRPr="00301491">
        <w:t xml:space="preserve"> b</w:t>
      </w:r>
      <w:r w:rsidRPr="00301491">
        <w:t xml:space="preserve">e set at a level equal to DEQ’s current </w:t>
      </w:r>
      <w:r w:rsidR="000149D4" w:rsidRPr="00301491">
        <w:t>PM</w:t>
      </w:r>
      <w:r w:rsidR="000149D4" w:rsidRPr="00301491">
        <w:rPr>
          <w:vertAlign w:val="subscript"/>
        </w:rPr>
        <w:t>10</w:t>
      </w:r>
      <w:r w:rsidR="000149D4" w:rsidRPr="00301491">
        <w:t xml:space="preserve"> </w:t>
      </w:r>
      <w:r w:rsidRPr="00301491">
        <w:t>SIL.</w:t>
      </w:r>
      <w:r w:rsidR="000149D4" w:rsidRPr="00301491">
        <w:t xml:space="preserve">  </w:t>
      </w:r>
      <w:r w:rsidR="00FE1BEE" w:rsidRPr="00301491">
        <w:t xml:space="preserve"> </w:t>
      </w:r>
    </w:p>
    <w:p w:rsidR="0007409F" w:rsidRPr="00301491" w:rsidRDefault="0007409F"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p>
    <w:p w:rsidR="00975666" w:rsidRPr="00301491" w:rsidRDefault="00A641E7" w:rsidP="00975666">
      <w:pPr>
        <w:autoSpaceDE w:val="0"/>
        <w:autoSpaceDN w:val="0"/>
        <w:adjustRightInd w:val="0"/>
      </w:pPr>
      <w:r w:rsidRPr="00301491">
        <w:t xml:space="preserve">The proposed rules also </w:t>
      </w:r>
      <w:r w:rsidR="006F34D1" w:rsidRPr="00301491">
        <w:t>change how small scale local energy projects are evaluated under Oregon’s rules based on recent changes to Oregon</w:t>
      </w:r>
      <w:r w:rsidR="00965E84" w:rsidRPr="00301491">
        <w:t>’</w:t>
      </w:r>
      <w:r w:rsidR="006F34D1" w:rsidRPr="00301491">
        <w:t xml:space="preserve">s statutes resulting from House Bill 2952.   </w:t>
      </w:r>
      <w:r w:rsidR="002D53AF" w:rsidRPr="00301491">
        <w:t xml:space="preserve">EPA requires states to have minor source construction approval programs, </w:t>
      </w:r>
      <w:r w:rsidR="006F34D1" w:rsidRPr="00301491">
        <w:t xml:space="preserve">in addition to the major source program described above, </w:t>
      </w:r>
      <w:r w:rsidR="002D53AF" w:rsidRPr="00301491">
        <w:t xml:space="preserve">but gives states flexibility in how to do this.  Oregon’s </w:t>
      </w:r>
      <w:r w:rsidR="00CF75AF" w:rsidRPr="00301491">
        <w:t xml:space="preserve">existing </w:t>
      </w:r>
      <w:r w:rsidR="002D53AF" w:rsidRPr="00301491">
        <w:t xml:space="preserve">minor source construction approval program </w:t>
      </w:r>
      <w:r w:rsidR="00CF75AF" w:rsidRPr="00301491">
        <w:t>in effect</w:t>
      </w:r>
      <w:r w:rsidR="00CF75AF" w:rsidRPr="00301491" w:rsidDel="00CF75AF">
        <w:t xml:space="preserve"> </w:t>
      </w:r>
      <w:r w:rsidR="002D53AF" w:rsidRPr="00301491">
        <w:t xml:space="preserve">applies major source NSR/PSD requirements to any source </w:t>
      </w:r>
      <w:r w:rsidR="00584BE8" w:rsidRPr="00301491">
        <w:t xml:space="preserve">with emissions </w:t>
      </w:r>
      <w:r w:rsidR="002D53AF" w:rsidRPr="00301491">
        <w:t xml:space="preserve">over the </w:t>
      </w:r>
      <w:r w:rsidR="00CF75AF" w:rsidRPr="00301491">
        <w:t>S</w:t>
      </w:r>
      <w:r w:rsidR="00584BE8" w:rsidRPr="00301491">
        <w:t xml:space="preserve">ignificant </w:t>
      </w:r>
      <w:r w:rsidR="00CF75AF" w:rsidRPr="00301491">
        <w:t>E</w:t>
      </w:r>
      <w:r w:rsidR="00584BE8" w:rsidRPr="00301491">
        <w:t xml:space="preserve">mission </w:t>
      </w:r>
      <w:r w:rsidR="00CF75AF" w:rsidRPr="00301491">
        <w:t>R</w:t>
      </w:r>
      <w:r w:rsidR="00584BE8" w:rsidRPr="00301491">
        <w:t>ate</w:t>
      </w:r>
      <w:r w:rsidR="002D53AF" w:rsidRPr="00301491">
        <w:t xml:space="preserve">.  </w:t>
      </w:r>
      <w:r w:rsidR="00965E84" w:rsidRPr="00301491">
        <w:t xml:space="preserve">This is above and beyond what is required by the federal rules.  </w:t>
      </w:r>
      <w:r w:rsidR="002D53AF" w:rsidRPr="00301491">
        <w:t>HB 2952 revised how minor source construction approval works for small scal</w:t>
      </w:r>
      <w:r w:rsidR="00584BE8" w:rsidRPr="00301491">
        <w:t>e</w:t>
      </w:r>
      <w:r w:rsidR="002D53AF" w:rsidRPr="00301491">
        <w:t xml:space="preserve"> local energy projects</w:t>
      </w:r>
      <w:r w:rsidR="00965E84" w:rsidRPr="00301491">
        <w:t xml:space="preserve"> in Oregon </w:t>
      </w:r>
      <w:r w:rsidR="00C13D1E" w:rsidRPr="00301491">
        <w:t xml:space="preserve">providing </w:t>
      </w:r>
      <w:r w:rsidR="00965E84" w:rsidRPr="00301491">
        <w:t xml:space="preserve">DEQ with greater </w:t>
      </w:r>
      <w:r w:rsidR="00965E84" w:rsidRPr="00301491">
        <w:lastRenderedPageBreak/>
        <w:t>flexibility on how to implement the program</w:t>
      </w:r>
      <w:r w:rsidR="002D53AF" w:rsidRPr="00301491">
        <w:t xml:space="preserve">.  </w:t>
      </w:r>
      <w:r w:rsidR="00584BE8" w:rsidRPr="00301491">
        <w:t>T</w:t>
      </w:r>
      <w:r w:rsidR="002D53AF" w:rsidRPr="00301491">
        <w:t xml:space="preserve">he </w:t>
      </w:r>
      <w:r w:rsidR="00CF75AF" w:rsidRPr="00301491">
        <w:t xml:space="preserve">changes in the proposed rule still </w:t>
      </w:r>
      <w:r w:rsidR="002D53AF" w:rsidRPr="00301491">
        <w:t>meet EPA’s general requirement to have a construction approval program</w:t>
      </w:r>
      <w:r w:rsidR="00965E84" w:rsidRPr="00301491">
        <w:t xml:space="preserve"> for minor sources and do not change the stringency of the rule</w:t>
      </w:r>
      <w:r w:rsidR="002D53AF" w:rsidRPr="00301491">
        <w:t>.</w:t>
      </w:r>
    </w:p>
    <w:p w:rsidR="00785A30" w:rsidRPr="00A8407C" w:rsidRDefault="00785A30" w:rsidP="00975666">
      <w:pPr>
        <w:autoSpaceDE w:val="0"/>
        <w:autoSpaceDN w:val="0"/>
        <w:adjustRightInd w:val="0"/>
        <w:rPr>
          <w:rFonts w:ascii="Arial" w:hAnsi="Arial" w:cs="Arial"/>
          <w:sz w:val="22"/>
          <w:szCs w:val="22"/>
        </w:rPr>
      </w:pPr>
    </w:p>
    <w:p w:rsidR="006D6355" w:rsidRDefault="006D6355"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spacing w:val="-3"/>
        </w:rPr>
      </w:pPr>
    </w:p>
    <w:p w:rsidR="006D6355" w:rsidRDefault="006D6355"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spacing w:val="-3"/>
        </w:rPr>
      </w:pPr>
    </w:p>
    <w:p w:rsidR="00425375" w:rsidRDefault="00425375"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bCs/>
        </w:rPr>
      </w:pPr>
      <w:r>
        <w:rPr>
          <w:b/>
          <w:spacing w:val="-3"/>
        </w:rPr>
        <w:t>2.</w:t>
      </w:r>
      <w:r w:rsidR="004E72B3" w:rsidDel="004E72B3">
        <w:rPr>
          <w:b/>
          <w:spacing w:val="-3"/>
        </w:rPr>
        <w:t xml:space="preserve"> </w:t>
      </w:r>
      <w:r w:rsidRPr="00BC139B">
        <w:rPr>
          <w:rFonts w:ascii="Arial" w:hAnsi="Arial" w:cs="Arial"/>
          <w:b/>
          <w:bCs/>
        </w:rPr>
        <w:t>If the proposal differs from, or is in addition to</w:t>
      </w:r>
      <w:r w:rsidR="00D062F4" w:rsidRPr="00BC139B">
        <w:rPr>
          <w:rFonts w:ascii="Arial" w:hAnsi="Arial" w:cs="Arial"/>
          <w:b/>
          <w:bCs/>
        </w:rPr>
        <w:t>,</w:t>
      </w:r>
      <w:r w:rsidRPr="00BC139B">
        <w:rPr>
          <w:rFonts w:ascii="Arial" w:hAnsi="Arial" w:cs="Arial"/>
          <w:b/>
          <w:bCs/>
        </w:rPr>
        <w:t xml:space="preserve"> applicable federal requirements, explain the </w:t>
      </w:r>
      <w:r w:rsidR="00DA749A" w:rsidRPr="00BC139B">
        <w:rPr>
          <w:rFonts w:ascii="Arial" w:hAnsi="Arial" w:cs="Arial"/>
          <w:b/>
          <w:bCs/>
        </w:rPr>
        <w:t>reasons for the difference or addition (including as appropriate</w:t>
      </w:r>
      <w:r w:rsidR="004E72B3" w:rsidRPr="00BC139B">
        <w:rPr>
          <w:rFonts w:ascii="Arial" w:hAnsi="Arial" w:cs="Arial"/>
          <w:b/>
          <w:bCs/>
        </w:rPr>
        <w:t>,</w:t>
      </w:r>
      <w:r w:rsidR="00DA749A" w:rsidRPr="00BC139B">
        <w:rPr>
          <w:rFonts w:ascii="Arial" w:hAnsi="Arial" w:cs="Arial"/>
          <w:b/>
          <w:bCs/>
        </w:rPr>
        <w:t xml:space="preserve"> the</w:t>
      </w:r>
      <w:r w:rsidR="00563267" w:rsidRPr="00BC139B">
        <w:rPr>
          <w:rFonts w:ascii="Arial" w:hAnsi="Arial" w:cs="Arial"/>
          <w:b/>
          <w:bCs/>
        </w:rPr>
        <w:t xml:space="preserve"> public health, environmental,</w:t>
      </w:r>
      <w:r w:rsidR="00DA749A" w:rsidRPr="00BC139B">
        <w:rPr>
          <w:rFonts w:ascii="Arial" w:hAnsi="Arial" w:cs="Arial"/>
          <w:b/>
          <w:bCs/>
        </w:rPr>
        <w:t xml:space="preserve"> </w:t>
      </w:r>
      <w:r w:rsidRPr="00BC139B">
        <w:rPr>
          <w:rFonts w:ascii="Arial" w:hAnsi="Arial" w:cs="Arial"/>
          <w:b/>
          <w:bCs/>
        </w:rPr>
        <w:t>scientific, economic, technological, administrative or other reasons</w:t>
      </w:r>
      <w:r w:rsidR="00AE6465" w:rsidRPr="00BC139B">
        <w:rPr>
          <w:rFonts w:ascii="Arial" w:hAnsi="Arial" w:cs="Arial"/>
          <w:b/>
          <w:bCs/>
        </w:rPr>
        <w:t>)</w:t>
      </w:r>
      <w:r w:rsidR="004E72B3" w:rsidRPr="00BC139B">
        <w:rPr>
          <w:rFonts w:ascii="Arial" w:hAnsi="Arial" w:cs="Arial"/>
          <w:b/>
          <w:bCs/>
        </w:rPr>
        <w:t>.</w:t>
      </w:r>
    </w:p>
    <w:p w:rsidR="005852FA" w:rsidRDefault="005852FA"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bCs/>
        </w:rPr>
      </w:pPr>
    </w:p>
    <w:p w:rsidR="00A1207A" w:rsidRPr="00301491" w:rsidRDefault="00A1207A" w:rsidP="005852FA">
      <w:pPr>
        <w:autoSpaceDE w:val="0"/>
        <w:autoSpaceDN w:val="0"/>
        <w:adjustRightInd w:val="0"/>
        <w:rPr>
          <w:bCs/>
        </w:rPr>
      </w:pPr>
      <w:r w:rsidRPr="00301491">
        <w:rPr>
          <w:bCs/>
        </w:rPr>
        <w:t xml:space="preserve">Oregon’s proposed rules maintain </w:t>
      </w:r>
      <w:r w:rsidR="00B44610" w:rsidRPr="00301491">
        <w:rPr>
          <w:bCs/>
        </w:rPr>
        <w:t xml:space="preserve">inherent </w:t>
      </w:r>
      <w:r w:rsidRPr="00301491">
        <w:rPr>
          <w:bCs/>
        </w:rPr>
        <w:t>diffe</w:t>
      </w:r>
      <w:r w:rsidR="005D496A" w:rsidRPr="00301491">
        <w:rPr>
          <w:bCs/>
        </w:rPr>
        <w:t>re</w:t>
      </w:r>
      <w:r w:rsidRPr="00301491">
        <w:rPr>
          <w:bCs/>
        </w:rPr>
        <w:t xml:space="preserve">nces </w:t>
      </w:r>
      <w:r w:rsidR="00B44610" w:rsidRPr="00301491">
        <w:rPr>
          <w:bCs/>
        </w:rPr>
        <w:t xml:space="preserve">between Oregon’s existing </w:t>
      </w:r>
      <w:r w:rsidR="005D496A" w:rsidRPr="00301491">
        <w:rPr>
          <w:bCs/>
        </w:rPr>
        <w:t>permitting</w:t>
      </w:r>
      <w:r w:rsidR="00A54286" w:rsidRPr="00301491">
        <w:rPr>
          <w:bCs/>
        </w:rPr>
        <w:t xml:space="preserve"> program </w:t>
      </w:r>
      <w:r w:rsidR="00B44610" w:rsidRPr="00301491">
        <w:rPr>
          <w:bCs/>
        </w:rPr>
        <w:t xml:space="preserve">rules and the federal rules for </w:t>
      </w:r>
      <w:r w:rsidR="00A54286" w:rsidRPr="00301491">
        <w:rPr>
          <w:bCs/>
        </w:rPr>
        <w:t xml:space="preserve">the purpose of </w:t>
      </w:r>
      <w:r w:rsidR="00B44610" w:rsidRPr="00301491">
        <w:rPr>
          <w:bCs/>
        </w:rPr>
        <w:t>administrative consistency</w:t>
      </w:r>
      <w:r w:rsidR="00856560" w:rsidRPr="00301491">
        <w:rPr>
          <w:bCs/>
        </w:rPr>
        <w:t xml:space="preserve"> </w:t>
      </w:r>
      <w:r w:rsidR="00005F8F" w:rsidRPr="00301491">
        <w:rPr>
          <w:bCs/>
        </w:rPr>
        <w:t xml:space="preserve">with the exception of the SILs which are more stringent for Class II and Class III </w:t>
      </w:r>
      <w:r w:rsidR="00856560" w:rsidRPr="00301491">
        <w:rPr>
          <w:bCs/>
        </w:rPr>
        <w:t xml:space="preserve">areas </w:t>
      </w:r>
      <w:r w:rsidR="003F5D40" w:rsidRPr="00301491">
        <w:rPr>
          <w:bCs/>
        </w:rPr>
        <w:t xml:space="preserve">for environmental and administrative reasons.  </w:t>
      </w:r>
      <w:r w:rsidR="003C5A62" w:rsidRPr="00301491">
        <w:rPr>
          <w:bCs/>
        </w:rPr>
        <w:t xml:space="preserve">See discussion above in response to Question 1. </w:t>
      </w:r>
      <w:r w:rsidR="00856560" w:rsidRPr="00301491">
        <w:rPr>
          <w:bCs/>
        </w:rPr>
        <w:t>Adopting the federal program for</w:t>
      </w:r>
      <w:r w:rsidR="003C5A62" w:rsidRPr="00301491">
        <w:rPr>
          <w:bCs/>
        </w:rPr>
        <w:t xml:space="preserve"> some pollutants</w:t>
      </w:r>
      <w:r w:rsidR="00856560" w:rsidRPr="00301491">
        <w:t xml:space="preserve"> while maintaining the Oregon program for other pollutants </w:t>
      </w:r>
      <w:r w:rsidR="003C5A62" w:rsidRPr="00301491">
        <w:t>c</w:t>
      </w:r>
      <w:r w:rsidR="00856560" w:rsidRPr="00301491">
        <w:t xml:space="preserve">ould cause confusion </w:t>
      </w:r>
      <w:r w:rsidR="003C5A62" w:rsidRPr="00301491">
        <w:t xml:space="preserve">and it would </w:t>
      </w:r>
      <w:r w:rsidR="00856560" w:rsidRPr="00301491">
        <w:t>be resource intensive to administer two different program</w:t>
      </w:r>
      <w:r w:rsidR="003C5A62" w:rsidRPr="00301491">
        <w:t>s</w:t>
      </w:r>
      <w:r w:rsidR="00856560" w:rsidRPr="00301491">
        <w:t xml:space="preserve"> in the state.  </w:t>
      </w:r>
      <w:r w:rsidR="003C5A62" w:rsidRPr="00301491">
        <w:t xml:space="preserve">Also converting the entire program to match the federal program would be a major undertaking, requiring significant resources and technical challenges.  </w:t>
      </w:r>
      <w:r w:rsidR="003F5D40" w:rsidRPr="00301491">
        <w:rPr>
          <w:bCs/>
        </w:rPr>
        <w:t xml:space="preserve">In addition to maintaining administrative consistency </w:t>
      </w:r>
      <w:r w:rsidR="009D3027" w:rsidRPr="00301491">
        <w:rPr>
          <w:bCs/>
        </w:rPr>
        <w:t>there are a number of other benefits to the Oregon program</w:t>
      </w:r>
      <w:r w:rsidR="00902D42" w:rsidRPr="00301491">
        <w:rPr>
          <w:bCs/>
        </w:rPr>
        <w:t xml:space="preserve"> as described below</w:t>
      </w:r>
      <w:r w:rsidR="009D3027" w:rsidRPr="00301491">
        <w:rPr>
          <w:bCs/>
        </w:rPr>
        <w:t>.</w:t>
      </w:r>
    </w:p>
    <w:p w:rsidR="00FA2334" w:rsidRPr="00301491" w:rsidRDefault="00FA2334"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bCs/>
        </w:rPr>
      </w:pPr>
    </w:p>
    <w:p w:rsidR="005852FA" w:rsidRPr="00301491" w:rsidRDefault="005852FA" w:rsidP="005852F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u w:val="single"/>
        </w:rPr>
      </w:pPr>
      <w:r w:rsidRPr="00301491">
        <w:rPr>
          <w:rStyle w:val="Emphasis"/>
          <w:i w:val="0"/>
        </w:rPr>
        <w:t>Oregon</w:t>
      </w:r>
      <w:r w:rsidR="00B67755" w:rsidRPr="00301491">
        <w:rPr>
          <w:rStyle w:val="Emphasis"/>
          <w:i w:val="0"/>
        </w:rPr>
        <w:t>’s</w:t>
      </w:r>
      <w:r w:rsidRPr="00301491">
        <w:rPr>
          <w:rStyle w:val="Emphasis"/>
          <w:i w:val="0"/>
        </w:rPr>
        <w:t xml:space="preserve"> NSR/PSD program</w:t>
      </w:r>
      <w:r w:rsidR="009D3027" w:rsidRPr="00301491">
        <w:rPr>
          <w:rStyle w:val="Emphasis"/>
          <w:i w:val="0"/>
        </w:rPr>
        <w:t xml:space="preserve"> </w:t>
      </w:r>
      <w:r w:rsidRPr="00301491">
        <w:rPr>
          <w:rStyle w:val="Emphasis"/>
          <w:i w:val="0"/>
        </w:rPr>
        <w:t xml:space="preserve">was used as one of the models to support the development of the federal NSR reform rules.  In particular, Oregon’s Plant Site Emission Limit was a model for the federal Plantwide Applicability Limit (PAL).  The federal PAL is set by adding the Significant Emission Rate to the highest actual emissions over any two year period in the previous ten years.  </w:t>
      </w:r>
    </w:p>
    <w:p w:rsidR="005852FA" w:rsidRPr="00301491" w:rsidRDefault="005852FA" w:rsidP="005852FA">
      <w:pPr>
        <w:pStyle w:val="PlainText"/>
        <w:rPr>
          <w:rFonts w:ascii="Times New Roman" w:hAnsi="Times New Roman"/>
          <w:spacing w:val="-3"/>
          <w:sz w:val="24"/>
          <w:szCs w:val="24"/>
          <w:u w:val="single"/>
        </w:rPr>
      </w:pPr>
    </w:p>
    <w:p w:rsidR="005852FA" w:rsidRPr="00301491" w:rsidRDefault="004F27C4" w:rsidP="005852FA">
      <w:pPr>
        <w:pStyle w:val="PlainText"/>
        <w:rPr>
          <w:rFonts w:ascii="Times New Roman" w:hAnsi="Times New Roman"/>
          <w:spacing w:val="-3"/>
          <w:sz w:val="24"/>
          <w:szCs w:val="24"/>
        </w:rPr>
      </w:pPr>
      <w:r w:rsidRPr="00301491">
        <w:rPr>
          <w:rFonts w:ascii="Times New Roman" w:hAnsi="Times New Roman"/>
          <w:spacing w:val="-3"/>
          <w:sz w:val="24"/>
          <w:szCs w:val="24"/>
        </w:rPr>
        <w:t>The foundation</w:t>
      </w:r>
      <w:r w:rsidR="005852FA" w:rsidRPr="00301491">
        <w:rPr>
          <w:rFonts w:ascii="Times New Roman" w:hAnsi="Times New Roman"/>
          <w:spacing w:val="-3"/>
          <w:sz w:val="24"/>
          <w:szCs w:val="24"/>
        </w:rPr>
        <w:t xml:space="preserve"> for calculating net emission increases or decreases for determining applicability of the NSR/PSD prog</w:t>
      </w:r>
      <w:r w:rsidR="005852FA" w:rsidRPr="00301491">
        <w:rPr>
          <w:rFonts w:ascii="Times New Roman" w:hAnsi="Times New Roman"/>
          <w:sz w:val="24"/>
          <w:szCs w:val="24"/>
        </w:rPr>
        <w:t>r</w:t>
      </w:r>
      <w:r w:rsidR="005852FA" w:rsidRPr="00301491">
        <w:rPr>
          <w:rFonts w:ascii="Times New Roman" w:hAnsi="Times New Roman"/>
          <w:spacing w:val="-3"/>
          <w:sz w:val="24"/>
          <w:szCs w:val="24"/>
        </w:rPr>
        <w:t>am in the Oregon rules is the P</w:t>
      </w:r>
      <w:r w:rsidR="00005F8F" w:rsidRPr="00301491">
        <w:rPr>
          <w:rFonts w:ascii="Times New Roman" w:hAnsi="Times New Roman"/>
          <w:spacing w:val="-3"/>
          <w:sz w:val="24"/>
          <w:szCs w:val="24"/>
        </w:rPr>
        <w:t xml:space="preserve">lant </w:t>
      </w:r>
      <w:r w:rsidR="005852FA" w:rsidRPr="00301491">
        <w:rPr>
          <w:rFonts w:ascii="Times New Roman" w:hAnsi="Times New Roman"/>
          <w:spacing w:val="-3"/>
          <w:sz w:val="24"/>
          <w:szCs w:val="24"/>
        </w:rPr>
        <w:t>S</w:t>
      </w:r>
      <w:r w:rsidR="00005F8F" w:rsidRPr="00301491">
        <w:rPr>
          <w:rFonts w:ascii="Times New Roman" w:hAnsi="Times New Roman"/>
          <w:spacing w:val="-3"/>
          <w:sz w:val="24"/>
          <w:szCs w:val="24"/>
        </w:rPr>
        <w:t xml:space="preserve">ite </w:t>
      </w:r>
      <w:r w:rsidR="005852FA" w:rsidRPr="00301491">
        <w:rPr>
          <w:rFonts w:ascii="Times New Roman" w:hAnsi="Times New Roman"/>
          <w:spacing w:val="-3"/>
          <w:sz w:val="24"/>
          <w:szCs w:val="24"/>
        </w:rPr>
        <w:t>E</w:t>
      </w:r>
      <w:r w:rsidR="00005F8F" w:rsidRPr="00301491">
        <w:rPr>
          <w:rFonts w:ascii="Times New Roman" w:hAnsi="Times New Roman"/>
          <w:spacing w:val="-3"/>
          <w:sz w:val="24"/>
          <w:szCs w:val="24"/>
        </w:rPr>
        <w:t xml:space="preserve">mission </w:t>
      </w:r>
      <w:r w:rsidR="005852FA" w:rsidRPr="00301491">
        <w:rPr>
          <w:rFonts w:ascii="Times New Roman" w:hAnsi="Times New Roman"/>
          <w:spacing w:val="-3"/>
          <w:sz w:val="24"/>
          <w:szCs w:val="24"/>
        </w:rPr>
        <w:t>L</w:t>
      </w:r>
      <w:r w:rsidR="00005F8F" w:rsidRPr="00301491">
        <w:rPr>
          <w:rFonts w:ascii="Times New Roman" w:hAnsi="Times New Roman"/>
          <w:spacing w:val="-3"/>
          <w:sz w:val="24"/>
          <w:szCs w:val="24"/>
        </w:rPr>
        <w:t>imit</w:t>
      </w:r>
      <w:r w:rsidR="005852FA" w:rsidRPr="00301491">
        <w:rPr>
          <w:rFonts w:ascii="Times New Roman" w:hAnsi="Times New Roman"/>
          <w:spacing w:val="-3"/>
          <w:sz w:val="24"/>
          <w:szCs w:val="24"/>
        </w:rPr>
        <w:t xml:space="preserve"> established for each source.  PSELs manage airshed capacity and provide the basis for:  </w:t>
      </w:r>
    </w:p>
    <w:p w:rsidR="005852FA" w:rsidRPr="00301491" w:rsidRDefault="005852FA" w:rsidP="005852FA">
      <w:pPr>
        <w:pStyle w:val="PlainText"/>
        <w:rPr>
          <w:rFonts w:ascii="Times New Roman" w:hAnsi="Times New Roman"/>
          <w:spacing w:val="-3"/>
          <w:sz w:val="24"/>
          <w:szCs w:val="24"/>
        </w:rPr>
      </w:pPr>
    </w:p>
    <w:p w:rsidR="005852FA" w:rsidRPr="00301491" w:rsidRDefault="005852FA" w:rsidP="005852FA">
      <w:pPr>
        <w:pStyle w:val="PlainText"/>
        <w:numPr>
          <w:ilvl w:val="0"/>
          <w:numId w:val="7"/>
        </w:numPr>
        <w:rPr>
          <w:rFonts w:ascii="Times New Roman" w:hAnsi="Times New Roman"/>
          <w:spacing w:val="-3"/>
          <w:sz w:val="24"/>
          <w:szCs w:val="24"/>
        </w:rPr>
      </w:pPr>
      <w:r w:rsidRPr="00301491">
        <w:rPr>
          <w:rFonts w:ascii="Times New Roman" w:hAnsi="Times New Roman"/>
          <w:spacing w:val="-3"/>
          <w:sz w:val="24"/>
          <w:szCs w:val="24"/>
        </w:rPr>
        <w:t>assuring reasonable further progress towards attainment of ambient standards;</w:t>
      </w:r>
    </w:p>
    <w:p w:rsidR="005852FA" w:rsidRPr="00301491" w:rsidRDefault="005852FA" w:rsidP="005852FA">
      <w:pPr>
        <w:pStyle w:val="PlainText"/>
        <w:numPr>
          <w:ilvl w:val="0"/>
          <w:numId w:val="7"/>
        </w:numPr>
        <w:rPr>
          <w:rFonts w:ascii="Times New Roman" w:hAnsi="Times New Roman"/>
          <w:spacing w:val="-3"/>
          <w:sz w:val="24"/>
          <w:szCs w:val="24"/>
        </w:rPr>
      </w:pPr>
      <w:r w:rsidRPr="00301491">
        <w:rPr>
          <w:rFonts w:ascii="Times New Roman" w:hAnsi="Times New Roman"/>
          <w:spacing w:val="-3"/>
          <w:sz w:val="24"/>
          <w:szCs w:val="24"/>
        </w:rPr>
        <w:t>assuring compliance with ambient standards and PSD increments (</w:t>
      </w:r>
      <w:r w:rsidRPr="00301491">
        <w:rPr>
          <w:rFonts w:ascii="Times New Roman" w:hAnsi="Times New Roman"/>
          <w:sz w:val="24"/>
          <w:szCs w:val="24"/>
        </w:rPr>
        <w:t>the maximum concentration increase that is allowed to occur above a baseline concentration for a specific pollutant)</w:t>
      </w:r>
      <w:r w:rsidRPr="00301491">
        <w:rPr>
          <w:rFonts w:ascii="Times New Roman" w:hAnsi="Times New Roman"/>
          <w:spacing w:val="-3"/>
          <w:sz w:val="24"/>
          <w:szCs w:val="24"/>
        </w:rPr>
        <w:t xml:space="preserve">; </w:t>
      </w:r>
    </w:p>
    <w:p w:rsidR="005852FA" w:rsidRPr="00301491" w:rsidRDefault="005852FA" w:rsidP="005852FA">
      <w:pPr>
        <w:pStyle w:val="PlainText"/>
        <w:numPr>
          <w:ilvl w:val="0"/>
          <w:numId w:val="7"/>
        </w:numPr>
        <w:rPr>
          <w:rFonts w:ascii="Times New Roman" w:hAnsi="Times New Roman"/>
          <w:spacing w:val="-3"/>
          <w:sz w:val="24"/>
          <w:szCs w:val="24"/>
        </w:rPr>
      </w:pPr>
      <w:r w:rsidRPr="00301491">
        <w:rPr>
          <w:rFonts w:ascii="Times New Roman" w:hAnsi="Times New Roman"/>
          <w:spacing w:val="-3"/>
          <w:sz w:val="24"/>
          <w:szCs w:val="24"/>
        </w:rPr>
        <w:t>administering the emissions trading program; and</w:t>
      </w:r>
    </w:p>
    <w:p w:rsidR="005852FA" w:rsidRPr="00301491" w:rsidRDefault="005852FA" w:rsidP="005852FA">
      <w:pPr>
        <w:pStyle w:val="PlainText"/>
        <w:numPr>
          <w:ilvl w:val="0"/>
          <w:numId w:val="7"/>
        </w:numPr>
        <w:rPr>
          <w:rFonts w:ascii="Times New Roman" w:hAnsi="Times New Roman"/>
          <w:spacing w:val="-3"/>
          <w:sz w:val="24"/>
          <w:szCs w:val="24"/>
        </w:rPr>
      </w:pPr>
      <w:r w:rsidRPr="00301491">
        <w:rPr>
          <w:rFonts w:ascii="Times New Roman" w:hAnsi="Times New Roman"/>
          <w:spacing w:val="-3"/>
          <w:sz w:val="24"/>
          <w:szCs w:val="24"/>
        </w:rPr>
        <w:t xml:space="preserve">tracking PSD increment consumption (the </w:t>
      </w:r>
      <w:r w:rsidRPr="00301491">
        <w:rPr>
          <w:rFonts w:ascii="Times New Roman" w:hAnsi="Times New Roman"/>
          <w:sz w:val="24"/>
          <w:szCs w:val="24"/>
        </w:rPr>
        <w:t xml:space="preserve">cumulative impact of emissions growth in areas that meet air quality standards).  </w:t>
      </w:r>
    </w:p>
    <w:p w:rsidR="005852FA" w:rsidRPr="00301491" w:rsidRDefault="005852FA" w:rsidP="005852FA">
      <w:pPr>
        <w:pStyle w:val="PlainText"/>
        <w:rPr>
          <w:rFonts w:ascii="Times New Roman" w:hAnsi="Times New Roman"/>
          <w:spacing w:val="-3"/>
          <w:sz w:val="24"/>
          <w:szCs w:val="24"/>
        </w:rPr>
      </w:pPr>
    </w:p>
    <w:p w:rsidR="005852FA" w:rsidRPr="00301491" w:rsidRDefault="005852FA" w:rsidP="005852FA">
      <w:pPr>
        <w:pStyle w:val="PlainText"/>
        <w:rPr>
          <w:rFonts w:ascii="Times New Roman" w:hAnsi="Times New Roman"/>
          <w:spacing w:val="-3"/>
          <w:sz w:val="24"/>
          <w:szCs w:val="24"/>
        </w:rPr>
      </w:pPr>
      <w:r w:rsidRPr="00301491">
        <w:rPr>
          <w:rFonts w:ascii="Times New Roman" w:hAnsi="Times New Roman"/>
          <w:spacing w:val="-3"/>
          <w:sz w:val="24"/>
          <w:szCs w:val="24"/>
        </w:rPr>
        <w:t xml:space="preserve">It is also important to note that any increase in </w:t>
      </w:r>
      <w:r w:rsidR="00505360" w:rsidRPr="00301491">
        <w:rPr>
          <w:rFonts w:ascii="Times New Roman" w:hAnsi="Times New Roman"/>
          <w:spacing w:val="-3"/>
          <w:sz w:val="24"/>
          <w:szCs w:val="24"/>
        </w:rPr>
        <w:t xml:space="preserve">actual emissions above the PSEL </w:t>
      </w:r>
      <w:r w:rsidRPr="00301491">
        <w:rPr>
          <w:rFonts w:ascii="Times New Roman" w:hAnsi="Times New Roman"/>
          <w:spacing w:val="-3"/>
          <w:sz w:val="24"/>
          <w:szCs w:val="24"/>
        </w:rPr>
        <w:t>requires the source to apply for</w:t>
      </w:r>
      <w:r w:rsidR="00505360" w:rsidRPr="00301491">
        <w:rPr>
          <w:rFonts w:ascii="Times New Roman" w:hAnsi="Times New Roman"/>
          <w:spacing w:val="-3"/>
          <w:sz w:val="24"/>
          <w:szCs w:val="24"/>
        </w:rPr>
        <w:t>,</w:t>
      </w:r>
      <w:r w:rsidRPr="00301491">
        <w:rPr>
          <w:rFonts w:ascii="Times New Roman" w:hAnsi="Times New Roman"/>
          <w:spacing w:val="-3"/>
          <w:sz w:val="24"/>
          <w:szCs w:val="24"/>
        </w:rPr>
        <w:t xml:space="preserve"> and DEQ to approve, a revision to the PSEL in the</w:t>
      </w:r>
      <w:r w:rsidR="009D3027" w:rsidRPr="00301491">
        <w:rPr>
          <w:rFonts w:ascii="Times New Roman" w:hAnsi="Times New Roman"/>
          <w:spacing w:val="-3"/>
          <w:sz w:val="24"/>
          <w:szCs w:val="24"/>
        </w:rPr>
        <w:t xml:space="preserve"> state air quality construction permit</w:t>
      </w:r>
      <w:r w:rsidRPr="00301491">
        <w:rPr>
          <w:rFonts w:ascii="Times New Roman" w:hAnsi="Times New Roman"/>
          <w:spacing w:val="-3"/>
          <w:sz w:val="24"/>
          <w:szCs w:val="24"/>
        </w:rPr>
        <w:t>.  The PSEL rules are consistent with the requirements of the Clean Air Act as they allow increases in actual emissions only if such increases would not exceed applicable emission limitations</w:t>
      </w:r>
      <w:r w:rsidR="00505360" w:rsidRPr="00301491">
        <w:rPr>
          <w:rFonts w:ascii="Times New Roman" w:hAnsi="Times New Roman"/>
          <w:spacing w:val="-3"/>
          <w:sz w:val="24"/>
          <w:szCs w:val="24"/>
        </w:rPr>
        <w:t>,</w:t>
      </w:r>
      <w:r w:rsidRPr="00301491">
        <w:rPr>
          <w:rFonts w:ascii="Times New Roman" w:hAnsi="Times New Roman"/>
          <w:spacing w:val="-3"/>
          <w:sz w:val="24"/>
          <w:szCs w:val="24"/>
        </w:rPr>
        <w:t xml:space="preserve"> or cause ambient air quality standards, PSD increments or reasonable further progress to be violated.  The Oregon rules, therefore, have a more clearly established baseline than in the EPA rules.  </w:t>
      </w:r>
    </w:p>
    <w:p w:rsidR="005852FA" w:rsidRPr="00301491" w:rsidRDefault="005852FA" w:rsidP="005852FA">
      <w:pPr>
        <w:pStyle w:val="NormalWeb"/>
        <w:spacing w:before="0" w:beforeAutospacing="0" w:after="0" w:afterAutospacing="0"/>
        <w:rPr>
          <w:spacing w:val="-3"/>
        </w:rPr>
      </w:pPr>
    </w:p>
    <w:p w:rsidR="005852FA" w:rsidRPr="00301491" w:rsidRDefault="005852FA" w:rsidP="00FA2334">
      <w:pPr>
        <w:autoSpaceDE w:val="0"/>
        <w:autoSpaceDN w:val="0"/>
        <w:adjustRightInd w:val="0"/>
      </w:pPr>
      <w:r w:rsidRPr="00301491">
        <w:rPr>
          <w:spacing w:val="-3"/>
        </w:rPr>
        <w:lastRenderedPageBreak/>
        <w:t xml:space="preserve">Because the PSEL is </w:t>
      </w:r>
      <w:r w:rsidR="009D3027" w:rsidRPr="00301491">
        <w:rPr>
          <w:spacing w:val="-3"/>
        </w:rPr>
        <w:t xml:space="preserve">typically </w:t>
      </w:r>
      <w:r w:rsidRPr="00301491">
        <w:rPr>
          <w:spacing w:val="-3"/>
        </w:rPr>
        <w:t xml:space="preserve">based on actual emissions in the 1978 baseline year, the Oregon approach is equivalent to how EPA determines whether there is a net emissions increase.  Furthermore, DEQ accumulates </w:t>
      </w:r>
      <w:r w:rsidRPr="00301491">
        <w:rPr>
          <w:b/>
          <w:spacing w:val="-3"/>
        </w:rPr>
        <w:t>all</w:t>
      </w:r>
      <w:r w:rsidRPr="00301491">
        <w:rPr>
          <w:spacing w:val="-3"/>
        </w:rPr>
        <w:t xml:space="preserve"> emissions increase</w:t>
      </w:r>
      <w:r w:rsidR="00505360" w:rsidRPr="00301491">
        <w:rPr>
          <w:spacing w:val="-3"/>
        </w:rPr>
        <w:t>s</w:t>
      </w:r>
      <w:r w:rsidRPr="00301491">
        <w:rPr>
          <w:spacing w:val="-3"/>
        </w:rPr>
        <w:t xml:space="preserve"> and decreases from physical changes or changes in operation since the baseline y</w:t>
      </w:r>
      <w:r w:rsidR="00505360" w:rsidRPr="00301491">
        <w:rPr>
          <w:spacing w:val="-3"/>
        </w:rPr>
        <w:t xml:space="preserve">ear or last major source permit, </w:t>
      </w:r>
      <w:r w:rsidRPr="00301491">
        <w:rPr>
          <w:spacing w:val="-3"/>
        </w:rPr>
        <w:t>whichever is more recent, rather than just during a “contemporaneous” time period.  This aspect of DEQ’s program is similar to the federal PAL.  Both provide a net environmental benefit and flexibility because they create a</w:t>
      </w:r>
      <w:r w:rsidR="00505360" w:rsidRPr="00301491">
        <w:rPr>
          <w:spacing w:val="-3"/>
        </w:rPr>
        <w:t xml:space="preserve">n </w:t>
      </w:r>
      <w:r w:rsidRPr="00301491">
        <w:rPr>
          <w:spacing w:val="-3"/>
        </w:rPr>
        <w:t>incentive for sources to voluntarily reduce emissions in order to avoid triggering NSR/PSD. The PSEL and PAL both have provisions to be reduced if emission reductions at the sources occur and</w:t>
      </w:r>
      <w:r w:rsidR="00B63442" w:rsidRPr="00301491">
        <w:rPr>
          <w:spacing w:val="-3"/>
        </w:rPr>
        <w:t xml:space="preserve"> </w:t>
      </w:r>
      <w:r w:rsidRPr="00301491">
        <w:rPr>
          <w:spacing w:val="-3"/>
        </w:rPr>
        <w:t xml:space="preserve">make the caps excessively high.  The PSEL and PAL also eliminate the possibility of a gradual increase of emissions </w:t>
      </w:r>
      <w:r w:rsidR="00505360" w:rsidRPr="00301491">
        <w:rPr>
          <w:spacing w:val="-3"/>
        </w:rPr>
        <w:t xml:space="preserve">over time by piecemeal projects </w:t>
      </w:r>
      <w:r w:rsidRPr="00301491">
        <w:rPr>
          <w:spacing w:val="-3"/>
        </w:rPr>
        <w:t xml:space="preserve">not triggering NSR/PSD.  Under </w:t>
      </w:r>
      <w:r w:rsidR="00282C65" w:rsidRPr="00301491">
        <w:rPr>
          <w:spacing w:val="-3"/>
        </w:rPr>
        <w:t xml:space="preserve">the </w:t>
      </w:r>
      <w:r w:rsidRPr="00301491">
        <w:rPr>
          <w:spacing w:val="-3"/>
        </w:rPr>
        <w:t>federal rules where a PAL is not chosen, a</w:t>
      </w:r>
      <w:r w:rsidRPr="00301491">
        <w:t xml:space="preserve">n increase or decrease in actual emissions is </w:t>
      </w:r>
      <w:r w:rsidR="004F27C4" w:rsidRPr="00301491">
        <w:t>c</w:t>
      </w:r>
      <w:r w:rsidRPr="00301491">
        <w:t>ontemporaneous</w:t>
      </w:r>
      <w:r w:rsidR="00505360" w:rsidRPr="00301491">
        <w:t>.   T</w:t>
      </w:r>
      <w:r w:rsidR="00282C65" w:rsidRPr="00301491">
        <w:t xml:space="preserve">he increases </w:t>
      </w:r>
      <w:r w:rsidR="005D496A" w:rsidRPr="00301491">
        <w:t>from previous</w:t>
      </w:r>
      <w:r w:rsidR="00282C65" w:rsidRPr="00301491">
        <w:t xml:space="preserve"> </w:t>
      </w:r>
      <w:r w:rsidRPr="00301491">
        <w:t>change</w:t>
      </w:r>
      <w:r w:rsidR="00282C65" w:rsidRPr="00301491">
        <w:t>s</w:t>
      </w:r>
      <w:r w:rsidRPr="00301491">
        <w:t xml:space="preserve"> </w:t>
      </w:r>
      <w:r w:rsidR="00282C65" w:rsidRPr="00301491">
        <w:t>at the facility are</w:t>
      </w:r>
      <w:r w:rsidR="00505360" w:rsidRPr="00301491">
        <w:t xml:space="preserve"> </w:t>
      </w:r>
      <w:r w:rsidRPr="00301491">
        <w:t xml:space="preserve">only </w:t>
      </w:r>
      <w:r w:rsidR="00505360" w:rsidRPr="00301491">
        <w:t xml:space="preserve">looked at </w:t>
      </w:r>
      <w:r w:rsidRPr="00301491">
        <w:t xml:space="preserve">if </w:t>
      </w:r>
      <w:r w:rsidR="00282C65" w:rsidRPr="00301491">
        <w:t xml:space="preserve">they </w:t>
      </w:r>
      <w:r w:rsidR="005D496A" w:rsidRPr="00301491">
        <w:t>occurred</w:t>
      </w:r>
      <w:r w:rsidR="001B4FB5" w:rsidRPr="00301491">
        <w:t xml:space="preserve"> </w:t>
      </w:r>
      <w:r w:rsidR="00772982" w:rsidRPr="00301491">
        <w:t xml:space="preserve">with </w:t>
      </w:r>
      <w:r w:rsidR="00282C65" w:rsidRPr="00301491">
        <w:t xml:space="preserve">10 years </w:t>
      </w:r>
      <w:r w:rsidR="00772982" w:rsidRPr="00301491">
        <w:t xml:space="preserve">of </w:t>
      </w:r>
      <w:r w:rsidRPr="00301491">
        <w:t xml:space="preserve">the date </w:t>
      </w:r>
      <w:r w:rsidR="00282C65" w:rsidRPr="00301491">
        <w:t>of a proposed new change.</w:t>
      </w:r>
      <w:r w:rsidRPr="00301491">
        <w:t xml:space="preserve">  </w:t>
      </w:r>
    </w:p>
    <w:p w:rsidR="001B4FB5" w:rsidRPr="00301491" w:rsidRDefault="001B4FB5" w:rsidP="00FA2334">
      <w:pPr>
        <w:autoSpaceDE w:val="0"/>
        <w:autoSpaceDN w:val="0"/>
        <w:adjustRightInd w:val="0"/>
      </w:pPr>
    </w:p>
    <w:p w:rsidR="005852FA" w:rsidRPr="00301491" w:rsidRDefault="005852FA" w:rsidP="00FA2334">
      <w:pPr>
        <w:autoSpaceDE w:val="0"/>
        <w:autoSpaceDN w:val="0"/>
        <w:adjustRightInd w:val="0"/>
        <w:rPr>
          <w:color w:val="000000"/>
        </w:rPr>
      </w:pPr>
      <w:r w:rsidRPr="00301491">
        <w:t>In Oregon all emissions units that contribute to the emissions</w:t>
      </w:r>
      <w:r w:rsidRPr="00301491">
        <w:rPr>
          <w:spacing w:val="-3"/>
        </w:rPr>
        <w:t xml:space="preserve"> increase above the SER are required to install retrofit Best Available Control Technology.  BACT, </w:t>
      </w:r>
      <w:r w:rsidRPr="00301491">
        <w:t xml:space="preserve">an emission limitation based on the maximum degree of emission reduction by the most stringent technology available for controlling emissions, is required unless it can be demonstrated that it is not feasible for energy, environmental, or economic reasons.  </w:t>
      </w:r>
      <w:r w:rsidRPr="00301491">
        <w:rPr>
          <w:spacing w:val="-3"/>
        </w:rPr>
        <w:t xml:space="preserve">Under the federal program, </w:t>
      </w:r>
      <w:r w:rsidRPr="00301491">
        <w:t xml:space="preserve">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 </w:t>
      </w:r>
    </w:p>
    <w:p w:rsidR="005852FA" w:rsidRPr="00301491" w:rsidRDefault="005852FA" w:rsidP="00A54286">
      <w:pPr>
        <w:pStyle w:val="Default"/>
        <w:ind w:left="720"/>
      </w:pPr>
    </w:p>
    <w:p w:rsidR="005852FA" w:rsidRPr="00301491" w:rsidRDefault="005852FA" w:rsidP="00A54286">
      <w:pPr>
        <w:pStyle w:val="PlainText"/>
        <w:rPr>
          <w:rFonts w:ascii="Times New Roman" w:hAnsi="Times New Roman"/>
          <w:spacing w:val="-3"/>
          <w:sz w:val="24"/>
          <w:szCs w:val="24"/>
        </w:rPr>
      </w:pPr>
      <w:r w:rsidRPr="00301491">
        <w:rPr>
          <w:rFonts w:ascii="Times New Roman" w:hAnsi="Times New Roman"/>
          <w:spacing w:val="-3"/>
          <w:sz w:val="24"/>
          <w:szCs w:val="24"/>
        </w:rPr>
        <w:t xml:space="preserve">The DEQ program, although substantially different from EPA’s regulations, provides a workable program which is equivalent to EPA’s and will accomplish the </w:t>
      </w:r>
      <w:r w:rsidR="00902D42" w:rsidRPr="00301491">
        <w:rPr>
          <w:rFonts w:ascii="Times New Roman" w:hAnsi="Times New Roman"/>
          <w:spacing w:val="-3"/>
          <w:sz w:val="24"/>
          <w:szCs w:val="24"/>
        </w:rPr>
        <w:t>Clean Air Act</w:t>
      </w:r>
      <w:r w:rsidRPr="00301491">
        <w:rPr>
          <w:rFonts w:ascii="Times New Roman" w:hAnsi="Times New Roman"/>
          <w:spacing w:val="-3"/>
          <w:sz w:val="24"/>
          <w:szCs w:val="24"/>
        </w:rPr>
        <w:t xml:space="preserve"> goal of preventing significant deterioration of air quality.  </w:t>
      </w:r>
    </w:p>
    <w:p w:rsidR="00E9445B" w:rsidRPr="00301491" w:rsidRDefault="00E9445B" w:rsidP="00A54286">
      <w:pPr>
        <w:pStyle w:val="PlainText"/>
        <w:rPr>
          <w:rFonts w:ascii="Times New Roman" w:hAnsi="Times New Roman"/>
          <w:spacing w:val="-3"/>
          <w:sz w:val="24"/>
          <w:szCs w:val="24"/>
        </w:rPr>
      </w:pPr>
    </w:p>
    <w:p w:rsidR="00E9445B" w:rsidRPr="00301491" w:rsidRDefault="00E9445B" w:rsidP="00E9445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u w:val="single"/>
        </w:rPr>
      </w:pPr>
      <w:r w:rsidRPr="00301491">
        <w:rPr>
          <w:u w:val="single"/>
        </w:rPr>
        <w:t>Small Scale Local Energy Project</w:t>
      </w:r>
    </w:p>
    <w:p w:rsidR="00E9445B" w:rsidRPr="00301491" w:rsidRDefault="00E9445B" w:rsidP="00E9445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u w:val="single"/>
        </w:rPr>
      </w:pPr>
      <w:r w:rsidRPr="00301491">
        <w:t>HB 2952 (2009) requires these changes to the rules</w:t>
      </w:r>
      <w:r w:rsidR="00CB2E87" w:rsidRPr="00301491">
        <w:t xml:space="preserve"> in order to match Oregon’s revised statutes</w:t>
      </w:r>
      <w:r w:rsidRPr="00301491">
        <w:t>. </w:t>
      </w:r>
    </w:p>
    <w:p w:rsidR="00E9445B" w:rsidRDefault="00E9445B" w:rsidP="00A54286">
      <w:pPr>
        <w:pStyle w:val="PlainText"/>
        <w:rPr>
          <w:rFonts w:ascii="Arial" w:hAnsi="Arial" w:cs="Arial"/>
          <w:spacing w:val="-3"/>
          <w:sz w:val="22"/>
          <w:szCs w:val="22"/>
        </w:rPr>
      </w:pPr>
    </w:p>
    <w:p w:rsidR="003E5F64" w:rsidRDefault="003E5F64" w:rsidP="005852FA">
      <w:pPr>
        <w:autoSpaceDE w:val="0"/>
        <w:autoSpaceDN w:val="0"/>
        <w:adjustRightInd w:val="0"/>
        <w:rPr>
          <w:rFonts w:ascii="Arial" w:hAnsi="Arial" w:cs="Arial"/>
          <w:bCs/>
          <w:sz w:val="22"/>
          <w:szCs w:val="22"/>
        </w:rPr>
      </w:pPr>
    </w:p>
    <w:p w:rsidR="00425375" w:rsidRDefault="00425375"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spacing w:val="-3"/>
        </w:rPr>
      </w:pPr>
      <w:r w:rsidRPr="00BC139B">
        <w:rPr>
          <w:rFonts w:ascii="Arial" w:hAnsi="Arial" w:cs="Arial"/>
          <w:b/>
          <w:spacing w:val="-3"/>
        </w:rPr>
        <w:t>3.</w:t>
      </w:r>
      <w:r w:rsidR="004E72B3" w:rsidRPr="00BC139B" w:rsidDel="004E72B3">
        <w:rPr>
          <w:rFonts w:ascii="Arial" w:hAnsi="Arial" w:cs="Arial"/>
          <w:i/>
          <w:spacing w:val="-3"/>
        </w:rPr>
        <w:t xml:space="preserve"> </w:t>
      </w:r>
      <w:r w:rsidRPr="00BC139B">
        <w:rPr>
          <w:rFonts w:ascii="Arial" w:hAnsi="Arial" w:cs="Arial"/>
          <w:b/>
          <w:bCs/>
        </w:rPr>
        <w:t>If the proposal differs from, or is in addition to</w:t>
      </w:r>
      <w:r w:rsidR="00DA749A" w:rsidRPr="00BC139B">
        <w:rPr>
          <w:rFonts w:ascii="Arial" w:hAnsi="Arial" w:cs="Arial"/>
          <w:b/>
          <w:bCs/>
        </w:rPr>
        <w:t>,</w:t>
      </w:r>
      <w:r w:rsidRPr="00BC139B">
        <w:rPr>
          <w:rFonts w:ascii="Arial" w:hAnsi="Arial" w:cs="Arial"/>
          <w:b/>
          <w:bCs/>
        </w:rPr>
        <w:t xml:space="preserve"> applicable federal requirements, d</w:t>
      </w:r>
      <w:r w:rsidRPr="00BC139B">
        <w:rPr>
          <w:rFonts w:ascii="Arial" w:hAnsi="Arial" w:cs="Arial"/>
          <w:b/>
          <w:spacing w:val="-3"/>
        </w:rPr>
        <w:t xml:space="preserve">id </w:t>
      </w:r>
      <w:r w:rsidR="00BC139B">
        <w:rPr>
          <w:rFonts w:ascii="Arial" w:hAnsi="Arial" w:cs="Arial"/>
          <w:b/>
          <w:spacing w:val="-3"/>
        </w:rPr>
        <w:t>DEQ</w:t>
      </w:r>
      <w:r w:rsidRPr="00BC139B">
        <w:rPr>
          <w:rFonts w:ascii="Arial" w:hAnsi="Arial" w:cs="Arial"/>
          <w:b/>
          <w:spacing w:val="-3"/>
        </w:rPr>
        <w:t xml:space="preserve"> consider alternatives to the difference or addition?</w:t>
      </w:r>
      <w:r w:rsidR="009C264E" w:rsidRPr="00BC139B">
        <w:rPr>
          <w:rFonts w:ascii="Arial" w:hAnsi="Arial" w:cs="Arial"/>
          <w:b/>
          <w:spacing w:val="-3"/>
        </w:rPr>
        <w:t xml:space="preserve"> </w:t>
      </w:r>
      <w:r w:rsidRPr="00BC139B">
        <w:rPr>
          <w:rFonts w:ascii="Arial" w:hAnsi="Arial" w:cs="Arial"/>
          <w:spacing w:val="-3"/>
        </w:rPr>
        <w:t xml:space="preserve"> </w:t>
      </w:r>
      <w:r w:rsidRPr="00BC139B">
        <w:rPr>
          <w:rFonts w:ascii="Arial" w:hAnsi="Arial" w:cs="Arial"/>
          <w:b/>
          <w:spacing w:val="-3"/>
        </w:rPr>
        <w:t>If so, describe the alternatives and the reason(s) they were not pursued.</w:t>
      </w:r>
    </w:p>
    <w:p w:rsidR="00DC7E85" w:rsidRDefault="00DC7E85"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spacing w:val="-3"/>
        </w:rPr>
      </w:pPr>
    </w:p>
    <w:p w:rsidR="00F77C72" w:rsidRPr="00301491" w:rsidRDefault="00AC3786" w:rsidP="00DC7E85">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u w:val="single"/>
        </w:rPr>
      </w:pPr>
      <w:r w:rsidRPr="00301491">
        <w:rPr>
          <w:spacing w:val="-3"/>
          <w:u w:val="single"/>
        </w:rPr>
        <w:t xml:space="preserve">Greenhouse Gas </w:t>
      </w:r>
      <w:r w:rsidR="00DC7E85" w:rsidRPr="00301491">
        <w:rPr>
          <w:spacing w:val="-3"/>
          <w:u w:val="single"/>
        </w:rPr>
        <w:t>Prevention of Significant Deterioration</w:t>
      </w:r>
    </w:p>
    <w:p w:rsidR="00DC7E85" w:rsidRPr="00301491" w:rsidRDefault="00DC7E85" w:rsidP="00DC7E85">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sidRPr="00301491">
        <w:rPr>
          <w:spacing w:val="-3"/>
        </w:rPr>
        <w:t xml:space="preserve">DEQ considered not taking delegation of the NSR/PSD program for GHGs.  The result of this alternative would be </w:t>
      </w:r>
      <w:r w:rsidR="00F77C72" w:rsidRPr="00301491">
        <w:rPr>
          <w:spacing w:val="-3"/>
        </w:rPr>
        <w:t xml:space="preserve">confusion in terms of administering, </w:t>
      </w:r>
      <w:r w:rsidR="00043818" w:rsidRPr="00301491">
        <w:rPr>
          <w:spacing w:val="-3"/>
        </w:rPr>
        <w:t>issuing, enforcing</w:t>
      </w:r>
      <w:r w:rsidR="00F77C72" w:rsidRPr="00301491">
        <w:rPr>
          <w:spacing w:val="-3"/>
        </w:rPr>
        <w:t xml:space="preserve"> </w:t>
      </w:r>
      <w:r w:rsidR="00F36D39" w:rsidRPr="00301491">
        <w:rPr>
          <w:spacing w:val="-3"/>
        </w:rPr>
        <w:t>and complying with these requirements since</w:t>
      </w:r>
      <w:r w:rsidR="00F77C72" w:rsidRPr="00301491">
        <w:rPr>
          <w:spacing w:val="-3"/>
        </w:rPr>
        <w:t xml:space="preserve"> </w:t>
      </w:r>
      <w:r w:rsidR="00F36D39" w:rsidRPr="00301491">
        <w:rPr>
          <w:spacing w:val="-3"/>
        </w:rPr>
        <w:t xml:space="preserve">NSR/PSD </w:t>
      </w:r>
      <w:r w:rsidR="00F77C72" w:rsidRPr="00301491">
        <w:rPr>
          <w:spacing w:val="-3"/>
        </w:rPr>
        <w:t xml:space="preserve">permits would be </w:t>
      </w:r>
      <w:r w:rsidR="00F36D39" w:rsidRPr="00301491">
        <w:rPr>
          <w:spacing w:val="-3"/>
        </w:rPr>
        <w:t>issued by both DEQ and EPA</w:t>
      </w:r>
      <w:r w:rsidR="00CB0481" w:rsidRPr="00301491">
        <w:rPr>
          <w:spacing w:val="-3"/>
        </w:rPr>
        <w:t>.  D</w:t>
      </w:r>
      <w:r w:rsidR="00F77C72" w:rsidRPr="00301491">
        <w:rPr>
          <w:spacing w:val="-3"/>
        </w:rPr>
        <w:t xml:space="preserve">epending on the pollutant, the NSR/PSD programs are </w:t>
      </w:r>
      <w:r w:rsidR="00F36D39" w:rsidRPr="00301491">
        <w:rPr>
          <w:spacing w:val="-3"/>
        </w:rPr>
        <w:t>implemented</w:t>
      </w:r>
      <w:r w:rsidR="00F77C72" w:rsidRPr="00301491">
        <w:rPr>
          <w:spacing w:val="-3"/>
        </w:rPr>
        <w:t xml:space="preserve"> different</w:t>
      </w:r>
      <w:r w:rsidR="00F36D39" w:rsidRPr="00301491">
        <w:rPr>
          <w:spacing w:val="-3"/>
        </w:rPr>
        <w:t>ly</w:t>
      </w:r>
      <w:r w:rsidR="00F77C72" w:rsidRPr="00301491">
        <w:rPr>
          <w:spacing w:val="-3"/>
        </w:rPr>
        <w:t xml:space="preserve">.   It would require additional coordination </w:t>
      </w:r>
      <w:r w:rsidR="00F36D39" w:rsidRPr="00301491">
        <w:rPr>
          <w:spacing w:val="-3"/>
        </w:rPr>
        <w:t xml:space="preserve">and staffing to ensure </w:t>
      </w:r>
      <w:r w:rsidR="00E15D69" w:rsidRPr="00301491">
        <w:rPr>
          <w:spacing w:val="-3"/>
        </w:rPr>
        <w:t xml:space="preserve">DEQ and EPA </w:t>
      </w:r>
      <w:r w:rsidR="00F36D39" w:rsidRPr="00301491">
        <w:rPr>
          <w:spacing w:val="-3"/>
        </w:rPr>
        <w:t xml:space="preserve">approved </w:t>
      </w:r>
      <w:r w:rsidR="00E15D69" w:rsidRPr="00301491">
        <w:rPr>
          <w:spacing w:val="-3"/>
        </w:rPr>
        <w:t>permit</w:t>
      </w:r>
      <w:r w:rsidR="00F36D39" w:rsidRPr="00301491">
        <w:rPr>
          <w:spacing w:val="-3"/>
        </w:rPr>
        <w:t>s</w:t>
      </w:r>
      <w:r w:rsidR="00D069AC" w:rsidRPr="00301491">
        <w:rPr>
          <w:spacing w:val="-3"/>
        </w:rPr>
        <w:t xml:space="preserve"> </w:t>
      </w:r>
      <w:r w:rsidR="00F36D39" w:rsidRPr="00301491">
        <w:rPr>
          <w:spacing w:val="-3"/>
        </w:rPr>
        <w:t>within a similar timeframe</w:t>
      </w:r>
      <w:r w:rsidR="008437D6" w:rsidRPr="00301491">
        <w:rPr>
          <w:spacing w:val="-3"/>
        </w:rPr>
        <w:t>,</w:t>
      </w:r>
      <w:r w:rsidR="00F36D39" w:rsidRPr="00301491">
        <w:rPr>
          <w:spacing w:val="-3"/>
        </w:rPr>
        <w:t xml:space="preserve"> otherwise construction could </w:t>
      </w:r>
      <w:r w:rsidR="00043818" w:rsidRPr="00301491">
        <w:rPr>
          <w:spacing w:val="-3"/>
        </w:rPr>
        <w:t>be delayed</w:t>
      </w:r>
      <w:r w:rsidR="00E15D69" w:rsidRPr="00301491">
        <w:rPr>
          <w:spacing w:val="-3"/>
        </w:rPr>
        <w:t xml:space="preserve">. </w:t>
      </w:r>
      <w:r w:rsidR="00F702A8" w:rsidRPr="00301491">
        <w:rPr>
          <w:spacing w:val="-3"/>
        </w:rPr>
        <w:t xml:space="preserve"> This alternative was not pursued because </w:t>
      </w:r>
      <w:r w:rsidR="001D2CCE" w:rsidRPr="00301491">
        <w:rPr>
          <w:spacing w:val="-3"/>
        </w:rPr>
        <w:t xml:space="preserve">it would make the NSR/PSD program </w:t>
      </w:r>
      <w:r w:rsidR="004F6741" w:rsidRPr="00301491">
        <w:rPr>
          <w:spacing w:val="-3"/>
        </w:rPr>
        <w:t>very</w:t>
      </w:r>
      <w:r w:rsidR="00DC13D6" w:rsidRPr="00301491">
        <w:rPr>
          <w:spacing w:val="-3"/>
        </w:rPr>
        <w:t xml:space="preserve"> dis</w:t>
      </w:r>
      <w:r w:rsidR="001D2CCE" w:rsidRPr="00301491">
        <w:rPr>
          <w:spacing w:val="-3"/>
        </w:rPr>
        <w:t>connected</w:t>
      </w:r>
      <w:r w:rsidR="0023732C" w:rsidRPr="00301491">
        <w:rPr>
          <w:spacing w:val="-3"/>
        </w:rPr>
        <w:t xml:space="preserve"> and would make administration of the program impractical</w:t>
      </w:r>
      <w:r w:rsidR="001D2CCE" w:rsidRPr="00301491">
        <w:rPr>
          <w:spacing w:val="-3"/>
        </w:rPr>
        <w:t xml:space="preserve">.  </w:t>
      </w:r>
    </w:p>
    <w:p w:rsidR="001D2CCE" w:rsidRPr="00301491" w:rsidRDefault="001D2CCE" w:rsidP="00DC7E85">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1D2CCE" w:rsidRPr="00301491" w:rsidRDefault="001D2CCE" w:rsidP="009222FB">
      <w:pPr>
        <w:autoSpaceDE w:val="0"/>
        <w:autoSpaceDN w:val="0"/>
        <w:adjustRightInd w:val="0"/>
      </w:pPr>
      <w:r w:rsidRPr="00301491">
        <w:rPr>
          <w:spacing w:val="-3"/>
        </w:rPr>
        <w:t xml:space="preserve">There are two </w:t>
      </w:r>
      <w:r w:rsidR="009222FB" w:rsidRPr="00301491">
        <w:rPr>
          <w:spacing w:val="-3"/>
        </w:rPr>
        <w:t>steps in EPA’s Tailoring Rule that p</w:t>
      </w:r>
      <w:r w:rsidR="009222FB" w:rsidRPr="00301491">
        <w:t xml:space="preserve">hase-in applicability for PSD </w:t>
      </w:r>
      <w:r w:rsidR="00FB6FA3" w:rsidRPr="00301491">
        <w:t>and T</w:t>
      </w:r>
      <w:r w:rsidR="009222FB" w:rsidRPr="00301491">
        <w:t>itle V permits for the largest emitters of GHGs.  For the first step</w:t>
      </w:r>
      <w:r w:rsidR="00FB6FA3" w:rsidRPr="00301491">
        <w:t xml:space="preserve">, </w:t>
      </w:r>
      <w:r w:rsidR="009222FB" w:rsidRPr="00301491">
        <w:t>begin</w:t>
      </w:r>
      <w:r w:rsidR="00FB6FA3" w:rsidRPr="00301491">
        <w:t xml:space="preserve">ning </w:t>
      </w:r>
      <w:r w:rsidR="009222FB" w:rsidRPr="00301491">
        <w:t>on January 2, 2</w:t>
      </w:r>
      <w:r w:rsidR="00FB6FA3" w:rsidRPr="00301491">
        <w:t>011, PSD or T</w:t>
      </w:r>
      <w:r w:rsidR="009222FB" w:rsidRPr="00301491">
        <w:t>itle V requirements will</w:t>
      </w:r>
      <w:r w:rsidR="00FB6FA3" w:rsidRPr="00301491">
        <w:t xml:space="preserve"> </w:t>
      </w:r>
      <w:r w:rsidR="009222FB" w:rsidRPr="00301491">
        <w:t>apply to sources’ GHG emissions only if the</w:t>
      </w:r>
      <w:r w:rsidR="00FB6FA3" w:rsidRPr="00301491">
        <w:t xml:space="preserve"> sources are subject to PSD or T</w:t>
      </w:r>
      <w:r w:rsidR="009222FB" w:rsidRPr="00301491">
        <w:t xml:space="preserve">itle V anyway due to their non-GHG pollutants. </w:t>
      </w:r>
      <w:r w:rsidR="00FB6FA3" w:rsidRPr="00301491">
        <w:t xml:space="preserve"> </w:t>
      </w:r>
      <w:r w:rsidR="009222FB" w:rsidRPr="00301491">
        <w:t xml:space="preserve">Therefore, EPA will not require sources or modifications to evaluate whether they are subject to </w:t>
      </w:r>
      <w:r w:rsidR="00FB6FA3" w:rsidRPr="00301491">
        <w:t>PSD or T</w:t>
      </w:r>
      <w:r w:rsidR="009222FB" w:rsidRPr="00301491">
        <w:t>itle V requirements solely on account of their GHG emissions.</w:t>
      </w:r>
      <w:r w:rsidR="00FB6FA3" w:rsidRPr="00301491">
        <w:t xml:space="preserve">  </w:t>
      </w:r>
      <w:r w:rsidR="009222FB" w:rsidRPr="00301491">
        <w:t>The second step of the Tailoring Rule, beginning on July 1, 2011, will phase in</w:t>
      </w:r>
      <w:r w:rsidR="00FB6FA3" w:rsidRPr="00301491">
        <w:t xml:space="preserve"> </w:t>
      </w:r>
      <w:r w:rsidR="009222FB" w:rsidRPr="00301491">
        <w:t xml:space="preserve">additional large sources of GHG emissions. </w:t>
      </w:r>
      <w:r w:rsidR="00FB6FA3" w:rsidRPr="00301491">
        <w:t xml:space="preserve"> </w:t>
      </w:r>
      <w:r w:rsidR="009222FB" w:rsidRPr="00301491">
        <w:t>New sources as well as existing sources not already subject to title V that emit, or have the potential to emit, at least 100,000 t</w:t>
      </w:r>
      <w:r w:rsidR="00043818" w:rsidRPr="00301491">
        <w:t xml:space="preserve">ons </w:t>
      </w:r>
      <w:r w:rsidR="009222FB" w:rsidRPr="00301491">
        <w:t>p</w:t>
      </w:r>
      <w:r w:rsidR="00043818" w:rsidRPr="00301491">
        <w:t xml:space="preserve">er </w:t>
      </w:r>
      <w:r w:rsidR="009222FB" w:rsidRPr="00301491">
        <w:t>y</w:t>
      </w:r>
      <w:r w:rsidR="00043818" w:rsidRPr="00301491">
        <w:t>ear</w:t>
      </w:r>
      <w:r w:rsidR="009222FB" w:rsidRPr="00301491">
        <w:t xml:space="preserve"> CO2e </w:t>
      </w:r>
      <w:r w:rsidR="00043818" w:rsidRPr="00301491">
        <w:t xml:space="preserve">(carbon dioxide equivalent) </w:t>
      </w:r>
      <w:r w:rsidR="009222FB" w:rsidRPr="00301491">
        <w:t>will become subject to the PSD and title V requirements. In addition, sources that emit or have the potential to emit at least 100,000 tpy CO2e and that undertake a modification that increases</w:t>
      </w:r>
      <w:r w:rsidR="00FB6FA3" w:rsidRPr="00301491">
        <w:t xml:space="preserve"> </w:t>
      </w:r>
      <w:r w:rsidR="009222FB" w:rsidRPr="00301491">
        <w:t xml:space="preserve">net emissions of GHGs by at least 75,000 tpy CO2e will also be subject to PSD requirements. </w:t>
      </w:r>
    </w:p>
    <w:p w:rsidR="0033140F" w:rsidRPr="00301491" w:rsidRDefault="0033140F" w:rsidP="009222FB">
      <w:pPr>
        <w:autoSpaceDE w:val="0"/>
        <w:autoSpaceDN w:val="0"/>
        <w:adjustRightInd w:val="0"/>
      </w:pPr>
    </w:p>
    <w:p w:rsidR="008A7F62" w:rsidRPr="00301491" w:rsidRDefault="008A7F62" w:rsidP="009222FB">
      <w:pPr>
        <w:autoSpaceDE w:val="0"/>
        <w:autoSpaceDN w:val="0"/>
        <w:adjustRightInd w:val="0"/>
      </w:pPr>
      <w:r w:rsidRPr="00301491">
        <w:t xml:space="preserve">DEQ considered implementing the second step of the phase-in </w:t>
      </w:r>
      <w:r w:rsidR="00E53147" w:rsidRPr="00301491">
        <w:t>which would begin</w:t>
      </w:r>
      <w:r w:rsidRPr="00301491">
        <w:t xml:space="preserve"> January 2</w:t>
      </w:r>
      <w:r w:rsidR="00F77C72" w:rsidRPr="00301491">
        <w:t>, 2011</w:t>
      </w:r>
      <w:r w:rsidRPr="00301491">
        <w:t xml:space="preserve"> rather than July 1</w:t>
      </w:r>
      <w:r w:rsidR="00F77C72" w:rsidRPr="00301491">
        <w:t>, 2011</w:t>
      </w:r>
      <w:r w:rsidR="005D496A" w:rsidRPr="00301491">
        <w:t>; however</w:t>
      </w:r>
      <w:r w:rsidR="00E00CDF" w:rsidRPr="00301491">
        <w:t xml:space="preserve"> permitting </w:t>
      </w:r>
      <w:r w:rsidR="00F77C72" w:rsidRPr="00301491">
        <w:t xml:space="preserve">resources </w:t>
      </w:r>
      <w:r w:rsidR="00E00CDF" w:rsidRPr="00301491">
        <w:t xml:space="preserve">would not be available </w:t>
      </w:r>
      <w:r w:rsidR="00F77C72" w:rsidRPr="00301491">
        <w:t>to meet the earlier deadline</w:t>
      </w:r>
      <w:r w:rsidR="00EC6BE1" w:rsidRPr="00301491">
        <w:t xml:space="preserve"> and</w:t>
      </w:r>
      <w:r w:rsidR="00E53147" w:rsidRPr="00301491">
        <w:t xml:space="preserve"> </w:t>
      </w:r>
      <w:r w:rsidR="00E00CDF" w:rsidRPr="00301491">
        <w:t xml:space="preserve">the GHG PSD rules </w:t>
      </w:r>
      <w:r w:rsidR="00E53147" w:rsidRPr="00301491">
        <w:t xml:space="preserve">will </w:t>
      </w:r>
      <w:r w:rsidR="00E00CDF" w:rsidRPr="00301491">
        <w:t>not be adopted until February</w:t>
      </w:r>
      <w:r w:rsidR="00E53147" w:rsidRPr="00301491">
        <w:t>, 2011</w:t>
      </w:r>
      <w:r w:rsidR="00E00CDF" w:rsidRPr="00301491">
        <w:t xml:space="preserve">. </w:t>
      </w:r>
      <w:r w:rsidR="004F6741" w:rsidRPr="00301491">
        <w:t xml:space="preserve"> </w:t>
      </w:r>
    </w:p>
    <w:p w:rsidR="001C7093" w:rsidRPr="00301491" w:rsidRDefault="001C7093" w:rsidP="009222FB">
      <w:pPr>
        <w:autoSpaceDE w:val="0"/>
        <w:autoSpaceDN w:val="0"/>
        <w:adjustRightInd w:val="0"/>
      </w:pPr>
    </w:p>
    <w:p w:rsidR="00425375" w:rsidRPr="00301491" w:rsidRDefault="0067236B"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sidRPr="00301491">
        <w:rPr>
          <w:spacing w:val="-3"/>
        </w:rPr>
        <w:t xml:space="preserve">DEQ is also considering and requests comments on three other options as described in the rulemaking’s </w:t>
      </w:r>
      <w:r w:rsidR="00AE293D" w:rsidRPr="002437B7">
        <w:rPr>
          <w:spacing w:val="-3"/>
        </w:rPr>
        <w:t>Alternative Rule Options</w:t>
      </w:r>
      <w:r w:rsidRPr="00301491">
        <w:rPr>
          <w:spacing w:val="-3"/>
        </w:rPr>
        <w:t xml:space="preserve"> document.  In particular, DEQ is contemplating and would like comment on adopting EPA’s method for establishing when PSD is triggered</w:t>
      </w:r>
      <w:r w:rsidR="00383A99" w:rsidRPr="00301491">
        <w:rPr>
          <w:spacing w:val="-3"/>
        </w:rPr>
        <w:t xml:space="preserve"> for greenhouse gas emissions</w:t>
      </w:r>
      <w:r w:rsidRPr="00301491">
        <w:rPr>
          <w:spacing w:val="-3"/>
        </w:rPr>
        <w:t xml:space="preserve">. </w:t>
      </w:r>
    </w:p>
    <w:p w:rsidR="002617F1" w:rsidRPr="00301491" w:rsidRDefault="002617F1"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5322D7" w:rsidRPr="00301491" w:rsidRDefault="00A14C68" w:rsidP="00F41D3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u w:val="single"/>
        </w:rPr>
      </w:pPr>
      <w:r w:rsidRPr="00301491">
        <w:rPr>
          <w:u w:val="single"/>
        </w:rPr>
        <w:t>PM</w:t>
      </w:r>
      <w:r w:rsidRPr="00301491">
        <w:rPr>
          <w:u w:val="single"/>
          <w:vertAlign w:val="subscript"/>
        </w:rPr>
        <w:t>2.5</w:t>
      </w:r>
      <w:r w:rsidRPr="00301491">
        <w:rPr>
          <w:u w:val="single"/>
        </w:rPr>
        <w:t xml:space="preserve"> Significant Impact Levels</w:t>
      </w:r>
    </w:p>
    <w:p w:rsidR="00700224" w:rsidRPr="00301491" w:rsidRDefault="00432A7A" w:rsidP="00F41D3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sidRPr="00301491">
        <w:rPr>
          <w:spacing w:val="-3"/>
        </w:rPr>
        <w:t>DEQ consider</w:t>
      </w:r>
      <w:r w:rsidR="00DC35B5" w:rsidRPr="00301491">
        <w:rPr>
          <w:spacing w:val="-3"/>
        </w:rPr>
        <w:t>ed</w:t>
      </w:r>
      <w:r w:rsidRPr="00301491">
        <w:rPr>
          <w:spacing w:val="-3"/>
        </w:rPr>
        <w:t xml:space="preserve"> </w:t>
      </w:r>
      <w:r w:rsidR="001C7093" w:rsidRPr="00301491">
        <w:rPr>
          <w:spacing w:val="-3"/>
        </w:rPr>
        <w:t xml:space="preserve">adopting </w:t>
      </w:r>
      <w:r w:rsidR="00DC35B5" w:rsidRPr="00301491">
        <w:rPr>
          <w:spacing w:val="-3"/>
        </w:rPr>
        <w:t xml:space="preserve">EPA’s </w:t>
      </w:r>
      <w:r w:rsidR="005C75AC" w:rsidRPr="00301491">
        <w:rPr>
          <w:spacing w:val="-3"/>
        </w:rPr>
        <w:t xml:space="preserve">proposed </w:t>
      </w:r>
      <w:r w:rsidR="00DC35B5" w:rsidRPr="00301491">
        <w:rPr>
          <w:spacing w:val="-3"/>
        </w:rPr>
        <w:t>options for SILs</w:t>
      </w:r>
      <w:r w:rsidR="001C7093" w:rsidRPr="00301491">
        <w:rPr>
          <w:spacing w:val="-3"/>
        </w:rPr>
        <w:t xml:space="preserve"> for Class II and III areas</w:t>
      </w:r>
      <w:r w:rsidR="00DC35B5" w:rsidRPr="00301491">
        <w:rPr>
          <w:spacing w:val="-3"/>
        </w:rPr>
        <w:t xml:space="preserve">.  </w:t>
      </w:r>
      <w:r w:rsidR="001C7093" w:rsidRPr="00301491">
        <w:rPr>
          <w:spacing w:val="-3"/>
        </w:rPr>
        <w:t xml:space="preserve">However, </w:t>
      </w:r>
      <w:r w:rsidR="001C7093" w:rsidRPr="00301491">
        <w:t>EPA’s Class II and III SILs for PM</w:t>
      </w:r>
      <w:r w:rsidR="001C7093" w:rsidRPr="00301491">
        <w:rPr>
          <w:vertAlign w:val="subscript"/>
        </w:rPr>
        <w:t>2.5</w:t>
      </w:r>
      <w:r w:rsidR="001C7093" w:rsidRPr="00301491">
        <w:t xml:space="preserve"> are higher than DEQ’s existing SILs for PM</w:t>
      </w:r>
      <w:r w:rsidR="001C7093" w:rsidRPr="00301491">
        <w:rPr>
          <w:vertAlign w:val="subscript"/>
        </w:rPr>
        <w:t>10.</w:t>
      </w:r>
      <w:r w:rsidR="001C7093" w:rsidRPr="00301491">
        <w:t xml:space="preserve">  This idea was rejected because it did not make sen</w:t>
      </w:r>
      <w:r w:rsidR="002617F1" w:rsidRPr="00301491">
        <w:t>se</w:t>
      </w:r>
      <w:r w:rsidR="001C7093" w:rsidRPr="00301491">
        <w:t xml:space="preserve"> to have a PM</w:t>
      </w:r>
      <w:r w:rsidR="001C7093" w:rsidRPr="00301491">
        <w:rPr>
          <w:vertAlign w:val="subscript"/>
        </w:rPr>
        <w:t>2.5</w:t>
      </w:r>
      <w:r w:rsidR="001C7093" w:rsidRPr="00301491">
        <w:t xml:space="preserve"> SIL that is higher </w:t>
      </w:r>
      <w:r w:rsidR="005D496A" w:rsidRPr="00301491">
        <w:t>than</w:t>
      </w:r>
      <w:r w:rsidR="001C7093" w:rsidRPr="00301491">
        <w:t xml:space="preserve"> the state</w:t>
      </w:r>
      <w:r w:rsidR="002617F1" w:rsidRPr="00301491">
        <w:t>’</w:t>
      </w:r>
      <w:r w:rsidR="001C7093" w:rsidRPr="00301491">
        <w:t>s PM</w:t>
      </w:r>
      <w:r w:rsidR="001C7093" w:rsidRPr="00301491">
        <w:rPr>
          <w:vertAlign w:val="subscript"/>
        </w:rPr>
        <w:t xml:space="preserve">10 </w:t>
      </w:r>
      <w:r w:rsidR="001C7093" w:rsidRPr="00301491">
        <w:t>SIL since PM</w:t>
      </w:r>
      <w:r w:rsidR="001C7093" w:rsidRPr="00301491">
        <w:rPr>
          <w:vertAlign w:val="subscript"/>
        </w:rPr>
        <w:t>2.5</w:t>
      </w:r>
      <w:r w:rsidR="001C7093" w:rsidRPr="00301491">
        <w:t xml:space="preserve"> emissions consist of smaller particles and are considered a subset of PM</w:t>
      </w:r>
      <w:r w:rsidR="001C7093" w:rsidRPr="00301491">
        <w:rPr>
          <w:vertAlign w:val="subscript"/>
        </w:rPr>
        <w:t>10</w:t>
      </w:r>
      <w:r w:rsidR="001C7093" w:rsidRPr="00301491">
        <w:t xml:space="preserve"> emissions.  </w:t>
      </w:r>
      <w:r w:rsidR="001C7093" w:rsidRPr="00301491">
        <w:rPr>
          <w:spacing w:val="-3"/>
        </w:rPr>
        <w:t xml:space="preserve"> Also adopting higher SILs</w:t>
      </w:r>
      <w:r w:rsidR="00885E10" w:rsidRPr="00301491">
        <w:rPr>
          <w:spacing w:val="-3"/>
        </w:rPr>
        <w:t xml:space="preserve"> </w:t>
      </w:r>
      <w:r w:rsidR="001C7093" w:rsidRPr="00301491">
        <w:rPr>
          <w:spacing w:val="-3"/>
        </w:rPr>
        <w:t xml:space="preserve">for </w:t>
      </w:r>
      <w:r w:rsidR="001C7093" w:rsidRPr="00301491">
        <w:t>PM</w:t>
      </w:r>
      <w:r w:rsidR="001C7093" w:rsidRPr="00301491">
        <w:rPr>
          <w:vertAlign w:val="subscript"/>
        </w:rPr>
        <w:t>2.5</w:t>
      </w:r>
      <w:r w:rsidR="001C7093" w:rsidRPr="00301491">
        <w:t xml:space="preserve"> </w:t>
      </w:r>
      <w:r w:rsidR="00885E10" w:rsidRPr="00301491">
        <w:rPr>
          <w:spacing w:val="-3"/>
        </w:rPr>
        <w:t xml:space="preserve">would not be consistent with the need to bring </w:t>
      </w:r>
      <w:r w:rsidR="00E53147" w:rsidRPr="00301491">
        <w:rPr>
          <w:spacing w:val="-3"/>
        </w:rPr>
        <w:t>Oakridge</w:t>
      </w:r>
      <w:r w:rsidR="00287006" w:rsidRPr="00301491">
        <w:rPr>
          <w:spacing w:val="-3"/>
        </w:rPr>
        <w:t xml:space="preserve"> </w:t>
      </w:r>
      <w:r w:rsidR="00E53147" w:rsidRPr="00301491">
        <w:rPr>
          <w:spacing w:val="-3"/>
        </w:rPr>
        <w:t>and Klamath Falls</w:t>
      </w:r>
      <w:r w:rsidR="00885E10" w:rsidRPr="00301491">
        <w:rPr>
          <w:spacing w:val="-3"/>
        </w:rPr>
        <w:t xml:space="preserve"> back into attainment</w:t>
      </w:r>
      <w:r w:rsidR="00302C96" w:rsidRPr="00301491">
        <w:rPr>
          <w:spacing w:val="-3"/>
        </w:rPr>
        <w:t>,</w:t>
      </w:r>
      <w:r w:rsidR="00885E10" w:rsidRPr="00301491">
        <w:rPr>
          <w:spacing w:val="-3"/>
        </w:rPr>
        <w:t xml:space="preserve"> </w:t>
      </w:r>
      <w:r w:rsidR="00302C96" w:rsidRPr="00301491">
        <w:rPr>
          <w:spacing w:val="-3"/>
        </w:rPr>
        <w:t xml:space="preserve">or meeting the ambient air quality standards </w:t>
      </w:r>
      <w:r w:rsidR="00885E10" w:rsidRPr="00301491">
        <w:rPr>
          <w:spacing w:val="-3"/>
        </w:rPr>
        <w:t>for PM2.5.</w:t>
      </w:r>
    </w:p>
    <w:p w:rsidR="00F279E8" w:rsidRPr="00301491" w:rsidRDefault="00F279E8" w:rsidP="00686E60">
      <w:pPr>
        <w:autoSpaceDE w:val="0"/>
        <w:autoSpaceDN w:val="0"/>
        <w:adjustRightInd w:val="0"/>
        <w:rPr>
          <w:bCs/>
        </w:rPr>
      </w:pPr>
    </w:p>
    <w:p w:rsidR="005322D7" w:rsidRPr="00301491" w:rsidRDefault="00F279E8" w:rsidP="00F279E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u w:val="single"/>
        </w:rPr>
      </w:pPr>
      <w:r w:rsidRPr="00301491">
        <w:rPr>
          <w:u w:val="single"/>
        </w:rPr>
        <w:t>Small Scale Local Energy Project</w:t>
      </w:r>
    </w:p>
    <w:p w:rsidR="00BF710D" w:rsidRPr="00301491" w:rsidRDefault="00FE03B4" w:rsidP="00F279E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highlight w:val="green"/>
        </w:rPr>
      </w:pPr>
      <w:r w:rsidRPr="00301491">
        <w:t xml:space="preserve">DEQ </w:t>
      </w:r>
      <w:r w:rsidR="0033140F" w:rsidRPr="00301491">
        <w:t xml:space="preserve">did not </w:t>
      </w:r>
      <w:r w:rsidRPr="00301491">
        <w:t>consider</w:t>
      </w:r>
      <w:r w:rsidR="00E53147" w:rsidRPr="00301491">
        <w:t>ed</w:t>
      </w:r>
      <w:r w:rsidRPr="00301491">
        <w:t xml:space="preserve"> </w:t>
      </w:r>
      <w:r w:rsidR="0033140F" w:rsidRPr="00301491">
        <w:t xml:space="preserve">alternatives </w:t>
      </w:r>
      <w:r w:rsidRPr="00301491">
        <w:t xml:space="preserve">because </w:t>
      </w:r>
      <w:r w:rsidR="00E53147" w:rsidRPr="00301491">
        <w:t xml:space="preserve">the proposal is consistent with changes directed by </w:t>
      </w:r>
      <w:r w:rsidRPr="00301491">
        <w:t xml:space="preserve">the legislature.  </w:t>
      </w:r>
    </w:p>
    <w:sectPr w:rsidR="00BF710D" w:rsidRPr="00301491" w:rsidSect="00FE79F2">
      <w:headerReference w:type="default" r:id="rId12"/>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3A1" w:rsidRDefault="004933A1">
      <w:r>
        <w:separator/>
      </w:r>
    </w:p>
  </w:endnote>
  <w:endnote w:type="continuationSeparator" w:id="0">
    <w:p w:rsidR="004933A1" w:rsidRDefault="00493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ANKL C+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Letter Gothic">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3A1" w:rsidRDefault="004933A1">
      <w:r>
        <w:separator/>
      </w:r>
    </w:p>
  </w:footnote>
  <w:footnote w:type="continuationSeparator" w:id="0">
    <w:p w:rsidR="004933A1" w:rsidRDefault="00493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3A1" w:rsidRPr="00301491" w:rsidRDefault="004933A1" w:rsidP="00117757">
    <w:pPr>
      <w:tabs>
        <w:tab w:val="left" w:pos="-1440"/>
        <w:tab w:val="left" w:pos="-720"/>
        <w:tab w:val="left" w:pos="0"/>
        <w:tab w:val="left" w:pos="720"/>
      </w:tabs>
      <w:suppressAutoHyphens/>
      <w:ind w:left="1440" w:hanging="1440"/>
      <w:rPr>
        <w:rStyle w:val="PageNumber"/>
        <w:rFonts w:ascii="Arial" w:hAnsi="Arial" w:cs="Arial"/>
        <w:sz w:val="20"/>
        <w:szCs w:val="20"/>
      </w:rPr>
    </w:pPr>
    <w:r w:rsidRPr="00301491">
      <w:rPr>
        <w:rStyle w:val="PageNumber"/>
        <w:rFonts w:ascii="Arial" w:hAnsi="Arial" w:cs="Arial"/>
        <w:sz w:val="20"/>
        <w:szCs w:val="20"/>
      </w:rPr>
      <w:t>Attachment I</w:t>
    </w:r>
  </w:p>
  <w:p w:rsidR="004933A1" w:rsidRPr="00301491" w:rsidRDefault="004933A1" w:rsidP="00117757">
    <w:pPr>
      <w:tabs>
        <w:tab w:val="left" w:pos="-1440"/>
        <w:tab w:val="left" w:pos="-720"/>
      </w:tabs>
      <w:suppressAutoHyphens/>
      <w:rPr>
        <w:rFonts w:ascii="Arial" w:hAnsi="Arial" w:cs="Arial"/>
        <w:sz w:val="20"/>
        <w:szCs w:val="20"/>
      </w:rPr>
    </w:pPr>
    <w:r w:rsidRPr="00301491">
      <w:rPr>
        <w:rFonts w:ascii="Arial" w:hAnsi="Arial" w:cs="Arial"/>
        <w:sz w:val="20"/>
        <w:szCs w:val="20"/>
      </w:rPr>
      <w:t>April 21-22, 2011</w:t>
    </w:r>
    <w:r>
      <w:rPr>
        <w:rFonts w:ascii="Arial" w:hAnsi="Arial" w:cs="Arial"/>
        <w:sz w:val="20"/>
        <w:szCs w:val="20"/>
      </w:rPr>
      <w:t>, EQC m</w:t>
    </w:r>
    <w:r w:rsidRPr="00301491">
      <w:rPr>
        <w:rFonts w:ascii="Arial" w:hAnsi="Arial" w:cs="Arial"/>
        <w:sz w:val="20"/>
        <w:szCs w:val="20"/>
      </w:rPr>
      <w:t>eeting</w:t>
    </w:r>
  </w:p>
  <w:p w:rsidR="004933A1" w:rsidRPr="00301491" w:rsidRDefault="004933A1" w:rsidP="00117757">
    <w:pPr>
      <w:tabs>
        <w:tab w:val="left" w:pos="-1440"/>
        <w:tab w:val="left" w:pos="-720"/>
      </w:tabs>
      <w:suppressAutoHyphens/>
      <w:rPr>
        <w:rStyle w:val="PageNumber"/>
        <w:rFonts w:ascii="Arial" w:hAnsi="Arial" w:cs="Arial"/>
        <w:sz w:val="20"/>
        <w:szCs w:val="20"/>
      </w:rPr>
    </w:pPr>
    <w:r w:rsidRPr="00301491">
      <w:rPr>
        <w:rFonts w:ascii="Arial" w:hAnsi="Arial" w:cs="Arial"/>
        <w:sz w:val="20"/>
        <w:szCs w:val="20"/>
      </w:rPr>
      <w:t xml:space="preserve">Page </w:t>
    </w:r>
    <w:r w:rsidR="00270074" w:rsidRPr="00301491">
      <w:rPr>
        <w:rStyle w:val="PageNumber"/>
        <w:rFonts w:ascii="Arial" w:hAnsi="Arial" w:cs="Arial"/>
        <w:sz w:val="20"/>
        <w:szCs w:val="20"/>
      </w:rPr>
      <w:fldChar w:fldCharType="begin"/>
    </w:r>
    <w:r w:rsidRPr="00301491">
      <w:rPr>
        <w:rStyle w:val="PageNumber"/>
        <w:rFonts w:ascii="Arial" w:hAnsi="Arial" w:cs="Arial"/>
        <w:sz w:val="20"/>
        <w:szCs w:val="20"/>
      </w:rPr>
      <w:instrText xml:space="preserve"> PAGE </w:instrText>
    </w:r>
    <w:r w:rsidR="00270074" w:rsidRPr="00301491">
      <w:rPr>
        <w:rStyle w:val="PageNumber"/>
        <w:rFonts w:ascii="Arial" w:hAnsi="Arial" w:cs="Arial"/>
        <w:sz w:val="20"/>
        <w:szCs w:val="20"/>
      </w:rPr>
      <w:fldChar w:fldCharType="separate"/>
    </w:r>
    <w:r w:rsidR="00A94B5E">
      <w:rPr>
        <w:rStyle w:val="PageNumber"/>
        <w:rFonts w:ascii="Arial" w:hAnsi="Arial" w:cs="Arial"/>
        <w:noProof/>
        <w:sz w:val="20"/>
        <w:szCs w:val="20"/>
      </w:rPr>
      <w:t>5</w:t>
    </w:r>
    <w:r w:rsidR="00270074" w:rsidRPr="00301491">
      <w:rPr>
        <w:rStyle w:val="PageNumber"/>
        <w:rFonts w:ascii="Arial" w:hAnsi="Arial" w:cs="Arial"/>
        <w:sz w:val="20"/>
        <w:szCs w:val="20"/>
      </w:rPr>
      <w:fldChar w:fldCharType="end"/>
    </w:r>
    <w:r w:rsidRPr="00301491">
      <w:rPr>
        <w:rFonts w:ascii="Arial" w:hAnsi="Arial" w:cs="Arial"/>
        <w:sz w:val="20"/>
        <w:szCs w:val="20"/>
      </w:rPr>
      <w:t xml:space="preserve"> of </w:t>
    </w:r>
    <w:r w:rsidR="00270074" w:rsidRPr="00301491">
      <w:rPr>
        <w:rStyle w:val="PageNumber"/>
        <w:rFonts w:ascii="Arial" w:hAnsi="Arial" w:cs="Arial"/>
        <w:sz w:val="20"/>
        <w:szCs w:val="20"/>
      </w:rPr>
      <w:fldChar w:fldCharType="begin"/>
    </w:r>
    <w:r w:rsidRPr="00301491">
      <w:rPr>
        <w:rStyle w:val="PageNumber"/>
        <w:rFonts w:ascii="Arial" w:hAnsi="Arial" w:cs="Arial"/>
        <w:sz w:val="20"/>
        <w:szCs w:val="20"/>
      </w:rPr>
      <w:instrText xml:space="preserve"> NUMPAGES  </w:instrText>
    </w:r>
    <w:r w:rsidR="00270074" w:rsidRPr="00301491">
      <w:rPr>
        <w:rStyle w:val="PageNumber"/>
        <w:rFonts w:ascii="Arial" w:hAnsi="Arial" w:cs="Arial"/>
        <w:sz w:val="20"/>
        <w:szCs w:val="20"/>
      </w:rPr>
      <w:fldChar w:fldCharType="separate"/>
    </w:r>
    <w:r w:rsidR="00A94B5E">
      <w:rPr>
        <w:rStyle w:val="PageNumber"/>
        <w:rFonts w:ascii="Arial" w:hAnsi="Arial" w:cs="Arial"/>
        <w:noProof/>
        <w:sz w:val="20"/>
        <w:szCs w:val="20"/>
      </w:rPr>
      <w:t>5</w:t>
    </w:r>
    <w:r w:rsidR="00270074" w:rsidRPr="00301491">
      <w:rPr>
        <w:rStyle w:val="PageNumber"/>
        <w:rFonts w:ascii="Arial" w:hAnsi="Arial" w:cs="Arial"/>
        <w:sz w:val="20"/>
        <w:szCs w:val="20"/>
      </w:rPr>
      <w:fldChar w:fldCharType="end"/>
    </w:r>
  </w:p>
  <w:p w:rsidR="004933A1" w:rsidRPr="00117757" w:rsidRDefault="004933A1" w:rsidP="00117757">
    <w:pPr>
      <w:tabs>
        <w:tab w:val="left" w:pos="-1440"/>
        <w:tab w:val="left" w:pos="-720"/>
      </w:tabs>
      <w:suppressAutoHyphens/>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50F0B2E"/>
    <w:multiLevelType w:val="hybridMultilevel"/>
    <w:tmpl w:val="977E3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E1F9A"/>
    <w:multiLevelType w:val="multilevel"/>
    <w:tmpl w:val="345C2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D2020"/>
    <w:multiLevelType w:val="hybridMultilevel"/>
    <w:tmpl w:val="4510FA48"/>
    <w:lvl w:ilvl="0" w:tplc="21807C8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20426D"/>
    <w:multiLevelType w:val="hybridMultilevel"/>
    <w:tmpl w:val="E1FAF0EC"/>
    <w:lvl w:ilvl="0" w:tplc="368ADC16">
      <w:start w:val="1"/>
      <w:numFmt w:val="lowerLetter"/>
      <w:lvlText w:val="(%1)"/>
      <w:lvlJc w:val="left"/>
      <w:pPr>
        <w:tabs>
          <w:tab w:val="num" w:pos="360"/>
        </w:tabs>
        <w:ind w:left="36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3E61E5"/>
    <w:multiLevelType w:val="hybridMultilevel"/>
    <w:tmpl w:val="ABDCB4A6"/>
    <w:lvl w:ilvl="0" w:tplc="871246AE">
      <w:start w:val="1"/>
      <w:numFmt w:val="bullet"/>
      <w:lvlText w:val=""/>
      <w:lvlJc w:val="left"/>
      <w:pPr>
        <w:tabs>
          <w:tab w:val="num" w:pos="1980"/>
        </w:tabs>
        <w:ind w:left="1980" w:hanging="360"/>
      </w:pPr>
      <w:rPr>
        <w:rFonts w:ascii="Symbol" w:hAnsi="Symbol" w:hint="default"/>
        <w:color w:val="auto"/>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5E313A48"/>
    <w:multiLevelType w:val="hybridMultilevel"/>
    <w:tmpl w:val="276474D0"/>
    <w:lvl w:ilvl="0" w:tplc="C34852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F20AE7"/>
    <w:multiLevelType w:val="hybridMultilevel"/>
    <w:tmpl w:val="E85EF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6E094C"/>
    <w:multiLevelType w:val="hybridMultilevel"/>
    <w:tmpl w:val="97AC47D2"/>
    <w:lvl w:ilvl="0" w:tplc="912CD63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2"/>
  </w:num>
  <w:num w:numId="5">
    <w:abstractNumId w:val="0"/>
  </w:num>
  <w:num w:numId="6">
    <w:abstractNumId w:val="8"/>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trackRevisions/>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rsids>
    <w:rsidRoot w:val="00425375"/>
    <w:rsid w:val="00004ED1"/>
    <w:rsid w:val="00005296"/>
    <w:rsid w:val="00005F8F"/>
    <w:rsid w:val="00011F16"/>
    <w:rsid w:val="000138A6"/>
    <w:rsid w:val="000149D4"/>
    <w:rsid w:val="0002348A"/>
    <w:rsid w:val="000238F2"/>
    <w:rsid w:val="0002684D"/>
    <w:rsid w:val="00040241"/>
    <w:rsid w:val="00041DB6"/>
    <w:rsid w:val="00043818"/>
    <w:rsid w:val="00044BB9"/>
    <w:rsid w:val="0005492D"/>
    <w:rsid w:val="000559E0"/>
    <w:rsid w:val="00056050"/>
    <w:rsid w:val="000564C9"/>
    <w:rsid w:val="00063121"/>
    <w:rsid w:val="000646F1"/>
    <w:rsid w:val="00064853"/>
    <w:rsid w:val="0006789F"/>
    <w:rsid w:val="0007409F"/>
    <w:rsid w:val="000809A4"/>
    <w:rsid w:val="0008534E"/>
    <w:rsid w:val="00091273"/>
    <w:rsid w:val="00094534"/>
    <w:rsid w:val="00094A26"/>
    <w:rsid w:val="0009550B"/>
    <w:rsid w:val="0009678A"/>
    <w:rsid w:val="000A2E1A"/>
    <w:rsid w:val="000A4CA3"/>
    <w:rsid w:val="000C1CB9"/>
    <w:rsid w:val="000C718C"/>
    <w:rsid w:val="000D0AB8"/>
    <w:rsid w:val="000E190B"/>
    <w:rsid w:val="000E559E"/>
    <w:rsid w:val="000E6786"/>
    <w:rsid w:val="000F7C5F"/>
    <w:rsid w:val="00102096"/>
    <w:rsid w:val="001023C2"/>
    <w:rsid w:val="001113AF"/>
    <w:rsid w:val="00114C97"/>
    <w:rsid w:val="001158CE"/>
    <w:rsid w:val="00117757"/>
    <w:rsid w:val="00121FA3"/>
    <w:rsid w:val="001238AD"/>
    <w:rsid w:val="001366F5"/>
    <w:rsid w:val="00145A4B"/>
    <w:rsid w:val="00155A55"/>
    <w:rsid w:val="00164D84"/>
    <w:rsid w:val="00165C1D"/>
    <w:rsid w:val="001668E4"/>
    <w:rsid w:val="00175808"/>
    <w:rsid w:val="001B203A"/>
    <w:rsid w:val="001B4FB5"/>
    <w:rsid w:val="001C1164"/>
    <w:rsid w:val="001C2225"/>
    <w:rsid w:val="001C47E1"/>
    <w:rsid w:val="001C4AA5"/>
    <w:rsid w:val="001C7093"/>
    <w:rsid w:val="001D02AB"/>
    <w:rsid w:val="001D049B"/>
    <w:rsid w:val="001D2CCE"/>
    <w:rsid w:val="001E0B62"/>
    <w:rsid w:val="001E2B11"/>
    <w:rsid w:val="001E54B9"/>
    <w:rsid w:val="001E5952"/>
    <w:rsid w:val="001E742A"/>
    <w:rsid w:val="00200D68"/>
    <w:rsid w:val="00201C07"/>
    <w:rsid w:val="0021314E"/>
    <w:rsid w:val="0021342B"/>
    <w:rsid w:val="0021670E"/>
    <w:rsid w:val="0023732C"/>
    <w:rsid w:val="0024007D"/>
    <w:rsid w:val="002437B7"/>
    <w:rsid w:val="00246F2A"/>
    <w:rsid w:val="002577FD"/>
    <w:rsid w:val="002617F1"/>
    <w:rsid w:val="00264497"/>
    <w:rsid w:val="00270074"/>
    <w:rsid w:val="00271EC6"/>
    <w:rsid w:val="00273375"/>
    <w:rsid w:val="00275D9E"/>
    <w:rsid w:val="00282C65"/>
    <w:rsid w:val="00287006"/>
    <w:rsid w:val="00290D70"/>
    <w:rsid w:val="00293FD7"/>
    <w:rsid w:val="002A0714"/>
    <w:rsid w:val="002A38E2"/>
    <w:rsid w:val="002A4F1A"/>
    <w:rsid w:val="002A5459"/>
    <w:rsid w:val="002A590B"/>
    <w:rsid w:val="002C05C5"/>
    <w:rsid w:val="002C0EB4"/>
    <w:rsid w:val="002C3E26"/>
    <w:rsid w:val="002C657A"/>
    <w:rsid w:val="002D067A"/>
    <w:rsid w:val="002D53AF"/>
    <w:rsid w:val="002D668A"/>
    <w:rsid w:val="002D6C75"/>
    <w:rsid w:val="002E2FCF"/>
    <w:rsid w:val="002E4A14"/>
    <w:rsid w:val="002E65BF"/>
    <w:rsid w:val="002F0246"/>
    <w:rsid w:val="002F0FEF"/>
    <w:rsid w:val="00301491"/>
    <w:rsid w:val="00302200"/>
    <w:rsid w:val="00302C96"/>
    <w:rsid w:val="0031325E"/>
    <w:rsid w:val="003233B2"/>
    <w:rsid w:val="003249F3"/>
    <w:rsid w:val="0033140F"/>
    <w:rsid w:val="00333F61"/>
    <w:rsid w:val="003411D3"/>
    <w:rsid w:val="003414C3"/>
    <w:rsid w:val="003514AB"/>
    <w:rsid w:val="00355FCA"/>
    <w:rsid w:val="00367422"/>
    <w:rsid w:val="00371757"/>
    <w:rsid w:val="00372E88"/>
    <w:rsid w:val="0037588F"/>
    <w:rsid w:val="00383A99"/>
    <w:rsid w:val="003906F5"/>
    <w:rsid w:val="003970B1"/>
    <w:rsid w:val="003A0592"/>
    <w:rsid w:val="003A10C0"/>
    <w:rsid w:val="003A4C22"/>
    <w:rsid w:val="003A6329"/>
    <w:rsid w:val="003B0031"/>
    <w:rsid w:val="003B3131"/>
    <w:rsid w:val="003B6836"/>
    <w:rsid w:val="003B6D10"/>
    <w:rsid w:val="003C18E1"/>
    <w:rsid w:val="003C1BBD"/>
    <w:rsid w:val="003C5A62"/>
    <w:rsid w:val="003D2445"/>
    <w:rsid w:val="003E06B9"/>
    <w:rsid w:val="003E1360"/>
    <w:rsid w:val="003E5F64"/>
    <w:rsid w:val="003F5D40"/>
    <w:rsid w:val="00401626"/>
    <w:rsid w:val="00402B5A"/>
    <w:rsid w:val="004063F8"/>
    <w:rsid w:val="004106EB"/>
    <w:rsid w:val="00410FA8"/>
    <w:rsid w:val="00417378"/>
    <w:rsid w:val="00423DA5"/>
    <w:rsid w:val="00425375"/>
    <w:rsid w:val="00431A37"/>
    <w:rsid w:val="00431AAE"/>
    <w:rsid w:val="00431F0F"/>
    <w:rsid w:val="00432A7A"/>
    <w:rsid w:val="00432E36"/>
    <w:rsid w:val="004377E4"/>
    <w:rsid w:val="00441410"/>
    <w:rsid w:val="00447158"/>
    <w:rsid w:val="00447FF7"/>
    <w:rsid w:val="00451BF9"/>
    <w:rsid w:val="00467A6B"/>
    <w:rsid w:val="00470137"/>
    <w:rsid w:val="0047340A"/>
    <w:rsid w:val="00476E1C"/>
    <w:rsid w:val="00491CA8"/>
    <w:rsid w:val="004921CA"/>
    <w:rsid w:val="004931E6"/>
    <w:rsid w:val="004933A1"/>
    <w:rsid w:val="004A1B92"/>
    <w:rsid w:val="004A35D3"/>
    <w:rsid w:val="004A4D7F"/>
    <w:rsid w:val="004A71A0"/>
    <w:rsid w:val="004B210E"/>
    <w:rsid w:val="004B5570"/>
    <w:rsid w:val="004B5C3E"/>
    <w:rsid w:val="004C4F8D"/>
    <w:rsid w:val="004C69EF"/>
    <w:rsid w:val="004E53A3"/>
    <w:rsid w:val="004E72B3"/>
    <w:rsid w:val="004F27C4"/>
    <w:rsid w:val="004F3696"/>
    <w:rsid w:val="004F5451"/>
    <w:rsid w:val="004F6741"/>
    <w:rsid w:val="004F6A9D"/>
    <w:rsid w:val="00501E6C"/>
    <w:rsid w:val="00505360"/>
    <w:rsid w:val="00515AA4"/>
    <w:rsid w:val="005322D7"/>
    <w:rsid w:val="005406CC"/>
    <w:rsid w:val="00543B7A"/>
    <w:rsid w:val="00554CC3"/>
    <w:rsid w:val="00563267"/>
    <w:rsid w:val="00563A1F"/>
    <w:rsid w:val="00565B93"/>
    <w:rsid w:val="00576AE6"/>
    <w:rsid w:val="005828EF"/>
    <w:rsid w:val="0058377F"/>
    <w:rsid w:val="00584BE8"/>
    <w:rsid w:val="005852FA"/>
    <w:rsid w:val="00590C3A"/>
    <w:rsid w:val="005913A9"/>
    <w:rsid w:val="00592FE1"/>
    <w:rsid w:val="0059436B"/>
    <w:rsid w:val="005961C1"/>
    <w:rsid w:val="005A7A53"/>
    <w:rsid w:val="005C36D6"/>
    <w:rsid w:val="005C4AEB"/>
    <w:rsid w:val="005C62C1"/>
    <w:rsid w:val="005C75AC"/>
    <w:rsid w:val="005D182F"/>
    <w:rsid w:val="005D2011"/>
    <w:rsid w:val="005D2A92"/>
    <w:rsid w:val="005D39FF"/>
    <w:rsid w:val="005D496A"/>
    <w:rsid w:val="005D6FE1"/>
    <w:rsid w:val="005E0201"/>
    <w:rsid w:val="005E6A57"/>
    <w:rsid w:val="005E7CC4"/>
    <w:rsid w:val="005F6DCE"/>
    <w:rsid w:val="0060099D"/>
    <w:rsid w:val="006028ED"/>
    <w:rsid w:val="00603ED6"/>
    <w:rsid w:val="0061005B"/>
    <w:rsid w:val="006113A7"/>
    <w:rsid w:val="00622E80"/>
    <w:rsid w:val="00631762"/>
    <w:rsid w:val="006324B9"/>
    <w:rsid w:val="0063494F"/>
    <w:rsid w:val="00635170"/>
    <w:rsid w:val="00642B2F"/>
    <w:rsid w:val="00650005"/>
    <w:rsid w:val="00652C7E"/>
    <w:rsid w:val="00653AF5"/>
    <w:rsid w:val="00662942"/>
    <w:rsid w:val="0067236B"/>
    <w:rsid w:val="0068175A"/>
    <w:rsid w:val="0068430F"/>
    <w:rsid w:val="00686E60"/>
    <w:rsid w:val="0069387C"/>
    <w:rsid w:val="0069616F"/>
    <w:rsid w:val="00696740"/>
    <w:rsid w:val="006A3C60"/>
    <w:rsid w:val="006B70FE"/>
    <w:rsid w:val="006B75D3"/>
    <w:rsid w:val="006C3EEB"/>
    <w:rsid w:val="006D6355"/>
    <w:rsid w:val="006D6B59"/>
    <w:rsid w:val="006E73B1"/>
    <w:rsid w:val="006F2F3E"/>
    <w:rsid w:val="006F34D1"/>
    <w:rsid w:val="006F4DBA"/>
    <w:rsid w:val="006F5C09"/>
    <w:rsid w:val="00700224"/>
    <w:rsid w:val="00700B44"/>
    <w:rsid w:val="00703148"/>
    <w:rsid w:val="0070682F"/>
    <w:rsid w:val="00710C49"/>
    <w:rsid w:val="00712B25"/>
    <w:rsid w:val="007157E7"/>
    <w:rsid w:val="00716074"/>
    <w:rsid w:val="00716DCF"/>
    <w:rsid w:val="00717817"/>
    <w:rsid w:val="00717FF6"/>
    <w:rsid w:val="00725EEA"/>
    <w:rsid w:val="00735C1A"/>
    <w:rsid w:val="00741DCC"/>
    <w:rsid w:val="00744A60"/>
    <w:rsid w:val="0074610C"/>
    <w:rsid w:val="00746F29"/>
    <w:rsid w:val="00751117"/>
    <w:rsid w:val="007555F2"/>
    <w:rsid w:val="0075629E"/>
    <w:rsid w:val="007600E0"/>
    <w:rsid w:val="00762C65"/>
    <w:rsid w:val="007634A3"/>
    <w:rsid w:val="00766C92"/>
    <w:rsid w:val="00772982"/>
    <w:rsid w:val="0077588E"/>
    <w:rsid w:val="00781711"/>
    <w:rsid w:val="007832BA"/>
    <w:rsid w:val="00785A30"/>
    <w:rsid w:val="00787B97"/>
    <w:rsid w:val="00790307"/>
    <w:rsid w:val="007A5B8F"/>
    <w:rsid w:val="007B2F4F"/>
    <w:rsid w:val="007B69C3"/>
    <w:rsid w:val="007B7741"/>
    <w:rsid w:val="007B7C8A"/>
    <w:rsid w:val="007C0C28"/>
    <w:rsid w:val="007C32A3"/>
    <w:rsid w:val="007E007C"/>
    <w:rsid w:val="007F0709"/>
    <w:rsid w:val="007F081A"/>
    <w:rsid w:val="007F2C23"/>
    <w:rsid w:val="00800433"/>
    <w:rsid w:val="00803DFF"/>
    <w:rsid w:val="0081209A"/>
    <w:rsid w:val="0081364A"/>
    <w:rsid w:val="0081460B"/>
    <w:rsid w:val="00814A79"/>
    <w:rsid w:val="00816AF0"/>
    <w:rsid w:val="00817233"/>
    <w:rsid w:val="00820CDE"/>
    <w:rsid w:val="00822E64"/>
    <w:rsid w:val="00827AC5"/>
    <w:rsid w:val="008316F8"/>
    <w:rsid w:val="00837B9A"/>
    <w:rsid w:val="008437D6"/>
    <w:rsid w:val="00846B1A"/>
    <w:rsid w:val="008511A8"/>
    <w:rsid w:val="00851BDA"/>
    <w:rsid w:val="00856560"/>
    <w:rsid w:val="00857458"/>
    <w:rsid w:val="0087116C"/>
    <w:rsid w:val="00875022"/>
    <w:rsid w:val="00882043"/>
    <w:rsid w:val="008837DD"/>
    <w:rsid w:val="00884410"/>
    <w:rsid w:val="00885E10"/>
    <w:rsid w:val="00886A42"/>
    <w:rsid w:val="00886B17"/>
    <w:rsid w:val="00892701"/>
    <w:rsid w:val="008A7F62"/>
    <w:rsid w:val="008C00C0"/>
    <w:rsid w:val="008C24A0"/>
    <w:rsid w:val="008C5A40"/>
    <w:rsid w:val="008C5CB0"/>
    <w:rsid w:val="008C73BA"/>
    <w:rsid w:val="008D402B"/>
    <w:rsid w:val="008E08E0"/>
    <w:rsid w:val="008E3F7E"/>
    <w:rsid w:val="008E4E51"/>
    <w:rsid w:val="008E62FD"/>
    <w:rsid w:val="008F7D2B"/>
    <w:rsid w:val="00902D42"/>
    <w:rsid w:val="00904F1E"/>
    <w:rsid w:val="0090568F"/>
    <w:rsid w:val="009066CA"/>
    <w:rsid w:val="0090739D"/>
    <w:rsid w:val="009126E5"/>
    <w:rsid w:val="009140B6"/>
    <w:rsid w:val="009222FB"/>
    <w:rsid w:val="0093236D"/>
    <w:rsid w:val="00934F3D"/>
    <w:rsid w:val="009356C7"/>
    <w:rsid w:val="00946FF4"/>
    <w:rsid w:val="00953538"/>
    <w:rsid w:val="00957F2A"/>
    <w:rsid w:val="00960FDD"/>
    <w:rsid w:val="009623C0"/>
    <w:rsid w:val="00965E84"/>
    <w:rsid w:val="00967AEC"/>
    <w:rsid w:val="009716E6"/>
    <w:rsid w:val="00973805"/>
    <w:rsid w:val="00975666"/>
    <w:rsid w:val="00990D3F"/>
    <w:rsid w:val="00993E8D"/>
    <w:rsid w:val="00994849"/>
    <w:rsid w:val="009A74DA"/>
    <w:rsid w:val="009B2B8A"/>
    <w:rsid w:val="009B42BB"/>
    <w:rsid w:val="009B461E"/>
    <w:rsid w:val="009B5F27"/>
    <w:rsid w:val="009C1628"/>
    <w:rsid w:val="009C264E"/>
    <w:rsid w:val="009C5A55"/>
    <w:rsid w:val="009C7195"/>
    <w:rsid w:val="009D3027"/>
    <w:rsid w:val="009D7B77"/>
    <w:rsid w:val="00A00506"/>
    <w:rsid w:val="00A02FFC"/>
    <w:rsid w:val="00A03986"/>
    <w:rsid w:val="00A0670E"/>
    <w:rsid w:val="00A06E4E"/>
    <w:rsid w:val="00A1207A"/>
    <w:rsid w:val="00A12E7E"/>
    <w:rsid w:val="00A14C68"/>
    <w:rsid w:val="00A24CC9"/>
    <w:rsid w:val="00A354D0"/>
    <w:rsid w:val="00A3785B"/>
    <w:rsid w:val="00A4192A"/>
    <w:rsid w:val="00A45B18"/>
    <w:rsid w:val="00A45FEC"/>
    <w:rsid w:val="00A509BF"/>
    <w:rsid w:val="00A52105"/>
    <w:rsid w:val="00A52AE5"/>
    <w:rsid w:val="00A54286"/>
    <w:rsid w:val="00A5597A"/>
    <w:rsid w:val="00A61254"/>
    <w:rsid w:val="00A61B6E"/>
    <w:rsid w:val="00A641E7"/>
    <w:rsid w:val="00A7588B"/>
    <w:rsid w:val="00A814E9"/>
    <w:rsid w:val="00A8306B"/>
    <w:rsid w:val="00A8407C"/>
    <w:rsid w:val="00A8701D"/>
    <w:rsid w:val="00A94B5E"/>
    <w:rsid w:val="00A96C70"/>
    <w:rsid w:val="00AA16AF"/>
    <w:rsid w:val="00AA58E5"/>
    <w:rsid w:val="00AB07EF"/>
    <w:rsid w:val="00AB7091"/>
    <w:rsid w:val="00AC2013"/>
    <w:rsid w:val="00AC3786"/>
    <w:rsid w:val="00AC50F5"/>
    <w:rsid w:val="00AE293D"/>
    <w:rsid w:val="00AE3071"/>
    <w:rsid w:val="00AE6465"/>
    <w:rsid w:val="00AE6675"/>
    <w:rsid w:val="00AF5C8D"/>
    <w:rsid w:val="00B04E47"/>
    <w:rsid w:val="00B05F8D"/>
    <w:rsid w:val="00B068A0"/>
    <w:rsid w:val="00B11B32"/>
    <w:rsid w:val="00B1542A"/>
    <w:rsid w:val="00B179EE"/>
    <w:rsid w:val="00B2777C"/>
    <w:rsid w:val="00B27CD1"/>
    <w:rsid w:val="00B31F5B"/>
    <w:rsid w:val="00B33013"/>
    <w:rsid w:val="00B34914"/>
    <w:rsid w:val="00B371D0"/>
    <w:rsid w:val="00B44610"/>
    <w:rsid w:val="00B56084"/>
    <w:rsid w:val="00B5616B"/>
    <w:rsid w:val="00B57673"/>
    <w:rsid w:val="00B57EE3"/>
    <w:rsid w:val="00B63442"/>
    <w:rsid w:val="00B67755"/>
    <w:rsid w:val="00B7192A"/>
    <w:rsid w:val="00B71C6E"/>
    <w:rsid w:val="00B80991"/>
    <w:rsid w:val="00B82BAC"/>
    <w:rsid w:val="00B84AF8"/>
    <w:rsid w:val="00B87418"/>
    <w:rsid w:val="00B87CED"/>
    <w:rsid w:val="00B908E1"/>
    <w:rsid w:val="00B92319"/>
    <w:rsid w:val="00B93BE1"/>
    <w:rsid w:val="00B944CD"/>
    <w:rsid w:val="00B96D65"/>
    <w:rsid w:val="00BA1C4C"/>
    <w:rsid w:val="00BA3BF7"/>
    <w:rsid w:val="00BA594C"/>
    <w:rsid w:val="00BA6ABD"/>
    <w:rsid w:val="00BA7421"/>
    <w:rsid w:val="00BB0F07"/>
    <w:rsid w:val="00BB51C2"/>
    <w:rsid w:val="00BB7488"/>
    <w:rsid w:val="00BC139B"/>
    <w:rsid w:val="00BC1D70"/>
    <w:rsid w:val="00BC6965"/>
    <w:rsid w:val="00BD0EF9"/>
    <w:rsid w:val="00BD5A68"/>
    <w:rsid w:val="00BD7869"/>
    <w:rsid w:val="00BE0D31"/>
    <w:rsid w:val="00BE5C67"/>
    <w:rsid w:val="00BE72D7"/>
    <w:rsid w:val="00BF710D"/>
    <w:rsid w:val="00C01102"/>
    <w:rsid w:val="00C01515"/>
    <w:rsid w:val="00C13165"/>
    <w:rsid w:val="00C1320D"/>
    <w:rsid w:val="00C132C4"/>
    <w:rsid w:val="00C13D1E"/>
    <w:rsid w:val="00C15B00"/>
    <w:rsid w:val="00C16B80"/>
    <w:rsid w:val="00C16F54"/>
    <w:rsid w:val="00C179E3"/>
    <w:rsid w:val="00C2021D"/>
    <w:rsid w:val="00C32462"/>
    <w:rsid w:val="00C32E3E"/>
    <w:rsid w:val="00C339DD"/>
    <w:rsid w:val="00C35B72"/>
    <w:rsid w:val="00C40557"/>
    <w:rsid w:val="00C42DF4"/>
    <w:rsid w:val="00C462D0"/>
    <w:rsid w:val="00C572ED"/>
    <w:rsid w:val="00C61FE0"/>
    <w:rsid w:val="00C63510"/>
    <w:rsid w:val="00C6369C"/>
    <w:rsid w:val="00C65AF7"/>
    <w:rsid w:val="00C65C93"/>
    <w:rsid w:val="00C65FD1"/>
    <w:rsid w:val="00C66A10"/>
    <w:rsid w:val="00C66C43"/>
    <w:rsid w:val="00C71991"/>
    <w:rsid w:val="00C730B9"/>
    <w:rsid w:val="00C74683"/>
    <w:rsid w:val="00C7745C"/>
    <w:rsid w:val="00C8022E"/>
    <w:rsid w:val="00C84815"/>
    <w:rsid w:val="00C84943"/>
    <w:rsid w:val="00C858CD"/>
    <w:rsid w:val="00C93AE0"/>
    <w:rsid w:val="00CA5E16"/>
    <w:rsid w:val="00CA7A9B"/>
    <w:rsid w:val="00CB0481"/>
    <w:rsid w:val="00CB2E87"/>
    <w:rsid w:val="00CB3D70"/>
    <w:rsid w:val="00CB537F"/>
    <w:rsid w:val="00CC05FD"/>
    <w:rsid w:val="00CC7DF8"/>
    <w:rsid w:val="00CD1FA6"/>
    <w:rsid w:val="00CD204F"/>
    <w:rsid w:val="00CD26AC"/>
    <w:rsid w:val="00CD3B82"/>
    <w:rsid w:val="00CD7C63"/>
    <w:rsid w:val="00CE114F"/>
    <w:rsid w:val="00CE2EC9"/>
    <w:rsid w:val="00CE37B5"/>
    <w:rsid w:val="00CE4126"/>
    <w:rsid w:val="00CE44A5"/>
    <w:rsid w:val="00CF75AF"/>
    <w:rsid w:val="00D062F4"/>
    <w:rsid w:val="00D069AC"/>
    <w:rsid w:val="00D1131C"/>
    <w:rsid w:val="00D11795"/>
    <w:rsid w:val="00D119D5"/>
    <w:rsid w:val="00D14F16"/>
    <w:rsid w:val="00D15272"/>
    <w:rsid w:val="00D163CA"/>
    <w:rsid w:val="00D21B45"/>
    <w:rsid w:val="00D235E0"/>
    <w:rsid w:val="00D273FB"/>
    <w:rsid w:val="00D30C5A"/>
    <w:rsid w:val="00D3382F"/>
    <w:rsid w:val="00D36FCC"/>
    <w:rsid w:val="00D411BC"/>
    <w:rsid w:val="00D50840"/>
    <w:rsid w:val="00D5367E"/>
    <w:rsid w:val="00D605C9"/>
    <w:rsid w:val="00D64419"/>
    <w:rsid w:val="00D6679A"/>
    <w:rsid w:val="00D734F7"/>
    <w:rsid w:val="00D85A80"/>
    <w:rsid w:val="00D85FA1"/>
    <w:rsid w:val="00D9252C"/>
    <w:rsid w:val="00D94FD3"/>
    <w:rsid w:val="00DA0971"/>
    <w:rsid w:val="00DA34B4"/>
    <w:rsid w:val="00DA5A75"/>
    <w:rsid w:val="00DA749A"/>
    <w:rsid w:val="00DB1B6B"/>
    <w:rsid w:val="00DB1D14"/>
    <w:rsid w:val="00DB4F9B"/>
    <w:rsid w:val="00DB6146"/>
    <w:rsid w:val="00DB7FC7"/>
    <w:rsid w:val="00DC13D6"/>
    <w:rsid w:val="00DC35B5"/>
    <w:rsid w:val="00DC3CF2"/>
    <w:rsid w:val="00DC7CAF"/>
    <w:rsid w:val="00DC7E85"/>
    <w:rsid w:val="00DD71F4"/>
    <w:rsid w:val="00DF7FDC"/>
    <w:rsid w:val="00E009BD"/>
    <w:rsid w:val="00E00CDF"/>
    <w:rsid w:val="00E016CE"/>
    <w:rsid w:val="00E1286C"/>
    <w:rsid w:val="00E15D69"/>
    <w:rsid w:val="00E2389B"/>
    <w:rsid w:val="00E30521"/>
    <w:rsid w:val="00E3299D"/>
    <w:rsid w:val="00E33E79"/>
    <w:rsid w:val="00E3666F"/>
    <w:rsid w:val="00E4382F"/>
    <w:rsid w:val="00E464D0"/>
    <w:rsid w:val="00E52EAB"/>
    <w:rsid w:val="00E53147"/>
    <w:rsid w:val="00E6523B"/>
    <w:rsid w:val="00E76478"/>
    <w:rsid w:val="00E81F24"/>
    <w:rsid w:val="00E90FDB"/>
    <w:rsid w:val="00E91F35"/>
    <w:rsid w:val="00E92CBC"/>
    <w:rsid w:val="00E9445B"/>
    <w:rsid w:val="00EA4916"/>
    <w:rsid w:val="00EA721C"/>
    <w:rsid w:val="00EB029D"/>
    <w:rsid w:val="00EB1106"/>
    <w:rsid w:val="00EB2E67"/>
    <w:rsid w:val="00EC1BA9"/>
    <w:rsid w:val="00EC5EFF"/>
    <w:rsid w:val="00EC6BE1"/>
    <w:rsid w:val="00EC7BB0"/>
    <w:rsid w:val="00ED2FAC"/>
    <w:rsid w:val="00ED74FD"/>
    <w:rsid w:val="00EF3063"/>
    <w:rsid w:val="00F026D1"/>
    <w:rsid w:val="00F05204"/>
    <w:rsid w:val="00F117F7"/>
    <w:rsid w:val="00F1306B"/>
    <w:rsid w:val="00F2221D"/>
    <w:rsid w:val="00F247E0"/>
    <w:rsid w:val="00F24AA1"/>
    <w:rsid w:val="00F279E8"/>
    <w:rsid w:val="00F36D39"/>
    <w:rsid w:val="00F41758"/>
    <w:rsid w:val="00F41D3B"/>
    <w:rsid w:val="00F420C1"/>
    <w:rsid w:val="00F42715"/>
    <w:rsid w:val="00F44934"/>
    <w:rsid w:val="00F45C91"/>
    <w:rsid w:val="00F50530"/>
    <w:rsid w:val="00F5282D"/>
    <w:rsid w:val="00F545C3"/>
    <w:rsid w:val="00F614CC"/>
    <w:rsid w:val="00F702A8"/>
    <w:rsid w:val="00F74E92"/>
    <w:rsid w:val="00F75CA5"/>
    <w:rsid w:val="00F76032"/>
    <w:rsid w:val="00F77C72"/>
    <w:rsid w:val="00F840AA"/>
    <w:rsid w:val="00FA2334"/>
    <w:rsid w:val="00FA66D4"/>
    <w:rsid w:val="00FB24EA"/>
    <w:rsid w:val="00FB660F"/>
    <w:rsid w:val="00FB6FA3"/>
    <w:rsid w:val="00FC5856"/>
    <w:rsid w:val="00FD15BE"/>
    <w:rsid w:val="00FD5985"/>
    <w:rsid w:val="00FD72EE"/>
    <w:rsid w:val="00FE03B4"/>
    <w:rsid w:val="00FE1BEE"/>
    <w:rsid w:val="00FE2FAF"/>
    <w:rsid w:val="00FE457B"/>
    <w:rsid w:val="00FE79F2"/>
    <w:rsid w:val="00FE7D58"/>
    <w:rsid w:val="00FF3F32"/>
    <w:rsid w:val="00FF485A"/>
    <w:rsid w:val="00FF7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F2"/>
    <w:rPr>
      <w:sz w:val="24"/>
      <w:szCs w:val="24"/>
    </w:rPr>
  </w:style>
  <w:style w:type="paragraph" w:styleId="Heading5">
    <w:name w:val="heading 5"/>
    <w:basedOn w:val="Normal"/>
    <w:link w:val="Heading5Char"/>
    <w:uiPriority w:val="9"/>
    <w:qFormat/>
    <w:rsid w:val="00EA721C"/>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79F2"/>
    <w:pPr>
      <w:spacing w:before="100" w:beforeAutospacing="1" w:after="100" w:afterAutospacing="1"/>
    </w:pPr>
  </w:style>
  <w:style w:type="character" w:styleId="CommentReference">
    <w:name w:val="annotation reference"/>
    <w:semiHidden/>
    <w:rsid w:val="00FE79F2"/>
    <w:rPr>
      <w:color w:val="FF0000"/>
      <w:sz w:val="16"/>
    </w:rPr>
  </w:style>
  <w:style w:type="paragraph" w:styleId="CommentText">
    <w:name w:val="annotation text"/>
    <w:basedOn w:val="Normal"/>
    <w:semiHidden/>
    <w:rsid w:val="00FE79F2"/>
    <w:pPr>
      <w:tabs>
        <w:tab w:val="left" w:pos="187"/>
      </w:tabs>
      <w:spacing w:after="120" w:line="220" w:lineRule="exact"/>
      <w:ind w:left="187" w:hanging="187"/>
    </w:pPr>
    <w:rPr>
      <w:color w:val="FF0000"/>
      <w:sz w:val="20"/>
      <w:szCs w:val="20"/>
    </w:rPr>
  </w:style>
  <w:style w:type="paragraph" w:styleId="BalloonText">
    <w:name w:val="Balloon Text"/>
    <w:basedOn w:val="Normal"/>
    <w:semiHidden/>
    <w:rsid w:val="00425375"/>
    <w:rPr>
      <w:rFonts w:ascii="Tahoma" w:hAnsi="Tahoma" w:cs="Tahoma"/>
      <w:sz w:val="16"/>
      <w:szCs w:val="16"/>
    </w:rPr>
  </w:style>
  <w:style w:type="paragraph" w:styleId="CommentSubject">
    <w:name w:val="annotation subject"/>
    <w:basedOn w:val="CommentText"/>
    <w:next w:val="CommentText"/>
    <w:semiHidden/>
    <w:rsid w:val="00FF485A"/>
    <w:pPr>
      <w:tabs>
        <w:tab w:val="clear" w:pos="187"/>
      </w:tabs>
      <w:spacing w:after="0" w:line="240" w:lineRule="auto"/>
      <w:ind w:left="0" w:firstLine="0"/>
    </w:pPr>
    <w:rPr>
      <w:b/>
      <w:bCs/>
      <w:color w:val="auto"/>
    </w:rPr>
  </w:style>
  <w:style w:type="paragraph" w:styleId="Header">
    <w:name w:val="header"/>
    <w:basedOn w:val="Normal"/>
    <w:link w:val="HeaderChar"/>
    <w:uiPriority w:val="99"/>
    <w:rsid w:val="00E3299D"/>
    <w:pPr>
      <w:tabs>
        <w:tab w:val="center" w:pos="4320"/>
        <w:tab w:val="right" w:pos="8640"/>
      </w:tabs>
    </w:pPr>
  </w:style>
  <w:style w:type="paragraph" w:styleId="Footer">
    <w:name w:val="footer"/>
    <w:basedOn w:val="Normal"/>
    <w:link w:val="FooterChar"/>
    <w:uiPriority w:val="99"/>
    <w:rsid w:val="00E3299D"/>
    <w:pPr>
      <w:tabs>
        <w:tab w:val="center" w:pos="4320"/>
        <w:tab w:val="right" w:pos="8640"/>
      </w:tabs>
    </w:pPr>
  </w:style>
  <w:style w:type="paragraph" w:customStyle="1" w:styleId="Default">
    <w:name w:val="Default"/>
    <w:rsid w:val="00B34914"/>
    <w:pPr>
      <w:autoSpaceDE w:val="0"/>
      <w:autoSpaceDN w:val="0"/>
      <w:adjustRightInd w:val="0"/>
    </w:pPr>
    <w:rPr>
      <w:color w:val="000000"/>
      <w:sz w:val="24"/>
      <w:szCs w:val="24"/>
    </w:rPr>
  </w:style>
  <w:style w:type="paragraph" w:styleId="BlockText">
    <w:name w:val="Block Text"/>
    <w:basedOn w:val="Normal"/>
    <w:rsid w:val="00B34914"/>
    <w:rPr>
      <w:szCs w:val="20"/>
    </w:rPr>
  </w:style>
  <w:style w:type="paragraph" w:styleId="FootnoteText">
    <w:name w:val="footnote text"/>
    <w:basedOn w:val="Normal"/>
    <w:link w:val="FootnoteTextChar"/>
    <w:semiHidden/>
    <w:rsid w:val="00B34914"/>
    <w:rPr>
      <w:rFonts w:ascii="Arial" w:hAnsi="Arial"/>
      <w:sz w:val="20"/>
      <w:szCs w:val="20"/>
    </w:rPr>
  </w:style>
  <w:style w:type="character" w:customStyle="1" w:styleId="FootnoteTextChar">
    <w:name w:val="Footnote Text Char"/>
    <w:basedOn w:val="DefaultParagraphFont"/>
    <w:link w:val="FootnoteText"/>
    <w:semiHidden/>
    <w:rsid w:val="00B34914"/>
    <w:rPr>
      <w:rFonts w:ascii="Arial" w:hAnsi="Arial"/>
    </w:rPr>
  </w:style>
  <w:style w:type="character" w:styleId="FootnoteReference">
    <w:name w:val="footnote reference"/>
    <w:basedOn w:val="DefaultParagraphFont"/>
    <w:semiHidden/>
    <w:rsid w:val="00B34914"/>
    <w:rPr>
      <w:vertAlign w:val="superscript"/>
    </w:rPr>
  </w:style>
  <w:style w:type="paragraph" w:styleId="ListParagraph">
    <w:name w:val="List Paragraph"/>
    <w:basedOn w:val="Normal"/>
    <w:uiPriority w:val="34"/>
    <w:qFormat/>
    <w:rsid w:val="00273375"/>
    <w:pPr>
      <w:ind w:left="720"/>
      <w:contextualSpacing/>
    </w:pPr>
  </w:style>
  <w:style w:type="table" w:styleId="TableGrid">
    <w:name w:val="Table Grid"/>
    <w:basedOn w:val="TableNormal"/>
    <w:uiPriority w:val="59"/>
    <w:rsid w:val="00A24CC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57">
    <w:name w:val="CM57"/>
    <w:basedOn w:val="Default"/>
    <w:next w:val="Default"/>
    <w:uiPriority w:val="99"/>
    <w:rsid w:val="008316F8"/>
    <w:rPr>
      <w:rFonts w:ascii="HANKL C+ Melior" w:hAnsi="HANKL C+ Melior"/>
      <w:color w:val="auto"/>
    </w:rPr>
  </w:style>
  <w:style w:type="paragraph" w:styleId="HTMLPreformatted">
    <w:name w:val="HTML Preformatted"/>
    <w:basedOn w:val="Normal"/>
    <w:link w:val="HTMLPreformattedChar"/>
    <w:uiPriority w:val="99"/>
    <w:unhideWhenUsed/>
    <w:rsid w:val="0047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340A"/>
    <w:rPr>
      <w:rFonts w:ascii="Courier New" w:hAnsi="Courier New" w:cs="Courier New"/>
    </w:rPr>
  </w:style>
  <w:style w:type="character" w:customStyle="1" w:styleId="Heading5Char">
    <w:name w:val="Heading 5 Char"/>
    <w:basedOn w:val="DefaultParagraphFont"/>
    <w:link w:val="Heading5"/>
    <w:uiPriority w:val="9"/>
    <w:rsid w:val="00EA721C"/>
    <w:rPr>
      <w:b/>
      <w:bCs/>
    </w:rPr>
  </w:style>
  <w:style w:type="paragraph" w:styleId="PlainText">
    <w:name w:val="Plain Text"/>
    <w:basedOn w:val="Normal"/>
    <w:link w:val="PlainTextChar"/>
    <w:uiPriority w:val="99"/>
    <w:unhideWhenUsed/>
    <w:rsid w:val="00990D3F"/>
    <w:rPr>
      <w:rFonts w:ascii="Consolas" w:eastAsia="Calibri" w:hAnsi="Consolas"/>
      <w:sz w:val="21"/>
      <w:szCs w:val="21"/>
    </w:rPr>
  </w:style>
  <w:style w:type="character" w:customStyle="1" w:styleId="PlainTextChar">
    <w:name w:val="Plain Text Char"/>
    <w:basedOn w:val="DefaultParagraphFont"/>
    <w:link w:val="PlainText"/>
    <w:uiPriority w:val="99"/>
    <w:rsid w:val="00990D3F"/>
    <w:rPr>
      <w:rFonts w:ascii="Consolas" w:eastAsia="Calibri" w:hAnsi="Consolas" w:cs="Times New Roman"/>
      <w:sz w:val="21"/>
      <w:szCs w:val="21"/>
    </w:rPr>
  </w:style>
  <w:style w:type="character" w:styleId="Emphasis">
    <w:name w:val="Emphasis"/>
    <w:basedOn w:val="DefaultParagraphFont"/>
    <w:uiPriority w:val="20"/>
    <w:qFormat/>
    <w:rsid w:val="009B42BB"/>
    <w:rPr>
      <w:i/>
      <w:iCs/>
    </w:rPr>
  </w:style>
  <w:style w:type="paragraph" w:customStyle="1" w:styleId="CM53">
    <w:name w:val="CM53"/>
    <w:basedOn w:val="Default"/>
    <w:next w:val="Default"/>
    <w:rsid w:val="00F41758"/>
    <w:pPr>
      <w:spacing w:line="371" w:lineRule="atLeast"/>
    </w:pPr>
    <w:rPr>
      <w:rFonts w:ascii="Letter Gothic" w:hAnsi="Letter Gothic"/>
      <w:color w:val="auto"/>
    </w:rPr>
  </w:style>
  <w:style w:type="character" w:customStyle="1" w:styleId="FooterChar">
    <w:name w:val="Footer Char"/>
    <w:basedOn w:val="DefaultParagraphFont"/>
    <w:link w:val="Footer"/>
    <w:uiPriority w:val="99"/>
    <w:rsid w:val="00E15D69"/>
    <w:rPr>
      <w:sz w:val="24"/>
      <w:szCs w:val="24"/>
    </w:rPr>
  </w:style>
  <w:style w:type="character" w:customStyle="1" w:styleId="HeaderChar">
    <w:name w:val="Header Char"/>
    <w:basedOn w:val="DefaultParagraphFont"/>
    <w:link w:val="Header"/>
    <w:uiPriority w:val="99"/>
    <w:rsid w:val="00117757"/>
    <w:rPr>
      <w:sz w:val="24"/>
      <w:szCs w:val="24"/>
    </w:rPr>
  </w:style>
  <w:style w:type="character" w:styleId="PageNumber">
    <w:name w:val="page number"/>
    <w:basedOn w:val="DefaultParagraphFont"/>
    <w:rsid w:val="00117757"/>
  </w:style>
  <w:style w:type="paragraph" w:styleId="Revision">
    <w:name w:val="Revision"/>
    <w:hidden/>
    <w:uiPriority w:val="99"/>
    <w:semiHidden/>
    <w:rsid w:val="00C42DF4"/>
    <w:rPr>
      <w:sz w:val="24"/>
      <w:szCs w:val="24"/>
    </w:rPr>
  </w:style>
</w:styles>
</file>

<file path=word/webSettings.xml><?xml version="1.0" encoding="utf-8"?>
<w:webSettings xmlns:r="http://schemas.openxmlformats.org/officeDocument/2006/relationships" xmlns:w="http://schemas.openxmlformats.org/wordprocessingml/2006/main">
  <w:divs>
    <w:div w:id="3944701">
      <w:bodyDiv w:val="1"/>
      <w:marLeft w:val="0"/>
      <w:marRight w:val="0"/>
      <w:marTop w:val="0"/>
      <w:marBottom w:val="0"/>
      <w:divBdr>
        <w:top w:val="none" w:sz="0" w:space="0" w:color="auto"/>
        <w:left w:val="none" w:sz="0" w:space="0" w:color="auto"/>
        <w:bottom w:val="none" w:sz="0" w:space="0" w:color="auto"/>
        <w:right w:val="none" w:sz="0" w:space="0" w:color="auto"/>
      </w:divBdr>
    </w:div>
    <w:div w:id="14503650">
      <w:bodyDiv w:val="1"/>
      <w:marLeft w:val="0"/>
      <w:marRight w:val="0"/>
      <w:marTop w:val="0"/>
      <w:marBottom w:val="0"/>
      <w:divBdr>
        <w:top w:val="none" w:sz="0" w:space="0" w:color="auto"/>
        <w:left w:val="none" w:sz="0" w:space="0" w:color="auto"/>
        <w:bottom w:val="none" w:sz="0" w:space="0" w:color="auto"/>
        <w:right w:val="none" w:sz="0" w:space="0" w:color="auto"/>
      </w:divBdr>
    </w:div>
    <w:div w:id="72703860">
      <w:bodyDiv w:val="1"/>
      <w:marLeft w:val="0"/>
      <w:marRight w:val="0"/>
      <w:marTop w:val="0"/>
      <w:marBottom w:val="0"/>
      <w:divBdr>
        <w:top w:val="none" w:sz="0" w:space="0" w:color="auto"/>
        <w:left w:val="none" w:sz="0" w:space="0" w:color="auto"/>
        <w:bottom w:val="none" w:sz="0" w:space="0" w:color="auto"/>
        <w:right w:val="none" w:sz="0" w:space="0" w:color="auto"/>
      </w:divBdr>
    </w:div>
    <w:div w:id="83386163">
      <w:bodyDiv w:val="1"/>
      <w:marLeft w:val="0"/>
      <w:marRight w:val="5"/>
      <w:marTop w:val="0"/>
      <w:marBottom w:val="600"/>
      <w:divBdr>
        <w:top w:val="none" w:sz="0" w:space="0" w:color="auto"/>
        <w:left w:val="none" w:sz="0" w:space="0" w:color="auto"/>
        <w:bottom w:val="none" w:sz="0" w:space="0" w:color="auto"/>
        <w:right w:val="none" w:sz="0" w:space="0" w:color="auto"/>
      </w:divBdr>
      <w:divsChild>
        <w:div w:id="2140032195">
          <w:marLeft w:val="2265"/>
          <w:marRight w:val="0"/>
          <w:marTop w:val="450"/>
          <w:marBottom w:val="300"/>
          <w:divBdr>
            <w:top w:val="none" w:sz="0" w:space="0" w:color="auto"/>
            <w:left w:val="none" w:sz="0" w:space="0" w:color="auto"/>
            <w:bottom w:val="none" w:sz="0" w:space="0" w:color="auto"/>
            <w:right w:val="none" w:sz="0" w:space="0" w:color="auto"/>
          </w:divBdr>
        </w:div>
      </w:divsChild>
    </w:div>
    <w:div w:id="153452051">
      <w:bodyDiv w:val="1"/>
      <w:marLeft w:val="0"/>
      <w:marRight w:val="0"/>
      <w:marTop w:val="0"/>
      <w:marBottom w:val="0"/>
      <w:divBdr>
        <w:top w:val="none" w:sz="0" w:space="0" w:color="auto"/>
        <w:left w:val="none" w:sz="0" w:space="0" w:color="auto"/>
        <w:bottom w:val="none" w:sz="0" w:space="0" w:color="auto"/>
        <w:right w:val="none" w:sz="0" w:space="0" w:color="auto"/>
      </w:divBdr>
    </w:div>
    <w:div w:id="182062955">
      <w:bodyDiv w:val="1"/>
      <w:marLeft w:val="0"/>
      <w:marRight w:val="0"/>
      <w:marTop w:val="0"/>
      <w:marBottom w:val="0"/>
      <w:divBdr>
        <w:top w:val="none" w:sz="0" w:space="0" w:color="auto"/>
        <w:left w:val="none" w:sz="0" w:space="0" w:color="auto"/>
        <w:bottom w:val="none" w:sz="0" w:space="0" w:color="auto"/>
        <w:right w:val="none" w:sz="0" w:space="0" w:color="auto"/>
      </w:divBdr>
    </w:div>
    <w:div w:id="214002973">
      <w:bodyDiv w:val="1"/>
      <w:marLeft w:val="0"/>
      <w:marRight w:val="0"/>
      <w:marTop w:val="0"/>
      <w:marBottom w:val="0"/>
      <w:divBdr>
        <w:top w:val="none" w:sz="0" w:space="0" w:color="auto"/>
        <w:left w:val="none" w:sz="0" w:space="0" w:color="auto"/>
        <w:bottom w:val="none" w:sz="0" w:space="0" w:color="auto"/>
        <w:right w:val="none" w:sz="0" w:space="0" w:color="auto"/>
      </w:divBdr>
    </w:div>
    <w:div w:id="286855857">
      <w:bodyDiv w:val="1"/>
      <w:marLeft w:val="0"/>
      <w:marRight w:val="0"/>
      <w:marTop w:val="0"/>
      <w:marBottom w:val="0"/>
      <w:divBdr>
        <w:top w:val="none" w:sz="0" w:space="0" w:color="auto"/>
        <w:left w:val="none" w:sz="0" w:space="0" w:color="auto"/>
        <w:bottom w:val="none" w:sz="0" w:space="0" w:color="auto"/>
        <w:right w:val="none" w:sz="0" w:space="0" w:color="auto"/>
      </w:divBdr>
    </w:div>
    <w:div w:id="296223157">
      <w:bodyDiv w:val="1"/>
      <w:marLeft w:val="0"/>
      <w:marRight w:val="0"/>
      <w:marTop w:val="0"/>
      <w:marBottom w:val="0"/>
      <w:divBdr>
        <w:top w:val="none" w:sz="0" w:space="0" w:color="auto"/>
        <w:left w:val="none" w:sz="0" w:space="0" w:color="auto"/>
        <w:bottom w:val="none" w:sz="0" w:space="0" w:color="auto"/>
        <w:right w:val="none" w:sz="0" w:space="0" w:color="auto"/>
      </w:divBdr>
    </w:div>
    <w:div w:id="322859415">
      <w:bodyDiv w:val="1"/>
      <w:marLeft w:val="0"/>
      <w:marRight w:val="0"/>
      <w:marTop w:val="0"/>
      <w:marBottom w:val="0"/>
      <w:divBdr>
        <w:top w:val="none" w:sz="0" w:space="0" w:color="auto"/>
        <w:left w:val="none" w:sz="0" w:space="0" w:color="auto"/>
        <w:bottom w:val="none" w:sz="0" w:space="0" w:color="auto"/>
        <w:right w:val="none" w:sz="0" w:space="0" w:color="auto"/>
      </w:divBdr>
    </w:div>
    <w:div w:id="365909127">
      <w:bodyDiv w:val="1"/>
      <w:marLeft w:val="0"/>
      <w:marRight w:val="0"/>
      <w:marTop w:val="0"/>
      <w:marBottom w:val="0"/>
      <w:divBdr>
        <w:top w:val="none" w:sz="0" w:space="0" w:color="auto"/>
        <w:left w:val="none" w:sz="0" w:space="0" w:color="auto"/>
        <w:bottom w:val="none" w:sz="0" w:space="0" w:color="auto"/>
        <w:right w:val="none" w:sz="0" w:space="0" w:color="auto"/>
      </w:divBdr>
    </w:div>
    <w:div w:id="410659324">
      <w:bodyDiv w:val="1"/>
      <w:marLeft w:val="0"/>
      <w:marRight w:val="0"/>
      <w:marTop w:val="0"/>
      <w:marBottom w:val="0"/>
      <w:divBdr>
        <w:top w:val="none" w:sz="0" w:space="0" w:color="auto"/>
        <w:left w:val="none" w:sz="0" w:space="0" w:color="auto"/>
        <w:bottom w:val="none" w:sz="0" w:space="0" w:color="auto"/>
        <w:right w:val="none" w:sz="0" w:space="0" w:color="auto"/>
      </w:divBdr>
    </w:div>
    <w:div w:id="455566027">
      <w:bodyDiv w:val="1"/>
      <w:marLeft w:val="0"/>
      <w:marRight w:val="0"/>
      <w:marTop w:val="0"/>
      <w:marBottom w:val="0"/>
      <w:divBdr>
        <w:top w:val="none" w:sz="0" w:space="0" w:color="auto"/>
        <w:left w:val="none" w:sz="0" w:space="0" w:color="auto"/>
        <w:bottom w:val="none" w:sz="0" w:space="0" w:color="auto"/>
        <w:right w:val="none" w:sz="0" w:space="0" w:color="auto"/>
      </w:divBdr>
    </w:div>
    <w:div w:id="513082255">
      <w:bodyDiv w:val="1"/>
      <w:marLeft w:val="0"/>
      <w:marRight w:val="0"/>
      <w:marTop w:val="0"/>
      <w:marBottom w:val="0"/>
      <w:divBdr>
        <w:top w:val="none" w:sz="0" w:space="0" w:color="auto"/>
        <w:left w:val="none" w:sz="0" w:space="0" w:color="auto"/>
        <w:bottom w:val="none" w:sz="0" w:space="0" w:color="auto"/>
        <w:right w:val="none" w:sz="0" w:space="0" w:color="auto"/>
      </w:divBdr>
      <w:divsChild>
        <w:div w:id="1989939866">
          <w:marLeft w:val="0"/>
          <w:marRight w:val="0"/>
          <w:marTop w:val="0"/>
          <w:marBottom w:val="0"/>
          <w:divBdr>
            <w:top w:val="none" w:sz="0" w:space="0" w:color="auto"/>
            <w:left w:val="none" w:sz="0" w:space="0" w:color="auto"/>
            <w:bottom w:val="none" w:sz="0" w:space="0" w:color="auto"/>
            <w:right w:val="none" w:sz="0" w:space="0" w:color="auto"/>
          </w:divBdr>
          <w:divsChild>
            <w:div w:id="1799296108">
              <w:marLeft w:val="0"/>
              <w:marRight w:val="0"/>
              <w:marTop w:val="0"/>
              <w:marBottom w:val="0"/>
              <w:divBdr>
                <w:top w:val="none" w:sz="0" w:space="0" w:color="auto"/>
                <w:left w:val="none" w:sz="0" w:space="0" w:color="auto"/>
                <w:bottom w:val="none" w:sz="0" w:space="0" w:color="auto"/>
                <w:right w:val="none" w:sz="0" w:space="0" w:color="auto"/>
              </w:divBdr>
              <w:divsChild>
                <w:div w:id="1002124428">
                  <w:marLeft w:val="0"/>
                  <w:marRight w:val="0"/>
                  <w:marTop w:val="0"/>
                  <w:marBottom w:val="0"/>
                  <w:divBdr>
                    <w:top w:val="none" w:sz="0" w:space="0" w:color="auto"/>
                    <w:left w:val="none" w:sz="0" w:space="0" w:color="auto"/>
                    <w:bottom w:val="none" w:sz="0" w:space="0" w:color="auto"/>
                    <w:right w:val="none" w:sz="0" w:space="0" w:color="auto"/>
                  </w:divBdr>
                  <w:divsChild>
                    <w:div w:id="9758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2315">
      <w:bodyDiv w:val="1"/>
      <w:marLeft w:val="0"/>
      <w:marRight w:val="0"/>
      <w:marTop w:val="0"/>
      <w:marBottom w:val="0"/>
      <w:divBdr>
        <w:top w:val="none" w:sz="0" w:space="0" w:color="auto"/>
        <w:left w:val="none" w:sz="0" w:space="0" w:color="auto"/>
        <w:bottom w:val="none" w:sz="0" w:space="0" w:color="auto"/>
        <w:right w:val="none" w:sz="0" w:space="0" w:color="auto"/>
      </w:divBdr>
    </w:div>
    <w:div w:id="676033004">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705300962">
      <w:bodyDiv w:val="1"/>
      <w:marLeft w:val="0"/>
      <w:marRight w:val="0"/>
      <w:marTop w:val="0"/>
      <w:marBottom w:val="0"/>
      <w:divBdr>
        <w:top w:val="none" w:sz="0" w:space="0" w:color="auto"/>
        <w:left w:val="none" w:sz="0" w:space="0" w:color="auto"/>
        <w:bottom w:val="none" w:sz="0" w:space="0" w:color="auto"/>
        <w:right w:val="none" w:sz="0" w:space="0" w:color="auto"/>
      </w:divBdr>
    </w:div>
    <w:div w:id="727849746">
      <w:bodyDiv w:val="1"/>
      <w:marLeft w:val="0"/>
      <w:marRight w:val="0"/>
      <w:marTop w:val="0"/>
      <w:marBottom w:val="0"/>
      <w:divBdr>
        <w:top w:val="none" w:sz="0" w:space="0" w:color="auto"/>
        <w:left w:val="none" w:sz="0" w:space="0" w:color="auto"/>
        <w:bottom w:val="none" w:sz="0" w:space="0" w:color="auto"/>
        <w:right w:val="none" w:sz="0" w:space="0" w:color="auto"/>
      </w:divBdr>
    </w:div>
    <w:div w:id="813331942">
      <w:bodyDiv w:val="1"/>
      <w:marLeft w:val="0"/>
      <w:marRight w:val="0"/>
      <w:marTop w:val="0"/>
      <w:marBottom w:val="0"/>
      <w:divBdr>
        <w:top w:val="none" w:sz="0" w:space="0" w:color="auto"/>
        <w:left w:val="none" w:sz="0" w:space="0" w:color="auto"/>
        <w:bottom w:val="none" w:sz="0" w:space="0" w:color="auto"/>
        <w:right w:val="none" w:sz="0" w:space="0" w:color="auto"/>
      </w:divBdr>
    </w:div>
    <w:div w:id="1031229663">
      <w:bodyDiv w:val="1"/>
      <w:marLeft w:val="0"/>
      <w:marRight w:val="0"/>
      <w:marTop w:val="0"/>
      <w:marBottom w:val="0"/>
      <w:divBdr>
        <w:top w:val="none" w:sz="0" w:space="0" w:color="auto"/>
        <w:left w:val="none" w:sz="0" w:space="0" w:color="auto"/>
        <w:bottom w:val="none" w:sz="0" w:space="0" w:color="auto"/>
        <w:right w:val="none" w:sz="0" w:space="0" w:color="auto"/>
      </w:divBdr>
    </w:div>
    <w:div w:id="1055854414">
      <w:bodyDiv w:val="1"/>
      <w:marLeft w:val="0"/>
      <w:marRight w:val="0"/>
      <w:marTop w:val="0"/>
      <w:marBottom w:val="0"/>
      <w:divBdr>
        <w:top w:val="none" w:sz="0" w:space="0" w:color="auto"/>
        <w:left w:val="none" w:sz="0" w:space="0" w:color="auto"/>
        <w:bottom w:val="none" w:sz="0" w:space="0" w:color="auto"/>
        <w:right w:val="none" w:sz="0" w:space="0" w:color="auto"/>
      </w:divBdr>
    </w:div>
    <w:div w:id="1058289183">
      <w:bodyDiv w:val="1"/>
      <w:marLeft w:val="0"/>
      <w:marRight w:val="0"/>
      <w:marTop w:val="0"/>
      <w:marBottom w:val="0"/>
      <w:divBdr>
        <w:top w:val="none" w:sz="0" w:space="0" w:color="auto"/>
        <w:left w:val="none" w:sz="0" w:space="0" w:color="auto"/>
        <w:bottom w:val="none" w:sz="0" w:space="0" w:color="auto"/>
        <w:right w:val="none" w:sz="0" w:space="0" w:color="auto"/>
      </w:divBdr>
    </w:div>
    <w:div w:id="1152916625">
      <w:bodyDiv w:val="1"/>
      <w:marLeft w:val="0"/>
      <w:marRight w:val="0"/>
      <w:marTop w:val="0"/>
      <w:marBottom w:val="0"/>
      <w:divBdr>
        <w:top w:val="none" w:sz="0" w:space="0" w:color="auto"/>
        <w:left w:val="none" w:sz="0" w:space="0" w:color="auto"/>
        <w:bottom w:val="none" w:sz="0" w:space="0" w:color="auto"/>
        <w:right w:val="none" w:sz="0" w:space="0" w:color="auto"/>
      </w:divBdr>
    </w:div>
    <w:div w:id="1195458833">
      <w:bodyDiv w:val="1"/>
      <w:marLeft w:val="0"/>
      <w:marRight w:val="0"/>
      <w:marTop w:val="0"/>
      <w:marBottom w:val="0"/>
      <w:divBdr>
        <w:top w:val="none" w:sz="0" w:space="0" w:color="auto"/>
        <w:left w:val="none" w:sz="0" w:space="0" w:color="auto"/>
        <w:bottom w:val="none" w:sz="0" w:space="0" w:color="auto"/>
        <w:right w:val="none" w:sz="0" w:space="0" w:color="auto"/>
      </w:divBdr>
    </w:div>
    <w:div w:id="1224371726">
      <w:bodyDiv w:val="1"/>
      <w:marLeft w:val="0"/>
      <w:marRight w:val="0"/>
      <w:marTop w:val="0"/>
      <w:marBottom w:val="0"/>
      <w:divBdr>
        <w:top w:val="none" w:sz="0" w:space="0" w:color="auto"/>
        <w:left w:val="none" w:sz="0" w:space="0" w:color="auto"/>
        <w:bottom w:val="none" w:sz="0" w:space="0" w:color="auto"/>
        <w:right w:val="none" w:sz="0" w:space="0" w:color="auto"/>
      </w:divBdr>
    </w:div>
    <w:div w:id="1390375853">
      <w:bodyDiv w:val="1"/>
      <w:marLeft w:val="0"/>
      <w:marRight w:val="0"/>
      <w:marTop w:val="0"/>
      <w:marBottom w:val="0"/>
      <w:divBdr>
        <w:top w:val="none" w:sz="0" w:space="0" w:color="auto"/>
        <w:left w:val="none" w:sz="0" w:space="0" w:color="auto"/>
        <w:bottom w:val="none" w:sz="0" w:space="0" w:color="auto"/>
        <w:right w:val="none" w:sz="0" w:space="0" w:color="auto"/>
      </w:divBdr>
    </w:div>
    <w:div w:id="1406996900">
      <w:bodyDiv w:val="1"/>
      <w:marLeft w:val="0"/>
      <w:marRight w:val="0"/>
      <w:marTop w:val="0"/>
      <w:marBottom w:val="0"/>
      <w:divBdr>
        <w:top w:val="none" w:sz="0" w:space="0" w:color="auto"/>
        <w:left w:val="none" w:sz="0" w:space="0" w:color="auto"/>
        <w:bottom w:val="none" w:sz="0" w:space="0" w:color="auto"/>
        <w:right w:val="none" w:sz="0" w:space="0" w:color="auto"/>
      </w:divBdr>
    </w:div>
    <w:div w:id="1434007675">
      <w:bodyDiv w:val="1"/>
      <w:marLeft w:val="0"/>
      <w:marRight w:val="0"/>
      <w:marTop w:val="0"/>
      <w:marBottom w:val="0"/>
      <w:divBdr>
        <w:top w:val="none" w:sz="0" w:space="0" w:color="auto"/>
        <w:left w:val="none" w:sz="0" w:space="0" w:color="auto"/>
        <w:bottom w:val="none" w:sz="0" w:space="0" w:color="auto"/>
        <w:right w:val="none" w:sz="0" w:space="0" w:color="auto"/>
      </w:divBdr>
    </w:div>
    <w:div w:id="1477067236">
      <w:bodyDiv w:val="1"/>
      <w:marLeft w:val="0"/>
      <w:marRight w:val="0"/>
      <w:marTop w:val="0"/>
      <w:marBottom w:val="0"/>
      <w:divBdr>
        <w:top w:val="none" w:sz="0" w:space="0" w:color="auto"/>
        <w:left w:val="none" w:sz="0" w:space="0" w:color="auto"/>
        <w:bottom w:val="none" w:sz="0" w:space="0" w:color="auto"/>
        <w:right w:val="none" w:sz="0" w:space="0" w:color="auto"/>
      </w:divBdr>
    </w:div>
    <w:div w:id="1478112847">
      <w:bodyDiv w:val="1"/>
      <w:marLeft w:val="0"/>
      <w:marRight w:val="0"/>
      <w:marTop w:val="0"/>
      <w:marBottom w:val="0"/>
      <w:divBdr>
        <w:top w:val="none" w:sz="0" w:space="0" w:color="auto"/>
        <w:left w:val="none" w:sz="0" w:space="0" w:color="auto"/>
        <w:bottom w:val="none" w:sz="0" w:space="0" w:color="auto"/>
        <w:right w:val="none" w:sz="0" w:space="0" w:color="auto"/>
      </w:divBdr>
    </w:div>
    <w:div w:id="1502968328">
      <w:bodyDiv w:val="1"/>
      <w:marLeft w:val="0"/>
      <w:marRight w:val="0"/>
      <w:marTop w:val="0"/>
      <w:marBottom w:val="0"/>
      <w:divBdr>
        <w:top w:val="none" w:sz="0" w:space="0" w:color="auto"/>
        <w:left w:val="none" w:sz="0" w:space="0" w:color="auto"/>
        <w:bottom w:val="none" w:sz="0" w:space="0" w:color="auto"/>
        <w:right w:val="none" w:sz="0" w:space="0" w:color="auto"/>
      </w:divBdr>
    </w:div>
    <w:div w:id="1545368171">
      <w:bodyDiv w:val="1"/>
      <w:marLeft w:val="0"/>
      <w:marRight w:val="0"/>
      <w:marTop w:val="0"/>
      <w:marBottom w:val="0"/>
      <w:divBdr>
        <w:top w:val="none" w:sz="0" w:space="0" w:color="auto"/>
        <w:left w:val="none" w:sz="0" w:space="0" w:color="auto"/>
        <w:bottom w:val="none" w:sz="0" w:space="0" w:color="auto"/>
        <w:right w:val="none" w:sz="0" w:space="0" w:color="auto"/>
      </w:divBdr>
    </w:div>
    <w:div w:id="1570770070">
      <w:bodyDiv w:val="1"/>
      <w:marLeft w:val="0"/>
      <w:marRight w:val="0"/>
      <w:marTop w:val="0"/>
      <w:marBottom w:val="0"/>
      <w:divBdr>
        <w:top w:val="none" w:sz="0" w:space="0" w:color="auto"/>
        <w:left w:val="none" w:sz="0" w:space="0" w:color="auto"/>
        <w:bottom w:val="none" w:sz="0" w:space="0" w:color="auto"/>
        <w:right w:val="none" w:sz="0" w:space="0" w:color="auto"/>
      </w:divBdr>
    </w:div>
    <w:div w:id="1602952294">
      <w:bodyDiv w:val="1"/>
      <w:marLeft w:val="0"/>
      <w:marRight w:val="0"/>
      <w:marTop w:val="0"/>
      <w:marBottom w:val="0"/>
      <w:divBdr>
        <w:top w:val="none" w:sz="0" w:space="0" w:color="auto"/>
        <w:left w:val="none" w:sz="0" w:space="0" w:color="auto"/>
        <w:bottom w:val="none" w:sz="0" w:space="0" w:color="auto"/>
        <w:right w:val="none" w:sz="0" w:space="0" w:color="auto"/>
      </w:divBdr>
    </w:div>
    <w:div w:id="1625967389">
      <w:bodyDiv w:val="1"/>
      <w:marLeft w:val="0"/>
      <w:marRight w:val="0"/>
      <w:marTop w:val="0"/>
      <w:marBottom w:val="0"/>
      <w:divBdr>
        <w:top w:val="none" w:sz="0" w:space="0" w:color="auto"/>
        <w:left w:val="none" w:sz="0" w:space="0" w:color="auto"/>
        <w:bottom w:val="none" w:sz="0" w:space="0" w:color="auto"/>
        <w:right w:val="none" w:sz="0" w:space="0" w:color="auto"/>
      </w:divBdr>
    </w:div>
    <w:div w:id="1667706251">
      <w:bodyDiv w:val="1"/>
      <w:marLeft w:val="0"/>
      <w:marRight w:val="0"/>
      <w:marTop w:val="0"/>
      <w:marBottom w:val="0"/>
      <w:divBdr>
        <w:top w:val="none" w:sz="0" w:space="0" w:color="auto"/>
        <w:left w:val="none" w:sz="0" w:space="0" w:color="auto"/>
        <w:bottom w:val="none" w:sz="0" w:space="0" w:color="auto"/>
        <w:right w:val="none" w:sz="0" w:space="0" w:color="auto"/>
      </w:divBdr>
    </w:div>
    <w:div w:id="1669290819">
      <w:bodyDiv w:val="1"/>
      <w:marLeft w:val="0"/>
      <w:marRight w:val="0"/>
      <w:marTop w:val="0"/>
      <w:marBottom w:val="0"/>
      <w:divBdr>
        <w:top w:val="none" w:sz="0" w:space="0" w:color="auto"/>
        <w:left w:val="none" w:sz="0" w:space="0" w:color="auto"/>
        <w:bottom w:val="none" w:sz="0" w:space="0" w:color="auto"/>
        <w:right w:val="none" w:sz="0" w:space="0" w:color="auto"/>
      </w:divBdr>
    </w:div>
    <w:div w:id="1747611372">
      <w:bodyDiv w:val="1"/>
      <w:marLeft w:val="0"/>
      <w:marRight w:val="0"/>
      <w:marTop w:val="0"/>
      <w:marBottom w:val="0"/>
      <w:divBdr>
        <w:top w:val="none" w:sz="0" w:space="0" w:color="auto"/>
        <w:left w:val="none" w:sz="0" w:space="0" w:color="auto"/>
        <w:bottom w:val="none" w:sz="0" w:space="0" w:color="auto"/>
        <w:right w:val="none" w:sz="0" w:space="0" w:color="auto"/>
      </w:divBdr>
    </w:div>
    <w:div w:id="1877042181">
      <w:bodyDiv w:val="1"/>
      <w:marLeft w:val="0"/>
      <w:marRight w:val="0"/>
      <w:marTop w:val="0"/>
      <w:marBottom w:val="0"/>
      <w:divBdr>
        <w:top w:val="none" w:sz="0" w:space="0" w:color="auto"/>
        <w:left w:val="none" w:sz="0" w:space="0" w:color="auto"/>
        <w:bottom w:val="none" w:sz="0" w:space="0" w:color="auto"/>
        <w:right w:val="none" w:sz="0" w:space="0" w:color="auto"/>
      </w:divBdr>
    </w:div>
    <w:div w:id="1887059204">
      <w:bodyDiv w:val="1"/>
      <w:marLeft w:val="0"/>
      <w:marRight w:val="0"/>
      <w:marTop w:val="0"/>
      <w:marBottom w:val="0"/>
      <w:divBdr>
        <w:top w:val="none" w:sz="0" w:space="0" w:color="auto"/>
        <w:left w:val="none" w:sz="0" w:space="0" w:color="auto"/>
        <w:bottom w:val="none" w:sz="0" w:space="0" w:color="auto"/>
        <w:right w:val="none" w:sz="0" w:space="0" w:color="auto"/>
      </w:divBdr>
    </w:div>
    <w:div w:id="1895845846">
      <w:bodyDiv w:val="1"/>
      <w:marLeft w:val="0"/>
      <w:marRight w:val="0"/>
      <w:marTop w:val="0"/>
      <w:marBottom w:val="0"/>
      <w:divBdr>
        <w:top w:val="none" w:sz="0" w:space="0" w:color="auto"/>
        <w:left w:val="none" w:sz="0" w:space="0" w:color="auto"/>
        <w:bottom w:val="none" w:sz="0" w:space="0" w:color="auto"/>
        <w:right w:val="none" w:sz="0" w:space="0" w:color="auto"/>
      </w:divBdr>
    </w:div>
    <w:div w:id="1935478044">
      <w:bodyDiv w:val="1"/>
      <w:marLeft w:val="0"/>
      <w:marRight w:val="0"/>
      <w:marTop w:val="0"/>
      <w:marBottom w:val="0"/>
      <w:divBdr>
        <w:top w:val="none" w:sz="0" w:space="0" w:color="auto"/>
        <w:left w:val="none" w:sz="0" w:space="0" w:color="auto"/>
        <w:bottom w:val="none" w:sz="0" w:space="0" w:color="auto"/>
        <w:right w:val="none" w:sz="0" w:space="0" w:color="auto"/>
      </w:divBdr>
    </w:div>
    <w:div w:id="1958104405">
      <w:bodyDiv w:val="1"/>
      <w:marLeft w:val="0"/>
      <w:marRight w:val="0"/>
      <w:marTop w:val="0"/>
      <w:marBottom w:val="0"/>
      <w:divBdr>
        <w:top w:val="none" w:sz="0" w:space="0" w:color="auto"/>
        <w:left w:val="none" w:sz="0" w:space="0" w:color="auto"/>
        <w:bottom w:val="none" w:sz="0" w:space="0" w:color="auto"/>
        <w:right w:val="none" w:sz="0" w:space="0" w:color="auto"/>
      </w:divBdr>
    </w:div>
    <w:div w:id="21036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02330-2229-47B6-8980-9F6B909A8CB5}">
  <ds:schemaRefs>
    <ds:schemaRef ds:uri="http://schemas.microsoft.com/sharepoint/v3/contenttype/forms"/>
  </ds:schemaRefs>
</ds:datastoreItem>
</file>

<file path=customXml/itemProps2.xml><?xml version="1.0" encoding="utf-8"?>
<ds:datastoreItem xmlns:ds="http://schemas.openxmlformats.org/officeDocument/2006/customXml" ds:itemID="{A89A4B31-C1C2-4B91-9A20-823F66997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FC8D3B-9000-46A3-A451-23A868DD997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098BF2FF-10C5-4D81-83C0-E002BC66165A}">
  <ds:schemaRefs>
    <ds:schemaRef ds:uri="http://schemas.openxmlformats.org/officeDocument/2006/bibliography"/>
  </ds:schemaRefs>
</ds:datastoreItem>
</file>

<file path=customXml/itemProps5.xml><?xml version="1.0" encoding="utf-8"?>
<ds:datastoreItem xmlns:ds="http://schemas.openxmlformats.org/officeDocument/2006/customXml" ds:itemID="{11F49FA5-3931-4BBB-A120-DDA40269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2269</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Relationship to Federal Requirements</vt:lpstr>
    </vt:vector>
  </TitlesOfParts>
  <Company>Oregon Department of Environmental Quality</Company>
  <LinksUpToDate>false</LinksUpToDate>
  <CharactersWithSpaces>14668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to Federal Requirements</dc:title>
  <dc:subject/>
  <dc:creator>ekozlow</dc:creator>
  <cp:keywords/>
  <dc:description/>
  <cp:lastModifiedBy>Stephanie Clark</cp:lastModifiedBy>
  <cp:revision>2</cp:revision>
  <cp:lastPrinted>2011-02-28T19:35:00Z</cp:lastPrinted>
  <dcterms:created xsi:type="dcterms:W3CDTF">2011-03-31T22:17:00Z</dcterms:created>
  <dcterms:modified xsi:type="dcterms:W3CDTF">2011-03-31T22:17:00Z</dcterms:modified>
</cp:coreProperties>
</file>