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B0" w:rsidRPr="005E6431" w:rsidRDefault="002227B0" w:rsidP="00E6146D">
      <w:pPr>
        <w:pStyle w:val="Heading4"/>
      </w:pPr>
      <w:r w:rsidRPr="005E6431">
        <w:t xml:space="preserve">State of </w:t>
      </w:r>
      <w:smartTag w:uri="urn:schemas-microsoft-com:office:smarttags" w:element="place">
        <w:smartTag w:uri="urn:schemas-microsoft-com:office:smarttags" w:element="State">
          <w:r w:rsidRPr="005E6431">
            <w:t>Oregon</w:t>
          </w:r>
        </w:smartTag>
      </w:smartTag>
    </w:p>
    <w:p w:rsidR="002227B0" w:rsidRPr="005E6431" w:rsidRDefault="002227B0" w:rsidP="00E6146D">
      <w:pPr>
        <w:tabs>
          <w:tab w:val="left" w:pos="1440"/>
          <w:tab w:val="right" w:pos="9360"/>
        </w:tabs>
        <w:rPr>
          <w:rFonts w:ascii="Times New Roman" w:hAnsi="Times New Roman" w:cs="Times New Roman"/>
          <w:sz w:val="36"/>
          <w:szCs w:val="36"/>
        </w:rPr>
      </w:pPr>
      <w:r w:rsidRPr="005E6431">
        <w:rPr>
          <w:rFonts w:ascii="Times New Roman" w:hAnsi="Times New Roman" w:cs="Times New Roman"/>
          <w:sz w:val="36"/>
          <w:szCs w:val="36"/>
        </w:rPr>
        <w:t>Department of Environmental Quality</w:t>
      </w:r>
      <w:r w:rsidRPr="005E6431">
        <w:rPr>
          <w:rFonts w:ascii="Times New Roman" w:hAnsi="Times New Roman" w:cs="Times New Roman"/>
          <w:sz w:val="36"/>
          <w:szCs w:val="36"/>
        </w:rPr>
        <w:tab/>
        <w:t>Memorandum</w:t>
      </w:r>
    </w:p>
    <w:p w:rsidR="002227B0" w:rsidRPr="005C2A45" w:rsidRDefault="00400852" w:rsidP="00E6146D">
      <w:pPr>
        <w:tabs>
          <w:tab w:val="left" w:pos="1440"/>
          <w:tab w:val="right" w:pos="9360"/>
        </w:tabs>
        <w:rPr>
          <w:rFonts w:ascii="Times New Roman" w:hAnsi="Times New Roman" w:cs="Times New Roman"/>
        </w:rPr>
      </w:pPr>
      <w:r w:rsidRPr="00400852">
        <w:rPr>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227B0" w:rsidRPr="005C2A45" w:rsidRDefault="002227B0" w:rsidP="00E6146D">
      <w:pPr>
        <w:tabs>
          <w:tab w:val="left" w:pos="-1440"/>
          <w:tab w:val="left" w:pos="-720"/>
          <w:tab w:val="left" w:pos="1440"/>
          <w:tab w:val="right" w:pos="9360"/>
        </w:tabs>
        <w:suppressAutoHyphens/>
        <w:rPr>
          <w:rFonts w:ascii="Times New Roman" w:hAnsi="Times New Roman" w:cs="Times New Roman"/>
        </w:rPr>
      </w:pPr>
      <w:r w:rsidRPr="005C2A45">
        <w:rPr>
          <w:rFonts w:ascii="Times New Roman" w:hAnsi="Times New Roman" w:cs="Times New Roman"/>
          <w:b/>
          <w:bCs/>
        </w:rPr>
        <w:t xml:space="preserve">Date: </w:t>
      </w:r>
      <w:r w:rsidRPr="005C2A45">
        <w:rPr>
          <w:rFonts w:ascii="Times New Roman" w:hAnsi="Times New Roman" w:cs="Times New Roman"/>
          <w:b/>
          <w:bCs/>
        </w:rPr>
        <w:tab/>
      </w:r>
      <w:r>
        <w:rPr>
          <w:rFonts w:ascii="Times New Roman" w:hAnsi="Times New Roman" w:cs="Times New Roman"/>
        </w:rPr>
        <w:t xml:space="preserve">March </w:t>
      </w:r>
      <w:r w:rsidR="00913D8D">
        <w:rPr>
          <w:rFonts w:ascii="Times New Roman" w:hAnsi="Times New Roman" w:cs="Times New Roman"/>
        </w:rPr>
        <w:t>31</w:t>
      </w:r>
      <w:r w:rsidRPr="005C2A45">
        <w:rPr>
          <w:rFonts w:ascii="Times New Roman" w:hAnsi="Times New Roman" w:cs="Times New Roman"/>
        </w:rPr>
        <w:t xml:space="preserve">, 2011 </w:t>
      </w:r>
    </w:p>
    <w:p w:rsidR="002227B0" w:rsidRPr="005C2A45" w:rsidRDefault="002227B0" w:rsidP="00E6146D">
      <w:pPr>
        <w:tabs>
          <w:tab w:val="left" w:pos="-1440"/>
          <w:tab w:val="left" w:pos="-720"/>
          <w:tab w:val="left" w:pos="1440"/>
          <w:tab w:val="right" w:pos="9360"/>
        </w:tabs>
        <w:suppressAutoHyphens/>
        <w:rPr>
          <w:rFonts w:ascii="Times New Roman" w:hAnsi="Times New Roman" w:cs="Times New Roman"/>
        </w:rPr>
      </w:pPr>
    </w:p>
    <w:p w:rsidR="002227B0" w:rsidRPr="005C2A45" w:rsidRDefault="002227B0" w:rsidP="00E6146D">
      <w:pPr>
        <w:tabs>
          <w:tab w:val="left" w:pos="-1440"/>
          <w:tab w:val="left" w:pos="-720"/>
          <w:tab w:val="left" w:pos="0"/>
          <w:tab w:val="left" w:pos="720"/>
        </w:tabs>
        <w:suppressAutoHyphens/>
        <w:ind w:left="1440" w:hanging="1440"/>
        <w:rPr>
          <w:rFonts w:ascii="Times New Roman" w:hAnsi="Times New Roman" w:cs="Times New Roman"/>
        </w:rPr>
      </w:pPr>
      <w:r w:rsidRPr="005C2A45">
        <w:rPr>
          <w:rFonts w:ascii="Times New Roman" w:hAnsi="Times New Roman" w:cs="Times New Roman"/>
          <w:b/>
          <w:bCs/>
        </w:rPr>
        <w:t>To:</w:t>
      </w:r>
      <w:r w:rsidRPr="005C2A45">
        <w:rPr>
          <w:rFonts w:ascii="Times New Roman" w:hAnsi="Times New Roman" w:cs="Times New Roman"/>
        </w:rPr>
        <w:tab/>
      </w:r>
      <w:r w:rsidRPr="005C2A45">
        <w:rPr>
          <w:rFonts w:ascii="Times New Roman" w:hAnsi="Times New Roman" w:cs="Times New Roman"/>
        </w:rPr>
        <w:tab/>
        <w:t>Environmental Quality Commission</w:t>
      </w:r>
    </w:p>
    <w:p w:rsidR="002227B0" w:rsidRPr="005C2A45" w:rsidRDefault="002227B0" w:rsidP="00E6146D">
      <w:pPr>
        <w:pStyle w:val="EndnoteText"/>
        <w:tabs>
          <w:tab w:val="left" w:pos="-1440"/>
          <w:tab w:val="left" w:pos="-720"/>
        </w:tabs>
        <w:suppressAutoHyphens/>
        <w:rPr>
          <w:rFonts w:ascii="Times New Roman" w:hAnsi="Times New Roman" w:cs="Times New Roman"/>
        </w:rPr>
      </w:pPr>
    </w:p>
    <w:p w:rsidR="002227B0" w:rsidRPr="005C2A45" w:rsidRDefault="002227B0" w:rsidP="00E6146D">
      <w:pPr>
        <w:tabs>
          <w:tab w:val="left" w:pos="-1440"/>
          <w:tab w:val="left" w:pos="-720"/>
          <w:tab w:val="left" w:pos="0"/>
          <w:tab w:val="left" w:pos="720"/>
        </w:tabs>
        <w:suppressAutoHyphens/>
        <w:ind w:left="1440" w:hanging="1440"/>
        <w:rPr>
          <w:rFonts w:ascii="Times New Roman" w:hAnsi="Times New Roman" w:cs="Times New Roman"/>
        </w:rPr>
      </w:pPr>
      <w:r w:rsidRPr="005C2A45">
        <w:rPr>
          <w:rFonts w:ascii="Times New Roman" w:hAnsi="Times New Roman" w:cs="Times New Roman"/>
          <w:b/>
          <w:bCs/>
        </w:rPr>
        <w:t>From:</w:t>
      </w:r>
      <w:r w:rsidRPr="005C2A45">
        <w:rPr>
          <w:rFonts w:ascii="Times New Roman" w:hAnsi="Times New Roman" w:cs="Times New Roman"/>
        </w:rPr>
        <w:tab/>
      </w:r>
      <w:r w:rsidRPr="005C2A45">
        <w:rPr>
          <w:rFonts w:ascii="Times New Roman" w:hAnsi="Times New Roman" w:cs="Times New Roman"/>
        </w:rPr>
        <w:tab/>
        <w:t>Dick Pedersen, Director</w:t>
      </w:r>
    </w:p>
    <w:p w:rsidR="002227B0" w:rsidRPr="005C2A45" w:rsidRDefault="002227B0" w:rsidP="00E6146D">
      <w:pPr>
        <w:tabs>
          <w:tab w:val="left" w:pos="-1440"/>
          <w:tab w:val="left" w:pos="-720"/>
        </w:tabs>
        <w:suppressAutoHyphens/>
        <w:rPr>
          <w:rFonts w:ascii="Times New Roman" w:hAnsi="Times New Roman" w:cs="Times New Roman"/>
        </w:rPr>
      </w:pPr>
    </w:p>
    <w:p w:rsidR="002227B0" w:rsidRDefault="002227B0" w:rsidP="00E6146D">
      <w:pPr>
        <w:tabs>
          <w:tab w:val="left" w:pos="-1440"/>
          <w:tab w:val="left" w:pos="-720"/>
          <w:tab w:val="left" w:pos="0"/>
          <w:tab w:val="left" w:pos="720"/>
        </w:tabs>
        <w:suppressAutoHyphens/>
        <w:ind w:left="1440" w:hanging="1440"/>
        <w:rPr>
          <w:rFonts w:ascii="Times New Roman" w:hAnsi="Times New Roman" w:cs="Times New Roman"/>
        </w:rPr>
      </w:pPr>
      <w:r w:rsidRPr="005C2A45">
        <w:rPr>
          <w:rFonts w:ascii="Times New Roman" w:hAnsi="Times New Roman" w:cs="Times New Roman"/>
          <w:b/>
          <w:bCs/>
        </w:rPr>
        <w:t>Subject:</w:t>
      </w:r>
      <w:r w:rsidRPr="005C2A45">
        <w:rPr>
          <w:rFonts w:ascii="Times New Roman" w:hAnsi="Times New Roman" w:cs="Times New Roman"/>
        </w:rPr>
        <w:tab/>
      </w:r>
      <w:bookmarkStart w:id="0" w:name="AgendaInfo"/>
      <w:r w:rsidR="00063F26">
        <w:rPr>
          <w:rFonts w:ascii="Times New Roman" w:hAnsi="Times New Roman" w:cs="Times New Roman"/>
        </w:rPr>
        <w:t>Agenda i</w:t>
      </w:r>
      <w:r w:rsidRPr="005C2A45">
        <w:rPr>
          <w:rFonts w:ascii="Times New Roman" w:hAnsi="Times New Roman" w:cs="Times New Roman"/>
        </w:rPr>
        <w:t xml:space="preserve">tem </w:t>
      </w:r>
      <w:r w:rsidR="00913D8D">
        <w:rPr>
          <w:rFonts w:ascii="Times New Roman" w:hAnsi="Times New Roman" w:cs="Times New Roman"/>
        </w:rPr>
        <w:t>D</w:t>
      </w:r>
      <w:r w:rsidR="00063F26">
        <w:rPr>
          <w:rFonts w:ascii="Times New Roman" w:hAnsi="Times New Roman" w:cs="Times New Roman"/>
        </w:rPr>
        <w:t>, Rule a</w:t>
      </w:r>
      <w:r>
        <w:rPr>
          <w:rFonts w:ascii="Times New Roman" w:hAnsi="Times New Roman" w:cs="Times New Roman"/>
        </w:rPr>
        <w:t xml:space="preserve">doption: </w:t>
      </w:r>
      <w:r w:rsidR="00B463EE">
        <w:rPr>
          <w:rFonts w:ascii="Times New Roman" w:hAnsi="Times New Roman" w:cs="Times New Roman"/>
        </w:rPr>
        <w:t>New Source Review/particulate matter and greenhouse g</w:t>
      </w:r>
      <w:r w:rsidR="003C797C">
        <w:rPr>
          <w:rFonts w:ascii="Times New Roman" w:hAnsi="Times New Roman" w:cs="Times New Roman"/>
        </w:rPr>
        <w:t>as</w:t>
      </w:r>
      <w:r w:rsidR="00B463EE">
        <w:rPr>
          <w:rFonts w:ascii="Times New Roman" w:hAnsi="Times New Roman" w:cs="Times New Roman"/>
        </w:rPr>
        <w:t xml:space="preserve"> p</w:t>
      </w:r>
      <w:r w:rsidR="003C797C">
        <w:rPr>
          <w:rFonts w:ascii="Times New Roman" w:hAnsi="Times New Roman" w:cs="Times New Roman"/>
        </w:rPr>
        <w:t xml:space="preserve">ermitting </w:t>
      </w:r>
      <w:r w:rsidR="00B463EE">
        <w:rPr>
          <w:rFonts w:ascii="Times New Roman" w:hAnsi="Times New Roman" w:cs="Times New Roman"/>
        </w:rPr>
        <w:t>requirements and other permitting u</w:t>
      </w:r>
      <w:r w:rsidR="003C797C">
        <w:rPr>
          <w:rFonts w:ascii="Times New Roman" w:hAnsi="Times New Roman" w:cs="Times New Roman"/>
        </w:rPr>
        <w:t>pdates</w:t>
      </w:r>
    </w:p>
    <w:p w:rsidR="002227B0" w:rsidRDefault="002227B0" w:rsidP="00E6146D">
      <w:pPr>
        <w:tabs>
          <w:tab w:val="left" w:pos="-1440"/>
          <w:tab w:val="left" w:pos="-720"/>
          <w:tab w:val="left" w:pos="0"/>
          <w:tab w:val="left" w:pos="720"/>
        </w:tabs>
        <w:suppressAutoHyphens/>
        <w:ind w:left="1440" w:hanging="144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Pr="00C6197E">
        <w:rPr>
          <w:rFonts w:ascii="Times New Roman" w:hAnsi="Times New Roman" w:cs="Times New Roman"/>
        </w:rPr>
        <w:t>April 21-</w:t>
      </w:r>
      <w:r>
        <w:rPr>
          <w:rFonts w:ascii="Times New Roman" w:hAnsi="Times New Roman" w:cs="Times New Roman"/>
        </w:rPr>
        <w:t>22</w:t>
      </w:r>
      <w:r w:rsidRPr="005C2A45">
        <w:rPr>
          <w:rFonts w:ascii="Times New Roman" w:hAnsi="Times New Roman" w:cs="Times New Roman"/>
        </w:rPr>
        <w:t>, 2011</w:t>
      </w:r>
      <w:r w:rsidR="00063F26">
        <w:rPr>
          <w:rFonts w:ascii="Times New Roman" w:hAnsi="Times New Roman" w:cs="Times New Roman"/>
        </w:rPr>
        <w:t>, EQC m</w:t>
      </w:r>
      <w:r w:rsidRPr="005C2A45">
        <w:rPr>
          <w:rFonts w:ascii="Times New Roman" w:hAnsi="Times New Roman" w:cs="Times New Roman"/>
        </w:rPr>
        <w:t>eeting</w:t>
      </w:r>
    </w:p>
    <w:bookmarkEnd w:id="0"/>
    <w:p w:rsidR="002227B0" w:rsidRPr="005C2A45" w:rsidRDefault="002227B0" w:rsidP="00E6146D">
      <w:pPr>
        <w:tabs>
          <w:tab w:val="left" w:pos="-1440"/>
          <w:tab w:val="left" w:pos="-720"/>
          <w:tab w:val="left" w:pos="0"/>
          <w:tab w:val="left" w:pos="720"/>
        </w:tabs>
        <w:suppressAutoHyphens/>
        <w:rPr>
          <w:rFonts w:ascii="Times New Roman" w:hAnsi="Times New Roman" w:cs="Times New Roman"/>
        </w:rPr>
      </w:pPr>
    </w:p>
    <w:tbl>
      <w:tblPr>
        <w:tblW w:w="10284" w:type="dxa"/>
        <w:tblLook w:val="01E0"/>
      </w:tblPr>
      <w:tblGrid>
        <w:gridCol w:w="1908"/>
        <w:gridCol w:w="8376"/>
      </w:tblGrid>
      <w:tr w:rsidR="002227B0" w:rsidRPr="005C2A45">
        <w:trPr>
          <w:trHeight w:val="2718"/>
        </w:trPr>
        <w:tc>
          <w:tcPr>
            <w:tcW w:w="1908" w:type="dxa"/>
            <w:tcMar>
              <w:bottom w:w="200" w:type="dxa"/>
            </w:tcMar>
          </w:tcPr>
          <w:p w:rsidR="002227B0" w:rsidRPr="005C2A45" w:rsidRDefault="002227B0" w:rsidP="00E6146D">
            <w:pPr>
              <w:tabs>
                <w:tab w:val="left" w:pos="-1440"/>
                <w:tab w:val="left" w:pos="-720"/>
                <w:tab w:val="left" w:pos="4050"/>
              </w:tabs>
              <w:suppressAutoHyphens/>
              <w:rPr>
                <w:rFonts w:ascii="Times New Roman" w:hAnsi="Times New Roman" w:cs="Times New Roman"/>
                <w:b/>
                <w:bCs/>
                <w:spacing w:val="-3"/>
              </w:rPr>
            </w:pPr>
            <w:r w:rsidRPr="005C2A45">
              <w:rPr>
                <w:rFonts w:ascii="Times New Roman" w:hAnsi="Times New Roman" w:cs="Times New Roman"/>
                <w:b/>
                <w:bCs/>
                <w:spacing w:val="-3"/>
              </w:rPr>
              <w:t xml:space="preserve">Why </w:t>
            </w:r>
            <w:r w:rsidR="007F0B7B">
              <w:rPr>
                <w:rFonts w:ascii="Times New Roman" w:hAnsi="Times New Roman" w:cs="Times New Roman"/>
                <w:b/>
                <w:bCs/>
                <w:spacing w:val="-3"/>
              </w:rPr>
              <w:t>this is i</w:t>
            </w:r>
            <w:r w:rsidRPr="005C2A45">
              <w:rPr>
                <w:rFonts w:ascii="Times New Roman" w:hAnsi="Times New Roman" w:cs="Times New Roman"/>
                <w:b/>
                <w:bCs/>
                <w:spacing w:val="-3"/>
              </w:rPr>
              <w:t>mportant</w:t>
            </w:r>
          </w:p>
        </w:tc>
        <w:tc>
          <w:tcPr>
            <w:tcW w:w="8376" w:type="dxa"/>
            <w:tcMar>
              <w:bottom w:w="200" w:type="dxa"/>
            </w:tcMar>
          </w:tcPr>
          <w:p w:rsidR="002227B0" w:rsidRDefault="002227B0" w:rsidP="00E6146D">
            <w:pPr>
              <w:autoSpaceDE w:val="0"/>
              <w:autoSpaceDN w:val="0"/>
              <w:adjustRightInd w:val="0"/>
            </w:pPr>
            <w:smartTag w:uri="urn:schemas-microsoft-com:office:smarttags" w:element="place">
              <w:smartTag w:uri="urn:schemas-microsoft-com:office:smarttags" w:element="State">
                <w:r>
                  <w:t>Oregon</w:t>
                </w:r>
              </w:smartTag>
            </w:smartTag>
            <w:r>
              <w:t>’s rules must be updated to align with significant changes made to federal air quality permitting regulations. The Environmental Protection Agency’s rules now address permitting of greenhouse gases and fine particulate (</w:t>
            </w:r>
            <w:r w:rsidRPr="00D414A5">
              <w:t xml:space="preserve">less than </w:t>
            </w:r>
            <w:r>
              <w:t xml:space="preserve">or equal to </w:t>
            </w:r>
            <w:r w:rsidRPr="00D414A5">
              <w:t>2.5 microns in diameter)</w:t>
            </w:r>
            <w:r>
              <w:t xml:space="preserve"> emissions, but Oregon’s rules do not. As a result, DEQ is unable to issue </w:t>
            </w:r>
            <w:r w:rsidR="00395F01">
              <w:t xml:space="preserve">EPA-required </w:t>
            </w:r>
            <w:r>
              <w:t xml:space="preserve">greenhouse gas related permits or implement the PM2.5 permitting program until the </w:t>
            </w:r>
            <w:r w:rsidR="00EE5091">
              <w:t>c</w:t>
            </w:r>
            <w:r>
              <w:t>ommission adopts implementing rules equivalent to EPA</w:t>
            </w:r>
            <w:r w:rsidR="00395F01">
              <w:t>’s</w:t>
            </w:r>
            <w:r>
              <w:t xml:space="preserve">. </w:t>
            </w:r>
          </w:p>
          <w:p w:rsidR="00E6146D" w:rsidRDefault="00E6146D" w:rsidP="00E6146D">
            <w:pPr>
              <w:tabs>
                <w:tab w:val="left" w:pos="-1440"/>
                <w:tab w:val="left" w:pos="-720"/>
                <w:tab w:val="left" w:pos="0"/>
                <w:tab w:val="left" w:pos="720"/>
              </w:tabs>
              <w:suppressAutoHyphens/>
              <w:rPr>
                <w:rFonts w:ascii="Times New Roman" w:hAnsi="Times New Roman" w:cs="Times New Roman"/>
              </w:rPr>
            </w:pPr>
          </w:p>
          <w:p w:rsidR="002227B0" w:rsidRDefault="002227B0" w:rsidP="00E6146D">
            <w:pPr>
              <w:tabs>
                <w:tab w:val="left" w:pos="-1440"/>
                <w:tab w:val="left" w:pos="-720"/>
                <w:tab w:val="left" w:pos="0"/>
                <w:tab w:val="left" w:pos="720"/>
              </w:tabs>
              <w:suppressAutoHyphens/>
              <w:rPr>
                <w:rFonts w:ascii="Times New Roman" w:hAnsi="Times New Roman" w:cs="Times New Roman"/>
                <w:highlight w:val="cyan"/>
              </w:rPr>
            </w:pPr>
            <w:r w:rsidRPr="004013DF">
              <w:rPr>
                <w:rFonts w:ascii="Times New Roman" w:hAnsi="Times New Roman" w:cs="Times New Roman"/>
              </w:rPr>
              <w:t>Th</w:t>
            </w:r>
            <w:r>
              <w:rPr>
                <w:rFonts w:ascii="Times New Roman" w:hAnsi="Times New Roman" w:cs="Times New Roman"/>
              </w:rPr>
              <w:t>is</w:t>
            </w:r>
            <w:r w:rsidRPr="004013DF">
              <w:rPr>
                <w:rFonts w:ascii="Times New Roman" w:hAnsi="Times New Roman" w:cs="Times New Roman"/>
              </w:rPr>
              <w:t xml:space="preserve"> rule</w:t>
            </w:r>
            <w:r>
              <w:rPr>
                <w:rFonts w:ascii="Times New Roman" w:hAnsi="Times New Roman" w:cs="Times New Roman"/>
              </w:rPr>
              <w:t xml:space="preserve">making is also needed to align </w:t>
            </w:r>
            <w:smartTag w:uri="urn:schemas-microsoft-com:office:smarttags" w:element="place">
              <w:smartTag w:uri="urn:schemas-microsoft-com:office:smarttags" w:element="State">
                <w:r>
                  <w:rPr>
                    <w:rFonts w:ascii="Times New Roman" w:hAnsi="Times New Roman" w:cs="Times New Roman"/>
                  </w:rPr>
                  <w:t>Oregon</w:t>
                </w:r>
              </w:smartTag>
            </w:smartTag>
            <w:r>
              <w:rPr>
                <w:rFonts w:ascii="Times New Roman" w:hAnsi="Times New Roman" w:cs="Times New Roman"/>
              </w:rPr>
              <w:t xml:space="preserve">’s administrative rules with recent statutory changes made to ORS 468A.040 and to update </w:t>
            </w:r>
            <w:smartTag w:uri="urn:schemas-microsoft-com:office:smarttags" w:element="place">
              <w:smartTag w:uri="urn:schemas-microsoft-com:office:smarttags" w:element="State">
                <w:r>
                  <w:rPr>
                    <w:rFonts w:ascii="Times New Roman" w:hAnsi="Times New Roman" w:cs="Times New Roman"/>
                  </w:rPr>
                  <w:t>Oregon</w:t>
                </w:r>
              </w:smartTag>
            </w:smartTag>
            <w:r>
              <w:rPr>
                <w:rFonts w:ascii="Times New Roman" w:hAnsi="Times New Roman" w:cs="Times New Roman"/>
              </w:rPr>
              <w:t xml:space="preserve">’s rules to match changes made to EPA’s acid rain program. </w:t>
            </w:r>
          </w:p>
        </w:tc>
      </w:tr>
      <w:tr w:rsidR="002227B0" w:rsidRPr="006F3BD4">
        <w:trPr>
          <w:trHeight w:val="516"/>
        </w:trPr>
        <w:tc>
          <w:tcPr>
            <w:tcW w:w="1908" w:type="dxa"/>
            <w:tcMar>
              <w:bottom w:w="200" w:type="dxa"/>
            </w:tcMar>
          </w:tcPr>
          <w:p w:rsidR="002227B0" w:rsidRPr="006F3BD4" w:rsidRDefault="007F0B7B" w:rsidP="00E6146D">
            <w:pPr>
              <w:tabs>
                <w:tab w:val="left" w:pos="-1440"/>
                <w:tab w:val="left" w:pos="-720"/>
                <w:tab w:val="left" w:pos="4050"/>
              </w:tabs>
              <w:suppressAutoHyphens/>
              <w:rPr>
                <w:rFonts w:ascii="Times New Roman" w:hAnsi="Times New Roman" w:cs="Times New Roman"/>
                <w:b/>
                <w:bCs/>
                <w:spacing w:val="-3"/>
              </w:rPr>
            </w:pPr>
            <w:r>
              <w:rPr>
                <w:rFonts w:ascii="Times New Roman" w:hAnsi="Times New Roman" w:cs="Times New Roman"/>
                <w:b/>
                <w:bCs/>
                <w:spacing w:val="-3"/>
              </w:rPr>
              <w:t>DEQ r</w:t>
            </w:r>
            <w:r w:rsidR="002227B0" w:rsidRPr="006F3BD4">
              <w:rPr>
                <w:rFonts w:ascii="Times New Roman" w:hAnsi="Times New Roman" w:cs="Times New Roman"/>
                <w:b/>
                <w:bCs/>
                <w:spacing w:val="-3"/>
              </w:rPr>
              <w:t>ecommendation</w:t>
            </w:r>
            <w:r>
              <w:rPr>
                <w:rFonts w:ascii="Times New Roman" w:hAnsi="Times New Roman" w:cs="Times New Roman"/>
                <w:b/>
                <w:bCs/>
                <w:spacing w:val="-3"/>
              </w:rPr>
              <w:t xml:space="preserve"> and EQC motion</w:t>
            </w:r>
          </w:p>
        </w:tc>
        <w:tc>
          <w:tcPr>
            <w:tcW w:w="8376" w:type="dxa"/>
            <w:tcMar>
              <w:bottom w:w="200" w:type="dxa"/>
            </w:tcMar>
          </w:tcPr>
          <w:p w:rsidR="00212DAC" w:rsidRDefault="002227B0">
            <w:pPr>
              <w:tabs>
                <w:tab w:val="left" w:pos="-1440"/>
                <w:tab w:val="left" w:pos="-720"/>
                <w:tab w:val="left" w:pos="0"/>
                <w:tab w:val="left" w:pos="720"/>
              </w:tabs>
              <w:suppressAutoHyphens/>
              <w:rPr>
                <w:rFonts w:ascii="Times New Roman" w:hAnsi="Times New Roman" w:cs="Times New Roman"/>
              </w:rPr>
            </w:pPr>
            <w:r>
              <w:rPr>
                <w:rFonts w:ascii="Times New Roman" w:hAnsi="Times New Roman" w:cs="Times New Roman"/>
              </w:rPr>
              <w:t xml:space="preserve">DEQ </w:t>
            </w:r>
            <w:r w:rsidRPr="00AB244D">
              <w:rPr>
                <w:rFonts w:ascii="Times New Roman" w:hAnsi="Times New Roman" w:cs="Times New Roman"/>
              </w:rPr>
              <w:t xml:space="preserve">recommends that the </w:t>
            </w:r>
            <w:r>
              <w:rPr>
                <w:rFonts w:ascii="Times New Roman" w:hAnsi="Times New Roman" w:cs="Times New Roman"/>
              </w:rPr>
              <w:t xml:space="preserve">Environmental Quality </w:t>
            </w:r>
            <w:r w:rsidRPr="00AB244D">
              <w:rPr>
                <w:rFonts w:ascii="Times New Roman" w:hAnsi="Times New Roman" w:cs="Times New Roman"/>
              </w:rPr>
              <w:t xml:space="preserve">Commission </w:t>
            </w:r>
            <w:r>
              <w:rPr>
                <w:rFonts w:ascii="Times New Roman" w:hAnsi="Times New Roman" w:cs="Times New Roman"/>
              </w:rPr>
              <w:t xml:space="preserve">adopt the proposed rule amendments to </w:t>
            </w:r>
            <w:smartTag w:uri="urn:schemas-microsoft-com:office:smarttags" w:element="stockticker">
              <w:r>
                <w:rPr>
                  <w:rFonts w:ascii="Times New Roman" w:hAnsi="Times New Roman" w:cs="Times New Roman"/>
                </w:rPr>
                <w:t>OAR</w:t>
              </w:r>
            </w:smartTag>
            <w:r>
              <w:rPr>
                <w:rFonts w:ascii="Times New Roman" w:hAnsi="Times New Roman" w:cs="Times New Roman"/>
              </w:rPr>
              <w:t xml:space="preserve"> Chapter 340, </w:t>
            </w:r>
            <w:r w:rsidRPr="00AB244D">
              <w:rPr>
                <w:rFonts w:ascii="Times New Roman" w:hAnsi="Times New Roman" w:cs="Times New Roman"/>
              </w:rPr>
              <w:t xml:space="preserve">Divisions 200, 202, </w:t>
            </w:r>
            <w:r>
              <w:rPr>
                <w:rFonts w:ascii="Times New Roman" w:hAnsi="Times New Roman" w:cs="Times New Roman"/>
              </w:rPr>
              <w:t xml:space="preserve">215, 216, 222, </w:t>
            </w:r>
            <w:r w:rsidRPr="00AB244D">
              <w:rPr>
                <w:rFonts w:ascii="Times New Roman" w:hAnsi="Times New Roman" w:cs="Times New Roman"/>
              </w:rPr>
              <w:t>224</w:t>
            </w:r>
            <w:r>
              <w:rPr>
                <w:rFonts w:ascii="Times New Roman" w:hAnsi="Times New Roman" w:cs="Times New Roman"/>
              </w:rPr>
              <w:t xml:space="preserve">, </w:t>
            </w:r>
            <w:r w:rsidRPr="00AB244D">
              <w:rPr>
                <w:rFonts w:ascii="Times New Roman" w:hAnsi="Times New Roman" w:cs="Times New Roman"/>
              </w:rPr>
              <w:t>225</w:t>
            </w:r>
            <w:r>
              <w:rPr>
                <w:rFonts w:ascii="Times New Roman" w:hAnsi="Times New Roman" w:cs="Times New Roman"/>
              </w:rPr>
              <w:t xml:space="preserve">, 228, and 246 as presented in </w:t>
            </w:r>
            <w:r w:rsidR="007A3428">
              <w:rPr>
                <w:rFonts w:ascii="Times New Roman" w:hAnsi="Times New Roman" w:cs="Times New Roman"/>
              </w:rPr>
              <w:t>a</w:t>
            </w:r>
            <w:r>
              <w:rPr>
                <w:rFonts w:ascii="Times New Roman" w:hAnsi="Times New Roman" w:cs="Times New Roman"/>
              </w:rPr>
              <w:t>ttachment A, including amendments to the Oregon Clean Air Act I</w:t>
            </w:r>
            <w:r w:rsidRPr="009846A4">
              <w:rPr>
                <w:rFonts w:ascii="Times New Roman" w:hAnsi="Times New Roman" w:cs="Times New Roman"/>
              </w:rPr>
              <w:t xml:space="preserve">mplementation </w:t>
            </w:r>
            <w:r>
              <w:rPr>
                <w:rFonts w:ascii="Times New Roman" w:hAnsi="Times New Roman" w:cs="Times New Roman"/>
              </w:rPr>
              <w:t>P</w:t>
            </w:r>
            <w:r w:rsidRPr="009846A4">
              <w:rPr>
                <w:rFonts w:ascii="Times New Roman" w:hAnsi="Times New Roman" w:cs="Times New Roman"/>
              </w:rPr>
              <w:t>lan</w:t>
            </w:r>
            <w:r w:rsidR="007A3428">
              <w:rPr>
                <w:rFonts w:ascii="Times New Roman" w:hAnsi="Times New Roman" w:cs="Times New Roman"/>
              </w:rPr>
              <w:t xml:space="preserve">, </w:t>
            </w:r>
            <w:smartTag w:uri="urn:schemas-microsoft-com:office:smarttags" w:element="stockticker">
              <w:r w:rsidRPr="009846A4">
                <w:rPr>
                  <w:rFonts w:ascii="Times New Roman" w:hAnsi="Times New Roman" w:cs="Times New Roman"/>
                </w:rPr>
                <w:t>OAR</w:t>
              </w:r>
            </w:smartTag>
            <w:r w:rsidRPr="009846A4">
              <w:rPr>
                <w:rFonts w:ascii="Times New Roman" w:hAnsi="Times New Roman" w:cs="Times New Roman"/>
              </w:rPr>
              <w:t xml:space="preserve"> 340-200-0040</w:t>
            </w:r>
            <w:r w:rsidR="007A3428">
              <w:rPr>
                <w:rFonts w:ascii="Times New Roman" w:hAnsi="Times New Roman" w:cs="Times New Roman"/>
              </w:rPr>
              <w:t>,</w:t>
            </w:r>
            <w:r w:rsidRPr="009846A4">
              <w:rPr>
                <w:rFonts w:ascii="Times New Roman" w:hAnsi="Times New Roman" w:cs="Times New Roman"/>
              </w:rPr>
              <w:t> </w:t>
            </w:r>
            <w:r>
              <w:rPr>
                <w:rFonts w:ascii="Times New Roman" w:hAnsi="Times New Roman" w:cs="Times New Roman"/>
              </w:rPr>
              <w:t>to incorporate these rule amendments.</w:t>
            </w:r>
            <w:r w:rsidR="00B004DE">
              <w:rPr>
                <w:rFonts w:ascii="Times New Roman" w:hAnsi="Times New Roman" w:cs="Times New Roman"/>
              </w:rPr>
              <w:t xml:space="preserve"> </w:t>
            </w:r>
            <w:r>
              <w:rPr>
                <w:rFonts w:ascii="Times New Roman" w:hAnsi="Times New Roman" w:cs="Times New Roman"/>
              </w:rPr>
              <w:t xml:space="preserve">DEQ </w:t>
            </w:r>
            <w:r w:rsidRPr="009846A4">
              <w:rPr>
                <w:rFonts w:ascii="Times New Roman" w:hAnsi="Times New Roman" w:cs="Times New Roman"/>
              </w:rPr>
              <w:t xml:space="preserve">also recommends that </w:t>
            </w:r>
            <w:r>
              <w:rPr>
                <w:rFonts w:ascii="Times New Roman" w:hAnsi="Times New Roman" w:cs="Times New Roman"/>
              </w:rPr>
              <w:t>EQC</w:t>
            </w:r>
            <w:r w:rsidRPr="009846A4">
              <w:rPr>
                <w:rFonts w:ascii="Times New Roman" w:hAnsi="Times New Roman" w:cs="Times New Roman"/>
              </w:rPr>
              <w:t xml:space="preserve"> authorize DEQ to submit </w:t>
            </w:r>
            <w:r>
              <w:rPr>
                <w:rFonts w:ascii="Times New Roman" w:hAnsi="Times New Roman" w:cs="Times New Roman"/>
              </w:rPr>
              <w:t>these rule amendments</w:t>
            </w:r>
            <w:r w:rsidRPr="009846A4">
              <w:rPr>
                <w:rFonts w:ascii="Times New Roman" w:hAnsi="Times New Roman" w:cs="Times New Roman"/>
              </w:rPr>
              <w:t> </w:t>
            </w:r>
            <w:r>
              <w:rPr>
                <w:rFonts w:ascii="Times New Roman" w:hAnsi="Times New Roman" w:cs="Times New Roman"/>
              </w:rPr>
              <w:t>to the</w:t>
            </w:r>
            <w:r w:rsidRPr="009846A4">
              <w:rPr>
                <w:rFonts w:ascii="Times New Roman" w:hAnsi="Times New Roman" w:cs="Times New Roman"/>
              </w:rPr>
              <w:t xml:space="preserve"> U.S. Environmental Protection Agency for </w:t>
            </w:r>
            <w:r>
              <w:rPr>
                <w:rFonts w:ascii="Times New Roman" w:hAnsi="Times New Roman" w:cs="Times New Roman"/>
              </w:rPr>
              <w:t xml:space="preserve">federal </w:t>
            </w:r>
            <w:r w:rsidRPr="009846A4">
              <w:rPr>
                <w:rFonts w:ascii="Times New Roman" w:hAnsi="Times New Roman" w:cs="Times New Roman"/>
              </w:rPr>
              <w:t>approval</w:t>
            </w:r>
            <w:r>
              <w:rPr>
                <w:rFonts w:ascii="Times New Roman" w:hAnsi="Times New Roman" w:cs="Times New Roman"/>
              </w:rPr>
              <w:t xml:space="preserve"> of the revisions to Oregon’s Clean Air Act Implementation P</w:t>
            </w:r>
            <w:r w:rsidRPr="009846A4">
              <w:rPr>
                <w:rFonts w:ascii="Times New Roman" w:hAnsi="Times New Roman" w:cs="Times New Roman"/>
              </w:rPr>
              <w:t>lan</w:t>
            </w:r>
            <w:r w:rsidR="003F357E">
              <w:rPr>
                <w:rFonts w:ascii="Times New Roman" w:hAnsi="Times New Roman" w:cs="Times New Roman"/>
              </w:rPr>
              <w:t>, also called the State Implementation Plan</w:t>
            </w:r>
            <w:r w:rsidRPr="009E3AD9">
              <w:rPr>
                <w:rFonts w:ascii="Times New Roman" w:hAnsi="Times New Roman" w:cs="Times New Roman"/>
              </w:rPr>
              <w:t>.</w:t>
            </w:r>
          </w:p>
        </w:tc>
      </w:tr>
      <w:tr w:rsidR="002227B0" w:rsidRPr="006F3BD4">
        <w:tc>
          <w:tcPr>
            <w:tcW w:w="1908" w:type="dxa"/>
            <w:tcMar>
              <w:bottom w:w="200" w:type="dxa"/>
            </w:tcMar>
          </w:tcPr>
          <w:p w:rsidR="002227B0" w:rsidRPr="00087533" w:rsidRDefault="007F0B7B" w:rsidP="00E6146D">
            <w:pPr>
              <w:rPr>
                <w:rFonts w:ascii="Times New Roman" w:hAnsi="Times New Roman" w:cs="Times New Roman"/>
              </w:rPr>
            </w:pPr>
            <w:r>
              <w:rPr>
                <w:rFonts w:ascii="Times New Roman" w:hAnsi="Times New Roman" w:cs="Times New Roman"/>
                <w:b/>
                <w:bCs/>
                <w:spacing w:val="-3"/>
              </w:rPr>
              <w:t>Background and need for r</w:t>
            </w:r>
            <w:r w:rsidR="002227B0" w:rsidRPr="00087533">
              <w:rPr>
                <w:rFonts w:ascii="Times New Roman" w:hAnsi="Times New Roman" w:cs="Times New Roman"/>
                <w:b/>
                <w:bCs/>
                <w:spacing w:val="-3"/>
              </w:rPr>
              <w:t>ulemaking</w:t>
            </w:r>
            <w:r w:rsidR="002227B0" w:rsidRPr="00087533">
              <w:rPr>
                <w:rFonts w:ascii="Times New Roman" w:hAnsi="Times New Roman" w:cs="Times New Roman"/>
              </w:rPr>
              <w:t xml:space="preserve"> </w:t>
            </w:r>
          </w:p>
        </w:tc>
        <w:tc>
          <w:tcPr>
            <w:tcW w:w="8376" w:type="dxa"/>
            <w:tcMar>
              <w:bottom w:w="200" w:type="dxa"/>
            </w:tcMar>
          </w:tcPr>
          <w:p w:rsidR="002227B0" w:rsidRPr="009F2DBE" w:rsidRDefault="002227B0" w:rsidP="00E6146D">
            <w:pPr>
              <w:tabs>
                <w:tab w:val="center" w:pos="2340"/>
                <w:tab w:val="center" w:pos="7020"/>
              </w:tabs>
              <w:rPr>
                <w:rFonts w:ascii="Times New Roman" w:hAnsi="Times New Roman" w:cs="Times New Roman"/>
              </w:rPr>
            </w:pPr>
            <w:r w:rsidRPr="009F2DBE">
              <w:rPr>
                <w:rFonts w:ascii="Times New Roman" w:hAnsi="Times New Roman" w:cs="Times New Roman"/>
              </w:rPr>
              <w:t xml:space="preserve">DEQ proposes rulemaking that would update </w:t>
            </w:r>
            <w:smartTag w:uri="urn:schemas-microsoft-com:office:smarttags" w:element="stockticker">
              <w:r w:rsidRPr="009F2DBE">
                <w:rPr>
                  <w:rFonts w:ascii="Times New Roman" w:hAnsi="Times New Roman" w:cs="Times New Roman"/>
                </w:rPr>
                <w:t>Oregon</w:t>
              </w:r>
            </w:smartTag>
            <w:r w:rsidRPr="009F2DBE">
              <w:rPr>
                <w:rFonts w:ascii="Times New Roman" w:hAnsi="Times New Roman" w:cs="Times New Roman"/>
              </w:rPr>
              <w:t xml:space="preserve">’s New Source Review/Prevention of Significant Deterioration program for fine particles and greenhouse gases and update other permitting rules. </w:t>
            </w:r>
          </w:p>
          <w:p w:rsidR="00E6146D" w:rsidRDefault="00E6146D" w:rsidP="00E6146D">
            <w:pPr>
              <w:autoSpaceDE w:val="0"/>
              <w:autoSpaceDN w:val="0"/>
              <w:adjustRightInd w:val="0"/>
              <w:rPr>
                <w:rFonts w:ascii="Times New Roman" w:hAnsi="Times New Roman" w:cs="Times New Roman"/>
              </w:rPr>
            </w:pPr>
          </w:p>
          <w:p w:rsidR="00123B68" w:rsidRDefault="00B059A9" w:rsidP="00E6146D">
            <w:pPr>
              <w:autoSpaceDE w:val="0"/>
              <w:autoSpaceDN w:val="0"/>
              <w:adjustRightInd w:val="0"/>
              <w:rPr>
                <w:rFonts w:ascii="Times New Roman" w:hAnsi="Times New Roman" w:cs="Times New Roman"/>
                <w:u w:val="single"/>
                <w:vertAlign w:val="subscript"/>
              </w:rPr>
            </w:pPr>
            <w:r w:rsidRPr="00123B68">
              <w:rPr>
                <w:rFonts w:ascii="Times New Roman" w:hAnsi="Times New Roman" w:cs="Times New Roman"/>
                <w:u w:val="single"/>
              </w:rPr>
              <w:t>New Source Review/Prevention of Significant Deterioration for PM</w:t>
            </w:r>
            <w:r w:rsidRPr="00123B68">
              <w:rPr>
                <w:rFonts w:ascii="Times New Roman" w:hAnsi="Times New Roman" w:cs="Times New Roman"/>
                <w:u w:val="single"/>
                <w:vertAlign w:val="subscript"/>
              </w:rPr>
              <w:t>2.5</w:t>
            </w:r>
          </w:p>
          <w:p w:rsidR="002227B0" w:rsidRPr="009F2DBE" w:rsidRDefault="00123B68" w:rsidP="00E6146D">
            <w:pPr>
              <w:autoSpaceDE w:val="0"/>
              <w:autoSpaceDN w:val="0"/>
              <w:adjustRightInd w:val="0"/>
              <w:rPr>
                <w:rFonts w:ascii="Times New Roman" w:hAnsi="Times New Roman" w:cs="Times New Roman"/>
              </w:rPr>
            </w:pPr>
            <w:r>
              <w:rPr>
                <w:rFonts w:ascii="Times New Roman" w:hAnsi="Times New Roman" w:cs="Times New Roman"/>
              </w:rPr>
              <w:t xml:space="preserve">The New Source Review/Prevention of </w:t>
            </w:r>
            <w:r w:rsidR="000C420A">
              <w:rPr>
                <w:rFonts w:ascii="Times New Roman" w:hAnsi="Times New Roman" w:cs="Times New Roman"/>
              </w:rPr>
              <w:t>Significant</w:t>
            </w:r>
            <w:r>
              <w:rPr>
                <w:rFonts w:ascii="Times New Roman" w:hAnsi="Times New Roman" w:cs="Times New Roman"/>
              </w:rPr>
              <w:t xml:space="preserve"> Deterioration p</w:t>
            </w:r>
            <w:r w:rsidR="007A3428">
              <w:rPr>
                <w:rFonts w:ascii="Times New Roman" w:hAnsi="Times New Roman" w:cs="Times New Roman"/>
              </w:rPr>
              <w:t>rogram</w:t>
            </w:r>
            <w:r w:rsidR="002227B0" w:rsidRPr="009F2DBE">
              <w:rPr>
                <w:rFonts w:ascii="Times New Roman" w:hAnsi="Times New Roman" w:cs="Times New Roman"/>
              </w:rPr>
              <w:t xml:space="preserve"> is a pre-construction permitting program that ensures:</w:t>
            </w:r>
          </w:p>
          <w:p w:rsidR="002227B0" w:rsidRPr="009F2DBE" w:rsidRDefault="002227B0" w:rsidP="00E6146D">
            <w:pPr>
              <w:numPr>
                <w:ilvl w:val="0"/>
                <w:numId w:val="13"/>
              </w:numPr>
              <w:autoSpaceDE w:val="0"/>
              <w:autoSpaceDN w:val="0"/>
              <w:adjustRightInd w:val="0"/>
              <w:ind w:left="360"/>
              <w:rPr>
                <w:rFonts w:ascii="Times New Roman" w:hAnsi="Times New Roman" w:cs="Times New Roman"/>
              </w:rPr>
            </w:pPr>
            <w:r w:rsidRPr="009F2DBE">
              <w:rPr>
                <w:rFonts w:ascii="Times New Roman" w:hAnsi="Times New Roman" w:cs="Times New Roman"/>
              </w:rPr>
              <w:t xml:space="preserve">Air quality is protected when manufacturing facilities, facilities with industrial boilers and power plants are built or modified by requiring an ambient air quality analysis, and </w:t>
            </w:r>
          </w:p>
          <w:p w:rsidR="002227B0" w:rsidRPr="009F2DBE" w:rsidRDefault="002227B0" w:rsidP="00E6146D">
            <w:pPr>
              <w:numPr>
                <w:ilvl w:val="0"/>
                <w:numId w:val="13"/>
              </w:numPr>
              <w:autoSpaceDE w:val="0"/>
              <w:autoSpaceDN w:val="0"/>
              <w:adjustRightInd w:val="0"/>
              <w:ind w:left="360"/>
              <w:rPr>
                <w:rFonts w:ascii="Times New Roman" w:hAnsi="Times New Roman" w:cs="Times New Roman"/>
              </w:rPr>
            </w:pPr>
            <w:r w:rsidRPr="009F2DBE">
              <w:rPr>
                <w:rFonts w:ascii="Times New Roman" w:hAnsi="Times New Roman" w:cs="Times New Roman"/>
              </w:rPr>
              <w:t xml:space="preserve">State-of-the art emission control technology is installed at new plants or existing plants with significant changes. </w:t>
            </w:r>
          </w:p>
          <w:p w:rsidR="00E6146D" w:rsidRDefault="00E6146D" w:rsidP="00E6146D">
            <w:pPr>
              <w:rPr>
                <w:rFonts w:ascii="Times New Roman" w:hAnsi="Times New Roman" w:cs="Times New Roman"/>
              </w:rPr>
            </w:pPr>
          </w:p>
          <w:p w:rsidR="002227B0" w:rsidRPr="009F2DBE" w:rsidRDefault="002227B0" w:rsidP="00E6146D">
            <w:pPr>
              <w:rPr>
                <w:rFonts w:ascii="Times New Roman" w:hAnsi="Times New Roman" w:cs="Times New Roman"/>
              </w:rPr>
            </w:pPr>
            <w:r w:rsidRPr="009F2DBE">
              <w:rPr>
                <w:rFonts w:ascii="Times New Roman" w:hAnsi="Times New Roman" w:cs="Times New Roman"/>
              </w:rPr>
              <w:t xml:space="preserve">The Clean Air Act requires EPA to set National Ambient Air Quality Standards for certain air pollutants to limit pollution nationally. Areas that meet </w:t>
            </w:r>
            <w:r w:rsidR="000C420A">
              <w:rPr>
                <w:rFonts w:ascii="Times New Roman" w:hAnsi="Times New Roman" w:cs="Times New Roman"/>
              </w:rPr>
              <w:t>these standards</w:t>
            </w:r>
            <w:r w:rsidRPr="009F2DBE">
              <w:rPr>
                <w:rFonts w:ascii="Times New Roman" w:hAnsi="Times New Roman" w:cs="Times New Roman"/>
              </w:rPr>
              <w:t xml:space="preserve"> are designated </w:t>
            </w:r>
            <w:r w:rsidR="00E6146D">
              <w:rPr>
                <w:rFonts w:ascii="Times New Roman" w:hAnsi="Times New Roman" w:cs="Times New Roman"/>
              </w:rPr>
              <w:t xml:space="preserve">as </w:t>
            </w:r>
            <w:r w:rsidRPr="009F2DBE">
              <w:rPr>
                <w:rFonts w:ascii="Times New Roman" w:hAnsi="Times New Roman" w:cs="Times New Roman"/>
              </w:rPr>
              <w:t xml:space="preserve">attainment areas, and those that do not are designated </w:t>
            </w:r>
            <w:r w:rsidR="00E6146D">
              <w:rPr>
                <w:rFonts w:ascii="Times New Roman" w:hAnsi="Times New Roman" w:cs="Times New Roman"/>
              </w:rPr>
              <w:t xml:space="preserve">as </w:t>
            </w:r>
            <w:r w:rsidRPr="009F2DBE">
              <w:rPr>
                <w:rFonts w:ascii="Times New Roman" w:hAnsi="Times New Roman" w:cs="Times New Roman"/>
              </w:rPr>
              <w:t xml:space="preserve">nonattainment areas. New Source Review is the preconstruction permitting program </w:t>
            </w:r>
            <w:r w:rsidRPr="009F2DBE">
              <w:rPr>
                <w:rFonts w:ascii="Times New Roman" w:hAnsi="Times New Roman" w:cs="Times New Roman"/>
              </w:rPr>
              <w:lastRenderedPageBreak/>
              <w:t xml:space="preserve">for nonattainment areas and Prevention of Significant Deterioration is the program for attainment or unclassifiable areas. </w:t>
            </w:r>
          </w:p>
          <w:p w:rsidR="00D13F5E" w:rsidRDefault="00D13F5E" w:rsidP="00E6146D">
            <w:pPr>
              <w:rPr>
                <w:rFonts w:ascii="Times New Roman" w:hAnsi="Times New Roman" w:cs="Times New Roman"/>
              </w:rPr>
            </w:pPr>
          </w:p>
          <w:p w:rsidR="002227B0" w:rsidRPr="009F2DBE" w:rsidRDefault="002227B0" w:rsidP="00E6146D">
            <w:pPr>
              <w:rPr>
                <w:rFonts w:ascii="Times New Roman" w:hAnsi="Times New Roman" w:cs="Times New Roman"/>
              </w:rPr>
            </w:pPr>
            <w:r w:rsidRPr="009F2DBE">
              <w:rPr>
                <w:rFonts w:ascii="Times New Roman" w:hAnsi="Times New Roman" w:cs="Times New Roman"/>
              </w:rPr>
              <w:t>In 1997, EPA adopted the first NAAQS for PM</w:t>
            </w:r>
            <w:r w:rsidRPr="009F2DBE">
              <w:rPr>
                <w:rFonts w:ascii="Times New Roman" w:hAnsi="Times New Roman" w:cs="Times New Roman"/>
                <w:vertAlign w:val="subscript"/>
              </w:rPr>
              <w:t>2.5</w:t>
            </w:r>
            <w:r w:rsidR="007A3428">
              <w:rPr>
                <w:rFonts w:ascii="Times New Roman" w:hAnsi="Times New Roman" w:cs="Times New Roman"/>
              </w:rPr>
              <w:t xml:space="preserve">, </w:t>
            </w:r>
            <w:r w:rsidRPr="009F2DBE">
              <w:rPr>
                <w:rFonts w:ascii="Times New Roman" w:hAnsi="Times New Roman" w:cs="Times New Roman"/>
              </w:rPr>
              <w:t>particulate matter less than 2.5 microns in diameter</w:t>
            </w:r>
            <w:r w:rsidR="007A3428">
              <w:rPr>
                <w:rFonts w:ascii="Times New Roman" w:hAnsi="Times New Roman" w:cs="Times New Roman"/>
              </w:rPr>
              <w:t>,</w:t>
            </w:r>
            <w:r w:rsidRPr="009F2DBE">
              <w:rPr>
                <w:rFonts w:ascii="Times New Roman" w:hAnsi="Times New Roman" w:cs="Times New Roman"/>
              </w:rPr>
              <w:t xml:space="preserve"> because exposure can cause respiratory and pulmonary symptoms, increased hospital admissions and emergency room visits and premature death for those with heart and lung disease. New and modified major sources of PM</w:t>
            </w:r>
            <w:r w:rsidRPr="009F2DBE">
              <w:rPr>
                <w:rFonts w:ascii="Times New Roman" w:hAnsi="Times New Roman" w:cs="Times New Roman"/>
                <w:vertAlign w:val="subscript"/>
              </w:rPr>
              <w:t xml:space="preserve">2.5 </w:t>
            </w:r>
            <w:r w:rsidRPr="009F2DBE">
              <w:rPr>
                <w:rFonts w:ascii="Times New Roman" w:hAnsi="Times New Roman" w:cs="Times New Roman"/>
              </w:rPr>
              <w:t>became subject to the NSR/</w:t>
            </w:r>
            <w:smartTag w:uri="urn:schemas-microsoft-com:office:smarttags" w:element="stockticker">
              <w:r w:rsidRPr="009F2DBE">
                <w:rPr>
                  <w:rFonts w:ascii="Times New Roman" w:hAnsi="Times New Roman" w:cs="Times New Roman"/>
                </w:rPr>
                <w:t>PSD</w:t>
              </w:r>
            </w:smartTag>
            <w:r w:rsidRPr="009F2DBE">
              <w:rPr>
                <w:rFonts w:ascii="Times New Roman" w:hAnsi="Times New Roman" w:cs="Times New Roman"/>
              </w:rPr>
              <w:t xml:space="preserve"> program once EPA adopted these standards. However, technical challenges with implementation led EPA to issue a PM</w:t>
            </w:r>
            <w:r w:rsidRPr="009F2DBE">
              <w:rPr>
                <w:rFonts w:ascii="Times New Roman" w:hAnsi="Times New Roman" w:cs="Times New Roman"/>
                <w:vertAlign w:val="subscript"/>
              </w:rPr>
              <w:t>10</w:t>
            </w:r>
            <w:r w:rsidRPr="009F2DBE">
              <w:rPr>
                <w:rFonts w:ascii="Times New Roman" w:hAnsi="Times New Roman" w:cs="Times New Roman"/>
              </w:rPr>
              <w:t xml:space="preserve"> surrogate policy. This policy allowed sources to conduct an ambient air quality analysis for PM</w:t>
            </w:r>
            <w:r w:rsidRPr="009F2DBE">
              <w:rPr>
                <w:rFonts w:ascii="Times New Roman" w:hAnsi="Times New Roman" w:cs="Times New Roman"/>
                <w:vertAlign w:val="subscript"/>
              </w:rPr>
              <w:t>10</w:t>
            </w:r>
            <w:r w:rsidR="00E6146D">
              <w:rPr>
                <w:rFonts w:ascii="Times New Roman" w:hAnsi="Times New Roman" w:cs="Times New Roman"/>
              </w:rPr>
              <w:t xml:space="preserve">, </w:t>
            </w:r>
            <w:r w:rsidRPr="009F2DBE">
              <w:rPr>
                <w:rFonts w:ascii="Times New Roman" w:hAnsi="Times New Roman" w:cs="Times New Roman"/>
              </w:rPr>
              <w:t>particulate matter less than 10 microns in diameter</w:t>
            </w:r>
            <w:r w:rsidR="00E6146D">
              <w:rPr>
                <w:rFonts w:ascii="Times New Roman" w:hAnsi="Times New Roman" w:cs="Times New Roman"/>
              </w:rPr>
              <w:t>,</w:t>
            </w:r>
            <w:r w:rsidRPr="009F2DBE">
              <w:rPr>
                <w:rFonts w:ascii="Times New Roman" w:hAnsi="Times New Roman" w:cs="Times New Roman"/>
              </w:rPr>
              <w:t xml:space="preserve"> in lieu of PM</w:t>
            </w:r>
            <w:r w:rsidRPr="009F2DBE">
              <w:rPr>
                <w:rFonts w:ascii="Times New Roman" w:hAnsi="Times New Roman" w:cs="Times New Roman"/>
                <w:vertAlign w:val="subscript"/>
              </w:rPr>
              <w:t>2.5</w:t>
            </w:r>
            <w:r w:rsidRPr="009F2DBE">
              <w:rPr>
                <w:rFonts w:ascii="Times New Roman" w:hAnsi="Times New Roman" w:cs="Times New Roman"/>
              </w:rPr>
              <w:t>. EPA subsequently adopted implementing rules and procedures for PM</w:t>
            </w:r>
            <w:r w:rsidRPr="009F2DBE">
              <w:rPr>
                <w:rFonts w:ascii="Times New Roman" w:hAnsi="Times New Roman" w:cs="Times New Roman"/>
                <w:vertAlign w:val="subscript"/>
              </w:rPr>
              <w:t>2.5</w:t>
            </w:r>
            <w:r w:rsidRPr="009F2DBE">
              <w:rPr>
                <w:rFonts w:ascii="Times New Roman" w:hAnsi="Times New Roman" w:cs="Times New Roman"/>
              </w:rPr>
              <w:t>. This proposal would adopt equivalent PM</w:t>
            </w:r>
            <w:r w:rsidRPr="009F2DBE">
              <w:rPr>
                <w:rFonts w:ascii="Times New Roman" w:hAnsi="Times New Roman" w:cs="Times New Roman"/>
                <w:vertAlign w:val="subscript"/>
              </w:rPr>
              <w:t>2.5</w:t>
            </w:r>
            <w:r w:rsidRPr="009F2DBE">
              <w:rPr>
                <w:rFonts w:ascii="Times New Roman" w:hAnsi="Times New Roman" w:cs="Times New Roman"/>
              </w:rPr>
              <w:t xml:space="preserve"> rules and replace a temporary rule adopted by the </w:t>
            </w:r>
            <w:r w:rsidR="00E6146D">
              <w:rPr>
                <w:rFonts w:ascii="Times New Roman" w:hAnsi="Times New Roman" w:cs="Times New Roman"/>
              </w:rPr>
              <w:t>c</w:t>
            </w:r>
            <w:r w:rsidRPr="009F2DBE">
              <w:rPr>
                <w:rFonts w:ascii="Times New Roman" w:hAnsi="Times New Roman" w:cs="Times New Roman"/>
              </w:rPr>
              <w:t>ommission Aug</w:t>
            </w:r>
            <w:r w:rsidR="00E6146D">
              <w:rPr>
                <w:rFonts w:ascii="Times New Roman" w:hAnsi="Times New Roman" w:cs="Times New Roman"/>
              </w:rPr>
              <w:t>.</w:t>
            </w:r>
            <w:r w:rsidRPr="009F2DBE">
              <w:rPr>
                <w:rFonts w:ascii="Times New Roman" w:hAnsi="Times New Roman" w:cs="Times New Roman"/>
              </w:rPr>
              <w:t xml:space="preserve"> 19, 2010.</w:t>
            </w:r>
          </w:p>
          <w:p w:rsidR="00E6146D" w:rsidRDefault="00E6146D" w:rsidP="00E6146D">
            <w:pPr>
              <w:pStyle w:val="NormalWeb"/>
              <w:spacing w:before="0" w:beforeAutospacing="0" w:after="0" w:afterAutospacing="0"/>
              <w:rPr>
                <w:u w:val="single"/>
              </w:rPr>
            </w:pPr>
          </w:p>
          <w:p w:rsidR="007314CC" w:rsidRDefault="002227B0" w:rsidP="00E6146D">
            <w:pPr>
              <w:pStyle w:val="NormalWeb"/>
              <w:spacing w:before="0" w:beforeAutospacing="0" w:after="0" w:afterAutospacing="0"/>
            </w:pPr>
            <w:r w:rsidRPr="009F2DBE">
              <w:rPr>
                <w:u w:val="single"/>
              </w:rPr>
              <w:t xml:space="preserve">Prevention of Significant Deterioration and </w:t>
            </w:r>
            <w:r w:rsidR="003F357E" w:rsidRPr="009F2DBE">
              <w:rPr>
                <w:u w:val="single"/>
              </w:rPr>
              <w:t xml:space="preserve">Title V </w:t>
            </w:r>
            <w:r w:rsidRPr="009F2DBE">
              <w:rPr>
                <w:u w:val="single"/>
              </w:rPr>
              <w:t>Operating Permits for Greenhouse Gases</w:t>
            </w:r>
          </w:p>
          <w:p w:rsidR="002227B0" w:rsidRPr="009F2DBE" w:rsidRDefault="00B059A9" w:rsidP="00E6146D">
            <w:pPr>
              <w:pStyle w:val="NormalWeb"/>
              <w:spacing w:before="0" w:beforeAutospacing="0" w:after="0" w:afterAutospacing="0"/>
            </w:pPr>
            <w:r w:rsidRPr="00B059A9">
              <w:t>Greenhouse gas</w:t>
            </w:r>
            <w:r w:rsidR="002227B0" w:rsidRPr="009F2DBE">
              <w:t xml:space="preserve"> emission sources became subject to </w:t>
            </w:r>
            <w:r w:rsidR="007314CC">
              <w:t>Prevention of Significant Deterioration</w:t>
            </w:r>
            <w:r w:rsidR="007314CC" w:rsidRPr="009F2DBE">
              <w:t xml:space="preserve"> </w:t>
            </w:r>
            <w:r w:rsidR="002227B0" w:rsidRPr="009F2DBE">
              <w:t xml:space="preserve">construction and Title V operating permitting when the first </w:t>
            </w:r>
            <w:r w:rsidR="007314CC">
              <w:t>greenhouse gas</w:t>
            </w:r>
            <w:r w:rsidR="002227B0" w:rsidRPr="009F2DBE">
              <w:t xml:space="preserve"> permitting regulations adopted by EPA became effective. In anticipation of this major change in the permitting program, EPA set </w:t>
            </w:r>
            <w:r w:rsidR="007314CC">
              <w:t>greenhouse gas</w:t>
            </w:r>
            <w:r w:rsidR="002227B0" w:rsidRPr="009F2DBE">
              <w:t xml:space="preserve"> emission thresholds that trigger </w:t>
            </w:r>
            <w:smartTag w:uri="urn:schemas-microsoft-com:office:smarttags" w:element="stockticker">
              <w:r w:rsidR="002227B0" w:rsidRPr="009F2DBE">
                <w:t>PSD</w:t>
              </w:r>
            </w:smartTag>
            <w:r w:rsidR="002227B0" w:rsidRPr="009F2DBE">
              <w:t xml:space="preserve"> permitting in a regulation known as the </w:t>
            </w:r>
            <w:r w:rsidR="007314CC">
              <w:t>t</w:t>
            </w:r>
            <w:r w:rsidR="002227B0" w:rsidRPr="009F2DBE">
              <w:t xml:space="preserve">ailoring </w:t>
            </w:r>
            <w:r w:rsidR="007314CC">
              <w:t>r</w:t>
            </w:r>
            <w:r w:rsidR="002227B0" w:rsidRPr="009F2DBE">
              <w:t xml:space="preserve">ule, which was adopted in May 2010. The </w:t>
            </w:r>
            <w:r w:rsidR="007314CC">
              <w:t>t</w:t>
            </w:r>
            <w:r w:rsidR="002227B0" w:rsidRPr="009F2DBE">
              <w:t xml:space="preserve">ailoring </w:t>
            </w:r>
            <w:r w:rsidR="007314CC">
              <w:t>r</w:t>
            </w:r>
            <w:r w:rsidR="002227B0" w:rsidRPr="009F2DBE">
              <w:t xml:space="preserve">ule reduces regulatory impacts by phasing in the applicability of </w:t>
            </w:r>
            <w:smartTag w:uri="urn:schemas-microsoft-com:office:smarttags" w:element="stockticker">
              <w:r w:rsidR="002227B0" w:rsidRPr="009F2DBE">
                <w:t>PSD</w:t>
              </w:r>
            </w:smartTag>
            <w:r w:rsidR="002227B0" w:rsidRPr="009F2DBE">
              <w:t xml:space="preserve"> and Title V permitting programs to greenhouse gas sources, starting with the largest emitters that are otherwise subject to permitting. </w:t>
            </w:r>
          </w:p>
          <w:p w:rsidR="00E6146D" w:rsidRDefault="00E6146D" w:rsidP="00E6146D">
            <w:pPr>
              <w:pStyle w:val="NormalWeb"/>
              <w:spacing w:before="0" w:beforeAutospacing="0" w:after="0" w:afterAutospacing="0"/>
            </w:pPr>
          </w:p>
          <w:p w:rsidR="002227B0" w:rsidRPr="009F2DBE" w:rsidRDefault="002227B0" w:rsidP="00E6146D">
            <w:pPr>
              <w:pStyle w:val="NormalWeb"/>
              <w:spacing w:before="0" w:beforeAutospacing="0" w:after="0" w:afterAutospacing="0"/>
            </w:pPr>
            <w:r w:rsidRPr="009F2DBE">
              <w:t xml:space="preserve">This rulemaking is necessary for DEQ to regulate </w:t>
            </w:r>
            <w:r w:rsidR="007314CC">
              <w:t>greenhouse gas</w:t>
            </w:r>
            <w:r w:rsidR="007314CC" w:rsidRPr="009F2DBE">
              <w:t xml:space="preserve"> </w:t>
            </w:r>
            <w:r w:rsidRPr="009F2DBE">
              <w:t xml:space="preserve">sources in </w:t>
            </w:r>
            <w:smartTag w:uri="urn:schemas-microsoft-com:office:smarttags" w:element="stockticker">
              <w:r w:rsidRPr="009F2DBE">
                <w:t>Oregon</w:t>
              </w:r>
            </w:smartTag>
            <w:r w:rsidRPr="009F2DBE">
              <w:t xml:space="preserve"> and to maintain an </w:t>
            </w:r>
            <w:smartTag w:uri="urn:schemas-microsoft-com:office:smarttags" w:element="stockticker">
              <w:smartTag w:uri="urn:schemas-microsoft-com:office:smarttags" w:element="stockticker">
                <w:r w:rsidRPr="009F2DBE">
                  <w:t>EPA-approvable</w:t>
                </w:r>
              </w:smartTag>
              <w:r w:rsidRPr="009F2DBE">
                <w:t xml:space="preserve"> </w:t>
              </w:r>
              <w:smartTag w:uri="urn:schemas-microsoft-com:office:smarttags" w:element="stockticker">
                <w:r w:rsidRPr="009F2DBE">
                  <w:t>S</w:t>
                </w:r>
                <w:r w:rsidRPr="009F2DBE">
                  <w:rPr>
                    <w:rStyle w:val="Emphasis"/>
                    <w:i w:val="0"/>
                    <w:iCs w:val="0"/>
                  </w:rPr>
                  <w:t>tate</w:t>
                </w:r>
              </w:smartTag>
            </w:smartTag>
            <w:r w:rsidRPr="009F2DBE">
              <w:rPr>
                <w:rStyle w:val="Emphasis"/>
                <w:i w:val="0"/>
                <w:iCs w:val="0"/>
              </w:rPr>
              <w:t xml:space="preserve"> Implementation Plan</w:t>
            </w:r>
            <w:r w:rsidRPr="009F2DBE">
              <w:rPr>
                <w:rStyle w:val="Strong"/>
              </w:rPr>
              <w:t xml:space="preserve"> </w:t>
            </w:r>
            <w:r w:rsidRPr="009F2DBE">
              <w:rPr>
                <w:rStyle w:val="Strong"/>
                <w:b w:val="0"/>
                <w:bCs w:val="0"/>
              </w:rPr>
              <w:t xml:space="preserve">— a federally-approved plan detailing how states meet Clean Air Act requirements. </w:t>
            </w:r>
            <w:r w:rsidRPr="009F2DBE">
              <w:t xml:space="preserve">EPA has determined that unless </w:t>
            </w:r>
            <w:smartTag w:uri="urn:schemas-microsoft-com:office:smarttags" w:element="stockticker">
              <w:smartTag w:uri="urn:schemas-microsoft-com:office:smarttags" w:element="place">
                <w:smartTag w:uri="urn:schemas-microsoft-com:office:smarttags" w:element="State">
                  <w:r w:rsidRPr="009F2DBE">
                    <w:t>Oregon</w:t>
                  </w:r>
                </w:smartTag>
              </w:smartTag>
            </w:smartTag>
            <w:r w:rsidRPr="009F2DBE">
              <w:t xml:space="preserve">’s </w:t>
            </w:r>
            <w:smartTag w:uri="urn:schemas-microsoft-com:office:smarttags" w:element="stockticker">
              <w:r w:rsidRPr="009F2DBE">
                <w:t>PSD</w:t>
              </w:r>
            </w:smartTag>
            <w:r w:rsidRPr="009F2DBE">
              <w:t xml:space="preserve"> program is modified, </w:t>
            </w:r>
            <w:smartTag w:uri="urn:schemas-microsoft-com:office:smarttags" w:element="stockticker">
              <w:smartTag w:uri="urn:schemas-microsoft-com:office:smarttags" w:element="place">
                <w:smartTag w:uri="urn:schemas-microsoft-com:office:smarttags" w:element="State">
                  <w:r w:rsidRPr="009F2DBE">
                    <w:t>Oregon</w:t>
                  </w:r>
                </w:smartTag>
              </w:smartTag>
            </w:smartTag>
            <w:r w:rsidRPr="009F2DBE">
              <w:t xml:space="preserve">’s SIP </w:t>
            </w:r>
            <w:r w:rsidR="00395F01">
              <w:t>would not</w:t>
            </w:r>
            <w:r w:rsidRPr="009F2DBE">
              <w:t xml:space="preserve"> meet Clean Air Act requirements because it does not address </w:t>
            </w:r>
            <w:r w:rsidR="007314CC">
              <w:t>greenhouse gas</w:t>
            </w:r>
            <w:r w:rsidRPr="009F2DBE">
              <w:t xml:space="preserve">-emitting sources. Since Oregon did not have </w:t>
            </w:r>
            <w:r w:rsidR="007314CC">
              <w:t>greenhouse gas</w:t>
            </w:r>
            <w:r w:rsidR="007314CC" w:rsidRPr="009F2DBE">
              <w:t xml:space="preserve"> </w:t>
            </w:r>
            <w:r w:rsidRPr="009F2DBE">
              <w:t xml:space="preserve">rules adopted by </w:t>
            </w:r>
            <w:r w:rsidR="007314CC" w:rsidRPr="009F2DBE">
              <w:t>Jan</w:t>
            </w:r>
            <w:r w:rsidR="007314CC">
              <w:t>.</w:t>
            </w:r>
            <w:r w:rsidR="007314CC" w:rsidRPr="009F2DBE">
              <w:t xml:space="preserve"> </w:t>
            </w:r>
            <w:r w:rsidRPr="009F2DBE">
              <w:t xml:space="preserve">2, 2011, EPA, in cooperation with DEQ, imposed a Federal Implementation Plan in Oregon; EPA will issue </w:t>
            </w:r>
            <w:r w:rsidR="007314CC">
              <w:t>greenhouse</w:t>
            </w:r>
            <w:r w:rsidR="00E71537">
              <w:t xml:space="preserve"> gas</w:t>
            </w:r>
            <w:r w:rsidR="007314CC" w:rsidRPr="009F2DBE">
              <w:t xml:space="preserve"> </w:t>
            </w:r>
            <w:r w:rsidRPr="009F2DBE">
              <w:t xml:space="preserve">PSD permits for facilities in Oregon until DEQ’s rules are adopted, after which EPA may delegate authority to Oregon to implement the federal rules for </w:t>
            </w:r>
            <w:r w:rsidR="007314CC">
              <w:t>greenhouse gas</w:t>
            </w:r>
            <w:r w:rsidR="007314CC" w:rsidRPr="009F2DBE">
              <w:t xml:space="preserve"> </w:t>
            </w:r>
            <w:r w:rsidRPr="009F2DBE">
              <w:t xml:space="preserve">PSD permit issuance until EPA approves the state rules. </w:t>
            </w:r>
          </w:p>
          <w:p w:rsidR="00E6146D" w:rsidRDefault="00E6146D" w:rsidP="00E6146D">
            <w:pPr>
              <w:pStyle w:val="NormalWeb"/>
              <w:spacing w:before="0" w:beforeAutospacing="0" w:after="0" w:afterAutospacing="0"/>
            </w:pPr>
          </w:p>
          <w:p w:rsidR="00D464B9" w:rsidRDefault="00B45328" w:rsidP="00E6146D">
            <w:pPr>
              <w:pStyle w:val="NormalWeb"/>
              <w:spacing w:before="0" w:beforeAutospacing="0" w:after="0" w:afterAutospacing="0"/>
            </w:pPr>
            <w:r w:rsidRPr="009F2DBE">
              <w:t xml:space="preserve">On March 11, 2011, EPA proposed rule language to defer PSD and Title V permitting requirements </w:t>
            </w:r>
            <w:r w:rsidR="00395F01">
              <w:t xml:space="preserve">for </w:t>
            </w:r>
            <w:r w:rsidRPr="009F2DBE">
              <w:t xml:space="preserve">carbon dioxide emissions from </w:t>
            </w:r>
            <w:r w:rsidR="008A462D" w:rsidRPr="009F2DBE">
              <w:t>the combustion or decomposition of biomass</w:t>
            </w:r>
            <w:r w:rsidR="00395F01">
              <w:t xml:space="preserve"> </w:t>
            </w:r>
            <w:r w:rsidR="00395F01" w:rsidRPr="009F2DBE">
              <w:t>for three years</w:t>
            </w:r>
            <w:r w:rsidR="008A462D" w:rsidRPr="009F2DBE">
              <w:t xml:space="preserve">. </w:t>
            </w:r>
            <w:r w:rsidRPr="009F2DBE">
              <w:t>During the three</w:t>
            </w:r>
            <w:r w:rsidR="007314CC">
              <w:t>-</w:t>
            </w:r>
            <w:r w:rsidRPr="009F2DBE">
              <w:t xml:space="preserve">year deferral period, EPA will </w:t>
            </w:r>
            <w:r w:rsidR="008A462D" w:rsidRPr="009F2DBE">
              <w:t xml:space="preserve">study these emissions and develop a final rule to establish how they should be regulated. </w:t>
            </w:r>
            <w:r w:rsidRPr="009F2DBE">
              <w:t xml:space="preserve">DEQ has </w:t>
            </w:r>
            <w:r w:rsidR="00344653" w:rsidRPr="009F2DBE">
              <w:t>revised the</w:t>
            </w:r>
            <w:r w:rsidRPr="009F2DBE">
              <w:t xml:space="preserve"> propose</w:t>
            </w:r>
            <w:r w:rsidR="008A462D" w:rsidRPr="009F2DBE">
              <w:t>d</w:t>
            </w:r>
            <w:r w:rsidRPr="009F2DBE">
              <w:t xml:space="preserve"> rules</w:t>
            </w:r>
            <w:r w:rsidR="00344653" w:rsidRPr="009F2DBE">
              <w:t xml:space="preserve"> to exempt </w:t>
            </w:r>
            <w:r w:rsidR="007314CC">
              <w:t>biomass</w:t>
            </w:r>
            <w:r w:rsidR="007314CC" w:rsidRPr="009F2DBE">
              <w:t xml:space="preserve"> </w:t>
            </w:r>
            <w:r w:rsidR="00344653" w:rsidRPr="009F2DBE">
              <w:t xml:space="preserve">emissions to </w:t>
            </w:r>
          </w:p>
          <w:p w:rsidR="00D464B9" w:rsidRDefault="00D464B9" w:rsidP="00E6146D">
            <w:pPr>
              <w:pStyle w:val="NormalWeb"/>
              <w:spacing w:before="0" w:beforeAutospacing="0" w:after="0" w:afterAutospacing="0"/>
            </w:pPr>
          </w:p>
          <w:p w:rsidR="00B45328" w:rsidRPr="009F2DBE" w:rsidRDefault="00344653" w:rsidP="00E6146D">
            <w:pPr>
              <w:pStyle w:val="NormalWeb"/>
              <w:spacing w:before="0" w:beforeAutospacing="0" w:after="0" w:afterAutospacing="0"/>
              <w:rPr>
                <w:rStyle w:val="Strong"/>
                <w:b w:val="0"/>
                <w:bCs w:val="0"/>
              </w:rPr>
            </w:pPr>
            <w:proofErr w:type="gramStart"/>
            <w:r w:rsidRPr="009F2DBE">
              <w:lastRenderedPageBreak/>
              <w:t>the</w:t>
            </w:r>
            <w:proofErr w:type="gramEnd"/>
            <w:r w:rsidRPr="009F2DBE">
              <w:t xml:space="preserve"> extent they are exempt from federal permitting requirements</w:t>
            </w:r>
            <w:r w:rsidR="00B45328" w:rsidRPr="009F2DBE">
              <w:t>.</w:t>
            </w:r>
            <w:r w:rsidR="00B004DE">
              <w:t xml:space="preserve"> </w:t>
            </w:r>
          </w:p>
          <w:p w:rsidR="00E6146D" w:rsidRDefault="00E6146D" w:rsidP="00E6146D">
            <w:pPr>
              <w:pStyle w:val="NormalWeb"/>
              <w:spacing w:before="0" w:beforeAutospacing="0" w:after="0" w:afterAutospacing="0"/>
              <w:rPr>
                <w:u w:val="single"/>
              </w:rPr>
            </w:pPr>
          </w:p>
          <w:p w:rsidR="007314CC" w:rsidRDefault="00391CFD" w:rsidP="00E6146D">
            <w:pPr>
              <w:pStyle w:val="NormalWeb"/>
              <w:spacing w:before="0" w:beforeAutospacing="0" w:after="0" w:afterAutospacing="0"/>
            </w:pPr>
            <w:r>
              <w:rPr>
                <w:u w:val="single"/>
              </w:rPr>
              <w:t>Small-</w:t>
            </w:r>
            <w:r w:rsidR="002227B0" w:rsidRPr="009F2DBE">
              <w:rPr>
                <w:u w:val="single"/>
              </w:rPr>
              <w:t>Scale Local Energy Projects</w:t>
            </w:r>
          </w:p>
          <w:p w:rsidR="002227B0" w:rsidRPr="009F2DBE" w:rsidRDefault="002227B0" w:rsidP="00E6146D">
            <w:pPr>
              <w:pStyle w:val="NormalWeb"/>
              <w:spacing w:before="0" w:beforeAutospacing="0" w:after="0" w:afterAutospacing="0"/>
            </w:pPr>
            <w:r w:rsidRPr="009F2DBE">
              <w:t>EPA requires states to have construction approval programs for smaller</w:t>
            </w:r>
            <w:r w:rsidR="007314CC">
              <w:t xml:space="preserve">, </w:t>
            </w:r>
            <w:r w:rsidRPr="009F2DBE">
              <w:t>minor</w:t>
            </w:r>
            <w:r w:rsidR="007314CC">
              <w:t>,</w:t>
            </w:r>
            <w:r w:rsidRPr="009F2DBE">
              <w:t xml:space="preserve"> air pollution sources, but gives states flexibility in how to do this. </w:t>
            </w:r>
            <w:smartTag w:uri="urn:schemas-microsoft-com:office:smarttags" w:element="stockticker">
              <w:r w:rsidRPr="009F2DBE">
                <w:t>Oregon</w:t>
              </w:r>
            </w:smartTag>
            <w:r w:rsidRPr="009F2DBE">
              <w:t>’s minor source construction approval program generally applies more rigorous major source N</w:t>
            </w:r>
            <w:r w:rsidR="007314CC">
              <w:t>ew Source Review/</w:t>
            </w:r>
            <w:r w:rsidRPr="009F2DBE">
              <w:t>P</w:t>
            </w:r>
            <w:r w:rsidR="007314CC">
              <w:t>revention of Significant Deterioration</w:t>
            </w:r>
            <w:r w:rsidRPr="009F2DBE">
              <w:t xml:space="preserve"> </w:t>
            </w:r>
            <w:r w:rsidR="00E71537">
              <w:t>p</w:t>
            </w:r>
            <w:r w:rsidR="00395F01">
              <w:t xml:space="preserve">rogram </w:t>
            </w:r>
            <w:r w:rsidRPr="009F2DBE">
              <w:t xml:space="preserve">requirements to sources with emissions well below the federal major source thresholds. </w:t>
            </w:r>
            <w:r w:rsidR="007314CC">
              <w:t xml:space="preserve">Oregon </w:t>
            </w:r>
            <w:r w:rsidRPr="009F2DBE">
              <w:t>H</w:t>
            </w:r>
            <w:r w:rsidR="007314CC">
              <w:t xml:space="preserve">ouse </w:t>
            </w:r>
            <w:r w:rsidRPr="009F2DBE">
              <w:t>B</w:t>
            </w:r>
            <w:r w:rsidR="007314CC">
              <w:t>ill</w:t>
            </w:r>
            <w:r w:rsidRPr="009F2DBE">
              <w:t xml:space="preserve"> 2952 (2009) revised how the minor source construction approval program works for small</w:t>
            </w:r>
            <w:r w:rsidR="007314CC">
              <w:t>-</w:t>
            </w:r>
            <w:r w:rsidRPr="009F2DBE">
              <w:t>scale local energy projects to allow sources greater flexibility when siting projects while ensuring that these projects can be constructed without imposing a material threat to air quality. The proposed rules incorporate the changes made to ORS 468A.040 by H</w:t>
            </w:r>
            <w:r w:rsidR="007314CC">
              <w:t>ouse Bill</w:t>
            </w:r>
            <w:r w:rsidRPr="009F2DBE">
              <w:t xml:space="preserve"> 2952. </w:t>
            </w:r>
          </w:p>
          <w:p w:rsidR="007314CC" w:rsidRDefault="00E6146D" w:rsidP="00E6146D">
            <w:pPr>
              <w:rPr>
                <w:rFonts w:ascii="Times New Roman" w:hAnsi="Times New Roman" w:cs="Times New Roman"/>
              </w:rPr>
            </w:pPr>
            <w:r>
              <w:rPr>
                <w:rFonts w:ascii="Times New Roman" w:hAnsi="Times New Roman" w:cs="Times New Roman"/>
                <w:u w:val="single"/>
              </w:rPr>
              <w:br/>
            </w:r>
            <w:r w:rsidR="002227B0" w:rsidRPr="009F2DBE">
              <w:rPr>
                <w:rFonts w:ascii="Times New Roman" w:hAnsi="Times New Roman" w:cs="Times New Roman"/>
                <w:u w:val="single"/>
              </w:rPr>
              <w:t>Acid Rain Permitting Rule Update</w:t>
            </w:r>
          </w:p>
          <w:p w:rsidR="007314CC" w:rsidRPr="009F2DBE" w:rsidRDefault="002227B0" w:rsidP="00E6146D">
            <w:pPr>
              <w:rPr>
                <w:rFonts w:ascii="Times New Roman" w:hAnsi="Times New Roman" w:cs="Times New Roman"/>
              </w:rPr>
            </w:pPr>
            <w:r w:rsidRPr="009F2DBE">
              <w:rPr>
                <w:rFonts w:ascii="Times New Roman" w:hAnsi="Times New Roman" w:cs="Times New Roman"/>
              </w:rPr>
              <w:t xml:space="preserve">EPA updated the federal acid rain program rules, and DEQ proposes to adopt the updated rules by reference to keep </w:t>
            </w:r>
            <w:smartTag w:uri="urn:schemas-microsoft-com:office:smarttags" w:element="stockticker">
              <w:r w:rsidRPr="009F2DBE">
                <w:rPr>
                  <w:rFonts w:ascii="Times New Roman" w:hAnsi="Times New Roman" w:cs="Times New Roman"/>
                </w:rPr>
                <w:t>Oregon</w:t>
              </w:r>
            </w:smartTag>
            <w:r w:rsidRPr="009F2DBE">
              <w:rPr>
                <w:rFonts w:ascii="Times New Roman" w:hAnsi="Times New Roman" w:cs="Times New Roman"/>
              </w:rPr>
              <w:t>’s rules current.</w:t>
            </w:r>
            <w:r w:rsidR="00B004DE">
              <w:rPr>
                <w:rFonts w:ascii="Times New Roman" w:hAnsi="Times New Roman" w:cs="Times New Roman"/>
              </w:rPr>
              <w:t xml:space="preserve"> </w:t>
            </w:r>
            <w:r w:rsidRPr="009F2DBE">
              <w:rPr>
                <w:rFonts w:ascii="Times New Roman" w:hAnsi="Times New Roman" w:cs="Times New Roman"/>
              </w:rPr>
              <w:t xml:space="preserve"> </w:t>
            </w:r>
          </w:p>
        </w:tc>
      </w:tr>
      <w:tr w:rsidR="002227B0" w:rsidRPr="006F3BD4">
        <w:tc>
          <w:tcPr>
            <w:tcW w:w="1908" w:type="dxa"/>
            <w:tcMar>
              <w:bottom w:w="200" w:type="dxa"/>
            </w:tcMar>
          </w:tcPr>
          <w:p w:rsidR="002227B0" w:rsidRPr="006F3BD4" w:rsidRDefault="007F0B7B" w:rsidP="00E6146D">
            <w:pPr>
              <w:tabs>
                <w:tab w:val="left" w:pos="-1440"/>
                <w:tab w:val="left" w:pos="-720"/>
                <w:tab w:val="left" w:pos="4050"/>
              </w:tabs>
              <w:suppressAutoHyphens/>
              <w:rPr>
                <w:rFonts w:ascii="Times New Roman" w:hAnsi="Times New Roman" w:cs="Times New Roman"/>
                <w:b/>
                <w:bCs/>
              </w:rPr>
            </w:pPr>
            <w:r>
              <w:rPr>
                <w:rFonts w:ascii="Times New Roman" w:hAnsi="Times New Roman" w:cs="Times New Roman"/>
                <w:b/>
                <w:bCs/>
              </w:rPr>
              <w:lastRenderedPageBreak/>
              <w:t>Effect of r</w:t>
            </w:r>
            <w:r w:rsidR="002227B0" w:rsidRPr="006F3BD4">
              <w:rPr>
                <w:rFonts w:ascii="Times New Roman" w:hAnsi="Times New Roman" w:cs="Times New Roman"/>
                <w:b/>
                <w:bCs/>
              </w:rPr>
              <w:t xml:space="preserve">ule </w:t>
            </w:r>
          </w:p>
          <w:p w:rsidR="002227B0" w:rsidRPr="006F3BD4" w:rsidRDefault="002227B0" w:rsidP="00E6146D">
            <w:pPr>
              <w:tabs>
                <w:tab w:val="left" w:pos="-1440"/>
                <w:tab w:val="left" w:pos="-720"/>
                <w:tab w:val="left" w:pos="4050"/>
              </w:tabs>
              <w:suppressAutoHyphens/>
              <w:rPr>
                <w:rFonts w:ascii="Times New Roman" w:hAnsi="Times New Roman" w:cs="Times New Roman"/>
                <w:b/>
                <w:bCs/>
              </w:rPr>
            </w:pPr>
          </w:p>
        </w:tc>
        <w:tc>
          <w:tcPr>
            <w:tcW w:w="8376" w:type="dxa"/>
            <w:tcMar>
              <w:bottom w:w="200" w:type="dxa"/>
            </w:tcMar>
          </w:tcPr>
          <w:p w:rsidR="00E22FD9" w:rsidRPr="000314AD" w:rsidRDefault="00E22FD9" w:rsidP="00E6146D">
            <w:pPr>
              <w:pStyle w:val="DEQTEXTforFACTSHEET"/>
              <w:rPr>
                <w:rFonts w:ascii="Times New Roman" w:hAnsi="Times New Roman" w:cs="Times New Roman"/>
                <w:sz w:val="24"/>
                <w:szCs w:val="24"/>
              </w:rPr>
            </w:pPr>
            <w:r w:rsidRPr="000314AD">
              <w:rPr>
                <w:rFonts w:ascii="Times New Roman" w:hAnsi="Times New Roman" w:cs="Times New Roman"/>
                <w:sz w:val="24"/>
                <w:szCs w:val="24"/>
              </w:rPr>
              <w:t xml:space="preserve">DEQ expects the proposed rules to affect </w:t>
            </w:r>
            <w:r w:rsidR="000314AD" w:rsidRPr="000314AD">
              <w:rPr>
                <w:rFonts w:ascii="Times New Roman" w:hAnsi="Times New Roman" w:cs="Times New Roman"/>
                <w:sz w:val="24"/>
                <w:szCs w:val="24"/>
              </w:rPr>
              <w:t>approximately 1,256 permitted sources in Oregon in addition to future applicants</w:t>
            </w:r>
            <w:r w:rsidRPr="000314AD">
              <w:rPr>
                <w:rFonts w:ascii="Times New Roman" w:hAnsi="Times New Roman" w:cs="Times New Roman"/>
                <w:sz w:val="24"/>
                <w:szCs w:val="24"/>
              </w:rPr>
              <w:t>.</w:t>
            </w:r>
          </w:p>
          <w:p w:rsidR="00E22FD9" w:rsidRDefault="00E22FD9" w:rsidP="00E6146D">
            <w:pPr>
              <w:pStyle w:val="DEQTEXTforFACTSHEET"/>
              <w:rPr>
                <w:sz w:val="24"/>
                <w:szCs w:val="24"/>
                <w:u w:val="single"/>
              </w:rPr>
            </w:pPr>
          </w:p>
          <w:p w:rsidR="007314CC" w:rsidRDefault="002227B0" w:rsidP="00E6146D">
            <w:pPr>
              <w:pStyle w:val="DEQTEXTforFACTSHEET"/>
              <w:rPr>
                <w:sz w:val="24"/>
                <w:szCs w:val="24"/>
              </w:rPr>
            </w:pPr>
            <w:r w:rsidRPr="00B4367F">
              <w:rPr>
                <w:sz w:val="24"/>
                <w:szCs w:val="24"/>
                <w:u w:val="single"/>
              </w:rPr>
              <w:t>New Source Review/Prevention of Significant Deterioration</w:t>
            </w:r>
            <w:r>
              <w:rPr>
                <w:sz w:val="24"/>
                <w:szCs w:val="24"/>
                <w:u w:val="single"/>
              </w:rPr>
              <w:t xml:space="preserve"> for </w:t>
            </w:r>
            <w:r w:rsidRPr="00B4367F">
              <w:rPr>
                <w:sz w:val="24"/>
                <w:szCs w:val="24"/>
                <w:u w:val="single"/>
              </w:rPr>
              <w:t>PM</w:t>
            </w:r>
            <w:r w:rsidRPr="00B4367F">
              <w:rPr>
                <w:sz w:val="24"/>
                <w:szCs w:val="24"/>
                <w:u w:val="single"/>
                <w:vertAlign w:val="subscript"/>
              </w:rPr>
              <w:t>2.5</w:t>
            </w:r>
          </w:p>
          <w:p w:rsidR="002227B0" w:rsidRPr="00B4367F" w:rsidRDefault="002227B0" w:rsidP="00E6146D">
            <w:pPr>
              <w:pStyle w:val="DEQTEXTforFACTSHEET"/>
              <w:rPr>
                <w:sz w:val="24"/>
                <w:szCs w:val="24"/>
              </w:rPr>
            </w:pPr>
            <w:r w:rsidRPr="00B4367F">
              <w:rPr>
                <w:sz w:val="24"/>
                <w:szCs w:val="24"/>
              </w:rPr>
              <w:t xml:space="preserve">The proposed rule amendments would adopt a threshold </w:t>
            </w:r>
            <w:r w:rsidR="007314CC">
              <w:rPr>
                <w:sz w:val="24"/>
                <w:szCs w:val="24"/>
              </w:rPr>
              <w:t xml:space="preserve">or </w:t>
            </w:r>
            <w:r w:rsidRPr="00B4367F">
              <w:rPr>
                <w:sz w:val="24"/>
                <w:szCs w:val="24"/>
              </w:rPr>
              <w:t xml:space="preserve">significant emission rate </w:t>
            </w:r>
            <w:r>
              <w:rPr>
                <w:sz w:val="24"/>
                <w:szCs w:val="24"/>
              </w:rPr>
              <w:t xml:space="preserve">of </w:t>
            </w:r>
            <w:r w:rsidRPr="00B4367F">
              <w:rPr>
                <w:sz w:val="24"/>
                <w:szCs w:val="24"/>
              </w:rPr>
              <w:t>10 tons per year of PM</w:t>
            </w:r>
            <w:r w:rsidRPr="00B4367F">
              <w:rPr>
                <w:sz w:val="24"/>
                <w:szCs w:val="24"/>
                <w:vertAlign w:val="subscript"/>
              </w:rPr>
              <w:t>2.5</w:t>
            </w:r>
            <w:r>
              <w:rPr>
                <w:sz w:val="24"/>
                <w:szCs w:val="24"/>
                <w:vertAlign w:val="subscript"/>
              </w:rPr>
              <w:t xml:space="preserve"> </w:t>
            </w:r>
            <w:r>
              <w:rPr>
                <w:sz w:val="24"/>
                <w:szCs w:val="24"/>
              </w:rPr>
              <w:t>as a significant change at an existing facility</w:t>
            </w:r>
            <w:r w:rsidRPr="00B4367F">
              <w:rPr>
                <w:sz w:val="24"/>
                <w:szCs w:val="24"/>
              </w:rPr>
              <w:t xml:space="preserve">. </w:t>
            </w:r>
            <w:r>
              <w:rPr>
                <w:sz w:val="24"/>
                <w:szCs w:val="24"/>
              </w:rPr>
              <w:t xml:space="preserve">Facilities would trigger </w:t>
            </w:r>
            <w:r w:rsidRPr="00B4367F">
              <w:rPr>
                <w:sz w:val="24"/>
                <w:szCs w:val="24"/>
              </w:rPr>
              <w:t>NSR/</w:t>
            </w:r>
            <w:smartTag w:uri="urn:schemas-microsoft-com:office:smarttags" w:element="stockticker">
              <w:r w:rsidRPr="00B4367F">
                <w:rPr>
                  <w:sz w:val="24"/>
                  <w:szCs w:val="24"/>
                </w:rPr>
                <w:t>PSD</w:t>
              </w:r>
            </w:smartTag>
            <w:r w:rsidRPr="00B4367F">
              <w:rPr>
                <w:sz w:val="24"/>
                <w:szCs w:val="24"/>
              </w:rPr>
              <w:t xml:space="preserve"> permitting </w:t>
            </w:r>
            <w:r>
              <w:rPr>
                <w:sz w:val="24"/>
                <w:szCs w:val="24"/>
              </w:rPr>
              <w:t xml:space="preserve">only if </w:t>
            </w:r>
            <w:r w:rsidRPr="00B4367F">
              <w:rPr>
                <w:sz w:val="24"/>
                <w:szCs w:val="24"/>
              </w:rPr>
              <w:t xml:space="preserve">a physical change increased emissions above this threshold. The </w:t>
            </w:r>
            <w:r>
              <w:rPr>
                <w:sz w:val="24"/>
                <w:szCs w:val="24"/>
              </w:rPr>
              <w:t>rulemaking</w:t>
            </w:r>
            <w:r w:rsidRPr="00B4367F">
              <w:rPr>
                <w:sz w:val="24"/>
                <w:szCs w:val="24"/>
              </w:rPr>
              <w:t xml:space="preserve"> would also adopt </w:t>
            </w:r>
            <w:r>
              <w:rPr>
                <w:sz w:val="24"/>
                <w:szCs w:val="24"/>
              </w:rPr>
              <w:t xml:space="preserve">levels to </w:t>
            </w:r>
            <w:r w:rsidRPr="00B4367F">
              <w:rPr>
                <w:sz w:val="24"/>
                <w:szCs w:val="24"/>
              </w:rPr>
              <w:t xml:space="preserve">determine if additional </w:t>
            </w:r>
            <w:r>
              <w:rPr>
                <w:sz w:val="24"/>
                <w:szCs w:val="24"/>
              </w:rPr>
              <w:t xml:space="preserve">ambient </w:t>
            </w:r>
            <w:r w:rsidRPr="00B4367F">
              <w:rPr>
                <w:sz w:val="24"/>
                <w:szCs w:val="24"/>
              </w:rPr>
              <w:t>air quality analysis is required</w:t>
            </w:r>
            <w:r w:rsidR="007314CC">
              <w:rPr>
                <w:sz w:val="24"/>
                <w:szCs w:val="24"/>
              </w:rPr>
              <w:t>,</w:t>
            </w:r>
            <w:r>
              <w:rPr>
                <w:sz w:val="24"/>
                <w:szCs w:val="24"/>
              </w:rPr>
              <w:t xml:space="preserve"> </w:t>
            </w:r>
            <w:r w:rsidRPr="00B4367F">
              <w:rPr>
                <w:sz w:val="24"/>
                <w:szCs w:val="24"/>
              </w:rPr>
              <w:t>track the cumulative impact of emissions growth in areas that meet air quality standards and determine if preconstruction monitoring is required for PM</w:t>
            </w:r>
            <w:r w:rsidRPr="00B4367F">
              <w:rPr>
                <w:sz w:val="24"/>
                <w:szCs w:val="24"/>
                <w:vertAlign w:val="subscript"/>
              </w:rPr>
              <w:t>2.5</w:t>
            </w:r>
            <w:r>
              <w:rPr>
                <w:sz w:val="24"/>
                <w:szCs w:val="24"/>
              </w:rPr>
              <w:t xml:space="preserve">. </w:t>
            </w:r>
            <w:r w:rsidRPr="00B4367F">
              <w:rPr>
                <w:sz w:val="24"/>
                <w:szCs w:val="24"/>
              </w:rPr>
              <w:t>Adoption of the rules will allow DEQ to continue implementing the New Source Review Program</w:t>
            </w:r>
            <w:r>
              <w:rPr>
                <w:sz w:val="24"/>
                <w:szCs w:val="24"/>
              </w:rPr>
              <w:t xml:space="preserve">. </w:t>
            </w:r>
          </w:p>
          <w:p w:rsidR="00E6146D" w:rsidRDefault="00E6146D" w:rsidP="00E6146D">
            <w:pPr>
              <w:pStyle w:val="DEQTEXTforFACTSHEET"/>
              <w:rPr>
                <w:sz w:val="24"/>
                <w:szCs w:val="24"/>
                <w:u w:val="single"/>
              </w:rPr>
            </w:pPr>
          </w:p>
          <w:p w:rsidR="007314CC" w:rsidRDefault="002227B0" w:rsidP="00E6146D">
            <w:pPr>
              <w:pStyle w:val="DEQTEXTforFACTSHEET"/>
              <w:rPr>
                <w:sz w:val="24"/>
                <w:szCs w:val="24"/>
              </w:rPr>
            </w:pPr>
            <w:r w:rsidRPr="00B4367F">
              <w:rPr>
                <w:sz w:val="24"/>
                <w:szCs w:val="24"/>
                <w:u w:val="single"/>
              </w:rPr>
              <w:t>Prevention of Significant Deterioration</w:t>
            </w:r>
            <w:r>
              <w:rPr>
                <w:sz w:val="24"/>
                <w:szCs w:val="24"/>
                <w:u w:val="single"/>
              </w:rPr>
              <w:t xml:space="preserve"> and Title V </w:t>
            </w:r>
            <w:r w:rsidR="003F357E">
              <w:rPr>
                <w:sz w:val="24"/>
                <w:szCs w:val="24"/>
                <w:u w:val="single"/>
              </w:rPr>
              <w:t>Operating P</w:t>
            </w:r>
            <w:r>
              <w:rPr>
                <w:sz w:val="24"/>
                <w:szCs w:val="24"/>
                <w:u w:val="single"/>
              </w:rPr>
              <w:t>ermit</w:t>
            </w:r>
            <w:r w:rsidR="003F357E">
              <w:rPr>
                <w:sz w:val="24"/>
                <w:szCs w:val="24"/>
                <w:u w:val="single"/>
              </w:rPr>
              <w:t>s</w:t>
            </w:r>
            <w:r>
              <w:rPr>
                <w:sz w:val="24"/>
                <w:szCs w:val="24"/>
                <w:u w:val="single"/>
              </w:rPr>
              <w:t xml:space="preserve"> for </w:t>
            </w:r>
            <w:r w:rsidRPr="00B4367F">
              <w:rPr>
                <w:sz w:val="24"/>
                <w:szCs w:val="24"/>
                <w:u w:val="single"/>
              </w:rPr>
              <w:t>Greenhouse Gas</w:t>
            </w:r>
          </w:p>
          <w:p w:rsidR="002227B0" w:rsidRPr="00601D94" w:rsidRDefault="002227B0" w:rsidP="00E6146D">
            <w:pPr>
              <w:pStyle w:val="DEQTEXTforFACTSHEET"/>
              <w:rPr>
                <w:sz w:val="24"/>
                <w:szCs w:val="24"/>
              </w:rPr>
            </w:pPr>
            <w:r w:rsidRPr="00B4367F">
              <w:rPr>
                <w:sz w:val="24"/>
                <w:szCs w:val="24"/>
              </w:rPr>
              <w:t xml:space="preserve">The </w:t>
            </w:r>
            <w:r>
              <w:rPr>
                <w:sz w:val="24"/>
                <w:szCs w:val="24"/>
              </w:rPr>
              <w:t>rulemaking</w:t>
            </w:r>
            <w:r w:rsidRPr="00B4367F">
              <w:rPr>
                <w:sz w:val="24"/>
                <w:szCs w:val="24"/>
              </w:rPr>
              <w:t xml:space="preserve"> would establish a major source threshold for </w:t>
            </w:r>
            <w:r w:rsidR="007314CC">
              <w:rPr>
                <w:sz w:val="24"/>
                <w:szCs w:val="24"/>
              </w:rPr>
              <w:t>greenhouse gas</w:t>
            </w:r>
            <w:r w:rsidR="00977022">
              <w:rPr>
                <w:sz w:val="24"/>
                <w:szCs w:val="24"/>
              </w:rPr>
              <w:t>es</w:t>
            </w:r>
            <w:r w:rsidR="007314CC">
              <w:rPr>
                <w:sz w:val="24"/>
                <w:szCs w:val="24"/>
              </w:rPr>
              <w:t xml:space="preserve"> of </w:t>
            </w:r>
            <w:r>
              <w:rPr>
                <w:sz w:val="24"/>
                <w:szCs w:val="24"/>
              </w:rPr>
              <w:t xml:space="preserve">at least </w:t>
            </w:r>
            <w:r w:rsidRPr="00B4367F">
              <w:rPr>
                <w:sz w:val="24"/>
                <w:szCs w:val="24"/>
              </w:rPr>
              <w:t>100,000 tons per year on a carbon dioxide equivalent basis</w:t>
            </w:r>
            <w:r>
              <w:rPr>
                <w:sz w:val="24"/>
                <w:szCs w:val="24"/>
              </w:rPr>
              <w:t xml:space="preserve"> and at least 100 tons per year of a </w:t>
            </w:r>
            <w:r w:rsidR="007314CC">
              <w:rPr>
                <w:sz w:val="24"/>
                <w:szCs w:val="24"/>
              </w:rPr>
              <w:t xml:space="preserve">greenhouse </w:t>
            </w:r>
            <w:r w:rsidR="00977022">
              <w:rPr>
                <w:sz w:val="24"/>
                <w:szCs w:val="24"/>
              </w:rPr>
              <w:t>g</w:t>
            </w:r>
            <w:r w:rsidR="007314CC">
              <w:rPr>
                <w:sz w:val="24"/>
                <w:szCs w:val="24"/>
              </w:rPr>
              <w:t xml:space="preserve">as </w:t>
            </w:r>
            <w:r>
              <w:rPr>
                <w:sz w:val="24"/>
                <w:szCs w:val="24"/>
              </w:rPr>
              <w:t>on a mass basis,</w:t>
            </w:r>
            <w:r w:rsidRPr="00B4367F">
              <w:rPr>
                <w:sz w:val="24"/>
                <w:szCs w:val="24"/>
              </w:rPr>
              <w:t xml:space="preserve"> and a </w:t>
            </w:r>
            <w:r>
              <w:rPr>
                <w:sz w:val="24"/>
                <w:szCs w:val="24"/>
              </w:rPr>
              <w:t xml:space="preserve">threshold for defining a </w:t>
            </w:r>
            <w:r w:rsidRPr="00B4367F">
              <w:rPr>
                <w:sz w:val="24"/>
                <w:szCs w:val="24"/>
              </w:rPr>
              <w:t xml:space="preserve">significant </w:t>
            </w:r>
            <w:r>
              <w:rPr>
                <w:sz w:val="24"/>
                <w:szCs w:val="24"/>
              </w:rPr>
              <w:t>change</w:t>
            </w:r>
            <w:r w:rsidR="007314CC">
              <w:rPr>
                <w:sz w:val="24"/>
                <w:szCs w:val="24"/>
              </w:rPr>
              <w:t xml:space="preserve">, of </w:t>
            </w:r>
            <w:r w:rsidRPr="00B4367F">
              <w:rPr>
                <w:sz w:val="24"/>
                <w:szCs w:val="24"/>
              </w:rPr>
              <w:t>75,000 tons CO</w:t>
            </w:r>
            <w:r w:rsidRPr="00B4367F">
              <w:rPr>
                <w:sz w:val="24"/>
                <w:szCs w:val="24"/>
                <w:vertAlign w:val="subscript"/>
              </w:rPr>
              <w:t>2</w:t>
            </w:r>
            <w:r w:rsidRPr="00B4367F">
              <w:rPr>
                <w:sz w:val="24"/>
                <w:szCs w:val="24"/>
              </w:rPr>
              <w:t xml:space="preserve">e per year, consistent with EPA’s </w:t>
            </w:r>
            <w:r w:rsidR="007314CC">
              <w:rPr>
                <w:sz w:val="24"/>
                <w:szCs w:val="24"/>
              </w:rPr>
              <w:t>greenhouse gas</w:t>
            </w:r>
            <w:r w:rsidR="007314CC" w:rsidRPr="00B4367F">
              <w:rPr>
                <w:sz w:val="24"/>
                <w:szCs w:val="24"/>
              </w:rPr>
              <w:t xml:space="preserve"> </w:t>
            </w:r>
            <w:r w:rsidR="007314CC">
              <w:rPr>
                <w:sz w:val="24"/>
                <w:szCs w:val="24"/>
              </w:rPr>
              <w:t>t</w:t>
            </w:r>
            <w:r w:rsidRPr="00B4367F">
              <w:rPr>
                <w:sz w:val="24"/>
                <w:szCs w:val="24"/>
              </w:rPr>
              <w:t xml:space="preserve">ailoring </w:t>
            </w:r>
            <w:r w:rsidR="007314CC">
              <w:rPr>
                <w:sz w:val="24"/>
                <w:szCs w:val="24"/>
              </w:rPr>
              <w:t>r</w:t>
            </w:r>
            <w:r w:rsidRPr="00B4367F">
              <w:rPr>
                <w:sz w:val="24"/>
                <w:szCs w:val="24"/>
              </w:rPr>
              <w:t>ule</w:t>
            </w:r>
            <w:r>
              <w:rPr>
                <w:sz w:val="24"/>
                <w:szCs w:val="24"/>
              </w:rPr>
              <w:t xml:space="preserve">. </w:t>
            </w:r>
            <w:r w:rsidR="00B059A9" w:rsidRPr="00B059A9">
              <w:rPr>
                <w:sz w:val="24"/>
                <w:szCs w:val="24"/>
              </w:rPr>
              <w:t xml:space="preserve">Carbon dioxide equivalent is a unit of measurement that allows the effect of different greenhouse gases to be compared using carbon dioxide as a standard unit for reference. </w:t>
            </w:r>
            <w:r w:rsidRPr="007314CC">
              <w:rPr>
                <w:sz w:val="24"/>
                <w:szCs w:val="24"/>
              </w:rPr>
              <w:t>The rulemaking</w:t>
            </w:r>
            <w:r w:rsidRPr="00B4367F">
              <w:rPr>
                <w:sz w:val="24"/>
                <w:szCs w:val="24"/>
              </w:rPr>
              <w:t xml:space="preserve"> would also clarify </w:t>
            </w:r>
            <w:r>
              <w:rPr>
                <w:sz w:val="24"/>
                <w:szCs w:val="24"/>
              </w:rPr>
              <w:t>other</w:t>
            </w:r>
            <w:r w:rsidRPr="00B4367F">
              <w:rPr>
                <w:sz w:val="24"/>
                <w:szCs w:val="24"/>
              </w:rPr>
              <w:t xml:space="preserve"> aspects of the NSR/</w:t>
            </w:r>
            <w:smartTag w:uri="urn:schemas-microsoft-com:office:smarttags" w:element="stockticker">
              <w:r w:rsidRPr="00B4367F">
                <w:rPr>
                  <w:sz w:val="24"/>
                  <w:szCs w:val="24"/>
                </w:rPr>
                <w:t>PSD</w:t>
              </w:r>
            </w:smartTag>
            <w:r w:rsidRPr="00B4367F">
              <w:rPr>
                <w:sz w:val="24"/>
                <w:szCs w:val="24"/>
              </w:rPr>
              <w:t xml:space="preserve"> program</w:t>
            </w:r>
            <w:r>
              <w:rPr>
                <w:sz w:val="24"/>
                <w:szCs w:val="24"/>
              </w:rPr>
              <w:t xml:space="preserve"> for </w:t>
            </w:r>
            <w:r w:rsidR="007314CC">
              <w:rPr>
                <w:sz w:val="24"/>
                <w:szCs w:val="24"/>
              </w:rPr>
              <w:t>greenhouse gas</w:t>
            </w:r>
            <w:r w:rsidR="00977022">
              <w:rPr>
                <w:sz w:val="24"/>
                <w:szCs w:val="24"/>
              </w:rPr>
              <w:t>es</w:t>
            </w:r>
            <w:r w:rsidR="007314CC">
              <w:rPr>
                <w:sz w:val="24"/>
                <w:szCs w:val="24"/>
              </w:rPr>
              <w:t xml:space="preserve"> </w:t>
            </w:r>
            <w:r>
              <w:rPr>
                <w:sz w:val="24"/>
                <w:szCs w:val="24"/>
              </w:rPr>
              <w:t xml:space="preserve">and other pollutants. </w:t>
            </w:r>
          </w:p>
          <w:p w:rsidR="00E6146D" w:rsidRDefault="00E6146D" w:rsidP="00E6146D">
            <w:pPr>
              <w:pStyle w:val="DEQTEXTforFACTSHEET"/>
              <w:rPr>
                <w:sz w:val="24"/>
                <w:szCs w:val="24"/>
                <w:u w:val="single"/>
              </w:rPr>
            </w:pPr>
          </w:p>
          <w:p w:rsidR="007314CC" w:rsidRDefault="00391CFD" w:rsidP="00E6146D">
            <w:pPr>
              <w:pStyle w:val="DEQTEXTforFACTSHEET"/>
            </w:pPr>
            <w:r>
              <w:rPr>
                <w:sz w:val="24"/>
                <w:szCs w:val="24"/>
                <w:u w:val="single"/>
              </w:rPr>
              <w:t>Small-</w:t>
            </w:r>
            <w:r w:rsidR="002227B0" w:rsidRPr="00B4367F">
              <w:rPr>
                <w:sz w:val="24"/>
                <w:szCs w:val="24"/>
                <w:u w:val="single"/>
              </w:rPr>
              <w:t>Scale Local Energy Projects</w:t>
            </w:r>
          </w:p>
          <w:p w:rsidR="002227B0" w:rsidRPr="00B4367F" w:rsidRDefault="00B059A9" w:rsidP="00E6146D">
            <w:pPr>
              <w:pStyle w:val="DEQTEXTforFACTSHEET"/>
            </w:pPr>
            <w:r w:rsidRPr="00B059A9">
              <w:rPr>
                <w:sz w:val="24"/>
                <w:szCs w:val="24"/>
              </w:rPr>
              <w:t>If adopted,</w:t>
            </w:r>
            <w:r w:rsidR="007314CC">
              <w:rPr>
                <w:sz w:val="24"/>
                <w:szCs w:val="24"/>
              </w:rPr>
              <w:t xml:space="preserve"> this rulemaking would provide s</w:t>
            </w:r>
            <w:r w:rsidR="002227B0" w:rsidRPr="00B4367F">
              <w:rPr>
                <w:sz w:val="24"/>
                <w:szCs w:val="24"/>
              </w:rPr>
              <w:t>mall</w:t>
            </w:r>
            <w:r w:rsidR="00391CFD">
              <w:rPr>
                <w:sz w:val="24"/>
                <w:szCs w:val="24"/>
              </w:rPr>
              <w:t>-</w:t>
            </w:r>
            <w:r w:rsidR="002227B0" w:rsidRPr="00B4367F">
              <w:rPr>
                <w:sz w:val="24"/>
                <w:szCs w:val="24"/>
              </w:rPr>
              <w:t xml:space="preserve">scale local energy projects </w:t>
            </w:r>
            <w:r w:rsidR="002227B0">
              <w:rPr>
                <w:sz w:val="24"/>
                <w:szCs w:val="24"/>
              </w:rPr>
              <w:t>more flexibility in obtain</w:t>
            </w:r>
            <w:r w:rsidR="009A4AD1">
              <w:rPr>
                <w:sz w:val="24"/>
                <w:szCs w:val="24"/>
              </w:rPr>
              <w:t>ing</w:t>
            </w:r>
            <w:r w:rsidR="002227B0">
              <w:rPr>
                <w:sz w:val="24"/>
                <w:szCs w:val="24"/>
              </w:rPr>
              <w:t xml:space="preserve"> </w:t>
            </w:r>
            <w:r w:rsidR="002227B0" w:rsidRPr="00B4367F">
              <w:rPr>
                <w:sz w:val="24"/>
                <w:szCs w:val="24"/>
              </w:rPr>
              <w:t>reductions</w:t>
            </w:r>
            <w:r w:rsidR="002227B0">
              <w:rPr>
                <w:sz w:val="24"/>
                <w:szCs w:val="24"/>
              </w:rPr>
              <w:t xml:space="preserve"> to</w:t>
            </w:r>
            <w:r w:rsidR="002227B0" w:rsidRPr="00B4367F">
              <w:rPr>
                <w:sz w:val="24"/>
                <w:szCs w:val="24"/>
              </w:rPr>
              <w:t xml:space="preserve"> offset </w:t>
            </w:r>
            <w:r w:rsidR="002227B0">
              <w:rPr>
                <w:sz w:val="24"/>
                <w:szCs w:val="24"/>
              </w:rPr>
              <w:t>proposed</w:t>
            </w:r>
            <w:r w:rsidR="002227B0" w:rsidRPr="00B4367F">
              <w:rPr>
                <w:sz w:val="24"/>
                <w:szCs w:val="24"/>
              </w:rPr>
              <w:t xml:space="preserve"> emission increases</w:t>
            </w:r>
            <w:r w:rsidR="009A4AD1">
              <w:rPr>
                <w:sz w:val="24"/>
                <w:szCs w:val="24"/>
              </w:rPr>
              <w:t>,</w:t>
            </w:r>
            <w:r w:rsidR="003E2DEC">
              <w:rPr>
                <w:sz w:val="24"/>
                <w:szCs w:val="24"/>
              </w:rPr>
              <w:t xml:space="preserve"> </w:t>
            </w:r>
            <w:r w:rsidR="002227B0">
              <w:rPr>
                <w:sz w:val="24"/>
                <w:szCs w:val="24"/>
              </w:rPr>
              <w:t xml:space="preserve">unless DEQ </w:t>
            </w:r>
            <w:r w:rsidR="002227B0">
              <w:rPr>
                <w:sz w:val="24"/>
                <w:szCs w:val="24"/>
              </w:rPr>
              <w:lastRenderedPageBreak/>
              <w:t xml:space="preserve">determines </w:t>
            </w:r>
            <w:r w:rsidR="002227B0" w:rsidRPr="00B4367F">
              <w:rPr>
                <w:sz w:val="24"/>
                <w:szCs w:val="24"/>
              </w:rPr>
              <w:t xml:space="preserve">the project will pose a </w:t>
            </w:r>
            <w:r w:rsidR="002227B0">
              <w:rPr>
                <w:sz w:val="24"/>
                <w:szCs w:val="24"/>
              </w:rPr>
              <w:t>compliance</w:t>
            </w:r>
            <w:r w:rsidR="002227B0" w:rsidRPr="00B4367F">
              <w:rPr>
                <w:sz w:val="24"/>
                <w:szCs w:val="24"/>
              </w:rPr>
              <w:t xml:space="preserve"> threat in </w:t>
            </w:r>
            <w:r w:rsidR="009A4AD1">
              <w:rPr>
                <w:sz w:val="24"/>
                <w:szCs w:val="24"/>
              </w:rPr>
              <w:t xml:space="preserve">geographic </w:t>
            </w:r>
            <w:r w:rsidR="002227B0" w:rsidRPr="00B4367F">
              <w:rPr>
                <w:sz w:val="24"/>
                <w:szCs w:val="24"/>
              </w:rPr>
              <w:t xml:space="preserve">areas that are working to </w:t>
            </w:r>
            <w:r w:rsidR="009A4AD1">
              <w:rPr>
                <w:sz w:val="24"/>
                <w:szCs w:val="24"/>
              </w:rPr>
              <w:t>either</w:t>
            </w:r>
            <w:r w:rsidR="009A4AD1" w:rsidRPr="00B4367F">
              <w:rPr>
                <w:sz w:val="24"/>
                <w:szCs w:val="24"/>
              </w:rPr>
              <w:t xml:space="preserve"> </w:t>
            </w:r>
            <w:r w:rsidR="002227B0" w:rsidRPr="00B4367F">
              <w:rPr>
                <w:sz w:val="24"/>
                <w:szCs w:val="24"/>
              </w:rPr>
              <w:t>maintain</w:t>
            </w:r>
            <w:r w:rsidR="009A4AD1">
              <w:rPr>
                <w:sz w:val="24"/>
                <w:szCs w:val="24"/>
              </w:rPr>
              <w:t xml:space="preserve"> or</w:t>
            </w:r>
            <w:r w:rsidR="002227B0" w:rsidRPr="00B4367F">
              <w:rPr>
                <w:sz w:val="24"/>
                <w:szCs w:val="24"/>
              </w:rPr>
              <w:t xml:space="preserve"> </w:t>
            </w:r>
            <w:r w:rsidR="002227B0">
              <w:rPr>
                <w:sz w:val="24"/>
                <w:szCs w:val="24"/>
              </w:rPr>
              <w:t xml:space="preserve">do not meet </w:t>
            </w:r>
            <w:r w:rsidR="003E2DEC">
              <w:rPr>
                <w:sz w:val="24"/>
                <w:szCs w:val="24"/>
              </w:rPr>
              <w:t xml:space="preserve">air quality </w:t>
            </w:r>
            <w:r w:rsidR="002227B0">
              <w:rPr>
                <w:sz w:val="24"/>
                <w:szCs w:val="24"/>
              </w:rPr>
              <w:t xml:space="preserve">standards. </w:t>
            </w:r>
          </w:p>
          <w:p w:rsidR="00E6146D" w:rsidRDefault="00E6146D" w:rsidP="00E6146D">
            <w:pPr>
              <w:pStyle w:val="DEQTEXTforFACTSHEET"/>
              <w:rPr>
                <w:sz w:val="24"/>
                <w:szCs w:val="24"/>
                <w:u w:val="single"/>
              </w:rPr>
            </w:pPr>
          </w:p>
          <w:p w:rsidR="007314CC" w:rsidRDefault="002227B0" w:rsidP="00E6146D">
            <w:pPr>
              <w:pStyle w:val="DEQTEXTforFACTSHEET"/>
              <w:rPr>
                <w:sz w:val="24"/>
                <w:szCs w:val="24"/>
              </w:rPr>
            </w:pPr>
            <w:r>
              <w:rPr>
                <w:sz w:val="24"/>
                <w:szCs w:val="24"/>
                <w:u w:val="single"/>
              </w:rPr>
              <w:t xml:space="preserve">Acid Rain </w:t>
            </w:r>
            <w:r w:rsidRPr="00B4367F">
              <w:rPr>
                <w:sz w:val="24"/>
                <w:szCs w:val="24"/>
                <w:u w:val="single"/>
              </w:rPr>
              <w:t>Permitting Rule Update</w:t>
            </w:r>
          </w:p>
          <w:p w:rsidR="002227B0" w:rsidRDefault="002227B0" w:rsidP="00E6146D">
            <w:pPr>
              <w:pStyle w:val="DEQTEXTforFACTSHEET"/>
              <w:rPr>
                <w:sz w:val="24"/>
                <w:szCs w:val="24"/>
              </w:rPr>
            </w:pPr>
            <w:smartTag w:uri="urn:schemas-microsoft-com:office:smarttags" w:element="stockticker">
              <w:r w:rsidRPr="00B4367F">
                <w:rPr>
                  <w:sz w:val="24"/>
                  <w:szCs w:val="24"/>
                </w:rPr>
                <w:t>Oregon</w:t>
              </w:r>
            </w:smartTag>
            <w:r w:rsidRPr="00B4367F">
              <w:rPr>
                <w:sz w:val="24"/>
                <w:szCs w:val="24"/>
              </w:rPr>
              <w:t xml:space="preserve">’s rules </w:t>
            </w:r>
            <w:r>
              <w:rPr>
                <w:sz w:val="24"/>
                <w:szCs w:val="24"/>
              </w:rPr>
              <w:t>would</w:t>
            </w:r>
            <w:r w:rsidRPr="00B4367F">
              <w:rPr>
                <w:sz w:val="24"/>
                <w:szCs w:val="24"/>
              </w:rPr>
              <w:t xml:space="preserve"> reflect EPA’s changes in the federal acid rain program</w:t>
            </w:r>
            <w:r>
              <w:rPr>
                <w:sz w:val="24"/>
                <w:szCs w:val="24"/>
              </w:rPr>
              <w:t xml:space="preserve">. </w:t>
            </w:r>
          </w:p>
          <w:p w:rsidR="00391CFD" w:rsidRPr="00B4367F" w:rsidRDefault="00391CFD" w:rsidP="00E6146D">
            <w:pPr>
              <w:pStyle w:val="DEQTEXTforFACTSHEET"/>
              <w:rPr>
                <w:sz w:val="24"/>
                <w:szCs w:val="24"/>
                <w:u w:val="single"/>
              </w:rPr>
            </w:pPr>
          </w:p>
          <w:p w:rsidR="002227B0" w:rsidRDefault="002227B0" w:rsidP="00E6146D">
            <w:pPr>
              <w:pStyle w:val="DEQTEXTforFACTSHEET"/>
              <w:rPr>
                <w:sz w:val="24"/>
                <w:szCs w:val="24"/>
              </w:rPr>
            </w:pPr>
            <w:r w:rsidRPr="00B4367F">
              <w:rPr>
                <w:sz w:val="24"/>
                <w:szCs w:val="24"/>
              </w:rPr>
              <w:t xml:space="preserve">A summary of rule changes including the reason or basis for each change is shown in </w:t>
            </w:r>
            <w:r w:rsidR="007314CC">
              <w:rPr>
                <w:sz w:val="24"/>
                <w:szCs w:val="24"/>
              </w:rPr>
              <w:t>a</w:t>
            </w:r>
            <w:r w:rsidRPr="00B4367F">
              <w:rPr>
                <w:sz w:val="24"/>
                <w:szCs w:val="24"/>
              </w:rPr>
              <w:t>ttachment B</w:t>
            </w:r>
            <w:r>
              <w:rPr>
                <w:sz w:val="24"/>
                <w:szCs w:val="24"/>
              </w:rPr>
              <w:t xml:space="preserve">. </w:t>
            </w:r>
          </w:p>
        </w:tc>
      </w:tr>
      <w:tr w:rsidR="002227B0" w:rsidRPr="006F3BD4">
        <w:trPr>
          <w:trHeight w:val="720"/>
        </w:trPr>
        <w:tc>
          <w:tcPr>
            <w:tcW w:w="1908" w:type="dxa"/>
            <w:tcMar>
              <w:bottom w:w="200" w:type="dxa"/>
            </w:tcMar>
          </w:tcPr>
          <w:p w:rsidR="002227B0" w:rsidRPr="006F3BD4" w:rsidRDefault="007F0B7B" w:rsidP="00E6146D">
            <w:pPr>
              <w:tabs>
                <w:tab w:val="left" w:pos="-1440"/>
                <w:tab w:val="left" w:pos="-720"/>
                <w:tab w:val="left" w:pos="4050"/>
              </w:tabs>
              <w:suppressAutoHyphens/>
              <w:rPr>
                <w:rFonts w:ascii="Times New Roman" w:hAnsi="Times New Roman" w:cs="Times New Roman"/>
                <w:b/>
                <w:bCs/>
              </w:rPr>
            </w:pPr>
            <w:r>
              <w:rPr>
                <w:rFonts w:ascii="Times New Roman" w:hAnsi="Times New Roman" w:cs="Times New Roman"/>
                <w:b/>
                <w:bCs/>
              </w:rPr>
              <w:lastRenderedPageBreak/>
              <w:t>Commission a</w:t>
            </w:r>
            <w:r w:rsidR="002227B0" w:rsidRPr="006F3BD4">
              <w:rPr>
                <w:rFonts w:ascii="Times New Roman" w:hAnsi="Times New Roman" w:cs="Times New Roman"/>
                <w:b/>
                <w:bCs/>
              </w:rPr>
              <w:t>uthority</w:t>
            </w:r>
          </w:p>
        </w:tc>
        <w:tc>
          <w:tcPr>
            <w:tcW w:w="8376" w:type="dxa"/>
            <w:tcMar>
              <w:bottom w:w="200" w:type="dxa"/>
            </w:tcMar>
          </w:tcPr>
          <w:p w:rsidR="002227B0" w:rsidRPr="00AB244D" w:rsidRDefault="002227B0" w:rsidP="00E6146D">
            <w:pPr>
              <w:tabs>
                <w:tab w:val="left" w:pos="-1440"/>
                <w:tab w:val="left" w:pos="-720"/>
                <w:tab w:val="left" w:pos="4050"/>
              </w:tabs>
              <w:suppressAutoHyphens/>
              <w:rPr>
                <w:rFonts w:ascii="Times New Roman" w:hAnsi="Times New Roman" w:cs="Times New Roman"/>
                <w:spacing w:val="-3"/>
              </w:rPr>
            </w:pPr>
            <w:r w:rsidRPr="00DE42B1">
              <w:rPr>
                <w:rFonts w:ascii="Times New Roman" w:hAnsi="Times New Roman" w:cs="Times New Roman"/>
              </w:rPr>
              <w:t xml:space="preserve">The </w:t>
            </w:r>
            <w:r w:rsidR="007314CC">
              <w:rPr>
                <w:rFonts w:ascii="Times New Roman" w:hAnsi="Times New Roman" w:cs="Times New Roman"/>
              </w:rPr>
              <w:t>c</w:t>
            </w:r>
            <w:r w:rsidRPr="00DE42B1">
              <w:rPr>
                <w:rFonts w:ascii="Times New Roman" w:hAnsi="Times New Roman" w:cs="Times New Roman"/>
              </w:rPr>
              <w:t xml:space="preserve">ommission has authority to take this action under ORS 468.020, </w:t>
            </w:r>
            <w:r w:rsidRPr="00100FCF">
              <w:rPr>
                <w:rFonts w:ascii="Times New Roman" w:hAnsi="Times New Roman" w:cs="Times New Roman"/>
              </w:rPr>
              <w:t xml:space="preserve">ORS 468.065, </w:t>
            </w:r>
            <w:r>
              <w:rPr>
                <w:rFonts w:ascii="Times New Roman" w:hAnsi="Times New Roman" w:cs="Times New Roman"/>
              </w:rPr>
              <w:t xml:space="preserve">ORS </w:t>
            </w:r>
            <w:r w:rsidRPr="00100FCF">
              <w:rPr>
                <w:rFonts w:ascii="Times New Roman" w:hAnsi="Times New Roman" w:cs="Times New Roman"/>
              </w:rPr>
              <w:t xml:space="preserve">468A.025, </w:t>
            </w:r>
            <w:r w:rsidRPr="00E95C50">
              <w:rPr>
                <w:rFonts w:ascii="Times New Roman" w:hAnsi="Times New Roman" w:cs="Times New Roman"/>
              </w:rPr>
              <w:t>ORS 468A.040</w:t>
            </w:r>
            <w:r>
              <w:rPr>
                <w:rFonts w:ascii="Times New Roman" w:hAnsi="Times New Roman" w:cs="Times New Roman"/>
              </w:rPr>
              <w:t>, ORS 468A.055 and ORS 468A.310.</w:t>
            </w:r>
          </w:p>
        </w:tc>
      </w:tr>
      <w:tr w:rsidR="002227B0" w:rsidRPr="006F3BD4">
        <w:trPr>
          <w:trHeight w:val="2115"/>
        </w:trPr>
        <w:tc>
          <w:tcPr>
            <w:tcW w:w="1908" w:type="dxa"/>
            <w:tcMar>
              <w:bottom w:w="200" w:type="dxa"/>
            </w:tcMar>
          </w:tcPr>
          <w:p w:rsidR="002227B0" w:rsidRPr="006F3BD4" w:rsidRDefault="007F0B7B" w:rsidP="00E6146D">
            <w:pPr>
              <w:tabs>
                <w:tab w:val="left" w:pos="-1440"/>
                <w:tab w:val="left" w:pos="-720"/>
                <w:tab w:val="left" w:pos="4050"/>
              </w:tabs>
              <w:suppressAutoHyphens/>
              <w:rPr>
                <w:rFonts w:ascii="Times New Roman" w:hAnsi="Times New Roman" w:cs="Times New Roman"/>
                <w:b/>
                <w:bCs/>
              </w:rPr>
            </w:pPr>
            <w:r>
              <w:rPr>
                <w:rFonts w:ascii="Times New Roman" w:hAnsi="Times New Roman" w:cs="Times New Roman"/>
                <w:b/>
                <w:bCs/>
              </w:rPr>
              <w:t>Stakeholder i</w:t>
            </w:r>
            <w:r w:rsidR="002227B0" w:rsidRPr="006F3BD4">
              <w:rPr>
                <w:rFonts w:ascii="Times New Roman" w:hAnsi="Times New Roman" w:cs="Times New Roman"/>
                <w:b/>
                <w:bCs/>
              </w:rPr>
              <w:t>nvolvement</w:t>
            </w:r>
          </w:p>
          <w:p w:rsidR="002227B0" w:rsidRPr="006F3BD4" w:rsidRDefault="002227B0" w:rsidP="00E6146D">
            <w:pPr>
              <w:tabs>
                <w:tab w:val="left" w:pos="-1440"/>
                <w:tab w:val="left" w:pos="-720"/>
                <w:tab w:val="left" w:pos="4050"/>
              </w:tabs>
              <w:suppressAutoHyphens/>
              <w:rPr>
                <w:rFonts w:ascii="Times New Roman" w:hAnsi="Times New Roman" w:cs="Times New Roman"/>
                <w:b/>
                <w:bCs/>
                <w:spacing w:val="-3"/>
              </w:rPr>
            </w:pPr>
          </w:p>
        </w:tc>
        <w:tc>
          <w:tcPr>
            <w:tcW w:w="8376" w:type="dxa"/>
            <w:tcMar>
              <w:bottom w:w="200" w:type="dxa"/>
            </w:tcMar>
          </w:tcPr>
          <w:p w:rsidR="002227B0" w:rsidRPr="00A92D69" w:rsidRDefault="002227B0" w:rsidP="007314CC">
            <w:pPr>
              <w:widowControl w:val="0"/>
              <w:tabs>
                <w:tab w:val="left" w:pos="-1440"/>
                <w:tab w:val="left" w:pos="-720"/>
              </w:tabs>
              <w:suppressAutoHyphens/>
              <w:rPr>
                <w:rFonts w:ascii="Times New Roman" w:hAnsi="Times New Roman" w:cs="Times New Roman"/>
              </w:rPr>
            </w:pPr>
            <w:r w:rsidRPr="00964563">
              <w:rPr>
                <w:rFonts w:ascii="Times New Roman" w:hAnsi="Times New Roman" w:cs="Times New Roman"/>
              </w:rPr>
              <w:t xml:space="preserve">Public stakeholder meetings were held </w:t>
            </w:r>
            <w:smartTag w:uri="urn:schemas-microsoft-com:office:smarttags" w:element="stockticker">
              <w:r w:rsidRPr="00964563">
                <w:rPr>
                  <w:rFonts w:ascii="Times New Roman" w:hAnsi="Times New Roman" w:cs="Times New Roman"/>
                </w:rPr>
                <w:t>July 19, 2010</w:t>
              </w:r>
              <w:r w:rsidR="007314CC">
                <w:rPr>
                  <w:rFonts w:ascii="Times New Roman" w:hAnsi="Times New Roman" w:cs="Times New Roman"/>
                </w:rPr>
                <w:t>,</w:t>
              </w:r>
            </w:smartTag>
            <w:r w:rsidRPr="00964563">
              <w:rPr>
                <w:rFonts w:ascii="Times New Roman" w:hAnsi="Times New Roman" w:cs="Times New Roman"/>
              </w:rPr>
              <w:t xml:space="preserve"> and Aug</w:t>
            </w:r>
            <w:r w:rsidR="007314CC">
              <w:rPr>
                <w:rFonts w:ascii="Times New Roman" w:hAnsi="Times New Roman" w:cs="Times New Roman"/>
              </w:rPr>
              <w:t xml:space="preserve">. </w:t>
            </w:r>
            <w:r w:rsidRPr="00964563">
              <w:rPr>
                <w:rFonts w:ascii="Times New Roman" w:hAnsi="Times New Roman" w:cs="Times New Roman"/>
              </w:rPr>
              <w:t>13, 2010</w:t>
            </w:r>
            <w:r w:rsidR="007314CC">
              <w:rPr>
                <w:rFonts w:ascii="Times New Roman" w:hAnsi="Times New Roman" w:cs="Times New Roman"/>
              </w:rPr>
              <w:t>,</w:t>
            </w:r>
            <w:r w:rsidRPr="00964563">
              <w:rPr>
                <w:rFonts w:ascii="Times New Roman" w:hAnsi="Times New Roman" w:cs="Times New Roman"/>
              </w:rPr>
              <w:t xml:space="preserve"> to discuss the proposed </w:t>
            </w:r>
            <w:r>
              <w:rPr>
                <w:rFonts w:ascii="Times New Roman" w:hAnsi="Times New Roman" w:cs="Times New Roman"/>
              </w:rPr>
              <w:t xml:space="preserve">temporary </w:t>
            </w:r>
            <w:r w:rsidRPr="00964563">
              <w:rPr>
                <w:rFonts w:ascii="Times New Roman" w:hAnsi="Times New Roman" w:cs="Times New Roman"/>
              </w:rPr>
              <w:t xml:space="preserve">rule changes. All permit holders and individuals who indicated interest in air quality rule makings were </w:t>
            </w:r>
            <w:r>
              <w:rPr>
                <w:rFonts w:ascii="Times New Roman" w:hAnsi="Times New Roman" w:cs="Times New Roman"/>
              </w:rPr>
              <w:t xml:space="preserve">notified and </w:t>
            </w:r>
            <w:r w:rsidRPr="00964563">
              <w:rPr>
                <w:rFonts w:ascii="Times New Roman" w:hAnsi="Times New Roman" w:cs="Times New Roman"/>
              </w:rPr>
              <w:t>invited to attend. An announcement of the meetings was posted on DEQ’s website. Input from the stakeholder meetings was incorporated into the proposed rules where appropriate. Additional meetings were held with individual stakeholders in late September</w:t>
            </w:r>
            <w:r>
              <w:rPr>
                <w:rFonts w:ascii="Times New Roman" w:hAnsi="Times New Roman" w:cs="Times New Roman"/>
              </w:rPr>
              <w:t xml:space="preserve">, </w:t>
            </w:r>
            <w:r w:rsidRPr="00964563">
              <w:rPr>
                <w:rFonts w:ascii="Times New Roman" w:hAnsi="Times New Roman" w:cs="Times New Roman"/>
              </w:rPr>
              <w:t>early October</w:t>
            </w:r>
            <w:r w:rsidR="00391CFD">
              <w:rPr>
                <w:rFonts w:ascii="Times New Roman" w:hAnsi="Times New Roman" w:cs="Times New Roman"/>
              </w:rPr>
              <w:t>,</w:t>
            </w:r>
            <w:r>
              <w:rPr>
                <w:rFonts w:ascii="Times New Roman" w:hAnsi="Times New Roman" w:cs="Times New Roman"/>
              </w:rPr>
              <w:t xml:space="preserve"> late November</w:t>
            </w:r>
            <w:r w:rsidR="003F357E">
              <w:rPr>
                <w:rFonts w:ascii="Times New Roman" w:hAnsi="Times New Roman" w:cs="Times New Roman"/>
              </w:rPr>
              <w:t>, and mid December</w:t>
            </w:r>
            <w:r w:rsidR="007314CC">
              <w:rPr>
                <w:rFonts w:ascii="Times New Roman" w:hAnsi="Times New Roman" w:cs="Times New Roman"/>
              </w:rPr>
              <w:t>, 2010</w:t>
            </w:r>
            <w:r w:rsidRPr="00964563">
              <w:rPr>
                <w:rFonts w:ascii="Times New Roman" w:hAnsi="Times New Roman" w:cs="Times New Roman"/>
              </w:rPr>
              <w:t>.</w:t>
            </w:r>
          </w:p>
        </w:tc>
      </w:tr>
      <w:tr w:rsidR="002227B0" w:rsidRPr="006F3BD4">
        <w:trPr>
          <w:trHeight w:val="333"/>
        </w:trPr>
        <w:tc>
          <w:tcPr>
            <w:tcW w:w="1908" w:type="dxa"/>
            <w:tcMar>
              <w:bottom w:w="200" w:type="dxa"/>
            </w:tcMar>
          </w:tcPr>
          <w:p w:rsidR="002227B0" w:rsidRPr="006F3BD4" w:rsidRDefault="007F0B7B" w:rsidP="00E6146D">
            <w:pPr>
              <w:tabs>
                <w:tab w:val="left" w:pos="-1440"/>
                <w:tab w:val="left" w:pos="-720"/>
                <w:tab w:val="left" w:pos="4050"/>
              </w:tabs>
              <w:suppressAutoHyphens/>
              <w:rPr>
                <w:rFonts w:ascii="Times New Roman" w:hAnsi="Times New Roman" w:cs="Times New Roman"/>
                <w:b/>
                <w:bCs/>
                <w:spacing w:val="-3"/>
              </w:rPr>
            </w:pPr>
            <w:r>
              <w:rPr>
                <w:rFonts w:ascii="Times New Roman" w:hAnsi="Times New Roman" w:cs="Times New Roman"/>
                <w:b/>
                <w:bCs/>
                <w:spacing w:val="-3"/>
              </w:rPr>
              <w:t>Public c</w:t>
            </w:r>
            <w:r w:rsidR="002227B0" w:rsidRPr="006F3BD4">
              <w:rPr>
                <w:rFonts w:ascii="Times New Roman" w:hAnsi="Times New Roman" w:cs="Times New Roman"/>
                <w:b/>
                <w:bCs/>
                <w:spacing w:val="-3"/>
              </w:rPr>
              <w:t>omment</w:t>
            </w:r>
          </w:p>
          <w:p w:rsidR="002227B0" w:rsidRPr="006F3BD4" w:rsidRDefault="002227B0" w:rsidP="00E6146D">
            <w:pPr>
              <w:tabs>
                <w:tab w:val="left" w:pos="-1440"/>
                <w:tab w:val="left" w:pos="-720"/>
                <w:tab w:val="left" w:pos="4050"/>
              </w:tabs>
              <w:suppressAutoHyphens/>
              <w:rPr>
                <w:rFonts w:ascii="Times New Roman" w:hAnsi="Times New Roman" w:cs="Times New Roman"/>
                <w:b/>
                <w:bCs/>
                <w:spacing w:val="-3"/>
              </w:rPr>
            </w:pPr>
          </w:p>
        </w:tc>
        <w:tc>
          <w:tcPr>
            <w:tcW w:w="8376" w:type="dxa"/>
            <w:tcMar>
              <w:bottom w:w="200" w:type="dxa"/>
            </w:tcMar>
          </w:tcPr>
          <w:p w:rsidR="002227B0" w:rsidRPr="003D60E8" w:rsidRDefault="007314CC" w:rsidP="007314CC">
            <w:pPr>
              <w:autoSpaceDE w:val="0"/>
              <w:autoSpaceDN w:val="0"/>
              <w:adjustRightInd w:val="0"/>
            </w:pPr>
            <w:r>
              <w:rPr>
                <w:rFonts w:ascii="Times New Roman" w:hAnsi="Times New Roman" w:cs="Times New Roman"/>
              </w:rPr>
              <w:t xml:space="preserve">DEQ held a </w:t>
            </w:r>
            <w:r w:rsidR="002227B0" w:rsidRPr="00CA1ACD">
              <w:rPr>
                <w:rFonts w:ascii="Times New Roman" w:hAnsi="Times New Roman" w:cs="Times New Roman"/>
              </w:rPr>
              <w:t xml:space="preserve">public comment period </w:t>
            </w:r>
            <w:r w:rsidR="002227B0">
              <w:rPr>
                <w:rFonts w:ascii="Times New Roman" w:hAnsi="Times New Roman" w:cs="Times New Roman"/>
              </w:rPr>
              <w:t xml:space="preserve">for this </w:t>
            </w:r>
            <w:r>
              <w:rPr>
                <w:rFonts w:ascii="Times New Roman" w:hAnsi="Times New Roman" w:cs="Times New Roman"/>
              </w:rPr>
              <w:t xml:space="preserve">proposed </w:t>
            </w:r>
            <w:r w:rsidR="00291D22">
              <w:rPr>
                <w:rFonts w:ascii="Times New Roman" w:hAnsi="Times New Roman" w:cs="Times New Roman"/>
              </w:rPr>
              <w:t>r</w:t>
            </w:r>
            <w:r>
              <w:rPr>
                <w:rFonts w:ascii="Times New Roman" w:hAnsi="Times New Roman" w:cs="Times New Roman"/>
              </w:rPr>
              <w:t xml:space="preserve">ule </w:t>
            </w:r>
            <w:r w:rsidR="002227B0">
              <w:rPr>
                <w:rFonts w:ascii="Times New Roman" w:hAnsi="Times New Roman" w:cs="Times New Roman"/>
              </w:rPr>
              <w:t xml:space="preserve">adoption </w:t>
            </w:r>
            <w:r w:rsidR="002227B0" w:rsidRPr="00CA1ACD">
              <w:rPr>
                <w:rFonts w:ascii="Times New Roman" w:hAnsi="Times New Roman" w:cs="Times New Roman"/>
              </w:rPr>
              <w:t>from</w:t>
            </w:r>
            <w:r w:rsidR="002227B0">
              <w:rPr>
                <w:rFonts w:ascii="Times New Roman" w:hAnsi="Times New Roman" w:cs="Times New Roman"/>
              </w:rPr>
              <w:t xml:space="preserve"> </w:t>
            </w:r>
            <w:r>
              <w:rPr>
                <w:rFonts w:ascii="Times New Roman" w:hAnsi="Times New Roman" w:cs="Times New Roman"/>
              </w:rPr>
              <w:t xml:space="preserve">Oct. </w:t>
            </w:r>
            <w:r w:rsidR="002227B0">
              <w:rPr>
                <w:rFonts w:ascii="Times New Roman" w:hAnsi="Times New Roman" w:cs="Times New Roman"/>
              </w:rPr>
              <w:t>14, 2010</w:t>
            </w:r>
            <w:r>
              <w:rPr>
                <w:rFonts w:ascii="Times New Roman" w:hAnsi="Times New Roman" w:cs="Times New Roman"/>
              </w:rPr>
              <w:t>,</w:t>
            </w:r>
            <w:r w:rsidR="002227B0">
              <w:rPr>
                <w:rFonts w:ascii="Times New Roman" w:hAnsi="Times New Roman" w:cs="Times New Roman"/>
              </w:rPr>
              <w:t xml:space="preserve"> to Nov</w:t>
            </w:r>
            <w:r>
              <w:rPr>
                <w:rFonts w:ascii="Times New Roman" w:hAnsi="Times New Roman" w:cs="Times New Roman"/>
              </w:rPr>
              <w:t>.</w:t>
            </w:r>
            <w:r w:rsidR="002227B0">
              <w:rPr>
                <w:rFonts w:ascii="Times New Roman" w:hAnsi="Times New Roman" w:cs="Times New Roman"/>
              </w:rPr>
              <w:t xml:space="preserve"> 24</w:t>
            </w:r>
            <w:r w:rsidR="002227B0" w:rsidRPr="00CA1ACD">
              <w:rPr>
                <w:rFonts w:ascii="Times New Roman" w:hAnsi="Times New Roman" w:cs="Times New Roman"/>
              </w:rPr>
              <w:t>, 2010</w:t>
            </w:r>
            <w:r>
              <w:rPr>
                <w:rFonts w:ascii="Times New Roman" w:hAnsi="Times New Roman" w:cs="Times New Roman"/>
              </w:rPr>
              <w:t>,</w:t>
            </w:r>
            <w:r w:rsidR="002227B0" w:rsidRPr="00CA1ACD">
              <w:rPr>
                <w:rFonts w:ascii="Times New Roman" w:hAnsi="Times New Roman" w:cs="Times New Roman"/>
              </w:rPr>
              <w:t xml:space="preserve"> and </w:t>
            </w:r>
            <w:r>
              <w:rPr>
                <w:rFonts w:ascii="Times New Roman" w:hAnsi="Times New Roman" w:cs="Times New Roman"/>
              </w:rPr>
              <w:t>convened</w:t>
            </w:r>
            <w:r w:rsidRPr="00CA1ACD">
              <w:rPr>
                <w:rFonts w:ascii="Times New Roman" w:hAnsi="Times New Roman" w:cs="Times New Roman"/>
              </w:rPr>
              <w:t xml:space="preserve"> </w:t>
            </w:r>
            <w:r w:rsidR="002227B0" w:rsidRPr="00CA1ACD">
              <w:rPr>
                <w:rFonts w:ascii="Times New Roman" w:hAnsi="Times New Roman" w:cs="Times New Roman"/>
              </w:rPr>
              <w:t>public hearings in Medford, Bend, Portland and Salem</w:t>
            </w:r>
            <w:r w:rsidR="002227B0">
              <w:rPr>
                <w:rFonts w:ascii="Times New Roman" w:hAnsi="Times New Roman" w:cs="Times New Roman"/>
              </w:rPr>
              <w:t xml:space="preserve">. </w:t>
            </w:r>
            <w:r>
              <w:rPr>
                <w:rFonts w:ascii="Times New Roman" w:hAnsi="Times New Roman" w:cs="Times New Roman"/>
              </w:rPr>
              <w:t>DEQ</w:t>
            </w:r>
            <w:r w:rsidR="002227B0" w:rsidRPr="003A6A4D">
              <w:rPr>
                <w:rFonts w:ascii="Times New Roman" w:hAnsi="Times New Roman" w:cs="Times New Roman"/>
              </w:rPr>
              <w:t xml:space="preserve"> received </w:t>
            </w:r>
            <w:r w:rsidR="002227B0">
              <w:rPr>
                <w:rFonts w:ascii="Times New Roman" w:hAnsi="Times New Roman" w:cs="Times New Roman"/>
              </w:rPr>
              <w:t>no</w:t>
            </w:r>
            <w:r w:rsidR="002227B0" w:rsidRPr="003A6A4D">
              <w:rPr>
                <w:rFonts w:ascii="Times New Roman" w:hAnsi="Times New Roman" w:cs="Times New Roman"/>
              </w:rPr>
              <w:t xml:space="preserve"> oral comments at the public hearings and </w:t>
            </w:r>
            <w:r w:rsidR="003F357E">
              <w:rPr>
                <w:rFonts w:ascii="Times New Roman" w:hAnsi="Times New Roman" w:cs="Times New Roman"/>
              </w:rPr>
              <w:t>19</w:t>
            </w:r>
            <w:r w:rsidR="002227B0" w:rsidRPr="003A6A4D">
              <w:rPr>
                <w:rFonts w:ascii="Times New Roman" w:hAnsi="Times New Roman" w:cs="Times New Roman"/>
              </w:rPr>
              <w:t xml:space="preserve"> </w:t>
            </w:r>
            <w:r w:rsidR="002227B0">
              <w:rPr>
                <w:rFonts w:ascii="Times New Roman" w:hAnsi="Times New Roman" w:cs="Times New Roman"/>
              </w:rPr>
              <w:t>written comments. Based on the comments received, DEQ reopened the comment period asking for additional input on alternative approaches to incorporate PM</w:t>
            </w:r>
            <w:r w:rsidR="002227B0">
              <w:rPr>
                <w:rFonts w:ascii="Times New Roman" w:hAnsi="Times New Roman" w:cs="Times New Roman"/>
                <w:vertAlign w:val="subscript"/>
              </w:rPr>
              <w:t>2.5</w:t>
            </w:r>
            <w:r w:rsidR="002227B0">
              <w:rPr>
                <w:rFonts w:ascii="Times New Roman" w:hAnsi="Times New Roman" w:cs="Times New Roman"/>
              </w:rPr>
              <w:t xml:space="preserve"> and </w:t>
            </w:r>
            <w:r>
              <w:rPr>
                <w:rFonts w:ascii="Times New Roman" w:hAnsi="Times New Roman" w:cs="Times New Roman"/>
              </w:rPr>
              <w:t xml:space="preserve">greenhouse gases </w:t>
            </w:r>
            <w:r w:rsidR="002227B0">
              <w:rPr>
                <w:rFonts w:ascii="Times New Roman" w:hAnsi="Times New Roman" w:cs="Times New Roman"/>
              </w:rPr>
              <w:t>into the NSR/PSD program</w:t>
            </w:r>
            <w:r>
              <w:rPr>
                <w:rFonts w:ascii="Times New Roman" w:hAnsi="Times New Roman" w:cs="Times New Roman"/>
              </w:rPr>
              <w:t>.</w:t>
            </w:r>
            <w:r w:rsidR="002227B0">
              <w:rPr>
                <w:rFonts w:ascii="Times New Roman" w:hAnsi="Times New Roman" w:cs="Times New Roman"/>
              </w:rPr>
              <w:t xml:space="preserve"> This second comment period started Dec</w:t>
            </w:r>
            <w:r>
              <w:rPr>
                <w:rFonts w:ascii="Times New Roman" w:hAnsi="Times New Roman" w:cs="Times New Roman"/>
              </w:rPr>
              <w:t>.</w:t>
            </w:r>
            <w:r w:rsidR="002227B0">
              <w:rPr>
                <w:rFonts w:ascii="Times New Roman" w:hAnsi="Times New Roman" w:cs="Times New Roman"/>
              </w:rPr>
              <w:t xml:space="preserve"> 10</w:t>
            </w:r>
            <w:r>
              <w:rPr>
                <w:rFonts w:ascii="Times New Roman" w:hAnsi="Times New Roman" w:cs="Times New Roman"/>
              </w:rPr>
              <w:t>, 2010, and closed</w:t>
            </w:r>
            <w:r w:rsidR="002227B0">
              <w:rPr>
                <w:rFonts w:ascii="Times New Roman" w:hAnsi="Times New Roman" w:cs="Times New Roman"/>
              </w:rPr>
              <w:t xml:space="preserve"> Jan</w:t>
            </w:r>
            <w:r>
              <w:rPr>
                <w:rFonts w:ascii="Times New Roman" w:hAnsi="Times New Roman" w:cs="Times New Roman"/>
              </w:rPr>
              <w:t>.</w:t>
            </w:r>
            <w:r w:rsidR="002227B0">
              <w:rPr>
                <w:rFonts w:ascii="Times New Roman" w:hAnsi="Times New Roman" w:cs="Times New Roman"/>
              </w:rPr>
              <w:t xml:space="preserve"> 14, 2011. Revised draft language was released for comment Dec</w:t>
            </w:r>
            <w:r>
              <w:rPr>
                <w:rFonts w:ascii="Times New Roman" w:hAnsi="Times New Roman" w:cs="Times New Roman"/>
              </w:rPr>
              <w:t xml:space="preserve">. </w:t>
            </w:r>
            <w:r w:rsidR="002227B0">
              <w:rPr>
                <w:rFonts w:ascii="Times New Roman" w:hAnsi="Times New Roman" w:cs="Times New Roman"/>
              </w:rPr>
              <w:t>23</w:t>
            </w:r>
            <w:r>
              <w:rPr>
                <w:rFonts w:ascii="Times New Roman" w:hAnsi="Times New Roman" w:cs="Times New Roman"/>
              </w:rPr>
              <w:t>, 2010</w:t>
            </w:r>
            <w:r w:rsidR="002227B0">
              <w:rPr>
                <w:rFonts w:ascii="Times New Roman" w:hAnsi="Times New Roman" w:cs="Times New Roman"/>
              </w:rPr>
              <w:t xml:space="preserve">. During the </w:t>
            </w:r>
            <w:r>
              <w:rPr>
                <w:rFonts w:ascii="Times New Roman" w:hAnsi="Times New Roman" w:cs="Times New Roman"/>
              </w:rPr>
              <w:t>second</w:t>
            </w:r>
            <w:r w:rsidR="002227B0">
              <w:rPr>
                <w:rFonts w:ascii="Times New Roman" w:hAnsi="Times New Roman" w:cs="Times New Roman"/>
              </w:rPr>
              <w:t xml:space="preserve"> public comment period, DEQ held meetings with industry, environmental stakeholders and EPA. DEQ received comments from 1</w:t>
            </w:r>
            <w:r w:rsidR="003F357E">
              <w:rPr>
                <w:rFonts w:ascii="Times New Roman" w:hAnsi="Times New Roman" w:cs="Times New Roman"/>
              </w:rPr>
              <w:t>4</w:t>
            </w:r>
            <w:r w:rsidR="002227B0">
              <w:rPr>
                <w:rFonts w:ascii="Times New Roman" w:hAnsi="Times New Roman" w:cs="Times New Roman"/>
              </w:rPr>
              <w:t xml:space="preserve"> organizations, some of which </w:t>
            </w:r>
            <w:r>
              <w:rPr>
                <w:rFonts w:ascii="Times New Roman" w:hAnsi="Times New Roman" w:cs="Times New Roman"/>
              </w:rPr>
              <w:t xml:space="preserve">had </w:t>
            </w:r>
            <w:r w:rsidR="002227B0">
              <w:rPr>
                <w:rFonts w:ascii="Times New Roman" w:hAnsi="Times New Roman" w:cs="Times New Roman"/>
              </w:rPr>
              <w:t xml:space="preserve">commented previously. </w:t>
            </w:r>
            <w:r w:rsidR="002227B0" w:rsidRPr="003A6A4D">
              <w:rPr>
                <w:rFonts w:ascii="Times New Roman" w:hAnsi="Times New Roman" w:cs="Times New Roman"/>
              </w:rPr>
              <w:t xml:space="preserve">A summary of comments and </w:t>
            </w:r>
            <w:r>
              <w:rPr>
                <w:rFonts w:ascii="Times New Roman" w:hAnsi="Times New Roman" w:cs="Times New Roman"/>
              </w:rPr>
              <w:t>DEQ</w:t>
            </w:r>
            <w:r w:rsidRPr="003A6A4D">
              <w:rPr>
                <w:rFonts w:ascii="Times New Roman" w:hAnsi="Times New Roman" w:cs="Times New Roman"/>
              </w:rPr>
              <w:t xml:space="preserve"> </w:t>
            </w:r>
            <w:r w:rsidR="002227B0" w:rsidRPr="003A6A4D">
              <w:rPr>
                <w:rFonts w:ascii="Times New Roman" w:hAnsi="Times New Roman" w:cs="Times New Roman"/>
              </w:rPr>
              <w:t xml:space="preserve">responses is provided in </w:t>
            </w:r>
            <w:r>
              <w:rPr>
                <w:rFonts w:ascii="Times New Roman" w:hAnsi="Times New Roman" w:cs="Times New Roman"/>
              </w:rPr>
              <w:t>a</w:t>
            </w:r>
            <w:r w:rsidR="002227B0" w:rsidRPr="003A6A4D">
              <w:rPr>
                <w:rFonts w:ascii="Times New Roman" w:hAnsi="Times New Roman" w:cs="Times New Roman"/>
              </w:rPr>
              <w:t>ttachment D.</w:t>
            </w:r>
            <w:r w:rsidR="002227B0">
              <w:t xml:space="preserve"> </w:t>
            </w:r>
            <w:r w:rsidR="002673E3">
              <w:t xml:space="preserve">Copies of the public comments are provided in </w:t>
            </w:r>
            <w:r>
              <w:t>a</w:t>
            </w:r>
            <w:r w:rsidR="002673E3">
              <w:t>ttachment E.</w:t>
            </w:r>
            <w:r w:rsidR="00B004DE">
              <w:t xml:space="preserve"> </w:t>
            </w:r>
          </w:p>
        </w:tc>
      </w:tr>
      <w:tr w:rsidR="002227B0" w:rsidRPr="006F3BD4">
        <w:tc>
          <w:tcPr>
            <w:tcW w:w="1908" w:type="dxa"/>
            <w:tcMar>
              <w:bottom w:w="200" w:type="dxa"/>
            </w:tcMar>
          </w:tcPr>
          <w:p w:rsidR="002227B0" w:rsidRPr="006F3BD4" w:rsidRDefault="007F0B7B" w:rsidP="00E6146D">
            <w:pPr>
              <w:rPr>
                <w:rFonts w:ascii="Times New Roman" w:hAnsi="Times New Roman" w:cs="Times New Roman"/>
                <w:b/>
                <w:bCs/>
              </w:rPr>
            </w:pPr>
            <w:r>
              <w:rPr>
                <w:rFonts w:ascii="Times New Roman" w:hAnsi="Times New Roman" w:cs="Times New Roman"/>
                <w:b/>
                <w:bCs/>
              </w:rPr>
              <w:t>Key i</w:t>
            </w:r>
            <w:r w:rsidR="002227B0" w:rsidRPr="006F3BD4">
              <w:rPr>
                <w:rFonts w:ascii="Times New Roman" w:hAnsi="Times New Roman" w:cs="Times New Roman"/>
                <w:b/>
                <w:bCs/>
              </w:rPr>
              <w:t>ssues</w:t>
            </w:r>
          </w:p>
        </w:tc>
        <w:tc>
          <w:tcPr>
            <w:tcW w:w="8376" w:type="dxa"/>
            <w:tcMar>
              <w:bottom w:w="200" w:type="dxa"/>
            </w:tcMar>
          </w:tcPr>
          <w:p w:rsidR="007314CC" w:rsidRDefault="002227B0" w:rsidP="00E6146D">
            <w:r w:rsidRPr="000B33AD">
              <w:rPr>
                <w:u w:val="single"/>
              </w:rPr>
              <w:t>New Source R</w:t>
            </w:r>
            <w:r>
              <w:rPr>
                <w:u w:val="single"/>
              </w:rPr>
              <w:t xml:space="preserve">eview/Prevention of Significant </w:t>
            </w:r>
            <w:r w:rsidR="003F357E">
              <w:rPr>
                <w:u w:val="single"/>
              </w:rPr>
              <w:t xml:space="preserve">Deterioration </w:t>
            </w:r>
            <w:r>
              <w:rPr>
                <w:u w:val="single"/>
              </w:rPr>
              <w:t>for</w:t>
            </w:r>
            <w:r w:rsidRPr="000B33AD">
              <w:rPr>
                <w:u w:val="single"/>
              </w:rPr>
              <w:t xml:space="preserve"> PM</w:t>
            </w:r>
            <w:r w:rsidRPr="000B33AD">
              <w:rPr>
                <w:u w:val="single"/>
                <w:vertAlign w:val="subscript"/>
              </w:rPr>
              <w:t>2.5</w:t>
            </w:r>
          </w:p>
          <w:p w:rsidR="00D464B9" w:rsidRDefault="002227B0" w:rsidP="00E6146D">
            <w:r>
              <w:t>The key issue for PM</w:t>
            </w:r>
            <w:r>
              <w:rPr>
                <w:vertAlign w:val="subscript"/>
              </w:rPr>
              <w:t>2.5</w:t>
            </w:r>
            <w:r>
              <w:t xml:space="preserve"> NSR/PSD was how to incorporate PM</w:t>
            </w:r>
            <w:r>
              <w:rPr>
                <w:vertAlign w:val="subscript"/>
              </w:rPr>
              <w:t>2.5</w:t>
            </w:r>
            <w:r>
              <w:t xml:space="preserve"> as a new pollutant into the existing Oregon program. Because Oregon’s underlying NSR/PSD rules are different from the federal rules, DEQ considered a number of options for incorporating PM</w:t>
            </w:r>
            <w:r w:rsidRPr="003530B2">
              <w:rPr>
                <w:vertAlign w:val="subscript"/>
              </w:rPr>
              <w:t>2.5</w:t>
            </w:r>
            <w:r>
              <w:t xml:space="preserve"> into the program and asked for public comment on each option. After deliberating with stakeholders and reviewing comments, DEQ is recommending </w:t>
            </w:r>
            <w:r w:rsidR="009A4AD1">
              <w:t>a</w:t>
            </w:r>
            <w:r>
              <w:t xml:space="preserve"> straightforward and implementable option. </w:t>
            </w:r>
            <w:r w:rsidRPr="004F722A">
              <w:t>This</w:t>
            </w:r>
            <w:r>
              <w:t xml:space="preserve"> approach treats PM</w:t>
            </w:r>
            <w:r>
              <w:rPr>
                <w:vertAlign w:val="subscript"/>
              </w:rPr>
              <w:t>2.5</w:t>
            </w:r>
            <w:r>
              <w:t xml:space="preserve"> and PM</w:t>
            </w:r>
            <w:r>
              <w:rPr>
                <w:vertAlign w:val="subscript"/>
              </w:rPr>
              <w:t>10</w:t>
            </w:r>
            <w:r>
              <w:t xml:space="preserve"> similarly since the two pollutants are closely related. In fact, PM</w:t>
            </w:r>
            <w:r>
              <w:rPr>
                <w:vertAlign w:val="subscript"/>
              </w:rPr>
              <w:t>2.5</w:t>
            </w:r>
            <w:r>
              <w:t xml:space="preserve"> is a subset of PM</w:t>
            </w:r>
            <w:r>
              <w:rPr>
                <w:vertAlign w:val="subscript"/>
              </w:rPr>
              <w:t>10</w:t>
            </w:r>
            <w:r>
              <w:t>, which is a pollutant already addressed by the existing permitting rules.</w:t>
            </w:r>
            <w:r w:rsidR="00B004DE">
              <w:t xml:space="preserve"> </w:t>
            </w:r>
            <w:r>
              <w:t>As a result, DEQ would evaluate the amount of PM</w:t>
            </w:r>
            <w:r>
              <w:rPr>
                <w:vertAlign w:val="subscript"/>
              </w:rPr>
              <w:t xml:space="preserve">10 </w:t>
            </w:r>
            <w:r>
              <w:t>that is PM</w:t>
            </w:r>
            <w:r>
              <w:rPr>
                <w:vertAlign w:val="subscript"/>
              </w:rPr>
              <w:t>2.5</w:t>
            </w:r>
            <w:r>
              <w:t xml:space="preserve"> at a facility and use that fraction to calculate permitted levels for PM</w:t>
            </w:r>
            <w:r>
              <w:rPr>
                <w:vertAlign w:val="subscript"/>
              </w:rPr>
              <w:t xml:space="preserve">2.5. </w:t>
            </w:r>
            <w:r>
              <w:t>This approach</w:t>
            </w:r>
          </w:p>
          <w:p w:rsidR="002227B0" w:rsidRDefault="002227B0" w:rsidP="00E6146D">
            <w:r>
              <w:lastRenderedPageBreak/>
              <w:t xml:space="preserve"> incorporates PM</w:t>
            </w:r>
            <w:r w:rsidRPr="003530B2">
              <w:rPr>
                <w:vertAlign w:val="subscript"/>
              </w:rPr>
              <w:t>2.5</w:t>
            </w:r>
            <w:r>
              <w:t xml:space="preserve"> at this time as if it had been part of the program all along; ensuring that previously approved expansions can continue to operate and that new expansions are reviewed consistent with state and federal requirements. It also avoids the need to select a unique starting point – or baseline period – for counting changes in PM</w:t>
            </w:r>
            <w:r w:rsidRPr="003530B2">
              <w:rPr>
                <w:vertAlign w:val="subscript"/>
              </w:rPr>
              <w:t>2.5</w:t>
            </w:r>
            <w:r>
              <w:t xml:space="preserve"> emissions</w:t>
            </w:r>
            <w:r w:rsidR="003F357E">
              <w:t xml:space="preserve"> towards triggering NSR/PSD</w:t>
            </w:r>
            <w:r>
              <w:t>, which commenters indicated could advantage or disadvantage their individual facilities.</w:t>
            </w:r>
          </w:p>
          <w:p w:rsidR="002227B0" w:rsidRPr="000B33AD" w:rsidRDefault="002227B0" w:rsidP="00E6146D">
            <w:pPr>
              <w:rPr>
                <w:rFonts w:ascii="Times New Roman" w:hAnsi="Times New Roman" w:cs="Times New Roman"/>
              </w:rPr>
            </w:pPr>
          </w:p>
          <w:p w:rsidR="007314CC" w:rsidRDefault="002227B0" w:rsidP="00E6146D">
            <w:pPr>
              <w:rPr>
                <w:rFonts w:ascii="Times New Roman" w:hAnsi="Times New Roman" w:cs="Times New Roman"/>
              </w:rPr>
            </w:pPr>
            <w:r w:rsidRPr="000B33AD">
              <w:rPr>
                <w:rFonts w:ascii="Times New Roman" w:hAnsi="Times New Roman" w:cs="Times New Roman"/>
                <w:u w:val="single"/>
              </w:rPr>
              <w:t>Prevention of Significant Deterioration</w:t>
            </w:r>
            <w:r>
              <w:rPr>
                <w:rFonts w:ascii="Times New Roman" w:hAnsi="Times New Roman" w:cs="Times New Roman"/>
                <w:u w:val="single"/>
              </w:rPr>
              <w:t xml:space="preserve"> </w:t>
            </w:r>
            <w:r w:rsidR="003F357E">
              <w:rPr>
                <w:rFonts w:ascii="Times New Roman" w:hAnsi="Times New Roman" w:cs="Times New Roman"/>
                <w:u w:val="single"/>
              </w:rPr>
              <w:t xml:space="preserve">and Title V Operating Permits </w:t>
            </w:r>
            <w:r w:rsidR="00391CFD">
              <w:rPr>
                <w:rFonts w:ascii="Times New Roman" w:hAnsi="Times New Roman" w:cs="Times New Roman"/>
                <w:u w:val="single"/>
              </w:rPr>
              <w:t>for G</w:t>
            </w:r>
            <w:r w:rsidR="00291D22">
              <w:rPr>
                <w:rFonts w:ascii="Times New Roman" w:hAnsi="Times New Roman" w:cs="Times New Roman"/>
                <w:u w:val="single"/>
              </w:rPr>
              <w:t>reenhouse G</w:t>
            </w:r>
            <w:r w:rsidR="007314CC">
              <w:rPr>
                <w:rFonts w:ascii="Times New Roman" w:hAnsi="Times New Roman" w:cs="Times New Roman"/>
                <w:u w:val="single"/>
              </w:rPr>
              <w:t>as</w:t>
            </w:r>
            <w:r w:rsidR="00291D22">
              <w:rPr>
                <w:rFonts w:ascii="Times New Roman" w:hAnsi="Times New Roman" w:cs="Times New Roman"/>
                <w:u w:val="single"/>
              </w:rPr>
              <w:t>es</w:t>
            </w:r>
          </w:p>
          <w:p w:rsidR="002227B0" w:rsidRDefault="002227B0" w:rsidP="00E6146D">
            <w:r w:rsidRPr="000B33AD">
              <w:t xml:space="preserve">The </w:t>
            </w:r>
            <w:r>
              <w:t xml:space="preserve">key issue for </w:t>
            </w:r>
            <w:r w:rsidR="007314CC">
              <w:t xml:space="preserve">greenhouse gas </w:t>
            </w:r>
            <w:r>
              <w:t xml:space="preserve">PSD was how to incorporate </w:t>
            </w:r>
            <w:r w:rsidR="007314CC">
              <w:t xml:space="preserve">greenhouse gases </w:t>
            </w:r>
            <w:r>
              <w:t xml:space="preserve">as a new pollutant and whether to stay with Oregon’s approach to </w:t>
            </w:r>
            <w:r w:rsidR="000E04B8">
              <w:t xml:space="preserve">implement </w:t>
            </w:r>
            <w:r>
              <w:t xml:space="preserve">PSD or use the federal approach to </w:t>
            </w:r>
            <w:r w:rsidR="000E04B8">
              <w:t xml:space="preserve">implement </w:t>
            </w:r>
            <w:r>
              <w:t xml:space="preserve">PSD for </w:t>
            </w:r>
            <w:r w:rsidR="008A1CA9">
              <w:t>greenhouse gas</w:t>
            </w:r>
            <w:r w:rsidR="00391CFD">
              <w:t>es</w:t>
            </w:r>
            <w:r>
              <w:t xml:space="preserve">. DEQ received comments on both sides of this issue and consulted with EPA about how the federal system might be used in Oregon. After evaluating the strengths and weaknesses of each program, DEQ is recommending that Oregon retain its unique approach to PSD for </w:t>
            </w:r>
            <w:r w:rsidR="008A1CA9">
              <w:t>greenhouse gas</w:t>
            </w:r>
            <w:r w:rsidR="00687344">
              <w:t>es</w:t>
            </w:r>
            <w:r w:rsidR="008A1CA9">
              <w:t xml:space="preserve"> </w:t>
            </w:r>
            <w:r>
              <w:t xml:space="preserve">because it provides equal environmental protection while creating incentives for voluntary early reductions and reducing administrative costs. Because </w:t>
            </w:r>
            <w:r w:rsidR="008A1CA9">
              <w:t xml:space="preserve">greenhouse gas </w:t>
            </w:r>
            <w:r>
              <w:t xml:space="preserve">is a new pollutant, DEQ is recommending that the baseline period </w:t>
            </w:r>
            <w:proofErr w:type="gramStart"/>
            <w:r>
              <w:t>be selected</w:t>
            </w:r>
            <w:proofErr w:type="gramEnd"/>
            <w:r>
              <w:t xml:space="preserve"> as a</w:t>
            </w:r>
            <w:r w:rsidR="00D464B9">
              <w:t>ny</w:t>
            </w:r>
            <w:r>
              <w:t xml:space="preserve"> year during the last ten years. This would reflect current operations at facilities, but allow flexibility in case emissions were low in any given year due to temporary economic conditions.</w:t>
            </w:r>
          </w:p>
          <w:p w:rsidR="002227B0" w:rsidRDefault="002227B0" w:rsidP="00E6146D"/>
          <w:p w:rsidR="007314CC" w:rsidRDefault="002227B0" w:rsidP="00E6146D">
            <w:r w:rsidRPr="00D40D68">
              <w:rPr>
                <w:u w:val="single"/>
              </w:rPr>
              <w:t>Program Improvement</w:t>
            </w:r>
          </w:p>
          <w:p w:rsidR="002227B0" w:rsidRDefault="008A1CA9" w:rsidP="00D464B9">
            <w:r>
              <w:t xml:space="preserve">One </w:t>
            </w:r>
            <w:r w:rsidR="002227B0" w:rsidRPr="008A1CA9">
              <w:t>additional</w:t>
            </w:r>
            <w:r w:rsidR="002227B0">
              <w:t xml:space="preserve"> issue, which applies to any pollutant under Oregon’s NSR/PSD program, was raised during the comment period. This issue has to do with the way Oregon’s rules set the starting emission level – or netting basis – for counting emission changes for new and expanding facilities when they are initially permitted. To ensure that the NSR/PSD program is protective, companies are required to evaluate the air quality effects that would occur if a new or expanded facility operated at its capacity. Once this level is approved, it is also added to a facility’s netting basis even though the facility may never actually operate at that level. This unrealistically high starting emission level could allow a future expansion to avoid NSR/PSD. To address this concern, DEQ is recommending the addition of a process to reset the netting basis once a new or expanded facility has been operating for up to 10 or 15 years to establish a realistic level. This </w:t>
            </w:r>
            <w:r>
              <w:t>w</w:t>
            </w:r>
            <w:r w:rsidR="002227B0">
              <w:t xml:space="preserve">ould apply to </w:t>
            </w:r>
            <w:r w:rsidR="00D464B9">
              <w:t>major greenhouse gas sources</w:t>
            </w:r>
            <w:r w:rsidR="002227B0">
              <w:t xml:space="preserve"> that were permitted </w:t>
            </w:r>
            <w:r w:rsidR="00D464B9">
              <w:t xml:space="preserve">but </w:t>
            </w:r>
            <w:proofErr w:type="gramStart"/>
            <w:r w:rsidR="00D464B9">
              <w:t>not yet</w:t>
            </w:r>
            <w:proofErr w:type="gramEnd"/>
            <w:r w:rsidR="00D464B9">
              <w:t xml:space="preserve"> operating </w:t>
            </w:r>
            <w:r w:rsidR="002227B0">
              <w:t xml:space="preserve">before the greenhouse gas rules were adopted and to </w:t>
            </w:r>
            <w:r w:rsidR="00D464B9">
              <w:t xml:space="preserve">future </w:t>
            </w:r>
            <w:r w:rsidR="002227B0">
              <w:t>NSR/PSD sources.</w:t>
            </w:r>
            <w:r w:rsidR="00B004DE">
              <w:t xml:space="preserve"> </w:t>
            </w:r>
            <w:r w:rsidR="002227B0">
              <w:t xml:space="preserve">The process </w:t>
            </w:r>
            <w:r w:rsidR="00D464B9">
              <w:t>would not limit the ability of a</w:t>
            </w:r>
            <w:r w:rsidR="002227B0">
              <w:t xml:space="preserve"> facility to operate permitted equipment, but would prevent use of the added netting basis until the level </w:t>
            </w:r>
            <w:proofErr w:type="gramStart"/>
            <w:r w:rsidR="002227B0">
              <w:t>is reset</w:t>
            </w:r>
            <w:proofErr w:type="gramEnd"/>
            <w:r w:rsidR="002227B0">
              <w:t>.</w:t>
            </w:r>
          </w:p>
        </w:tc>
      </w:tr>
      <w:tr w:rsidR="002227B0" w:rsidRPr="006F3BD4">
        <w:tc>
          <w:tcPr>
            <w:tcW w:w="1908" w:type="dxa"/>
            <w:tcMar>
              <w:bottom w:w="200" w:type="dxa"/>
            </w:tcMar>
          </w:tcPr>
          <w:p w:rsidR="002227B0" w:rsidRPr="006F3BD4" w:rsidRDefault="007F0B7B" w:rsidP="00292EF3">
            <w:pPr>
              <w:rPr>
                <w:rFonts w:ascii="Times New Roman" w:hAnsi="Times New Roman" w:cs="Times New Roman"/>
                <w:b/>
                <w:bCs/>
              </w:rPr>
            </w:pPr>
            <w:r>
              <w:rPr>
                <w:rFonts w:ascii="Times New Roman" w:hAnsi="Times New Roman" w:cs="Times New Roman"/>
                <w:b/>
                <w:bCs/>
              </w:rPr>
              <w:lastRenderedPageBreak/>
              <w:t xml:space="preserve">Next </w:t>
            </w:r>
            <w:r w:rsidR="00292EF3">
              <w:rPr>
                <w:rFonts w:ascii="Times New Roman" w:hAnsi="Times New Roman" w:cs="Times New Roman"/>
                <w:b/>
                <w:bCs/>
              </w:rPr>
              <w:t>s</w:t>
            </w:r>
            <w:r w:rsidR="002227B0" w:rsidRPr="006F3BD4">
              <w:rPr>
                <w:rFonts w:ascii="Times New Roman" w:hAnsi="Times New Roman" w:cs="Times New Roman"/>
                <w:b/>
                <w:bCs/>
              </w:rPr>
              <w:t>teps</w:t>
            </w:r>
          </w:p>
        </w:tc>
        <w:tc>
          <w:tcPr>
            <w:tcW w:w="8376" w:type="dxa"/>
            <w:tcMar>
              <w:bottom w:w="200" w:type="dxa"/>
            </w:tcMar>
          </w:tcPr>
          <w:p w:rsidR="00F12BFB" w:rsidRDefault="002227B0">
            <w:pPr>
              <w:tabs>
                <w:tab w:val="left" w:pos="-1440"/>
                <w:tab w:val="left" w:pos="-720"/>
              </w:tabs>
              <w:suppressAutoHyphens/>
              <w:ind w:left="-15"/>
              <w:rPr>
                <w:rFonts w:ascii="Times New Roman" w:hAnsi="Times New Roman" w:cs="Times New Roman"/>
              </w:rPr>
            </w:pPr>
            <w:r w:rsidRPr="00E6624B">
              <w:rPr>
                <w:rFonts w:ascii="Times New Roman" w:hAnsi="Times New Roman" w:cs="Times New Roman"/>
              </w:rPr>
              <w:t xml:space="preserve">DEQ will continue to provide outreach and </w:t>
            </w:r>
            <w:r w:rsidR="00E22FD9">
              <w:rPr>
                <w:rFonts w:ascii="Times New Roman" w:hAnsi="Times New Roman" w:cs="Times New Roman"/>
              </w:rPr>
              <w:t>technical</w:t>
            </w:r>
            <w:r w:rsidR="00E22FD9" w:rsidRPr="00E6624B">
              <w:rPr>
                <w:rFonts w:ascii="Times New Roman" w:hAnsi="Times New Roman" w:cs="Times New Roman"/>
              </w:rPr>
              <w:t xml:space="preserve"> </w:t>
            </w:r>
            <w:r w:rsidRPr="00E6624B">
              <w:rPr>
                <w:rFonts w:ascii="Times New Roman" w:hAnsi="Times New Roman" w:cs="Times New Roman"/>
              </w:rPr>
              <w:t xml:space="preserve">assistance to sources affected by the new </w:t>
            </w:r>
            <w:r>
              <w:rPr>
                <w:rFonts w:ascii="Times New Roman" w:hAnsi="Times New Roman" w:cs="Times New Roman"/>
              </w:rPr>
              <w:t xml:space="preserve">rules and will submit a revised State Implementation Plan </w:t>
            </w:r>
            <w:r w:rsidRPr="00E6624B">
              <w:rPr>
                <w:rFonts w:ascii="Times New Roman" w:hAnsi="Times New Roman" w:cs="Times New Roman"/>
              </w:rPr>
              <w:t>to EPA</w:t>
            </w:r>
            <w:r>
              <w:rPr>
                <w:rFonts w:ascii="Times New Roman" w:hAnsi="Times New Roman" w:cs="Times New Roman"/>
              </w:rPr>
              <w:t xml:space="preserve"> in May 2011. DEQ will update </w:t>
            </w:r>
            <w:r w:rsidRPr="00E6624B">
              <w:rPr>
                <w:rFonts w:ascii="Times New Roman" w:hAnsi="Times New Roman" w:cs="Times New Roman"/>
              </w:rPr>
              <w:t xml:space="preserve">Title V and </w:t>
            </w:r>
            <w:r>
              <w:rPr>
                <w:rFonts w:ascii="Times New Roman" w:hAnsi="Times New Roman" w:cs="Times New Roman"/>
              </w:rPr>
              <w:t>A</w:t>
            </w:r>
            <w:r w:rsidRPr="00E6624B">
              <w:rPr>
                <w:rFonts w:ascii="Times New Roman" w:hAnsi="Times New Roman" w:cs="Times New Roman"/>
              </w:rPr>
              <w:t xml:space="preserve">ir </w:t>
            </w:r>
            <w:r>
              <w:rPr>
                <w:rFonts w:ascii="Times New Roman" w:hAnsi="Times New Roman" w:cs="Times New Roman"/>
              </w:rPr>
              <w:t>C</w:t>
            </w:r>
            <w:r w:rsidRPr="00E6624B">
              <w:rPr>
                <w:rFonts w:ascii="Times New Roman" w:hAnsi="Times New Roman" w:cs="Times New Roman"/>
              </w:rPr>
              <w:t xml:space="preserve">ontaminant </w:t>
            </w:r>
            <w:r>
              <w:rPr>
                <w:rFonts w:ascii="Times New Roman" w:hAnsi="Times New Roman" w:cs="Times New Roman"/>
              </w:rPr>
              <w:t>D</w:t>
            </w:r>
            <w:r w:rsidRPr="00E6624B">
              <w:rPr>
                <w:rFonts w:ascii="Times New Roman" w:hAnsi="Times New Roman" w:cs="Times New Roman"/>
              </w:rPr>
              <w:t xml:space="preserve">ischarge </w:t>
            </w:r>
            <w:r>
              <w:rPr>
                <w:rFonts w:ascii="Times New Roman" w:hAnsi="Times New Roman" w:cs="Times New Roman"/>
              </w:rPr>
              <w:t>P</w:t>
            </w:r>
            <w:r w:rsidRPr="00E6624B">
              <w:rPr>
                <w:rFonts w:ascii="Times New Roman" w:hAnsi="Times New Roman" w:cs="Times New Roman"/>
              </w:rPr>
              <w:t xml:space="preserve">ermits </w:t>
            </w:r>
            <w:r>
              <w:rPr>
                <w:rFonts w:ascii="Times New Roman" w:hAnsi="Times New Roman" w:cs="Times New Roman"/>
              </w:rPr>
              <w:t>to incorporate rule changes.</w:t>
            </w:r>
          </w:p>
        </w:tc>
      </w:tr>
      <w:tr w:rsidR="002227B0" w:rsidRPr="006F3BD4">
        <w:tc>
          <w:tcPr>
            <w:tcW w:w="1908" w:type="dxa"/>
            <w:tcMar>
              <w:bottom w:w="200" w:type="dxa"/>
            </w:tcMar>
          </w:tcPr>
          <w:p w:rsidR="002227B0" w:rsidRPr="006F3BD4" w:rsidRDefault="002227B0" w:rsidP="00E6146D">
            <w:pPr>
              <w:rPr>
                <w:rFonts w:ascii="Times New Roman" w:hAnsi="Times New Roman" w:cs="Times New Roman"/>
                <w:b/>
                <w:bCs/>
              </w:rPr>
            </w:pPr>
            <w:r w:rsidRPr="006F3BD4">
              <w:rPr>
                <w:rFonts w:ascii="Times New Roman" w:hAnsi="Times New Roman" w:cs="Times New Roman"/>
                <w:b/>
                <w:bCs/>
              </w:rPr>
              <w:lastRenderedPageBreak/>
              <w:t>Attachments</w:t>
            </w:r>
          </w:p>
        </w:tc>
        <w:tc>
          <w:tcPr>
            <w:tcW w:w="8376" w:type="dxa"/>
            <w:tcMar>
              <w:bottom w:w="200" w:type="dxa"/>
            </w:tcMar>
          </w:tcPr>
          <w:p w:rsidR="002227B0" w:rsidRDefault="00212DAC" w:rsidP="00E6146D">
            <w:pPr>
              <w:keepNext/>
              <w:keepLines/>
              <w:numPr>
                <w:ilvl w:val="0"/>
                <w:numId w:val="2"/>
              </w:numPr>
              <w:tabs>
                <w:tab w:val="left" w:pos="-1440"/>
                <w:tab w:val="left" w:pos="-720"/>
                <w:tab w:val="left" w:pos="0"/>
              </w:tabs>
              <w:suppressAutoHyphens/>
              <w:rPr>
                <w:rFonts w:ascii="Times New Roman" w:hAnsi="Times New Roman" w:cs="Times New Roman"/>
              </w:rPr>
            </w:pPr>
            <w:r>
              <w:rPr>
                <w:rFonts w:ascii="Times New Roman" w:hAnsi="Times New Roman" w:cs="Times New Roman"/>
              </w:rPr>
              <w:t xml:space="preserve">Proposed rule </w:t>
            </w:r>
            <w:r w:rsidR="002227B0" w:rsidRPr="00AB244D">
              <w:rPr>
                <w:rFonts w:ascii="Times New Roman" w:hAnsi="Times New Roman" w:cs="Times New Roman"/>
              </w:rPr>
              <w:t>with amen</w:t>
            </w:r>
            <w:r w:rsidR="002227B0">
              <w:rPr>
                <w:rFonts w:ascii="Times New Roman" w:hAnsi="Times New Roman" w:cs="Times New Roman"/>
              </w:rPr>
              <w:t>dments shown in redline format</w:t>
            </w:r>
          </w:p>
          <w:p w:rsidR="002227B0" w:rsidRPr="00222D7D" w:rsidRDefault="002227B0" w:rsidP="00E6146D">
            <w:pPr>
              <w:numPr>
                <w:ilvl w:val="0"/>
                <w:numId w:val="2"/>
              </w:numPr>
              <w:autoSpaceDE w:val="0"/>
              <w:autoSpaceDN w:val="0"/>
              <w:adjustRightInd w:val="0"/>
              <w:rPr>
                <w:rFonts w:ascii="Times New Roman" w:hAnsi="Times New Roman" w:cs="Times New Roman"/>
                <w:sz w:val="20"/>
                <w:szCs w:val="20"/>
              </w:rPr>
            </w:pPr>
            <w:r>
              <w:rPr>
                <w:rFonts w:ascii="Times New Roman" w:hAnsi="Times New Roman" w:cs="Times New Roman"/>
              </w:rPr>
              <w:t>Su</w:t>
            </w:r>
            <w:r w:rsidR="00212DAC">
              <w:rPr>
                <w:rFonts w:ascii="Times New Roman" w:hAnsi="Times New Roman" w:cs="Times New Roman"/>
              </w:rPr>
              <w:t xml:space="preserve">mmary of proposed rule changes </w:t>
            </w:r>
            <w:r>
              <w:rPr>
                <w:rFonts w:ascii="Times New Roman" w:hAnsi="Times New Roman" w:cs="Times New Roman"/>
              </w:rPr>
              <w:t>including basis for changes</w:t>
            </w:r>
          </w:p>
          <w:p w:rsidR="002227B0" w:rsidRPr="009167D8" w:rsidRDefault="002227B0" w:rsidP="00E6146D">
            <w:pPr>
              <w:numPr>
                <w:ilvl w:val="0"/>
                <w:numId w:val="2"/>
              </w:numPr>
              <w:autoSpaceDE w:val="0"/>
              <w:autoSpaceDN w:val="0"/>
              <w:adjustRightInd w:val="0"/>
              <w:rPr>
                <w:rFonts w:ascii="Times New Roman" w:hAnsi="Times New Roman" w:cs="Times New Roman"/>
                <w:sz w:val="20"/>
                <w:szCs w:val="20"/>
              </w:rPr>
            </w:pPr>
            <w:r>
              <w:rPr>
                <w:rFonts w:ascii="Times New Roman" w:hAnsi="Times New Roman" w:cs="Times New Roman"/>
              </w:rPr>
              <w:t xml:space="preserve">Alternative </w:t>
            </w:r>
            <w:r w:rsidR="00212DAC">
              <w:rPr>
                <w:rFonts w:ascii="Times New Roman" w:hAnsi="Times New Roman" w:cs="Times New Roman"/>
              </w:rPr>
              <w:t>rule o</w:t>
            </w:r>
            <w:r>
              <w:rPr>
                <w:rFonts w:ascii="Times New Roman" w:hAnsi="Times New Roman" w:cs="Times New Roman"/>
              </w:rPr>
              <w:t>ptions</w:t>
            </w:r>
          </w:p>
          <w:p w:rsidR="002227B0" w:rsidRPr="002673E3" w:rsidRDefault="002227B0" w:rsidP="00E6146D">
            <w:pPr>
              <w:numPr>
                <w:ilvl w:val="0"/>
                <w:numId w:val="2"/>
              </w:numPr>
              <w:autoSpaceDE w:val="0"/>
              <w:autoSpaceDN w:val="0"/>
              <w:adjustRightInd w:val="0"/>
              <w:rPr>
                <w:rFonts w:ascii="Times New Roman" w:hAnsi="Times New Roman" w:cs="Times New Roman"/>
                <w:sz w:val="20"/>
                <w:szCs w:val="20"/>
              </w:rPr>
            </w:pPr>
            <w:r>
              <w:rPr>
                <w:rFonts w:ascii="Times New Roman" w:hAnsi="Times New Roman" w:cs="Times New Roman"/>
              </w:rPr>
              <w:t>Summary of public comments and agency responses</w:t>
            </w:r>
          </w:p>
          <w:p w:rsidR="002673E3" w:rsidRPr="00265B32" w:rsidRDefault="00212DAC" w:rsidP="00E6146D">
            <w:pPr>
              <w:numPr>
                <w:ilvl w:val="0"/>
                <w:numId w:val="2"/>
              </w:numPr>
              <w:autoSpaceDE w:val="0"/>
              <w:autoSpaceDN w:val="0"/>
              <w:adjustRightInd w:val="0"/>
              <w:rPr>
                <w:rFonts w:ascii="Times New Roman" w:hAnsi="Times New Roman" w:cs="Times New Roman"/>
                <w:sz w:val="20"/>
                <w:szCs w:val="20"/>
              </w:rPr>
            </w:pPr>
            <w:r>
              <w:rPr>
                <w:rFonts w:ascii="Times New Roman" w:hAnsi="Times New Roman" w:cs="Times New Roman"/>
              </w:rPr>
              <w:t>Public c</w:t>
            </w:r>
            <w:r w:rsidR="002673E3">
              <w:rPr>
                <w:rFonts w:ascii="Times New Roman" w:hAnsi="Times New Roman" w:cs="Times New Roman"/>
              </w:rPr>
              <w:t>omments</w:t>
            </w:r>
          </w:p>
          <w:p w:rsidR="002227B0" w:rsidRDefault="002227B0" w:rsidP="00E6146D">
            <w:pPr>
              <w:keepNext/>
              <w:keepLines/>
              <w:numPr>
                <w:ilvl w:val="0"/>
                <w:numId w:val="2"/>
              </w:numPr>
              <w:tabs>
                <w:tab w:val="left" w:pos="-1440"/>
                <w:tab w:val="left" w:pos="-720"/>
                <w:tab w:val="left" w:pos="0"/>
              </w:tabs>
              <w:suppressAutoHyphens/>
              <w:rPr>
                <w:rFonts w:ascii="Times New Roman" w:hAnsi="Times New Roman" w:cs="Times New Roman"/>
              </w:rPr>
            </w:pPr>
            <w:r w:rsidRPr="00AB244D">
              <w:rPr>
                <w:rFonts w:ascii="Times New Roman" w:hAnsi="Times New Roman" w:cs="Times New Roman"/>
              </w:rPr>
              <w:t xml:space="preserve">Statement of Need and </w:t>
            </w:r>
            <w:r>
              <w:rPr>
                <w:rFonts w:ascii="Times New Roman" w:hAnsi="Times New Roman" w:cs="Times New Roman"/>
              </w:rPr>
              <w:t>Fiscal and Economic Impact</w:t>
            </w:r>
          </w:p>
          <w:p w:rsidR="002227B0" w:rsidRDefault="002227B0" w:rsidP="00E6146D">
            <w:pPr>
              <w:keepNext/>
              <w:keepLines/>
              <w:numPr>
                <w:ilvl w:val="0"/>
                <w:numId w:val="2"/>
              </w:numPr>
              <w:tabs>
                <w:tab w:val="left" w:pos="-1440"/>
                <w:tab w:val="left" w:pos="-720"/>
                <w:tab w:val="left" w:pos="0"/>
              </w:tabs>
              <w:suppressAutoHyphens/>
              <w:rPr>
                <w:rFonts w:ascii="Times New Roman" w:hAnsi="Times New Roman" w:cs="Times New Roman"/>
              </w:rPr>
            </w:pPr>
            <w:r>
              <w:rPr>
                <w:rFonts w:ascii="Times New Roman" w:hAnsi="Times New Roman" w:cs="Times New Roman"/>
              </w:rPr>
              <w:t>Land Use Evaluation Statement</w:t>
            </w:r>
          </w:p>
          <w:p w:rsidR="002227B0" w:rsidRPr="003630C2" w:rsidRDefault="002227B0" w:rsidP="00E6146D">
            <w:pPr>
              <w:keepNext/>
              <w:keepLines/>
              <w:numPr>
                <w:ilvl w:val="0"/>
                <w:numId w:val="2"/>
              </w:numPr>
              <w:tabs>
                <w:tab w:val="left" w:pos="-1440"/>
                <w:tab w:val="left" w:pos="-720"/>
                <w:tab w:val="left" w:pos="0"/>
              </w:tabs>
              <w:suppressAutoHyphens/>
              <w:rPr>
                <w:rFonts w:ascii="Times New Roman" w:hAnsi="Times New Roman" w:cs="Times New Roman"/>
              </w:rPr>
            </w:pPr>
            <w:r w:rsidRPr="003630C2">
              <w:rPr>
                <w:rFonts w:ascii="Times New Roman" w:hAnsi="Times New Roman" w:cs="Times New Roman"/>
              </w:rPr>
              <w:t>N</w:t>
            </w:r>
            <w:r w:rsidR="00212DAC">
              <w:rPr>
                <w:rFonts w:ascii="Times New Roman" w:hAnsi="Times New Roman" w:cs="Times New Roman"/>
              </w:rPr>
              <w:t>otice of proposed rulemaking h</w:t>
            </w:r>
            <w:r>
              <w:rPr>
                <w:rFonts w:ascii="Times New Roman" w:hAnsi="Times New Roman" w:cs="Times New Roman"/>
              </w:rPr>
              <w:t>earing</w:t>
            </w:r>
          </w:p>
          <w:p w:rsidR="002227B0" w:rsidRPr="00265B32" w:rsidRDefault="002227B0" w:rsidP="00E6146D">
            <w:pPr>
              <w:keepNext/>
              <w:keepLines/>
              <w:numPr>
                <w:ilvl w:val="0"/>
                <w:numId w:val="2"/>
              </w:numPr>
              <w:tabs>
                <w:tab w:val="left" w:pos="-1440"/>
                <w:tab w:val="left" w:pos="-720"/>
                <w:tab w:val="left" w:pos="0"/>
              </w:tabs>
              <w:suppressAutoHyphens/>
              <w:rPr>
                <w:rFonts w:ascii="Times New Roman" w:hAnsi="Times New Roman" w:cs="Times New Roman"/>
              </w:rPr>
            </w:pPr>
            <w:r>
              <w:rPr>
                <w:rFonts w:ascii="Times New Roman" w:hAnsi="Times New Roman" w:cs="Times New Roman"/>
              </w:rPr>
              <w:t>Relationship to Federal Requirements</w:t>
            </w:r>
            <w:r w:rsidR="00212DAC">
              <w:rPr>
                <w:rFonts w:ascii="Times New Roman" w:hAnsi="Times New Roman" w:cs="Times New Roman"/>
              </w:rPr>
              <w:t xml:space="preserve"> questions</w:t>
            </w:r>
          </w:p>
        </w:tc>
      </w:tr>
      <w:tr w:rsidR="002227B0" w:rsidRPr="006F3BD4">
        <w:trPr>
          <w:trHeight w:val="684"/>
        </w:trPr>
        <w:tc>
          <w:tcPr>
            <w:tcW w:w="1908" w:type="dxa"/>
            <w:tcMar>
              <w:bottom w:w="200" w:type="dxa"/>
            </w:tcMar>
          </w:tcPr>
          <w:p w:rsidR="002227B0" w:rsidRPr="006F3BD4" w:rsidRDefault="007F0B7B" w:rsidP="00E6146D">
            <w:pPr>
              <w:rPr>
                <w:rFonts w:ascii="Times New Roman" w:hAnsi="Times New Roman" w:cs="Times New Roman"/>
                <w:b/>
                <w:bCs/>
              </w:rPr>
            </w:pPr>
            <w:r>
              <w:rPr>
                <w:rFonts w:ascii="Times New Roman" w:hAnsi="Times New Roman" w:cs="Times New Roman"/>
                <w:b/>
                <w:bCs/>
              </w:rPr>
              <w:t>Available upon r</w:t>
            </w:r>
            <w:r w:rsidR="002227B0" w:rsidRPr="006F3BD4">
              <w:rPr>
                <w:rFonts w:ascii="Times New Roman" w:hAnsi="Times New Roman" w:cs="Times New Roman"/>
                <w:b/>
                <w:bCs/>
              </w:rPr>
              <w:t>equest</w:t>
            </w:r>
          </w:p>
        </w:tc>
        <w:tc>
          <w:tcPr>
            <w:tcW w:w="8376" w:type="dxa"/>
            <w:tcMar>
              <w:bottom w:w="200" w:type="dxa"/>
            </w:tcMar>
          </w:tcPr>
          <w:p w:rsidR="002227B0" w:rsidRPr="00AB244D" w:rsidRDefault="002227B0" w:rsidP="00E6146D">
            <w:pPr>
              <w:numPr>
                <w:ilvl w:val="0"/>
                <w:numId w:val="1"/>
              </w:numPr>
              <w:tabs>
                <w:tab w:val="clear" w:pos="360"/>
                <w:tab w:val="left" w:pos="-1440"/>
                <w:tab w:val="left" w:pos="-720"/>
                <w:tab w:val="left" w:pos="0"/>
                <w:tab w:val="num" w:pos="630"/>
              </w:tabs>
              <w:suppressAutoHyphens/>
              <w:ind w:left="630" w:hanging="630"/>
              <w:rPr>
                <w:rFonts w:ascii="Times New Roman" w:hAnsi="Times New Roman" w:cs="Times New Roman"/>
              </w:rPr>
            </w:pPr>
            <w:r w:rsidRPr="00DE42B1">
              <w:rPr>
                <w:rFonts w:ascii="Times New Roman" w:hAnsi="Times New Roman" w:cs="Times New Roman"/>
              </w:rPr>
              <w:t xml:space="preserve">ORS 468.020, </w:t>
            </w:r>
            <w:r w:rsidRPr="00100FCF">
              <w:rPr>
                <w:rFonts w:ascii="Times New Roman" w:hAnsi="Times New Roman" w:cs="Times New Roman"/>
              </w:rPr>
              <w:t xml:space="preserve">ORS 468.065, </w:t>
            </w:r>
            <w:r>
              <w:rPr>
                <w:rFonts w:ascii="Times New Roman" w:hAnsi="Times New Roman" w:cs="Times New Roman"/>
              </w:rPr>
              <w:t xml:space="preserve">ORS </w:t>
            </w:r>
            <w:r w:rsidRPr="00100FCF">
              <w:rPr>
                <w:rFonts w:ascii="Times New Roman" w:hAnsi="Times New Roman" w:cs="Times New Roman"/>
              </w:rPr>
              <w:t xml:space="preserve">468A.025, </w:t>
            </w:r>
            <w:r w:rsidRPr="00E95C50">
              <w:rPr>
                <w:rFonts w:ascii="Times New Roman" w:hAnsi="Times New Roman" w:cs="Times New Roman"/>
              </w:rPr>
              <w:t>ORS 468A.040</w:t>
            </w:r>
            <w:r>
              <w:rPr>
                <w:rFonts w:ascii="Times New Roman" w:hAnsi="Times New Roman" w:cs="Times New Roman"/>
              </w:rPr>
              <w:t>, ORS 468A.055</w:t>
            </w:r>
            <w:r w:rsidR="003F357E">
              <w:rPr>
                <w:rFonts w:ascii="Times New Roman" w:hAnsi="Times New Roman" w:cs="Times New Roman"/>
              </w:rPr>
              <w:t xml:space="preserve"> and ORS 468A.310</w:t>
            </w:r>
            <w:r>
              <w:rPr>
                <w:rFonts w:ascii="Times New Roman" w:hAnsi="Times New Roman" w:cs="Times New Roman"/>
              </w:rPr>
              <w:t>.</w:t>
            </w:r>
          </w:p>
          <w:p w:rsidR="002227B0" w:rsidRPr="00AB244D" w:rsidRDefault="002227B0" w:rsidP="00E6146D">
            <w:pPr>
              <w:widowControl w:val="0"/>
              <w:tabs>
                <w:tab w:val="left" w:pos="-1440"/>
                <w:tab w:val="left" w:pos="-720"/>
              </w:tabs>
              <w:suppressAutoHyphens/>
              <w:ind w:left="360"/>
              <w:rPr>
                <w:rFonts w:ascii="Times New Roman" w:hAnsi="Times New Roman" w:cs="Times New Roman"/>
              </w:rPr>
            </w:pPr>
          </w:p>
        </w:tc>
      </w:tr>
    </w:tbl>
    <w:p w:rsidR="007F0B7B" w:rsidRDefault="007F0B7B" w:rsidP="00E6146D">
      <w:pPr>
        <w:tabs>
          <w:tab w:val="left" w:pos="-1440"/>
          <w:tab w:val="left" w:pos="-720"/>
          <w:tab w:val="left" w:pos="0"/>
          <w:tab w:val="left" w:pos="2880"/>
          <w:tab w:val="left" w:pos="3600"/>
          <w:tab w:val="left" w:pos="5184"/>
          <w:tab w:val="right" w:pos="5760"/>
          <w:tab w:val="left" w:pos="6048"/>
        </w:tabs>
        <w:suppressAutoHyphens/>
        <w:rPr>
          <w:rFonts w:ascii="Times New Roman" w:hAnsi="Times New Roman" w:cs="Times New Roman"/>
        </w:rPr>
      </w:pPr>
      <w:r>
        <w:rPr>
          <w:rFonts w:ascii="Times New Roman" w:hAnsi="Times New Roman" w:cs="Times New Roman"/>
        </w:rPr>
        <w:tab/>
      </w:r>
      <w:r w:rsidR="002227B0" w:rsidRPr="005E6431">
        <w:rPr>
          <w:rFonts w:ascii="Times New Roman" w:hAnsi="Times New Roman" w:cs="Times New Roman"/>
        </w:rPr>
        <w:t>Approved:</w:t>
      </w:r>
      <w:r w:rsidR="002227B0" w:rsidRPr="005E6431">
        <w:rPr>
          <w:rFonts w:ascii="Times New Roman" w:hAnsi="Times New Roman" w:cs="Times New Roman"/>
        </w:rPr>
        <w:tab/>
      </w:r>
      <w:r w:rsidR="002227B0" w:rsidRPr="005E6431">
        <w:rPr>
          <w:rFonts w:ascii="Times New Roman" w:hAnsi="Times New Roman" w:cs="Times New Roman"/>
        </w:rPr>
        <w:tab/>
      </w:r>
    </w:p>
    <w:p w:rsidR="002227B0" w:rsidRPr="005E6431" w:rsidRDefault="007F0B7B" w:rsidP="00E6146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Division: </w:t>
      </w:r>
      <w:r w:rsidR="002227B0" w:rsidRPr="005E6431">
        <w:rPr>
          <w:rFonts w:ascii="Times New Roman" w:hAnsi="Times New Roman" w:cs="Times New Roman"/>
        </w:rPr>
        <w:t>____________________________</w:t>
      </w:r>
      <w:r w:rsidR="002227B0">
        <w:rPr>
          <w:rFonts w:ascii="Times New Roman" w:hAnsi="Times New Roman" w:cs="Times New Roman"/>
        </w:rPr>
        <w:tab/>
      </w:r>
    </w:p>
    <w:p w:rsidR="002227B0" w:rsidRDefault="002227B0" w:rsidP="00E6146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p>
    <w:p w:rsidR="007F0B7B" w:rsidRPr="005E6431" w:rsidRDefault="007F0B7B" w:rsidP="00E6146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p>
    <w:p w:rsidR="002227B0" w:rsidRPr="005E6431" w:rsidRDefault="007F0B7B" w:rsidP="00E6146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Section: </w:t>
      </w:r>
      <w:r w:rsidR="002227B0" w:rsidRPr="005E6431">
        <w:rPr>
          <w:rFonts w:ascii="Times New Roman" w:hAnsi="Times New Roman" w:cs="Times New Roman"/>
        </w:rPr>
        <w:t>____________________________</w:t>
      </w:r>
    </w:p>
    <w:p w:rsidR="002227B0" w:rsidRPr="005E6431" w:rsidRDefault="002227B0" w:rsidP="00E6146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p>
    <w:p w:rsidR="002227B0" w:rsidRPr="005E6431" w:rsidRDefault="007F0B7B" w:rsidP="00E6146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Report prepared b</w:t>
      </w:r>
      <w:r w:rsidR="002227B0" w:rsidRPr="005E6431">
        <w:rPr>
          <w:rFonts w:ascii="Times New Roman" w:hAnsi="Times New Roman" w:cs="Times New Roman"/>
        </w:rPr>
        <w:t xml:space="preserve">y: </w:t>
      </w:r>
      <w:r w:rsidR="002227B0">
        <w:rPr>
          <w:rFonts w:ascii="Times New Roman" w:hAnsi="Times New Roman" w:cs="Times New Roman"/>
        </w:rPr>
        <w:t>Jill Inahara</w:t>
      </w:r>
    </w:p>
    <w:p w:rsidR="002227B0" w:rsidRPr="005E6431" w:rsidRDefault="007F0B7B" w:rsidP="00E6146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Phone: 503-</w:t>
      </w:r>
      <w:r w:rsidR="002227B0" w:rsidRPr="005E6431">
        <w:rPr>
          <w:rFonts w:ascii="Times New Roman" w:hAnsi="Times New Roman" w:cs="Times New Roman"/>
        </w:rPr>
        <w:t>229-</w:t>
      </w:r>
      <w:r w:rsidR="002227B0">
        <w:rPr>
          <w:rFonts w:ascii="Times New Roman" w:hAnsi="Times New Roman" w:cs="Times New Roman"/>
        </w:rPr>
        <w:t>5001</w:t>
      </w:r>
    </w:p>
    <w:sectPr w:rsidR="002227B0" w:rsidRPr="005E6431" w:rsidSect="002227B0">
      <w:headerReference w:type="default" r:id="rId10"/>
      <w:pgSz w:w="12240" w:h="15840" w:code="1"/>
      <w:pgMar w:top="720" w:right="1440" w:bottom="720" w:left="1440" w:header="1440" w:footer="1440" w:gutter="0"/>
      <w:cols w:space="720"/>
      <w:noEndnote/>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F01" w:rsidRDefault="00395F01">
      <w:r>
        <w:separator/>
      </w:r>
    </w:p>
  </w:endnote>
  <w:endnote w:type="continuationSeparator" w:id="0">
    <w:p w:rsidR="00395F01" w:rsidRDefault="00395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F01" w:rsidRDefault="00395F01">
      <w:r>
        <w:separator/>
      </w:r>
    </w:p>
  </w:footnote>
  <w:footnote w:type="continuationSeparator" w:id="0">
    <w:p w:rsidR="00395F01" w:rsidRDefault="00395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01" w:rsidRPr="00B463EE" w:rsidRDefault="00395F01" w:rsidP="00665BDA">
    <w:pPr>
      <w:tabs>
        <w:tab w:val="left" w:pos="-1440"/>
        <w:tab w:val="left" w:pos="-720"/>
        <w:tab w:val="left" w:pos="0"/>
        <w:tab w:val="left" w:pos="720"/>
      </w:tabs>
      <w:suppressAutoHyphens/>
      <w:ind w:left="1440" w:hanging="1440"/>
      <w:rPr>
        <w:rFonts w:ascii="Arial" w:hAnsi="Arial" w:cs="Arial"/>
        <w:sz w:val="20"/>
        <w:szCs w:val="20"/>
      </w:rPr>
    </w:pPr>
    <w:r w:rsidRPr="00B463EE">
      <w:rPr>
        <w:rFonts w:ascii="Arial" w:hAnsi="Arial" w:cs="Arial"/>
        <w:sz w:val="20"/>
        <w:szCs w:val="20"/>
      </w:rPr>
      <w:t xml:space="preserve">Rule adoption: </w:t>
    </w:r>
    <w:r>
      <w:rPr>
        <w:rFonts w:ascii="Arial" w:hAnsi="Arial" w:cs="Arial"/>
        <w:sz w:val="20"/>
        <w:szCs w:val="20"/>
      </w:rPr>
      <w:t>New Source Review/particulate matter and greenhouse g</w:t>
    </w:r>
    <w:r w:rsidRPr="00B463EE">
      <w:rPr>
        <w:rFonts w:ascii="Arial" w:hAnsi="Arial" w:cs="Arial"/>
        <w:sz w:val="20"/>
        <w:szCs w:val="20"/>
      </w:rPr>
      <w:t>a</w:t>
    </w:r>
    <w:r>
      <w:rPr>
        <w:rFonts w:ascii="Arial" w:hAnsi="Arial" w:cs="Arial"/>
        <w:sz w:val="20"/>
        <w:szCs w:val="20"/>
      </w:rPr>
      <w:t>s permitting requirements and ot</w:t>
    </w:r>
    <w:r w:rsidRPr="00B463EE">
      <w:rPr>
        <w:rFonts w:ascii="Arial" w:hAnsi="Arial" w:cs="Arial"/>
        <w:sz w:val="20"/>
        <w:szCs w:val="20"/>
      </w:rPr>
      <w:t xml:space="preserve">her </w:t>
    </w:r>
    <w:r>
      <w:rPr>
        <w:rFonts w:ascii="Arial" w:hAnsi="Arial" w:cs="Arial"/>
        <w:sz w:val="20"/>
        <w:szCs w:val="20"/>
      </w:rPr>
      <w:t>permitting rule u</w:t>
    </w:r>
    <w:r w:rsidRPr="00B463EE">
      <w:rPr>
        <w:rFonts w:ascii="Arial" w:hAnsi="Arial" w:cs="Arial"/>
        <w:sz w:val="20"/>
        <w:szCs w:val="20"/>
      </w:rPr>
      <w:t>pdates</w:t>
    </w:r>
  </w:p>
  <w:p w:rsidR="00395F01" w:rsidRPr="00B463EE" w:rsidRDefault="00395F01" w:rsidP="00665BDA">
    <w:pPr>
      <w:tabs>
        <w:tab w:val="left" w:pos="-1440"/>
        <w:tab w:val="left" w:pos="-720"/>
        <w:tab w:val="left" w:pos="0"/>
        <w:tab w:val="left" w:pos="720"/>
      </w:tabs>
      <w:suppressAutoHyphens/>
      <w:ind w:left="1440" w:hanging="1440"/>
      <w:rPr>
        <w:rFonts w:ascii="Arial" w:hAnsi="Arial" w:cs="Arial"/>
        <w:sz w:val="20"/>
        <w:szCs w:val="20"/>
      </w:rPr>
    </w:pPr>
    <w:r w:rsidRPr="00B463EE">
      <w:rPr>
        <w:rFonts w:ascii="Arial" w:hAnsi="Arial" w:cs="Arial"/>
        <w:sz w:val="20"/>
        <w:szCs w:val="20"/>
      </w:rPr>
      <w:t>April 21-22, 2011, EQC meeting</w:t>
    </w:r>
  </w:p>
  <w:p w:rsidR="00395F01" w:rsidRDefault="00395F01" w:rsidP="00116BA2">
    <w:pPr>
      <w:tabs>
        <w:tab w:val="left" w:pos="-1440"/>
        <w:tab w:val="left" w:pos="-720"/>
      </w:tabs>
      <w:suppressAutoHyphens/>
      <w:rPr>
        <w:rFonts w:ascii="Arial" w:hAnsi="Arial" w:cs="Arial"/>
        <w:sz w:val="20"/>
        <w:szCs w:val="20"/>
      </w:rPr>
    </w:pPr>
    <w:r w:rsidRPr="00B463EE">
      <w:rPr>
        <w:rFonts w:ascii="Arial" w:hAnsi="Arial" w:cs="Arial"/>
        <w:sz w:val="20"/>
        <w:szCs w:val="20"/>
      </w:rPr>
      <w:t xml:space="preserve">Page </w:t>
    </w:r>
    <w:r w:rsidR="00400852" w:rsidRPr="00B463EE">
      <w:rPr>
        <w:rStyle w:val="PageNumber"/>
        <w:rFonts w:ascii="Arial" w:hAnsi="Arial" w:cs="Arial"/>
        <w:sz w:val="20"/>
        <w:szCs w:val="20"/>
      </w:rPr>
      <w:fldChar w:fldCharType="begin"/>
    </w:r>
    <w:r w:rsidRPr="00B463EE">
      <w:rPr>
        <w:rStyle w:val="PageNumber"/>
        <w:rFonts w:ascii="Arial" w:hAnsi="Arial" w:cs="Arial"/>
        <w:sz w:val="20"/>
        <w:szCs w:val="20"/>
      </w:rPr>
      <w:instrText xml:space="preserve"> PAGE </w:instrText>
    </w:r>
    <w:r w:rsidR="00400852" w:rsidRPr="00B463EE">
      <w:rPr>
        <w:rStyle w:val="PageNumber"/>
        <w:rFonts w:ascii="Arial" w:hAnsi="Arial" w:cs="Arial"/>
        <w:sz w:val="20"/>
        <w:szCs w:val="20"/>
      </w:rPr>
      <w:fldChar w:fldCharType="separate"/>
    </w:r>
    <w:r w:rsidR="00D708A9">
      <w:rPr>
        <w:rStyle w:val="PageNumber"/>
        <w:rFonts w:ascii="Arial" w:hAnsi="Arial" w:cs="Arial"/>
        <w:noProof/>
        <w:sz w:val="20"/>
        <w:szCs w:val="20"/>
      </w:rPr>
      <w:t>6</w:t>
    </w:r>
    <w:r w:rsidR="00400852" w:rsidRPr="00B463EE">
      <w:rPr>
        <w:rStyle w:val="PageNumber"/>
        <w:rFonts w:ascii="Arial" w:hAnsi="Arial" w:cs="Arial"/>
        <w:sz w:val="20"/>
        <w:szCs w:val="20"/>
      </w:rPr>
      <w:fldChar w:fldCharType="end"/>
    </w:r>
    <w:r w:rsidRPr="00B463EE">
      <w:rPr>
        <w:rFonts w:ascii="Arial" w:hAnsi="Arial" w:cs="Arial"/>
        <w:sz w:val="20"/>
        <w:szCs w:val="20"/>
      </w:rPr>
      <w:t xml:space="preserve"> of 6</w:t>
    </w:r>
  </w:p>
  <w:p w:rsidR="00D708A9" w:rsidRPr="00D708A9" w:rsidRDefault="00D708A9" w:rsidP="00116BA2">
    <w:pPr>
      <w:tabs>
        <w:tab w:val="left" w:pos="-1440"/>
        <w:tab w:val="left" w:pos="-720"/>
      </w:tabs>
      <w:suppressAutoHyphens/>
      <w:rPr>
        <w:rFonts w:ascii="Arial" w:hAnsi="Arial" w:cs="Arial"/>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5DB202E0"/>
    <w:lvl w:ilvl="0">
      <w:start w:val="1"/>
      <w:numFmt w:val="upperLetter"/>
      <w:lvlText w:val="%1."/>
      <w:lvlJc w:val="left"/>
      <w:pPr>
        <w:tabs>
          <w:tab w:val="num" w:pos="720"/>
        </w:tabs>
        <w:ind w:left="720" w:hanging="720"/>
      </w:pPr>
      <w:rPr>
        <w:rFonts w:hint="default"/>
        <w:sz w:val="24"/>
        <w:szCs w:val="24"/>
      </w:rPr>
    </w:lvl>
  </w:abstractNum>
  <w:abstractNum w:abstractNumId="1">
    <w:nsid w:val="0929279A"/>
    <w:multiLevelType w:val="hybridMultilevel"/>
    <w:tmpl w:val="F80EE7C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126614EF"/>
    <w:multiLevelType w:val="hybridMultilevel"/>
    <w:tmpl w:val="1598B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16416ACD"/>
    <w:multiLevelType w:val="hybridMultilevel"/>
    <w:tmpl w:val="B3C05DDE"/>
    <w:lvl w:ilvl="0" w:tplc="664279D8">
      <w:start w:val="1"/>
      <w:numFmt w:val="bullet"/>
      <w:lvlText w:val=""/>
      <w:lvlJc w:val="left"/>
      <w:pPr>
        <w:tabs>
          <w:tab w:val="num" w:pos="180"/>
        </w:tabs>
        <w:ind w:left="331" w:hanging="187"/>
      </w:pPr>
      <w:rPr>
        <w:rFonts w:ascii="Symbol" w:hAnsi="Symbol" w:cs="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7607A40"/>
    <w:multiLevelType w:val="hybridMultilevel"/>
    <w:tmpl w:val="7160EA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CD4A95"/>
    <w:multiLevelType w:val="hybridMultilevel"/>
    <w:tmpl w:val="1222DD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2A2C1838"/>
    <w:multiLevelType w:val="hybridMultilevel"/>
    <w:tmpl w:val="B382FD88"/>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7">
    <w:nsid w:val="303E7628"/>
    <w:multiLevelType w:val="hybridMultilevel"/>
    <w:tmpl w:val="3CD29DF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nsid w:val="3A1D312D"/>
    <w:multiLevelType w:val="multilevel"/>
    <w:tmpl w:val="9C804564"/>
    <w:lvl w:ilvl="0">
      <w:start w:val="1"/>
      <w:numFmt w:val="bullet"/>
      <w:lvlText w:val=""/>
      <w:lvlJc w:val="left"/>
      <w:pPr>
        <w:tabs>
          <w:tab w:val="num" w:pos="360"/>
        </w:tabs>
        <w:ind w:left="360" w:hanging="360"/>
      </w:pPr>
      <w:rPr>
        <w:rFonts w:ascii="Symbol" w:hAnsi="Symbol" w:cs="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sz w:val="20"/>
        <w:szCs w:val="20"/>
      </w:rPr>
    </w:lvl>
    <w:lvl w:ilvl="2" w:tentative="1">
      <w:start w:val="1"/>
      <w:numFmt w:val="bullet"/>
      <w:lvlText w:val=""/>
      <w:lvlJc w:val="left"/>
      <w:pPr>
        <w:tabs>
          <w:tab w:val="num" w:pos="1800"/>
        </w:tabs>
        <w:ind w:left="1800" w:hanging="360"/>
      </w:pPr>
      <w:rPr>
        <w:rFonts w:ascii="Wingdings" w:hAnsi="Wingdings" w:cs="Wingdings" w:hint="default"/>
        <w:sz w:val="20"/>
        <w:szCs w:val="20"/>
      </w:rPr>
    </w:lvl>
    <w:lvl w:ilvl="3" w:tentative="1">
      <w:start w:val="1"/>
      <w:numFmt w:val="bullet"/>
      <w:lvlText w:val=""/>
      <w:lvlJc w:val="left"/>
      <w:pPr>
        <w:tabs>
          <w:tab w:val="num" w:pos="2520"/>
        </w:tabs>
        <w:ind w:left="2520" w:hanging="360"/>
      </w:pPr>
      <w:rPr>
        <w:rFonts w:ascii="Wingdings" w:hAnsi="Wingdings" w:cs="Wingdings" w:hint="default"/>
        <w:sz w:val="20"/>
        <w:szCs w:val="20"/>
      </w:rPr>
    </w:lvl>
    <w:lvl w:ilvl="4" w:tentative="1">
      <w:start w:val="1"/>
      <w:numFmt w:val="bullet"/>
      <w:lvlText w:val=""/>
      <w:lvlJc w:val="left"/>
      <w:pPr>
        <w:tabs>
          <w:tab w:val="num" w:pos="3240"/>
        </w:tabs>
        <w:ind w:left="3240" w:hanging="360"/>
      </w:pPr>
      <w:rPr>
        <w:rFonts w:ascii="Wingdings" w:hAnsi="Wingdings" w:cs="Wingdings" w:hint="default"/>
        <w:sz w:val="20"/>
        <w:szCs w:val="20"/>
      </w:rPr>
    </w:lvl>
    <w:lvl w:ilvl="5" w:tentative="1">
      <w:start w:val="1"/>
      <w:numFmt w:val="bullet"/>
      <w:lvlText w:val=""/>
      <w:lvlJc w:val="left"/>
      <w:pPr>
        <w:tabs>
          <w:tab w:val="num" w:pos="3960"/>
        </w:tabs>
        <w:ind w:left="3960" w:hanging="360"/>
      </w:pPr>
      <w:rPr>
        <w:rFonts w:ascii="Wingdings" w:hAnsi="Wingdings" w:cs="Wingdings" w:hint="default"/>
        <w:sz w:val="20"/>
        <w:szCs w:val="20"/>
      </w:rPr>
    </w:lvl>
    <w:lvl w:ilvl="6" w:tentative="1">
      <w:start w:val="1"/>
      <w:numFmt w:val="bullet"/>
      <w:lvlText w:val=""/>
      <w:lvlJc w:val="left"/>
      <w:pPr>
        <w:tabs>
          <w:tab w:val="num" w:pos="4680"/>
        </w:tabs>
        <w:ind w:left="4680" w:hanging="360"/>
      </w:pPr>
      <w:rPr>
        <w:rFonts w:ascii="Wingdings" w:hAnsi="Wingdings" w:cs="Wingdings" w:hint="default"/>
        <w:sz w:val="20"/>
        <w:szCs w:val="20"/>
      </w:rPr>
    </w:lvl>
    <w:lvl w:ilvl="7" w:tentative="1">
      <w:start w:val="1"/>
      <w:numFmt w:val="bullet"/>
      <w:lvlText w:val=""/>
      <w:lvlJc w:val="left"/>
      <w:pPr>
        <w:tabs>
          <w:tab w:val="num" w:pos="5400"/>
        </w:tabs>
        <w:ind w:left="5400" w:hanging="360"/>
      </w:pPr>
      <w:rPr>
        <w:rFonts w:ascii="Wingdings" w:hAnsi="Wingdings" w:cs="Wingdings" w:hint="default"/>
        <w:sz w:val="20"/>
        <w:szCs w:val="20"/>
      </w:rPr>
    </w:lvl>
    <w:lvl w:ilvl="8" w:tentative="1">
      <w:start w:val="1"/>
      <w:numFmt w:val="bullet"/>
      <w:lvlText w:val=""/>
      <w:lvlJc w:val="left"/>
      <w:pPr>
        <w:tabs>
          <w:tab w:val="num" w:pos="6120"/>
        </w:tabs>
        <w:ind w:left="6120" w:hanging="360"/>
      </w:pPr>
      <w:rPr>
        <w:rFonts w:ascii="Wingdings" w:hAnsi="Wingdings" w:cs="Wingdings" w:hint="default"/>
        <w:sz w:val="20"/>
        <w:szCs w:val="20"/>
      </w:rPr>
    </w:lvl>
  </w:abstractNum>
  <w:abstractNum w:abstractNumId="9">
    <w:nsid w:val="3C4C7C65"/>
    <w:multiLevelType w:val="hybridMultilevel"/>
    <w:tmpl w:val="E3EA35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44251502"/>
    <w:multiLevelType w:val="hybridMultilevel"/>
    <w:tmpl w:val="CA48E18A"/>
    <w:lvl w:ilvl="0" w:tplc="207231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42136F"/>
    <w:multiLevelType w:val="hybridMultilevel"/>
    <w:tmpl w:val="9EAE00B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nsid w:val="523E65A4"/>
    <w:multiLevelType w:val="singleLevel"/>
    <w:tmpl w:val="0409000F"/>
    <w:lvl w:ilvl="0">
      <w:start w:val="1"/>
      <w:numFmt w:val="decimal"/>
      <w:lvlText w:val="%1."/>
      <w:lvlJc w:val="left"/>
      <w:pPr>
        <w:tabs>
          <w:tab w:val="num" w:pos="360"/>
        </w:tabs>
        <w:ind w:left="360" w:hanging="360"/>
      </w:pPr>
    </w:lvl>
  </w:abstractNum>
  <w:abstractNum w:abstractNumId="13">
    <w:nsid w:val="5B993606"/>
    <w:multiLevelType w:val="hybridMultilevel"/>
    <w:tmpl w:val="921A8E1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4">
    <w:nsid w:val="5C2F4F11"/>
    <w:multiLevelType w:val="hybridMultilevel"/>
    <w:tmpl w:val="85C4376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nsid w:val="5DA83615"/>
    <w:multiLevelType w:val="hybridMultilevel"/>
    <w:tmpl w:val="40C8AB4E"/>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6">
    <w:nsid w:val="6ACC5573"/>
    <w:multiLevelType w:val="hybridMultilevel"/>
    <w:tmpl w:val="06D0CB7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7">
    <w:nsid w:val="73636D64"/>
    <w:multiLevelType w:val="hybridMultilevel"/>
    <w:tmpl w:val="AE7C56A8"/>
    <w:lvl w:ilvl="0" w:tplc="04090001">
      <w:start w:val="1"/>
      <w:numFmt w:val="bullet"/>
      <w:lvlText w:val=""/>
      <w:lvlJc w:val="left"/>
      <w:pPr>
        <w:tabs>
          <w:tab w:val="num" w:pos="720"/>
        </w:tabs>
        <w:ind w:left="720" w:hanging="360"/>
      </w:pPr>
      <w:rPr>
        <w:rFonts w:ascii="Symbol" w:hAnsi="Symbol"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F37FBF"/>
    <w:multiLevelType w:val="hybridMultilevel"/>
    <w:tmpl w:val="2EFAADB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9">
    <w:nsid w:val="791B62C0"/>
    <w:multiLevelType w:val="hybridMultilevel"/>
    <w:tmpl w:val="4DD2D8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2"/>
  </w:num>
  <w:num w:numId="2">
    <w:abstractNumId w:val="0"/>
  </w:num>
  <w:num w:numId="3">
    <w:abstractNumId w:val="17"/>
  </w:num>
  <w:num w:numId="4">
    <w:abstractNumId w:val="10"/>
  </w:num>
  <w:num w:numId="5">
    <w:abstractNumId w:val="15"/>
  </w:num>
  <w:num w:numId="6">
    <w:abstractNumId w:val="4"/>
  </w:num>
  <w:num w:numId="7">
    <w:abstractNumId w:val="3"/>
  </w:num>
  <w:num w:numId="8">
    <w:abstractNumId w:val="7"/>
  </w:num>
  <w:num w:numId="9">
    <w:abstractNumId w:val="1"/>
  </w:num>
  <w:num w:numId="10">
    <w:abstractNumId w:val="11"/>
  </w:num>
  <w:num w:numId="11">
    <w:abstractNumId w:val="16"/>
  </w:num>
  <w:num w:numId="12">
    <w:abstractNumId w:val="19"/>
  </w:num>
  <w:num w:numId="13">
    <w:abstractNumId w:val="5"/>
  </w:num>
  <w:num w:numId="14">
    <w:abstractNumId w:val="6"/>
  </w:num>
  <w:num w:numId="15">
    <w:abstractNumId w:val="13"/>
  </w:num>
  <w:num w:numId="16">
    <w:abstractNumId w:val="14"/>
  </w:num>
  <w:num w:numId="17">
    <w:abstractNumId w:val="8"/>
  </w:num>
  <w:num w:numId="18">
    <w:abstractNumId w:val="2"/>
  </w:num>
  <w:num w:numId="19">
    <w:abstractNumId w:val="9"/>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20"/>
  <w:drawingGridHorizontalSpacing w:val="78"/>
  <w:drawingGridVerticalSpacing w:val="10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107FDD"/>
    <w:rsid w:val="000007CE"/>
    <w:rsid w:val="00000894"/>
    <w:rsid w:val="00001218"/>
    <w:rsid w:val="000017E2"/>
    <w:rsid w:val="00002301"/>
    <w:rsid w:val="0000403E"/>
    <w:rsid w:val="00004136"/>
    <w:rsid w:val="00004953"/>
    <w:rsid w:val="00007D5E"/>
    <w:rsid w:val="00007EE1"/>
    <w:rsid w:val="000112D5"/>
    <w:rsid w:val="00011E23"/>
    <w:rsid w:val="000148F4"/>
    <w:rsid w:val="00015A11"/>
    <w:rsid w:val="00015D41"/>
    <w:rsid w:val="00016F7A"/>
    <w:rsid w:val="000206B7"/>
    <w:rsid w:val="0002084E"/>
    <w:rsid w:val="00021777"/>
    <w:rsid w:val="00021C18"/>
    <w:rsid w:val="0002351B"/>
    <w:rsid w:val="00024439"/>
    <w:rsid w:val="00024E70"/>
    <w:rsid w:val="00026250"/>
    <w:rsid w:val="00026508"/>
    <w:rsid w:val="000272B1"/>
    <w:rsid w:val="00030E44"/>
    <w:rsid w:val="000314AD"/>
    <w:rsid w:val="000330C6"/>
    <w:rsid w:val="00034F50"/>
    <w:rsid w:val="000354D3"/>
    <w:rsid w:val="0003601C"/>
    <w:rsid w:val="000363E6"/>
    <w:rsid w:val="0003770B"/>
    <w:rsid w:val="00041832"/>
    <w:rsid w:val="00041FC2"/>
    <w:rsid w:val="00042B95"/>
    <w:rsid w:val="000436C6"/>
    <w:rsid w:val="00043862"/>
    <w:rsid w:val="00043CCC"/>
    <w:rsid w:val="00046A15"/>
    <w:rsid w:val="000475B9"/>
    <w:rsid w:val="00047B81"/>
    <w:rsid w:val="000517EE"/>
    <w:rsid w:val="000519EA"/>
    <w:rsid w:val="00052604"/>
    <w:rsid w:val="00052A3A"/>
    <w:rsid w:val="00053C0D"/>
    <w:rsid w:val="00054C49"/>
    <w:rsid w:val="000553B7"/>
    <w:rsid w:val="00055492"/>
    <w:rsid w:val="00055617"/>
    <w:rsid w:val="00055DCF"/>
    <w:rsid w:val="00055E01"/>
    <w:rsid w:val="00056B48"/>
    <w:rsid w:val="00057D18"/>
    <w:rsid w:val="00057D65"/>
    <w:rsid w:val="0006092E"/>
    <w:rsid w:val="00063C99"/>
    <w:rsid w:val="00063D3A"/>
    <w:rsid w:val="00063F26"/>
    <w:rsid w:val="000645EB"/>
    <w:rsid w:val="000655A0"/>
    <w:rsid w:val="0006572F"/>
    <w:rsid w:val="0006579A"/>
    <w:rsid w:val="000660A3"/>
    <w:rsid w:val="00066341"/>
    <w:rsid w:val="0006748D"/>
    <w:rsid w:val="00067603"/>
    <w:rsid w:val="0006771E"/>
    <w:rsid w:val="000703AF"/>
    <w:rsid w:val="000711BA"/>
    <w:rsid w:val="00072226"/>
    <w:rsid w:val="000728AC"/>
    <w:rsid w:val="00073F8B"/>
    <w:rsid w:val="000751F9"/>
    <w:rsid w:val="00075D76"/>
    <w:rsid w:val="000764F5"/>
    <w:rsid w:val="00080482"/>
    <w:rsid w:val="0008126A"/>
    <w:rsid w:val="0008233F"/>
    <w:rsid w:val="00083567"/>
    <w:rsid w:val="000839BD"/>
    <w:rsid w:val="0008452A"/>
    <w:rsid w:val="000846B7"/>
    <w:rsid w:val="00084B15"/>
    <w:rsid w:val="00084F06"/>
    <w:rsid w:val="00085141"/>
    <w:rsid w:val="00087533"/>
    <w:rsid w:val="000903BD"/>
    <w:rsid w:val="00090D51"/>
    <w:rsid w:val="00090D5B"/>
    <w:rsid w:val="00096C9B"/>
    <w:rsid w:val="000A036A"/>
    <w:rsid w:val="000A1091"/>
    <w:rsid w:val="000A17BD"/>
    <w:rsid w:val="000A1DF3"/>
    <w:rsid w:val="000A2620"/>
    <w:rsid w:val="000A284C"/>
    <w:rsid w:val="000A2AD9"/>
    <w:rsid w:val="000A374B"/>
    <w:rsid w:val="000A3AC8"/>
    <w:rsid w:val="000A5357"/>
    <w:rsid w:val="000A6219"/>
    <w:rsid w:val="000A677B"/>
    <w:rsid w:val="000A7959"/>
    <w:rsid w:val="000B0331"/>
    <w:rsid w:val="000B045A"/>
    <w:rsid w:val="000B226E"/>
    <w:rsid w:val="000B25F7"/>
    <w:rsid w:val="000B2D41"/>
    <w:rsid w:val="000B3035"/>
    <w:rsid w:val="000B323F"/>
    <w:rsid w:val="000B33AD"/>
    <w:rsid w:val="000B402A"/>
    <w:rsid w:val="000B493E"/>
    <w:rsid w:val="000B6638"/>
    <w:rsid w:val="000B6D4D"/>
    <w:rsid w:val="000B7AE9"/>
    <w:rsid w:val="000B7BEE"/>
    <w:rsid w:val="000C09D1"/>
    <w:rsid w:val="000C1E65"/>
    <w:rsid w:val="000C29AA"/>
    <w:rsid w:val="000C3844"/>
    <w:rsid w:val="000C420A"/>
    <w:rsid w:val="000C5AE4"/>
    <w:rsid w:val="000C6B2A"/>
    <w:rsid w:val="000C78E5"/>
    <w:rsid w:val="000D0751"/>
    <w:rsid w:val="000D10D0"/>
    <w:rsid w:val="000D16A6"/>
    <w:rsid w:val="000D6106"/>
    <w:rsid w:val="000D64B4"/>
    <w:rsid w:val="000D6EA1"/>
    <w:rsid w:val="000D7734"/>
    <w:rsid w:val="000D7D47"/>
    <w:rsid w:val="000E04B8"/>
    <w:rsid w:val="000E08EC"/>
    <w:rsid w:val="000E150F"/>
    <w:rsid w:val="000E1E9C"/>
    <w:rsid w:val="000E2E2F"/>
    <w:rsid w:val="000E57C9"/>
    <w:rsid w:val="000E63A4"/>
    <w:rsid w:val="000E7DD6"/>
    <w:rsid w:val="000E7EC7"/>
    <w:rsid w:val="000F02B6"/>
    <w:rsid w:val="000F0FC2"/>
    <w:rsid w:val="000F1D94"/>
    <w:rsid w:val="000F5251"/>
    <w:rsid w:val="000F5A48"/>
    <w:rsid w:val="000F6823"/>
    <w:rsid w:val="000F74B5"/>
    <w:rsid w:val="000F78BA"/>
    <w:rsid w:val="00100FCF"/>
    <w:rsid w:val="00102A1D"/>
    <w:rsid w:val="0010302C"/>
    <w:rsid w:val="001031BB"/>
    <w:rsid w:val="0010456D"/>
    <w:rsid w:val="0010496B"/>
    <w:rsid w:val="00104A78"/>
    <w:rsid w:val="00104BBE"/>
    <w:rsid w:val="00104D90"/>
    <w:rsid w:val="00104DEF"/>
    <w:rsid w:val="0010531D"/>
    <w:rsid w:val="0010791B"/>
    <w:rsid w:val="0010793B"/>
    <w:rsid w:val="00107A31"/>
    <w:rsid w:val="00107FDD"/>
    <w:rsid w:val="001103C2"/>
    <w:rsid w:val="00110467"/>
    <w:rsid w:val="00112075"/>
    <w:rsid w:val="00112BF3"/>
    <w:rsid w:val="00112F51"/>
    <w:rsid w:val="001139CB"/>
    <w:rsid w:val="00114C68"/>
    <w:rsid w:val="001158B5"/>
    <w:rsid w:val="001160CA"/>
    <w:rsid w:val="00116BA2"/>
    <w:rsid w:val="00116FE1"/>
    <w:rsid w:val="00117C3D"/>
    <w:rsid w:val="00120099"/>
    <w:rsid w:val="00120359"/>
    <w:rsid w:val="00123B68"/>
    <w:rsid w:val="00123D2E"/>
    <w:rsid w:val="001249A5"/>
    <w:rsid w:val="001329D4"/>
    <w:rsid w:val="00133721"/>
    <w:rsid w:val="00133B21"/>
    <w:rsid w:val="00134780"/>
    <w:rsid w:val="001347E9"/>
    <w:rsid w:val="00135A75"/>
    <w:rsid w:val="0013621E"/>
    <w:rsid w:val="00137845"/>
    <w:rsid w:val="00141473"/>
    <w:rsid w:val="001419CC"/>
    <w:rsid w:val="001427AE"/>
    <w:rsid w:val="00142962"/>
    <w:rsid w:val="00142AA6"/>
    <w:rsid w:val="001431C0"/>
    <w:rsid w:val="0014365D"/>
    <w:rsid w:val="00144AA4"/>
    <w:rsid w:val="00144E0C"/>
    <w:rsid w:val="0014583A"/>
    <w:rsid w:val="00145AA2"/>
    <w:rsid w:val="00145F13"/>
    <w:rsid w:val="0014618D"/>
    <w:rsid w:val="001469BE"/>
    <w:rsid w:val="001514FC"/>
    <w:rsid w:val="0015229D"/>
    <w:rsid w:val="00152362"/>
    <w:rsid w:val="0015289B"/>
    <w:rsid w:val="00154D8C"/>
    <w:rsid w:val="00157229"/>
    <w:rsid w:val="001576DF"/>
    <w:rsid w:val="00161339"/>
    <w:rsid w:val="001620F2"/>
    <w:rsid w:val="00162B81"/>
    <w:rsid w:val="00163295"/>
    <w:rsid w:val="00164212"/>
    <w:rsid w:val="00166D7F"/>
    <w:rsid w:val="00166E16"/>
    <w:rsid w:val="00167045"/>
    <w:rsid w:val="00170739"/>
    <w:rsid w:val="00170ADE"/>
    <w:rsid w:val="00170E95"/>
    <w:rsid w:val="00171336"/>
    <w:rsid w:val="0017275D"/>
    <w:rsid w:val="001740E5"/>
    <w:rsid w:val="00174D6B"/>
    <w:rsid w:val="00174F95"/>
    <w:rsid w:val="0017500B"/>
    <w:rsid w:val="00175391"/>
    <w:rsid w:val="00175CC3"/>
    <w:rsid w:val="00176028"/>
    <w:rsid w:val="00176A2C"/>
    <w:rsid w:val="00177C13"/>
    <w:rsid w:val="00177D6A"/>
    <w:rsid w:val="001812F0"/>
    <w:rsid w:val="0018131D"/>
    <w:rsid w:val="0018224D"/>
    <w:rsid w:val="0018249B"/>
    <w:rsid w:val="00183A6B"/>
    <w:rsid w:val="00183CFE"/>
    <w:rsid w:val="00184AEB"/>
    <w:rsid w:val="00185452"/>
    <w:rsid w:val="001860CB"/>
    <w:rsid w:val="0018782D"/>
    <w:rsid w:val="00187958"/>
    <w:rsid w:val="001900FD"/>
    <w:rsid w:val="001910B3"/>
    <w:rsid w:val="00191B75"/>
    <w:rsid w:val="00192D66"/>
    <w:rsid w:val="001955D8"/>
    <w:rsid w:val="001A0A3E"/>
    <w:rsid w:val="001A1970"/>
    <w:rsid w:val="001A2658"/>
    <w:rsid w:val="001A2F5A"/>
    <w:rsid w:val="001A370F"/>
    <w:rsid w:val="001A5E64"/>
    <w:rsid w:val="001A7DC2"/>
    <w:rsid w:val="001B076C"/>
    <w:rsid w:val="001B133A"/>
    <w:rsid w:val="001B1AB8"/>
    <w:rsid w:val="001B21E2"/>
    <w:rsid w:val="001B25A1"/>
    <w:rsid w:val="001B3E15"/>
    <w:rsid w:val="001B4623"/>
    <w:rsid w:val="001B47EB"/>
    <w:rsid w:val="001B5EE4"/>
    <w:rsid w:val="001B604F"/>
    <w:rsid w:val="001B68E0"/>
    <w:rsid w:val="001B6BF6"/>
    <w:rsid w:val="001B6F87"/>
    <w:rsid w:val="001B7540"/>
    <w:rsid w:val="001C0E4F"/>
    <w:rsid w:val="001C1A01"/>
    <w:rsid w:val="001C2B06"/>
    <w:rsid w:val="001C330E"/>
    <w:rsid w:val="001C508D"/>
    <w:rsid w:val="001C6820"/>
    <w:rsid w:val="001C6F36"/>
    <w:rsid w:val="001C712E"/>
    <w:rsid w:val="001C76A3"/>
    <w:rsid w:val="001C7EAA"/>
    <w:rsid w:val="001D0742"/>
    <w:rsid w:val="001D0903"/>
    <w:rsid w:val="001D2581"/>
    <w:rsid w:val="001D272D"/>
    <w:rsid w:val="001D38C2"/>
    <w:rsid w:val="001D66F2"/>
    <w:rsid w:val="001D71A9"/>
    <w:rsid w:val="001E0103"/>
    <w:rsid w:val="001E0EFB"/>
    <w:rsid w:val="001E157F"/>
    <w:rsid w:val="001E21A7"/>
    <w:rsid w:val="001E25D3"/>
    <w:rsid w:val="001E2D69"/>
    <w:rsid w:val="001E360D"/>
    <w:rsid w:val="001E5B86"/>
    <w:rsid w:val="001E7049"/>
    <w:rsid w:val="001E7380"/>
    <w:rsid w:val="001F1DEC"/>
    <w:rsid w:val="001F248D"/>
    <w:rsid w:val="001F253E"/>
    <w:rsid w:val="001F2B0D"/>
    <w:rsid w:val="001F2C44"/>
    <w:rsid w:val="001F43B4"/>
    <w:rsid w:val="001F45C6"/>
    <w:rsid w:val="001F51AA"/>
    <w:rsid w:val="00200F0B"/>
    <w:rsid w:val="002049D4"/>
    <w:rsid w:val="00205618"/>
    <w:rsid w:val="00207B6F"/>
    <w:rsid w:val="00210D4F"/>
    <w:rsid w:val="00211F05"/>
    <w:rsid w:val="002121E1"/>
    <w:rsid w:val="00212DAC"/>
    <w:rsid w:val="002168D7"/>
    <w:rsid w:val="00217142"/>
    <w:rsid w:val="00217373"/>
    <w:rsid w:val="00217435"/>
    <w:rsid w:val="00220376"/>
    <w:rsid w:val="002214C3"/>
    <w:rsid w:val="002227B0"/>
    <w:rsid w:val="00222D7D"/>
    <w:rsid w:val="00227D90"/>
    <w:rsid w:val="00230013"/>
    <w:rsid w:val="00231959"/>
    <w:rsid w:val="00231B58"/>
    <w:rsid w:val="002320CF"/>
    <w:rsid w:val="0023554D"/>
    <w:rsid w:val="00236A55"/>
    <w:rsid w:val="0023750A"/>
    <w:rsid w:val="00237E68"/>
    <w:rsid w:val="00240D40"/>
    <w:rsid w:val="00240F65"/>
    <w:rsid w:val="002421A0"/>
    <w:rsid w:val="002433FD"/>
    <w:rsid w:val="00243D1E"/>
    <w:rsid w:val="002449C3"/>
    <w:rsid w:val="00245E5F"/>
    <w:rsid w:val="002461AE"/>
    <w:rsid w:val="002477C0"/>
    <w:rsid w:val="00251398"/>
    <w:rsid w:val="002522D6"/>
    <w:rsid w:val="00253D79"/>
    <w:rsid w:val="002558CA"/>
    <w:rsid w:val="0025670D"/>
    <w:rsid w:val="0026178F"/>
    <w:rsid w:val="00261B94"/>
    <w:rsid w:val="00263414"/>
    <w:rsid w:val="002638C3"/>
    <w:rsid w:val="00263953"/>
    <w:rsid w:val="00263BEC"/>
    <w:rsid w:val="00263F3A"/>
    <w:rsid w:val="002652BA"/>
    <w:rsid w:val="002655BF"/>
    <w:rsid w:val="00265B32"/>
    <w:rsid w:val="00266451"/>
    <w:rsid w:val="0026679E"/>
    <w:rsid w:val="00266D60"/>
    <w:rsid w:val="002673E3"/>
    <w:rsid w:val="0026742C"/>
    <w:rsid w:val="00267641"/>
    <w:rsid w:val="00267682"/>
    <w:rsid w:val="002709D3"/>
    <w:rsid w:val="00270C0A"/>
    <w:rsid w:val="0027105E"/>
    <w:rsid w:val="00271929"/>
    <w:rsid w:val="00271AFE"/>
    <w:rsid w:val="002724DB"/>
    <w:rsid w:val="00274CA5"/>
    <w:rsid w:val="0027612A"/>
    <w:rsid w:val="00277720"/>
    <w:rsid w:val="0028056E"/>
    <w:rsid w:val="0028091B"/>
    <w:rsid w:val="00281011"/>
    <w:rsid w:val="00281E34"/>
    <w:rsid w:val="002822CD"/>
    <w:rsid w:val="0028294D"/>
    <w:rsid w:val="00283ADA"/>
    <w:rsid w:val="00286964"/>
    <w:rsid w:val="00286ABA"/>
    <w:rsid w:val="0028743D"/>
    <w:rsid w:val="002918FD"/>
    <w:rsid w:val="00291D22"/>
    <w:rsid w:val="00291E23"/>
    <w:rsid w:val="002923A9"/>
    <w:rsid w:val="00292DCC"/>
    <w:rsid w:val="00292EF3"/>
    <w:rsid w:val="002931B7"/>
    <w:rsid w:val="0029479A"/>
    <w:rsid w:val="00296BC3"/>
    <w:rsid w:val="00297ADB"/>
    <w:rsid w:val="002A287F"/>
    <w:rsid w:val="002A3354"/>
    <w:rsid w:val="002A49C4"/>
    <w:rsid w:val="002A6FE2"/>
    <w:rsid w:val="002A71A4"/>
    <w:rsid w:val="002A787B"/>
    <w:rsid w:val="002B0AD3"/>
    <w:rsid w:val="002B10D5"/>
    <w:rsid w:val="002B2675"/>
    <w:rsid w:val="002B57F8"/>
    <w:rsid w:val="002B5D2D"/>
    <w:rsid w:val="002B64EB"/>
    <w:rsid w:val="002B70E0"/>
    <w:rsid w:val="002B773C"/>
    <w:rsid w:val="002C09DF"/>
    <w:rsid w:val="002C11B6"/>
    <w:rsid w:val="002C4240"/>
    <w:rsid w:val="002C476A"/>
    <w:rsid w:val="002C61A7"/>
    <w:rsid w:val="002C63B3"/>
    <w:rsid w:val="002C6D86"/>
    <w:rsid w:val="002C7322"/>
    <w:rsid w:val="002C797F"/>
    <w:rsid w:val="002C79AD"/>
    <w:rsid w:val="002D0B59"/>
    <w:rsid w:val="002D1907"/>
    <w:rsid w:val="002D3199"/>
    <w:rsid w:val="002D3DF0"/>
    <w:rsid w:val="002D5AA0"/>
    <w:rsid w:val="002D7519"/>
    <w:rsid w:val="002D7A60"/>
    <w:rsid w:val="002D7CA5"/>
    <w:rsid w:val="002E0BD6"/>
    <w:rsid w:val="002E155E"/>
    <w:rsid w:val="002E1904"/>
    <w:rsid w:val="002E1A0D"/>
    <w:rsid w:val="002E23F1"/>
    <w:rsid w:val="002E276F"/>
    <w:rsid w:val="002E2C6B"/>
    <w:rsid w:val="002E30D7"/>
    <w:rsid w:val="002E4808"/>
    <w:rsid w:val="002E7BD0"/>
    <w:rsid w:val="002F0802"/>
    <w:rsid w:val="002F092A"/>
    <w:rsid w:val="002F235A"/>
    <w:rsid w:val="002F2DDE"/>
    <w:rsid w:val="002F50D9"/>
    <w:rsid w:val="002F5C00"/>
    <w:rsid w:val="002F6A81"/>
    <w:rsid w:val="002F7A93"/>
    <w:rsid w:val="003004CB"/>
    <w:rsid w:val="0030086B"/>
    <w:rsid w:val="003009D9"/>
    <w:rsid w:val="00301B76"/>
    <w:rsid w:val="00302967"/>
    <w:rsid w:val="003045DE"/>
    <w:rsid w:val="00304B58"/>
    <w:rsid w:val="00306991"/>
    <w:rsid w:val="00307025"/>
    <w:rsid w:val="00310CA8"/>
    <w:rsid w:val="00312019"/>
    <w:rsid w:val="00312382"/>
    <w:rsid w:val="00312814"/>
    <w:rsid w:val="0031371F"/>
    <w:rsid w:val="00313F6A"/>
    <w:rsid w:val="00314059"/>
    <w:rsid w:val="00314DC9"/>
    <w:rsid w:val="003156D2"/>
    <w:rsid w:val="00315CA4"/>
    <w:rsid w:val="00316C3C"/>
    <w:rsid w:val="003214FC"/>
    <w:rsid w:val="00322F86"/>
    <w:rsid w:val="00323ACB"/>
    <w:rsid w:val="00325252"/>
    <w:rsid w:val="00325C1D"/>
    <w:rsid w:val="00326B67"/>
    <w:rsid w:val="00330114"/>
    <w:rsid w:val="0033041B"/>
    <w:rsid w:val="00330ADB"/>
    <w:rsid w:val="00331C7C"/>
    <w:rsid w:val="00333EB7"/>
    <w:rsid w:val="00333F71"/>
    <w:rsid w:val="00334C8E"/>
    <w:rsid w:val="0033511C"/>
    <w:rsid w:val="003358BA"/>
    <w:rsid w:val="003366C8"/>
    <w:rsid w:val="00336726"/>
    <w:rsid w:val="00337BE9"/>
    <w:rsid w:val="00340A53"/>
    <w:rsid w:val="00340A96"/>
    <w:rsid w:val="003418BD"/>
    <w:rsid w:val="00342E89"/>
    <w:rsid w:val="00344653"/>
    <w:rsid w:val="00344A1E"/>
    <w:rsid w:val="00345035"/>
    <w:rsid w:val="003462C2"/>
    <w:rsid w:val="00346513"/>
    <w:rsid w:val="0034659F"/>
    <w:rsid w:val="00347E04"/>
    <w:rsid w:val="003503FD"/>
    <w:rsid w:val="00351295"/>
    <w:rsid w:val="003516C5"/>
    <w:rsid w:val="0035202B"/>
    <w:rsid w:val="003528FF"/>
    <w:rsid w:val="0035298B"/>
    <w:rsid w:val="00352D59"/>
    <w:rsid w:val="003530B2"/>
    <w:rsid w:val="003532DE"/>
    <w:rsid w:val="00353380"/>
    <w:rsid w:val="00353D8E"/>
    <w:rsid w:val="00353FAD"/>
    <w:rsid w:val="003540CF"/>
    <w:rsid w:val="00354B38"/>
    <w:rsid w:val="00357998"/>
    <w:rsid w:val="00360BE8"/>
    <w:rsid w:val="003610B2"/>
    <w:rsid w:val="0036264C"/>
    <w:rsid w:val="00362A5B"/>
    <w:rsid w:val="003630C2"/>
    <w:rsid w:val="003634C9"/>
    <w:rsid w:val="00363C72"/>
    <w:rsid w:val="00363C74"/>
    <w:rsid w:val="003656C7"/>
    <w:rsid w:val="00367F38"/>
    <w:rsid w:val="00370EAC"/>
    <w:rsid w:val="00370EEE"/>
    <w:rsid w:val="00371104"/>
    <w:rsid w:val="0037212E"/>
    <w:rsid w:val="003746F9"/>
    <w:rsid w:val="00376E40"/>
    <w:rsid w:val="00376F5F"/>
    <w:rsid w:val="00377E60"/>
    <w:rsid w:val="003821A1"/>
    <w:rsid w:val="003822FF"/>
    <w:rsid w:val="00383101"/>
    <w:rsid w:val="0038323D"/>
    <w:rsid w:val="00386061"/>
    <w:rsid w:val="0038685C"/>
    <w:rsid w:val="00387E91"/>
    <w:rsid w:val="00387EB3"/>
    <w:rsid w:val="00390B5C"/>
    <w:rsid w:val="00391CFD"/>
    <w:rsid w:val="003923AC"/>
    <w:rsid w:val="003924C8"/>
    <w:rsid w:val="00393009"/>
    <w:rsid w:val="00394AD8"/>
    <w:rsid w:val="00395001"/>
    <w:rsid w:val="003956C7"/>
    <w:rsid w:val="00395AA0"/>
    <w:rsid w:val="00395F01"/>
    <w:rsid w:val="00396B97"/>
    <w:rsid w:val="00397894"/>
    <w:rsid w:val="003A1B20"/>
    <w:rsid w:val="003A5B5B"/>
    <w:rsid w:val="003A678C"/>
    <w:rsid w:val="003A6A4D"/>
    <w:rsid w:val="003A7106"/>
    <w:rsid w:val="003B146D"/>
    <w:rsid w:val="003B2390"/>
    <w:rsid w:val="003B2BE6"/>
    <w:rsid w:val="003B2E22"/>
    <w:rsid w:val="003B2F4B"/>
    <w:rsid w:val="003B3EF8"/>
    <w:rsid w:val="003B5A15"/>
    <w:rsid w:val="003B5DE1"/>
    <w:rsid w:val="003B64C4"/>
    <w:rsid w:val="003B6C88"/>
    <w:rsid w:val="003B7D35"/>
    <w:rsid w:val="003C0EB2"/>
    <w:rsid w:val="003C4683"/>
    <w:rsid w:val="003C4FD6"/>
    <w:rsid w:val="003C5247"/>
    <w:rsid w:val="003C56C6"/>
    <w:rsid w:val="003C5AEE"/>
    <w:rsid w:val="003C6356"/>
    <w:rsid w:val="003C6456"/>
    <w:rsid w:val="003C767B"/>
    <w:rsid w:val="003C797C"/>
    <w:rsid w:val="003D0DD8"/>
    <w:rsid w:val="003D2EBD"/>
    <w:rsid w:val="003D341F"/>
    <w:rsid w:val="003D447F"/>
    <w:rsid w:val="003D4789"/>
    <w:rsid w:val="003D5165"/>
    <w:rsid w:val="003D5D26"/>
    <w:rsid w:val="003D60E8"/>
    <w:rsid w:val="003D612D"/>
    <w:rsid w:val="003D71DE"/>
    <w:rsid w:val="003E22B6"/>
    <w:rsid w:val="003E237C"/>
    <w:rsid w:val="003E26DF"/>
    <w:rsid w:val="003E2C28"/>
    <w:rsid w:val="003E2DEC"/>
    <w:rsid w:val="003E3A57"/>
    <w:rsid w:val="003E6DCE"/>
    <w:rsid w:val="003E71D0"/>
    <w:rsid w:val="003E79ED"/>
    <w:rsid w:val="003F11CC"/>
    <w:rsid w:val="003F188C"/>
    <w:rsid w:val="003F1C18"/>
    <w:rsid w:val="003F224A"/>
    <w:rsid w:val="003F2486"/>
    <w:rsid w:val="003F297E"/>
    <w:rsid w:val="003F3318"/>
    <w:rsid w:val="003F357E"/>
    <w:rsid w:val="003F4A3F"/>
    <w:rsid w:val="003F4EE3"/>
    <w:rsid w:val="003F60C2"/>
    <w:rsid w:val="003F6180"/>
    <w:rsid w:val="003F6503"/>
    <w:rsid w:val="003F69B3"/>
    <w:rsid w:val="003F7609"/>
    <w:rsid w:val="003F7662"/>
    <w:rsid w:val="003F77A3"/>
    <w:rsid w:val="00400194"/>
    <w:rsid w:val="004003A3"/>
    <w:rsid w:val="00400852"/>
    <w:rsid w:val="004013DF"/>
    <w:rsid w:val="00401584"/>
    <w:rsid w:val="00402034"/>
    <w:rsid w:val="0040226A"/>
    <w:rsid w:val="00405C89"/>
    <w:rsid w:val="00406315"/>
    <w:rsid w:val="00407321"/>
    <w:rsid w:val="004073E0"/>
    <w:rsid w:val="004104C8"/>
    <w:rsid w:val="00410C13"/>
    <w:rsid w:val="00410CDD"/>
    <w:rsid w:val="00412253"/>
    <w:rsid w:val="00412FBD"/>
    <w:rsid w:val="004139DB"/>
    <w:rsid w:val="00413BE7"/>
    <w:rsid w:val="00416523"/>
    <w:rsid w:val="00417108"/>
    <w:rsid w:val="00417130"/>
    <w:rsid w:val="00420111"/>
    <w:rsid w:val="00420630"/>
    <w:rsid w:val="00420AFF"/>
    <w:rsid w:val="00420CF5"/>
    <w:rsid w:val="00420ECB"/>
    <w:rsid w:val="00421192"/>
    <w:rsid w:val="00421906"/>
    <w:rsid w:val="004232E6"/>
    <w:rsid w:val="004246C4"/>
    <w:rsid w:val="00424BC3"/>
    <w:rsid w:val="00424E1E"/>
    <w:rsid w:val="004260B1"/>
    <w:rsid w:val="00426C5F"/>
    <w:rsid w:val="004272A4"/>
    <w:rsid w:val="00427C0D"/>
    <w:rsid w:val="004312BA"/>
    <w:rsid w:val="0043236B"/>
    <w:rsid w:val="004325B3"/>
    <w:rsid w:val="004350E5"/>
    <w:rsid w:val="0043534A"/>
    <w:rsid w:val="0043665F"/>
    <w:rsid w:val="00436D1E"/>
    <w:rsid w:val="00436F6A"/>
    <w:rsid w:val="0044354C"/>
    <w:rsid w:val="00443657"/>
    <w:rsid w:val="00443981"/>
    <w:rsid w:val="00444759"/>
    <w:rsid w:val="00444C65"/>
    <w:rsid w:val="00447D5B"/>
    <w:rsid w:val="00451650"/>
    <w:rsid w:val="00451F4C"/>
    <w:rsid w:val="004532EF"/>
    <w:rsid w:val="00455487"/>
    <w:rsid w:val="004557DE"/>
    <w:rsid w:val="004601FE"/>
    <w:rsid w:val="004605D9"/>
    <w:rsid w:val="00461C0C"/>
    <w:rsid w:val="0046517B"/>
    <w:rsid w:val="0046575A"/>
    <w:rsid w:val="00465F68"/>
    <w:rsid w:val="004704A8"/>
    <w:rsid w:val="00471AAD"/>
    <w:rsid w:val="00472463"/>
    <w:rsid w:val="004727C7"/>
    <w:rsid w:val="00472BFE"/>
    <w:rsid w:val="00474DA1"/>
    <w:rsid w:val="004754D1"/>
    <w:rsid w:val="00475BAD"/>
    <w:rsid w:val="00475BF8"/>
    <w:rsid w:val="004760BC"/>
    <w:rsid w:val="004809ED"/>
    <w:rsid w:val="00482FA8"/>
    <w:rsid w:val="00483067"/>
    <w:rsid w:val="00484503"/>
    <w:rsid w:val="00484E85"/>
    <w:rsid w:val="0048575C"/>
    <w:rsid w:val="00485B14"/>
    <w:rsid w:val="00486E86"/>
    <w:rsid w:val="00490D94"/>
    <w:rsid w:val="00490DFD"/>
    <w:rsid w:val="00490ED5"/>
    <w:rsid w:val="0049354D"/>
    <w:rsid w:val="00495573"/>
    <w:rsid w:val="00496435"/>
    <w:rsid w:val="004A08AB"/>
    <w:rsid w:val="004A1AD1"/>
    <w:rsid w:val="004A1FB7"/>
    <w:rsid w:val="004A2FE2"/>
    <w:rsid w:val="004A361F"/>
    <w:rsid w:val="004A5023"/>
    <w:rsid w:val="004A51BB"/>
    <w:rsid w:val="004A7C80"/>
    <w:rsid w:val="004B0FC8"/>
    <w:rsid w:val="004B1E31"/>
    <w:rsid w:val="004B2515"/>
    <w:rsid w:val="004B5C32"/>
    <w:rsid w:val="004C03B0"/>
    <w:rsid w:val="004C210B"/>
    <w:rsid w:val="004C3E3D"/>
    <w:rsid w:val="004C4F6D"/>
    <w:rsid w:val="004C69C3"/>
    <w:rsid w:val="004D0341"/>
    <w:rsid w:val="004D1912"/>
    <w:rsid w:val="004D2CA3"/>
    <w:rsid w:val="004D3C2A"/>
    <w:rsid w:val="004D4061"/>
    <w:rsid w:val="004D4875"/>
    <w:rsid w:val="004D48DB"/>
    <w:rsid w:val="004D61DF"/>
    <w:rsid w:val="004D6FEC"/>
    <w:rsid w:val="004E1BAB"/>
    <w:rsid w:val="004E2986"/>
    <w:rsid w:val="004E3B80"/>
    <w:rsid w:val="004E46FB"/>
    <w:rsid w:val="004F1168"/>
    <w:rsid w:val="004F294E"/>
    <w:rsid w:val="004F31D5"/>
    <w:rsid w:val="004F3CF6"/>
    <w:rsid w:val="004F49A9"/>
    <w:rsid w:val="004F53AF"/>
    <w:rsid w:val="004F5B30"/>
    <w:rsid w:val="004F722A"/>
    <w:rsid w:val="004F7439"/>
    <w:rsid w:val="005002E6"/>
    <w:rsid w:val="00501145"/>
    <w:rsid w:val="00501F72"/>
    <w:rsid w:val="00502312"/>
    <w:rsid w:val="00502B9E"/>
    <w:rsid w:val="00502BB2"/>
    <w:rsid w:val="00503D5B"/>
    <w:rsid w:val="00506DEF"/>
    <w:rsid w:val="005070F2"/>
    <w:rsid w:val="0051053B"/>
    <w:rsid w:val="00511355"/>
    <w:rsid w:val="0051239A"/>
    <w:rsid w:val="00512DF5"/>
    <w:rsid w:val="00514C43"/>
    <w:rsid w:val="00515814"/>
    <w:rsid w:val="00515F5E"/>
    <w:rsid w:val="00516926"/>
    <w:rsid w:val="00517347"/>
    <w:rsid w:val="00521F87"/>
    <w:rsid w:val="00521FB3"/>
    <w:rsid w:val="0052313F"/>
    <w:rsid w:val="0052403D"/>
    <w:rsid w:val="005272F6"/>
    <w:rsid w:val="005311C1"/>
    <w:rsid w:val="00533F16"/>
    <w:rsid w:val="00536B7F"/>
    <w:rsid w:val="005375E5"/>
    <w:rsid w:val="005404AB"/>
    <w:rsid w:val="00542266"/>
    <w:rsid w:val="005433DC"/>
    <w:rsid w:val="005447E5"/>
    <w:rsid w:val="0054501C"/>
    <w:rsid w:val="0054650E"/>
    <w:rsid w:val="00546966"/>
    <w:rsid w:val="00550128"/>
    <w:rsid w:val="00550133"/>
    <w:rsid w:val="0055049B"/>
    <w:rsid w:val="0055401C"/>
    <w:rsid w:val="00556207"/>
    <w:rsid w:val="00556417"/>
    <w:rsid w:val="00556A5C"/>
    <w:rsid w:val="00556F03"/>
    <w:rsid w:val="00556F08"/>
    <w:rsid w:val="0055711C"/>
    <w:rsid w:val="00557A71"/>
    <w:rsid w:val="0056057D"/>
    <w:rsid w:val="00561570"/>
    <w:rsid w:val="00565897"/>
    <w:rsid w:val="00565F6D"/>
    <w:rsid w:val="0056738B"/>
    <w:rsid w:val="0056769C"/>
    <w:rsid w:val="00570082"/>
    <w:rsid w:val="00571A7E"/>
    <w:rsid w:val="00571B55"/>
    <w:rsid w:val="005728AA"/>
    <w:rsid w:val="0057383A"/>
    <w:rsid w:val="00577DC4"/>
    <w:rsid w:val="00580E7D"/>
    <w:rsid w:val="005828F3"/>
    <w:rsid w:val="00584F3D"/>
    <w:rsid w:val="00585A46"/>
    <w:rsid w:val="00587014"/>
    <w:rsid w:val="00587A4F"/>
    <w:rsid w:val="005903C2"/>
    <w:rsid w:val="005909F0"/>
    <w:rsid w:val="00591067"/>
    <w:rsid w:val="00591331"/>
    <w:rsid w:val="0059350C"/>
    <w:rsid w:val="00594780"/>
    <w:rsid w:val="005947EA"/>
    <w:rsid w:val="005953CC"/>
    <w:rsid w:val="005959B5"/>
    <w:rsid w:val="0059702B"/>
    <w:rsid w:val="005A1828"/>
    <w:rsid w:val="005A2D7C"/>
    <w:rsid w:val="005A32F2"/>
    <w:rsid w:val="005A3A5B"/>
    <w:rsid w:val="005A3A61"/>
    <w:rsid w:val="005A45F1"/>
    <w:rsid w:val="005B0015"/>
    <w:rsid w:val="005B1F0D"/>
    <w:rsid w:val="005B3A3E"/>
    <w:rsid w:val="005B464B"/>
    <w:rsid w:val="005B5618"/>
    <w:rsid w:val="005B6990"/>
    <w:rsid w:val="005C2260"/>
    <w:rsid w:val="005C2A45"/>
    <w:rsid w:val="005C3434"/>
    <w:rsid w:val="005C4482"/>
    <w:rsid w:val="005C4554"/>
    <w:rsid w:val="005C7C46"/>
    <w:rsid w:val="005C7DFA"/>
    <w:rsid w:val="005D0188"/>
    <w:rsid w:val="005D0229"/>
    <w:rsid w:val="005D0628"/>
    <w:rsid w:val="005D127E"/>
    <w:rsid w:val="005D1507"/>
    <w:rsid w:val="005D1D8A"/>
    <w:rsid w:val="005D21AF"/>
    <w:rsid w:val="005D35F6"/>
    <w:rsid w:val="005D580A"/>
    <w:rsid w:val="005D63ED"/>
    <w:rsid w:val="005D6A71"/>
    <w:rsid w:val="005D7AF9"/>
    <w:rsid w:val="005D7D29"/>
    <w:rsid w:val="005E1E5C"/>
    <w:rsid w:val="005E29A2"/>
    <w:rsid w:val="005E6431"/>
    <w:rsid w:val="005F0915"/>
    <w:rsid w:val="005F0A03"/>
    <w:rsid w:val="005F0A49"/>
    <w:rsid w:val="005F2C8F"/>
    <w:rsid w:val="005F3353"/>
    <w:rsid w:val="005F42C6"/>
    <w:rsid w:val="005F467E"/>
    <w:rsid w:val="005F479C"/>
    <w:rsid w:val="005F4FAC"/>
    <w:rsid w:val="005F5423"/>
    <w:rsid w:val="005F5664"/>
    <w:rsid w:val="005F61E5"/>
    <w:rsid w:val="005F72F8"/>
    <w:rsid w:val="00600C34"/>
    <w:rsid w:val="00601D94"/>
    <w:rsid w:val="006027F7"/>
    <w:rsid w:val="00602F19"/>
    <w:rsid w:val="00603827"/>
    <w:rsid w:val="00604FCE"/>
    <w:rsid w:val="0060534A"/>
    <w:rsid w:val="00606631"/>
    <w:rsid w:val="00606AD8"/>
    <w:rsid w:val="006072C7"/>
    <w:rsid w:val="00607905"/>
    <w:rsid w:val="00610F88"/>
    <w:rsid w:val="00611176"/>
    <w:rsid w:val="00613027"/>
    <w:rsid w:val="006144BF"/>
    <w:rsid w:val="0061490B"/>
    <w:rsid w:val="00614AE2"/>
    <w:rsid w:val="00614E20"/>
    <w:rsid w:val="00615735"/>
    <w:rsid w:val="00615A82"/>
    <w:rsid w:val="00616385"/>
    <w:rsid w:val="00616983"/>
    <w:rsid w:val="006176E1"/>
    <w:rsid w:val="00617FF0"/>
    <w:rsid w:val="00620006"/>
    <w:rsid w:val="00621859"/>
    <w:rsid w:val="00621965"/>
    <w:rsid w:val="00621B0E"/>
    <w:rsid w:val="00621B49"/>
    <w:rsid w:val="00622445"/>
    <w:rsid w:val="00622552"/>
    <w:rsid w:val="00624008"/>
    <w:rsid w:val="00624706"/>
    <w:rsid w:val="006267BB"/>
    <w:rsid w:val="0062707F"/>
    <w:rsid w:val="00627626"/>
    <w:rsid w:val="00627C50"/>
    <w:rsid w:val="00630263"/>
    <w:rsid w:val="006319C6"/>
    <w:rsid w:val="0063286E"/>
    <w:rsid w:val="00632A76"/>
    <w:rsid w:val="00633431"/>
    <w:rsid w:val="00633ACC"/>
    <w:rsid w:val="006356AE"/>
    <w:rsid w:val="00642D4E"/>
    <w:rsid w:val="00642EA2"/>
    <w:rsid w:val="00644F16"/>
    <w:rsid w:val="00646748"/>
    <w:rsid w:val="00647176"/>
    <w:rsid w:val="00650DBF"/>
    <w:rsid w:val="00651210"/>
    <w:rsid w:val="0065143D"/>
    <w:rsid w:val="00652590"/>
    <w:rsid w:val="0065487B"/>
    <w:rsid w:val="006550C7"/>
    <w:rsid w:val="0065528F"/>
    <w:rsid w:val="006558A3"/>
    <w:rsid w:val="00663886"/>
    <w:rsid w:val="0066454B"/>
    <w:rsid w:val="006645E8"/>
    <w:rsid w:val="00664B51"/>
    <w:rsid w:val="00665BDA"/>
    <w:rsid w:val="0066682A"/>
    <w:rsid w:val="006713DD"/>
    <w:rsid w:val="00671484"/>
    <w:rsid w:val="006746D1"/>
    <w:rsid w:val="00677695"/>
    <w:rsid w:val="00677F43"/>
    <w:rsid w:val="00680628"/>
    <w:rsid w:val="00680911"/>
    <w:rsid w:val="006821C9"/>
    <w:rsid w:val="0068234D"/>
    <w:rsid w:val="0068259B"/>
    <w:rsid w:val="006825CE"/>
    <w:rsid w:val="00683DC9"/>
    <w:rsid w:val="00687344"/>
    <w:rsid w:val="00690D62"/>
    <w:rsid w:val="00692429"/>
    <w:rsid w:val="00694FFA"/>
    <w:rsid w:val="006951B7"/>
    <w:rsid w:val="006957BD"/>
    <w:rsid w:val="006974AA"/>
    <w:rsid w:val="0069778B"/>
    <w:rsid w:val="00697B7B"/>
    <w:rsid w:val="00697F67"/>
    <w:rsid w:val="00697F87"/>
    <w:rsid w:val="006A1198"/>
    <w:rsid w:val="006A225C"/>
    <w:rsid w:val="006A278F"/>
    <w:rsid w:val="006A2B93"/>
    <w:rsid w:val="006A4A4B"/>
    <w:rsid w:val="006A5300"/>
    <w:rsid w:val="006A701E"/>
    <w:rsid w:val="006B2491"/>
    <w:rsid w:val="006B2E3D"/>
    <w:rsid w:val="006B432F"/>
    <w:rsid w:val="006B4922"/>
    <w:rsid w:val="006B4FC9"/>
    <w:rsid w:val="006B590F"/>
    <w:rsid w:val="006B64ED"/>
    <w:rsid w:val="006B6DB9"/>
    <w:rsid w:val="006B71D4"/>
    <w:rsid w:val="006B7672"/>
    <w:rsid w:val="006C20B4"/>
    <w:rsid w:val="006C3EF4"/>
    <w:rsid w:val="006C557F"/>
    <w:rsid w:val="006C6504"/>
    <w:rsid w:val="006C716D"/>
    <w:rsid w:val="006C763F"/>
    <w:rsid w:val="006D1F79"/>
    <w:rsid w:val="006D29C7"/>
    <w:rsid w:val="006D31DC"/>
    <w:rsid w:val="006D4590"/>
    <w:rsid w:val="006D4A72"/>
    <w:rsid w:val="006D5586"/>
    <w:rsid w:val="006D754D"/>
    <w:rsid w:val="006E0ED3"/>
    <w:rsid w:val="006E14F2"/>
    <w:rsid w:val="006E1860"/>
    <w:rsid w:val="006E1C79"/>
    <w:rsid w:val="006E3CD6"/>
    <w:rsid w:val="006E6123"/>
    <w:rsid w:val="006E623C"/>
    <w:rsid w:val="006E7E95"/>
    <w:rsid w:val="006F3BD4"/>
    <w:rsid w:val="006F3C25"/>
    <w:rsid w:val="006F49A9"/>
    <w:rsid w:val="006F5776"/>
    <w:rsid w:val="006F57AB"/>
    <w:rsid w:val="006F696C"/>
    <w:rsid w:val="0070047D"/>
    <w:rsid w:val="0070081C"/>
    <w:rsid w:val="0070146B"/>
    <w:rsid w:val="0070204E"/>
    <w:rsid w:val="007039C5"/>
    <w:rsid w:val="00704B61"/>
    <w:rsid w:val="0070555C"/>
    <w:rsid w:val="007103CC"/>
    <w:rsid w:val="007107B0"/>
    <w:rsid w:val="007109E0"/>
    <w:rsid w:val="00711E0E"/>
    <w:rsid w:val="00712923"/>
    <w:rsid w:val="0071293C"/>
    <w:rsid w:val="00712D03"/>
    <w:rsid w:val="00713958"/>
    <w:rsid w:val="00713A1C"/>
    <w:rsid w:val="00716151"/>
    <w:rsid w:val="00717000"/>
    <w:rsid w:val="00717AAD"/>
    <w:rsid w:val="0072164A"/>
    <w:rsid w:val="007219B0"/>
    <w:rsid w:val="0072255A"/>
    <w:rsid w:val="007227F2"/>
    <w:rsid w:val="00723B41"/>
    <w:rsid w:val="00725640"/>
    <w:rsid w:val="007256E6"/>
    <w:rsid w:val="00725982"/>
    <w:rsid w:val="00725CBA"/>
    <w:rsid w:val="0072628C"/>
    <w:rsid w:val="00726FAB"/>
    <w:rsid w:val="0072715C"/>
    <w:rsid w:val="007271AC"/>
    <w:rsid w:val="007274C2"/>
    <w:rsid w:val="00730CEF"/>
    <w:rsid w:val="0073131D"/>
    <w:rsid w:val="007314CC"/>
    <w:rsid w:val="007314F8"/>
    <w:rsid w:val="007342A0"/>
    <w:rsid w:val="00736F6F"/>
    <w:rsid w:val="00737A12"/>
    <w:rsid w:val="00740EEF"/>
    <w:rsid w:val="007410AA"/>
    <w:rsid w:val="00741836"/>
    <w:rsid w:val="0074336A"/>
    <w:rsid w:val="007469D3"/>
    <w:rsid w:val="00746F25"/>
    <w:rsid w:val="00751080"/>
    <w:rsid w:val="00752170"/>
    <w:rsid w:val="00752656"/>
    <w:rsid w:val="007544C8"/>
    <w:rsid w:val="0075511C"/>
    <w:rsid w:val="00755842"/>
    <w:rsid w:val="00761DFC"/>
    <w:rsid w:val="00761E56"/>
    <w:rsid w:val="00764A8F"/>
    <w:rsid w:val="00764AF2"/>
    <w:rsid w:val="007652EC"/>
    <w:rsid w:val="007701C4"/>
    <w:rsid w:val="00773989"/>
    <w:rsid w:val="00775690"/>
    <w:rsid w:val="00775933"/>
    <w:rsid w:val="00776E6B"/>
    <w:rsid w:val="00781FF3"/>
    <w:rsid w:val="00783164"/>
    <w:rsid w:val="00783884"/>
    <w:rsid w:val="00784655"/>
    <w:rsid w:val="0078467C"/>
    <w:rsid w:val="007862B7"/>
    <w:rsid w:val="00786494"/>
    <w:rsid w:val="0078779F"/>
    <w:rsid w:val="007901EC"/>
    <w:rsid w:val="00792E9C"/>
    <w:rsid w:val="00794608"/>
    <w:rsid w:val="0079626A"/>
    <w:rsid w:val="007968DF"/>
    <w:rsid w:val="00797DE1"/>
    <w:rsid w:val="007A2BE4"/>
    <w:rsid w:val="007A3428"/>
    <w:rsid w:val="007A43E7"/>
    <w:rsid w:val="007A7E64"/>
    <w:rsid w:val="007B07CC"/>
    <w:rsid w:val="007B5B1D"/>
    <w:rsid w:val="007B6459"/>
    <w:rsid w:val="007B6F3A"/>
    <w:rsid w:val="007B721B"/>
    <w:rsid w:val="007B72DB"/>
    <w:rsid w:val="007B7ACC"/>
    <w:rsid w:val="007C017E"/>
    <w:rsid w:val="007C10D0"/>
    <w:rsid w:val="007C27FB"/>
    <w:rsid w:val="007C2A95"/>
    <w:rsid w:val="007C386B"/>
    <w:rsid w:val="007C3CBF"/>
    <w:rsid w:val="007C5C5A"/>
    <w:rsid w:val="007C6676"/>
    <w:rsid w:val="007C68B8"/>
    <w:rsid w:val="007C7517"/>
    <w:rsid w:val="007C762B"/>
    <w:rsid w:val="007D0D83"/>
    <w:rsid w:val="007D12A2"/>
    <w:rsid w:val="007D1DC8"/>
    <w:rsid w:val="007D39A2"/>
    <w:rsid w:val="007D3AFA"/>
    <w:rsid w:val="007D4873"/>
    <w:rsid w:val="007D6292"/>
    <w:rsid w:val="007D6AA7"/>
    <w:rsid w:val="007D6EE0"/>
    <w:rsid w:val="007D7027"/>
    <w:rsid w:val="007D7907"/>
    <w:rsid w:val="007E0E72"/>
    <w:rsid w:val="007E1246"/>
    <w:rsid w:val="007E1676"/>
    <w:rsid w:val="007E468B"/>
    <w:rsid w:val="007E51A2"/>
    <w:rsid w:val="007E56CB"/>
    <w:rsid w:val="007E584B"/>
    <w:rsid w:val="007F0B7B"/>
    <w:rsid w:val="007F0BD8"/>
    <w:rsid w:val="007F0FF6"/>
    <w:rsid w:val="007F38D5"/>
    <w:rsid w:val="007F5353"/>
    <w:rsid w:val="007F5D55"/>
    <w:rsid w:val="007F691B"/>
    <w:rsid w:val="007F6A18"/>
    <w:rsid w:val="00800062"/>
    <w:rsid w:val="008013CE"/>
    <w:rsid w:val="0080539E"/>
    <w:rsid w:val="0081357F"/>
    <w:rsid w:val="00814C73"/>
    <w:rsid w:val="00815DDA"/>
    <w:rsid w:val="008162A1"/>
    <w:rsid w:val="00820396"/>
    <w:rsid w:val="00823804"/>
    <w:rsid w:val="00824D66"/>
    <w:rsid w:val="00825215"/>
    <w:rsid w:val="00825AE2"/>
    <w:rsid w:val="0083233C"/>
    <w:rsid w:val="0084006E"/>
    <w:rsid w:val="00840C41"/>
    <w:rsid w:val="00845603"/>
    <w:rsid w:val="00846F81"/>
    <w:rsid w:val="00850809"/>
    <w:rsid w:val="00851127"/>
    <w:rsid w:val="008522B9"/>
    <w:rsid w:val="00852AFB"/>
    <w:rsid w:val="008546BB"/>
    <w:rsid w:val="008549AE"/>
    <w:rsid w:val="00855119"/>
    <w:rsid w:val="00855B8D"/>
    <w:rsid w:val="008560F6"/>
    <w:rsid w:val="008564F7"/>
    <w:rsid w:val="00857266"/>
    <w:rsid w:val="008601C2"/>
    <w:rsid w:val="00860228"/>
    <w:rsid w:val="0086064C"/>
    <w:rsid w:val="00860FBE"/>
    <w:rsid w:val="00861B40"/>
    <w:rsid w:val="00861F8A"/>
    <w:rsid w:val="00862716"/>
    <w:rsid w:val="00862DCC"/>
    <w:rsid w:val="0086378B"/>
    <w:rsid w:val="008642F0"/>
    <w:rsid w:val="008654AB"/>
    <w:rsid w:val="00865513"/>
    <w:rsid w:val="008659B3"/>
    <w:rsid w:val="00866727"/>
    <w:rsid w:val="00866DC6"/>
    <w:rsid w:val="00866EF8"/>
    <w:rsid w:val="00867D41"/>
    <w:rsid w:val="008705B1"/>
    <w:rsid w:val="00870895"/>
    <w:rsid w:val="00870E98"/>
    <w:rsid w:val="0087274D"/>
    <w:rsid w:val="00873207"/>
    <w:rsid w:val="0087503C"/>
    <w:rsid w:val="00875E3D"/>
    <w:rsid w:val="0087682D"/>
    <w:rsid w:val="00876AAB"/>
    <w:rsid w:val="0087721E"/>
    <w:rsid w:val="00877550"/>
    <w:rsid w:val="00880061"/>
    <w:rsid w:val="00880167"/>
    <w:rsid w:val="0088027C"/>
    <w:rsid w:val="0088134C"/>
    <w:rsid w:val="00881DB2"/>
    <w:rsid w:val="00882C92"/>
    <w:rsid w:val="00886292"/>
    <w:rsid w:val="00886478"/>
    <w:rsid w:val="00891BF8"/>
    <w:rsid w:val="00891EFF"/>
    <w:rsid w:val="00892339"/>
    <w:rsid w:val="008938F7"/>
    <w:rsid w:val="00894837"/>
    <w:rsid w:val="00895767"/>
    <w:rsid w:val="00895A29"/>
    <w:rsid w:val="00895E44"/>
    <w:rsid w:val="00896BA9"/>
    <w:rsid w:val="00896C5B"/>
    <w:rsid w:val="00896DA0"/>
    <w:rsid w:val="0089789E"/>
    <w:rsid w:val="008A00C2"/>
    <w:rsid w:val="008A1CA9"/>
    <w:rsid w:val="008A3172"/>
    <w:rsid w:val="008A3B74"/>
    <w:rsid w:val="008A462D"/>
    <w:rsid w:val="008A4CA9"/>
    <w:rsid w:val="008A4E01"/>
    <w:rsid w:val="008A5B4D"/>
    <w:rsid w:val="008A5E36"/>
    <w:rsid w:val="008A5E80"/>
    <w:rsid w:val="008A6305"/>
    <w:rsid w:val="008A7051"/>
    <w:rsid w:val="008A724D"/>
    <w:rsid w:val="008B456D"/>
    <w:rsid w:val="008B4AA6"/>
    <w:rsid w:val="008C0253"/>
    <w:rsid w:val="008C06A6"/>
    <w:rsid w:val="008C0D97"/>
    <w:rsid w:val="008C30B5"/>
    <w:rsid w:val="008C3617"/>
    <w:rsid w:val="008C3BC6"/>
    <w:rsid w:val="008C3D6A"/>
    <w:rsid w:val="008C434F"/>
    <w:rsid w:val="008D2FE6"/>
    <w:rsid w:val="008D3E3A"/>
    <w:rsid w:val="008D5B81"/>
    <w:rsid w:val="008E093A"/>
    <w:rsid w:val="008E0CD5"/>
    <w:rsid w:val="008E2052"/>
    <w:rsid w:val="008E2076"/>
    <w:rsid w:val="008E2200"/>
    <w:rsid w:val="008E3434"/>
    <w:rsid w:val="008E352C"/>
    <w:rsid w:val="008E43A1"/>
    <w:rsid w:val="008E4599"/>
    <w:rsid w:val="008E6062"/>
    <w:rsid w:val="008E7709"/>
    <w:rsid w:val="008E7778"/>
    <w:rsid w:val="008E7A85"/>
    <w:rsid w:val="008F08B9"/>
    <w:rsid w:val="008F25B0"/>
    <w:rsid w:val="008F3A6B"/>
    <w:rsid w:val="008F5A3A"/>
    <w:rsid w:val="00903371"/>
    <w:rsid w:val="00905A78"/>
    <w:rsid w:val="00905CAB"/>
    <w:rsid w:val="00905F09"/>
    <w:rsid w:val="00906B09"/>
    <w:rsid w:val="009071A5"/>
    <w:rsid w:val="0090747C"/>
    <w:rsid w:val="00910353"/>
    <w:rsid w:val="00911401"/>
    <w:rsid w:val="009132D8"/>
    <w:rsid w:val="00913D8D"/>
    <w:rsid w:val="0091436E"/>
    <w:rsid w:val="00915824"/>
    <w:rsid w:val="00915B65"/>
    <w:rsid w:val="00916066"/>
    <w:rsid w:val="00916428"/>
    <w:rsid w:val="009167D8"/>
    <w:rsid w:val="00916E75"/>
    <w:rsid w:val="00917875"/>
    <w:rsid w:val="009205E0"/>
    <w:rsid w:val="009218BD"/>
    <w:rsid w:val="00922EAA"/>
    <w:rsid w:val="009265B0"/>
    <w:rsid w:val="0092698A"/>
    <w:rsid w:val="00926A8C"/>
    <w:rsid w:val="00926BF0"/>
    <w:rsid w:val="0092724D"/>
    <w:rsid w:val="0093453F"/>
    <w:rsid w:val="00934A48"/>
    <w:rsid w:val="009355F2"/>
    <w:rsid w:val="0093578A"/>
    <w:rsid w:val="00935CA8"/>
    <w:rsid w:val="00936507"/>
    <w:rsid w:val="00940000"/>
    <w:rsid w:val="00942A85"/>
    <w:rsid w:val="00943B29"/>
    <w:rsid w:val="0094686D"/>
    <w:rsid w:val="009474FC"/>
    <w:rsid w:val="00947D7C"/>
    <w:rsid w:val="00947E4D"/>
    <w:rsid w:val="0095196B"/>
    <w:rsid w:val="009523C5"/>
    <w:rsid w:val="009525C3"/>
    <w:rsid w:val="00952BAF"/>
    <w:rsid w:val="00952CC4"/>
    <w:rsid w:val="00953D42"/>
    <w:rsid w:val="00955B68"/>
    <w:rsid w:val="00955F30"/>
    <w:rsid w:val="0095610F"/>
    <w:rsid w:val="00956181"/>
    <w:rsid w:val="00956703"/>
    <w:rsid w:val="0096096A"/>
    <w:rsid w:val="00960DC8"/>
    <w:rsid w:val="00961B0C"/>
    <w:rsid w:val="00963E44"/>
    <w:rsid w:val="009640BB"/>
    <w:rsid w:val="00964563"/>
    <w:rsid w:val="00965B4A"/>
    <w:rsid w:val="00965CDB"/>
    <w:rsid w:val="0097184B"/>
    <w:rsid w:val="00972E71"/>
    <w:rsid w:val="0097317E"/>
    <w:rsid w:val="00973AC2"/>
    <w:rsid w:val="00973EEC"/>
    <w:rsid w:val="00975D5E"/>
    <w:rsid w:val="00975D8F"/>
    <w:rsid w:val="00977022"/>
    <w:rsid w:val="00977F74"/>
    <w:rsid w:val="0098075E"/>
    <w:rsid w:val="0098273A"/>
    <w:rsid w:val="00982796"/>
    <w:rsid w:val="00984113"/>
    <w:rsid w:val="009846A4"/>
    <w:rsid w:val="0098505A"/>
    <w:rsid w:val="009853F3"/>
    <w:rsid w:val="00985BF7"/>
    <w:rsid w:val="00986745"/>
    <w:rsid w:val="0099030E"/>
    <w:rsid w:val="00991575"/>
    <w:rsid w:val="00992952"/>
    <w:rsid w:val="00994EB1"/>
    <w:rsid w:val="00995362"/>
    <w:rsid w:val="00995C6C"/>
    <w:rsid w:val="00996B4E"/>
    <w:rsid w:val="009A01D2"/>
    <w:rsid w:val="009A0C59"/>
    <w:rsid w:val="009A0CC9"/>
    <w:rsid w:val="009A25C5"/>
    <w:rsid w:val="009A3C7A"/>
    <w:rsid w:val="009A3D7D"/>
    <w:rsid w:val="009A4011"/>
    <w:rsid w:val="009A4AD1"/>
    <w:rsid w:val="009A604E"/>
    <w:rsid w:val="009A7381"/>
    <w:rsid w:val="009B0D8F"/>
    <w:rsid w:val="009B18BD"/>
    <w:rsid w:val="009B2284"/>
    <w:rsid w:val="009B2866"/>
    <w:rsid w:val="009B2A85"/>
    <w:rsid w:val="009B2D3E"/>
    <w:rsid w:val="009B3F9E"/>
    <w:rsid w:val="009B570A"/>
    <w:rsid w:val="009B6293"/>
    <w:rsid w:val="009B7080"/>
    <w:rsid w:val="009B72C3"/>
    <w:rsid w:val="009C0DAE"/>
    <w:rsid w:val="009C0E08"/>
    <w:rsid w:val="009C166D"/>
    <w:rsid w:val="009C3368"/>
    <w:rsid w:val="009C37AC"/>
    <w:rsid w:val="009C3985"/>
    <w:rsid w:val="009C487F"/>
    <w:rsid w:val="009C4C3A"/>
    <w:rsid w:val="009C4E9C"/>
    <w:rsid w:val="009C6253"/>
    <w:rsid w:val="009C7356"/>
    <w:rsid w:val="009C78EB"/>
    <w:rsid w:val="009D0551"/>
    <w:rsid w:val="009D0FC8"/>
    <w:rsid w:val="009D1CEB"/>
    <w:rsid w:val="009D3D98"/>
    <w:rsid w:val="009D4939"/>
    <w:rsid w:val="009D4D54"/>
    <w:rsid w:val="009D600E"/>
    <w:rsid w:val="009D61F0"/>
    <w:rsid w:val="009E121C"/>
    <w:rsid w:val="009E247F"/>
    <w:rsid w:val="009E2C1F"/>
    <w:rsid w:val="009E2F28"/>
    <w:rsid w:val="009E39F6"/>
    <w:rsid w:val="009E3AD9"/>
    <w:rsid w:val="009E7F8E"/>
    <w:rsid w:val="009F0079"/>
    <w:rsid w:val="009F0E94"/>
    <w:rsid w:val="009F13E5"/>
    <w:rsid w:val="009F2DBE"/>
    <w:rsid w:val="009F384A"/>
    <w:rsid w:val="009F4052"/>
    <w:rsid w:val="009F49E9"/>
    <w:rsid w:val="009F56F0"/>
    <w:rsid w:val="009F5B62"/>
    <w:rsid w:val="009F6395"/>
    <w:rsid w:val="009F78C7"/>
    <w:rsid w:val="00A00538"/>
    <w:rsid w:val="00A00910"/>
    <w:rsid w:val="00A0192C"/>
    <w:rsid w:val="00A01CFF"/>
    <w:rsid w:val="00A025FA"/>
    <w:rsid w:val="00A04590"/>
    <w:rsid w:val="00A07241"/>
    <w:rsid w:val="00A12BE1"/>
    <w:rsid w:val="00A14F5D"/>
    <w:rsid w:val="00A15573"/>
    <w:rsid w:val="00A1678F"/>
    <w:rsid w:val="00A17CD0"/>
    <w:rsid w:val="00A2057D"/>
    <w:rsid w:val="00A22CFB"/>
    <w:rsid w:val="00A22DED"/>
    <w:rsid w:val="00A244C3"/>
    <w:rsid w:val="00A25699"/>
    <w:rsid w:val="00A2602D"/>
    <w:rsid w:val="00A26186"/>
    <w:rsid w:val="00A2747B"/>
    <w:rsid w:val="00A3109A"/>
    <w:rsid w:val="00A31E2E"/>
    <w:rsid w:val="00A36FA0"/>
    <w:rsid w:val="00A42021"/>
    <w:rsid w:val="00A42DB3"/>
    <w:rsid w:val="00A42F39"/>
    <w:rsid w:val="00A442B7"/>
    <w:rsid w:val="00A457A9"/>
    <w:rsid w:val="00A503D3"/>
    <w:rsid w:val="00A50F82"/>
    <w:rsid w:val="00A511EC"/>
    <w:rsid w:val="00A51602"/>
    <w:rsid w:val="00A52037"/>
    <w:rsid w:val="00A5317A"/>
    <w:rsid w:val="00A547AE"/>
    <w:rsid w:val="00A56001"/>
    <w:rsid w:val="00A57B84"/>
    <w:rsid w:val="00A6112E"/>
    <w:rsid w:val="00A64CDD"/>
    <w:rsid w:val="00A66F44"/>
    <w:rsid w:val="00A6717B"/>
    <w:rsid w:val="00A70ED8"/>
    <w:rsid w:val="00A715F4"/>
    <w:rsid w:val="00A731D7"/>
    <w:rsid w:val="00A7417D"/>
    <w:rsid w:val="00A75169"/>
    <w:rsid w:val="00A751B2"/>
    <w:rsid w:val="00A77678"/>
    <w:rsid w:val="00A80EE6"/>
    <w:rsid w:val="00A817D7"/>
    <w:rsid w:val="00A82485"/>
    <w:rsid w:val="00A8378A"/>
    <w:rsid w:val="00A8455B"/>
    <w:rsid w:val="00A8492A"/>
    <w:rsid w:val="00A85A4C"/>
    <w:rsid w:val="00A861B9"/>
    <w:rsid w:val="00A864E8"/>
    <w:rsid w:val="00A87368"/>
    <w:rsid w:val="00A90003"/>
    <w:rsid w:val="00A908E3"/>
    <w:rsid w:val="00A92D69"/>
    <w:rsid w:val="00A93A5A"/>
    <w:rsid w:val="00A9491F"/>
    <w:rsid w:val="00A9496B"/>
    <w:rsid w:val="00A96A18"/>
    <w:rsid w:val="00A970A0"/>
    <w:rsid w:val="00AA4707"/>
    <w:rsid w:val="00AB1E9D"/>
    <w:rsid w:val="00AB1F34"/>
    <w:rsid w:val="00AB244D"/>
    <w:rsid w:val="00AB325C"/>
    <w:rsid w:val="00AB5394"/>
    <w:rsid w:val="00AB54E4"/>
    <w:rsid w:val="00AC107F"/>
    <w:rsid w:val="00AC1831"/>
    <w:rsid w:val="00AC194B"/>
    <w:rsid w:val="00AC1FF9"/>
    <w:rsid w:val="00AC2625"/>
    <w:rsid w:val="00AC2BE1"/>
    <w:rsid w:val="00AC2F31"/>
    <w:rsid w:val="00AC3501"/>
    <w:rsid w:val="00AC4E8C"/>
    <w:rsid w:val="00AC559A"/>
    <w:rsid w:val="00AC590C"/>
    <w:rsid w:val="00AC5F25"/>
    <w:rsid w:val="00AC6580"/>
    <w:rsid w:val="00AC7E3C"/>
    <w:rsid w:val="00AD126E"/>
    <w:rsid w:val="00AD145D"/>
    <w:rsid w:val="00AD1548"/>
    <w:rsid w:val="00AD3DC5"/>
    <w:rsid w:val="00AD3F1E"/>
    <w:rsid w:val="00AD5592"/>
    <w:rsid w:val="00AD76EC"/>
    <w:rsid w:val="00AE091A"/>
    <w:rsid w:val="00AE37DF"/>
    <w:rsid w:val="00AE3932"/>
    <w:rsid w:val="00AE4CFE"/>
    <w:rsid w:val="00AE568F"/>
    <w:rsid w:val="00AE5CDC"/>
    <w:rsid w:val="00AE5E61"/>
    <w:rsid w:val="00AE683A"/>
    <w:rsid w:val="00AE7012"/>
    <w:rsid w:val="00AF0FC8"/>
    <w:rsid w:val="00AF105A"/>
    <w:rsid w:val="00AF2033"/>
    <w:rsid w:val="00AF3459"/>
    <w:rsid w:val="00AF3B65"/>
    <w:rsid w:val="00AF458D"/>
    <w:rsid w:val="00AF5A84"/>
    <w:rsid w:val="00AF636A"/>
    <w:rsid w:val="00AF63ED"/>
    <w:rsid w:val="00AF726A"/>
    <w:rsid w:val="00B004DE"/>
    <w:rsid w:val="00B01740"/>
    <w:rsid w:val="00B02311"/>
    <w:rsid w:val="00B02546"/>
    <w:rsid w:val="00B027AC"/>
    <w:rsid w:val="00B0319C"/>
    <w:rsid w:val="00B0381D"/>
    <w:rsid w:val="00B059A9"/>
    <w:rsid w:val="00B06726"/>
    <w:rsid w:val="00B07383"/>
    <w:rsid w:val="00B07423"/>
    <w:rsid w:val="00B079F1"/>
    <w:rsid w:val="00B10179"/>
    <w:rsid w:val="00B10B0B"/>
    <w:rsid w:val="00B11577"/>
    <w:rsid w:val="00B1615D"/>
    <w:rsid w:val="00B2000D"/>
    <w:rsid w:val="00B20466"/>
    <w:rsid w:val="00B228DC"/>
    <w:rsid w:val="00B23228"/>
    <w:rsid w:val="00B23F9E"/>
    <w:rsid w:val="00B25A2B"/>
    <w:rsid w:val="00B27811"/>
    <w:rsid w:val="00B30D45"/>
    <w:rsid w:val="00B31302"/>
    <w:rsid w:val="00B31A08"/>
    <w:rsid w:val="00B3506E"/>
    <w:rsid w:val="00B35876"/>
    <w:rsid w:val="00B364BE"/>
    <w:rsid w:val="00B37603"/>
    <w:rsid w:val="00B3797B"/>
    <w:rsid w:val="00B37A71"/>
    <w:rsid w:val="00B41174"/>
    <w:rsid w:val="00B435E5"/>
    <w:rsid w:val="00B4367F"/>
    <w:rsid w:val="00B43849"/>
    <w:rsid w:val="00B448E3"/>
    <w:rsid w:val="00B45328"/>
    <w:rsid w:val="00B45644"/>
    <w:rsid w:val="00B4584B"/>
    <w:rsid w:val="00B463A5"/>
    <w:rsid w:val="00B463EE"/>
    <w:rsid w:val="00B46C75"/>
    <w:rsid w:val="00B504B7"/>
    <w:rsid w:val="00B504BD"/>
    <w:rsid w:val="00B50E7A"/>
    <w:rsid w:val="00B50F28"/>
    <w:rsid w:val="00B512C5"/>
    <w:rsid w:val="00B512D0"/>
    <w:rsid w:val="00B5167C"/>
    <w:rsid w:val="00B51865"/>
    <w:rsid w:val="00B525BA"/>
    <w:rsid w:val="00B53A0E"/>
    <w:rsid w:val="00B54169"/>
    <w:rsid w:val="00B5587A"/>
    <w:rsid w:val="00B55E69"/>
    <w:rsid w:val="00B573A6"/>
    <w:rsid w:val="00B60456"/>
    <w:rsid w:val="00B60DAE"/>
    <w:rsid w:val="00B61005"/>
    <w:rsid w:val="00B63877"/>
    <w:rsid w:val="00B648EE"/>
    <w:rsid w:val="00B70339"/>
    <w:rsid w:val="00B71BD0"/>
    <w:rsid w:val="00B7268C"/>
    <w:rsid w:val="00B73246"/>
    <w:rsid w:val="00B73D3A"/>
    <w:rsid w:val="00B7523E"/>
    <w:rsid w:val="00B76410"/>
    <w:rsid w:val="00B77D6A"/>
    <w:rsid w:val="00B800E1"/>
    <w:rsid w:val="00B80E7F"/>
    <w:rsid w:val="00B81E8B"/>
    <w:rsid w:val="00B82782"/>
    <w:rsid w:val="00B84B10"/>
    <w:rsid w:val="00B854D6"/>
    <w:rsid w:val="00B86805"/>
    <w:rsid w:val="00B87369"/>
    <w:rsid w:val="00B87661"/>
    <w:rsid w:val="00B909EC"/>
    <w:rsid w:val="00B90CA3"/>
    <w:rsid w:val="00B932CB"/>
    <w:rsid w:val="00B9392A"/>
    <w:rsid w:val="00B94320"/>
    <w:rsid w:val="00B96AEB"/>
    <w:rsid w:val="00B97953"/>
    <w:rsid w:val="00BA00D6"/>
    <w:rsid w:val="00BA0BDA"/>
    <w:rsid w:val="00BA2FF7"/>
    <w:rsid w:val="00BA56AC"/>
    <w:rsid w:val="00BA6A3A"/>
    <w:rsid w:val="00BA7237"/>
    <w:rsid w:val="00BA7465"/>
    <w:rsid w:val="00BB134B"/>
    <w:rsid w:val="00BB17D5"/>
    <w:rsid w:val="00BB2CED"/>
    <w:rsid w:val="00BB398F"/>
    <w:rsid w:val="00BB4E1E"/>
    <w:rsid w:val="00BB4E64"/>
    <w:rsid w:val="00BB5185"/>
    <w:rsid w:val="00BB5596"/>
    <w:rsid w:val="00BB60EC"/>
    <w:rsid w:val="00BB6C29"/>
    <w:rsid w:val="00BC22AA"/>
    <w:rsid w:val="00BC3AB5"/>
    <w:rsid w:val="00BC4396"/>
    <w:rsid w:val="00BC531B"/>
    <w:rsid w:val="00BC5DFC"/>
    <w:rsid w:val="00BC6BE3"/>
    <w:rsid w:val="00BC7713"/>
    <w:rsid w:val="00BD1421"/>
    <w:rsid w:val="00BD3011"/>
    <w:rsid w:val="00BD3E1F"/>
    <w:rsid w:val="00BD627D"/>
    <w:rsid w:val="00BD6BD3"/>
    <w:rsid w:val="00BD6C7D"/>
    <w:rsid w:val="00BE03AF"/>
    <w:rsid w:val="00BE0628"/>
    <w:rsid w:val="00BE066F"/>
    <w:rsid w:val="00BE3883"/>
    <w:rsid w:val="00BE3E9C"/>
    <w:rsid w:val="00BE3FC1"/>
    <w:rsid w:val="00BE4138"/>
    <w:rsid w:val="00BE430E"/>
    <w:rsid w:val="00BE5986"/>
    <w:rsid w:val="00BE655E"/>
    <w:rsid w:val="00BF083C"/>
    <w:rsid w:val="00BF0BEA"/>
    <w:rsid w:val="00BF149C"/>
    <w:rsid w:val="00BF2306"/>
    <w:rsid w:val="00BF2B8F"/>
    <w:rsid w:val="00BF2C1C"/>
    <w:rsid w:val="00BF3A3A"/>
    <w:rsid w:val="00BF3F41"/>
    <w:rsid w:val="00BF4A4F"/>
    <w:rsid w:val="00BF51E0"/>
    <w:rsid w:val="00BF6172"/>
    <w:rsid w:val="00BF6DE6"/>
    <w:rsid w:val="00BF75BE"/>
    <w:rsid w:val="00C00440"/>
    <w:rsid w:val="00C01188"/>
    <w:rsid w:val="00C0153F"/>
    <w:rsid w:val="00C0261B"/>
    <w:rsid w:val="00C028E6"/>
    <w:rsid w:val="00C037E1"/>
    <w:rsid w:val="00C03C38"/>
    <w:rsid w:val="00C03F66"/>
    <w:rsid w:val="00C03FDB"/>
    <w:rsid w:val="00C06464"/>
    <w:rsid w:val="00C066AF"/>
    <w:rsid w:val="00C10D09"/>
    <w:rsid w:val="00C12494"/>
    <w:rsid w:val="00C15179"/>
    <w:rsid w:val="00C16636"/>
    <w:rsid w:val="00C172EA"/>
    <w:rsid w:val="00C174CB"/>
    <w:rsid w:val="00C20412"/>
    <w:rsid w:val="00C20DC4"/>
    <w:rsid w:val="00C2262B"/>
    <w:rsid w:val="00C241DA"/>
    <w:rsid w:val="00C24490"/>
    <w:rsid w:val="00C2499B"/>
    <w:rsid w:val="00C2692A"/>
    <w:rsid w:val="00C271B6"/>
    <w:rsid w:val="00C358E1"/>
    <w:rsid w:val="00C358F3"/>
    <w:rsid w:val="00C35BCF"/>
    <w:rsid w:val="00C36D03"/>
    <w:rsid w:val="00C37F5D"/>
    <w:rsid w:val="00C4004A"/>
    <w:rsid w:val="00C40278"/>
    <w:rsid w:val="00C416CA"/>
    <w:rsid w:val="00C42BD7"/>
    <w:rsid w:val="00C45036"/>
    <w:rsid w:val="00C51011"/>
    <w:rsid w:val="00C51831"/>
    <w:rsid w:val="00C52A1E"/>
    <w:rsid w:val="00C52C88"/>
    <w:rsid w:val="00C533A1"/>
    <w:rsid w:val="00C54028"/>
    <w:rsid w:val="00C54380"/>
    <w:rsid w:val="00C55A82"/>
    <w:rsid w:val="00C5765C"/>
    <w:rsid w:val="00C5781C"/>
    <w:rsid w:val="00C57966"/>
    <w:rsid w:val="00C6197E"/>
    <w:rsid w:val="00C62443"/>
    <w:rsid w:val="00C624AA"/>
    <w:rsid w:val="00C62657"/>
    <w:rsid w:val="00C62C43"/>
    <w:rsid w:val="00C633B8"/>
    <w:rsid w:val="00C65A95"/>
    <w:rsid w:val="00C65E3D"/>
    <w:rsid w:val="00C6683F"/>
    <w:rsid w:val="00C67EF4"/>
    <w:rsid w:val="00C70DD5"/>
    <w:rsid w:val="00C7235B"/>
    <w:rsid w:val="00C72720"/>
    <w:rsid w:val="00C72CBB"/>
    <w:rsid w:val="00C734E7"/>
    <w:rsid w:val="00C73778"/>
    <w:rsid w:val="00C73ADA"/>
    <w:rsid w:val="00C74641"/>
    <w:rsid w:val="00C74AFF"/>
    <w:rsid w:val="00C75454"/>
    <w:rsid w:val="00C75554"/>
    <w:rsid w:val="00C75A49"/>
    <w:rsid w:val="00C77154"/>
    <w:rsid w:val="00C77AC2"/>
    <w:rsid w:val="00C82115"/>
    <w:rsid w:val="00C82B14"/>
    <w:rsid w:val="00C82C41"/>
    <w:rsid w:val="00C844D4"/>
    <w:rsid w:val="00C84589"/>
    <w:rsid w:val="00C85156"/>
    <w:rsid w:val="00C85B81"/>
    <w:rsid w:val="00C86255"/>
    <w:rsid w:val="00C8625D"/>
    <w:rsid w:val="00C86E86"/>
    <w:rsid w:val="00C87360"/>
    <w:rsid w:val="00C87925"/>
    <w:rsid w:val="00C91C04"/>
    <w:rsid w:val="00C91E7E"/>
    <w:rsid w:val="00C923AF"/>
    <w:rsid w:val="00C92B42"/>
    <w:rsid w:val="00C93C5C"/>
    <w:rsid w:val="00C93D9A"/>
    <w:rsid w:val="00C952A6"/>
    <w:rsid w:val="00C96D27"/>
    <w:rsid w:val="00C97223"/>
    <w:rsid w:val="00C97590"/>
    <w:rsid w:val="00C97F1C"/>
    <w:rsid w:val="00CA1ACD"/>
    <w:rsid w:val="00CA39F3"/>
    <w:rsid w:val="00CA6627"/>
    <w:rsid w:val="00CB2159"/>
    <w:rsid w:val="00CB242A"/>
    <w:rsid w:val="00CB29FA"/>
    <w:rsid w:val="00CB2DC4"/>
    <w:rsid w:val="00CB3D8A"/>
    <w:rsid w:val="00CB5554"/>
    <w:rsid w:val="00CB5CC9"/>
    <w:rsid w:val="00CB792D"/>
    <w:rsid w:val="00CC0660"/>
    <w:rsid w:val="00CC0996"/>
    <w:rsid w:val="00CC100E"/>
    <w:rsid w:val="00CC16EE"/>
    <w:rsid w:val="00CC2A02"/>
    <w:rsid w:val="00CC2D73"/>
    <w:rsid w:val="00CC50A1"/>
    <w:rsid w:val="00CC7058"/>
    <w:rsid w:val="00CD0670"/>
    <w:rsid w:val="00CD1A26"/>
    <w:rsid w:val="00CD2892"/>
    <w:rsid w:val="00CD44B8"/>
    <w:rsid w:val="00CD4840"/>
    <w:rsid w:val="00CD51B8"/>
    <w:rsid w:val="00CD683B"/>
    <w:rsid w:val="00CE0486"/>
    <w:rsid w:val="00CE08BC"/>
    <w:rsid w:val="00CE14EB"/>
    <w:rsid w:val="00CE1559"/>
    <w:rsid w:val="00CE1899"/>
    <w:rsid w:val="00CE198A"/>
    <w:rsid w:val="00CE333B"/>
    <w:rsid w:val="00CE3B57"/>
    <w:rsid w:val="00CE43C6"/>
    <w:rsid w:val="00CE49B4"/>
    <w:rsid w:val="00CE49C9"/>
    <w:rsid w:val="00CE4E04"/>
    <w:rsid w:val="00CE537D"/>
    <w:rsid w:val="00CE5B61"/>
    <w:rsid w:val="00CF001A"/>
    <w:rsid w:val="00CF3B99"/>
    <w:rsid w:val="00CF4D43"/>
    <w:rsid w:val="00CF4D79"/>
    <w:rsid w:val="00CF7B5D"/>
    <w:rsid w:val="00D00784"/>
    <w:rsid w:val="00D02208"/>
    <w:rsid w:val="00D028BF"/>
    <w:rsid w:val="00D02AD6"/>
    <w:rsid w:val="00D03097"/>
    <w:rsid w:val="00D115BF"/>
    <w:rsid w:val="00D13F5E"/>
    <w:rsid w:val="00D14ACB"/>
    <w:rsid w:val="00D15293"/>
    <w:rsid w:val="00D17D8F"/>
    <w:rsid w:val="00D20F14"/>
    <w:rsid w:val="00D22A55"/>
    <w:rsid w:val="00D22DEC"/>
    <w:rsid w:val="00D239C0"/>
    <w:rsid w:val="00D23B41"/>
    <w:rsid w:val="00D24AB6"/>
    <w:rsid w:val="00D2526D"/>
    <w:rsid w:val="00D26093"/>
    <w:rsid w:val="00D26C4D"/>
    <w:rsid w:val="00D2702D"/>
    <w:rsid w:val="00D27D3C"/>
    <w:rsid w:val="00D32981"/>
    <w:rsid w:val="00D33AF1"/>
    <w:rsid w:val="00D33D45"/>
    <w:rsid w:val="00D34507"/>
    <w:rsid w:val="00D34FB7"/>
    <w:rsid w:val="00D351EB"/>
    <w:rsid w:val="00D35440"/>
    <w:rsid w:val="00D36DFC"/>
    <w:rsid w:val="00D40992"/>
    <w:rsid w:val="00D40D68"/>
    <w:rsid w:val="00D40E37"/>
    <w:rsid w:val="00D4105D"/>
    <w:rsid w:val="00D4145C"/>
    <w:rsid w:val="00D414A5"/>
    <w:rsid w:val="00D4285B"/>
    <w:rsid w:val="00D45485"/>
    <w:rsid w:val="00D457BE"/>
    <w:rsid w:val="00D463B0"/>
    <w:rsid w:val="00D464B9"/>
    <w:rsid w:val="00D46800"/>
    <w:rsid w:val="00D46CA7"/>
    <w:rsid w:val="00D51139"/>
    <w:rsid w:val="00D529DA"/>
    <w:rsid w:val="00D53BCF"/>
    <w:rsid w:val="00D544B7"/>
    <w:rsid w:val="00D55079"/>
    <w:rsid w:val="00D56AED"/>
    <w:rsid w:val="00D57B75"/>
    <w:rsid w:val="00D57FD3"/>
    <w:rsid w:val="00D606A6"/>
    <w:rsid w:val="00D60708"/>
    <w:rsid w:val="00D60900"/>
    <w:rsid w:val="00D61303"/>
    <w:rsid w:val="00D61717"/>
    <w:rsid w:val="00D619C8"/>
    <w:rsid w:val="00D61AF6"/>
    <w:rsid w:val="00D61B00"/>
    <w:rsid w:val="00D61F62"/>
    <w:rsid w:val="00D63968"/>
    <w:rsid w:val="00D64624"/>
    <w:rsid w:val="00D65D85"/>
    <w:rsid w:val="00D66CFB"/>
    <w:rsid w:val="00D67EEB"/>
    <w:rsid w:val="00D708A9"/>
    <w:rsid w:val="00D7112B"/>
    <w:rsid w:val="00D714AA"/>
    <w:rsid w:val="00D74A8F"/>
    <w:rsid w:val="00D77061"/>
    <w:rsid w:val="00D779D5"/>
    <w:rsid w:val="00D77E9E"/>
    <w:rsid w:val="00D84340"/>
    <w:rsid w:val="00D855F4"/>
    <w:rsid w:val="00D85752"/>
    <w:rsid w:val="00D87294"/>
    <w:rsid w:val="00D87CAB"/>
    <w:rsid w:val="00D90BD7"/>
    <w:rsid w:val="00D90F45"/>
    <w:rsid w:val="00D92A38"/>
    <w:rsid w:val="00D93BB6"/>
    <w:rsid w:val="00D9403B"/>
    <w:rsid w:val="00D943ED"/>
    <w:rsid w:val="00D94E39"/>
    <w:rsid w:val="00D95210"/>
    <w:rsid w:val="00D9549B"/>
    <w:rsid w:val="00D959DC"/>
    <w:rsid w:val="00D95C17"/>
    <w:rsid w:val="00D95E21"/>
    <w:rsid w:val="00D9614B"/>
    <w:rsid w:val="00D96AAE"/>
    <w:rsid w:val="00DA05B1"/>
    <w:rsid w:val="00DA135C"/>
    <w:rsid w:val="00DA1364"/>
    <w:rsid w:val="00DA294A"/>
    <w:rsid w:val="00DA333E"/>
    <w:rsid w:val="00DA3F94"/>
    <w:rsid w:val="00DA4589"/>
    <w:rsid w:val="00DA522F"/>
    <w:rsid w:val="00DA6E49"/>
    <w:rsid w:val="00DA767E"/>
    <w:rsid w:val="00DB0E1C"/>
    <w:rsid w:val="00DB230F"/>
    <w:rsid w:val="00DB2384"/>
    <w:rsid w:val="00DB2813"/>
    <w:rsid w:val="00DB35E0"/>
    <w:rsid w:val="00DB56B1"/>
    <w:rsid w:val="00DB5FD2"/>
    <w:rsid w:val="00DB7216"/>
    <w:rsid w:val="00DB7411"/>
    <w:rsid w:val="00DB7852"/>
    <w:rsid w:val="00DB7ADC"/>
    <w:rsid w:val="00DB7DFD"/>
    <w:rsid w:val="00DC1B99"/>
    <w:rsid w:val="00DC3231"/>
    <w:rsid w:val="00DC3AB1"/>
    <w:rsid w:val="00DC4B85"/>
    <w:rsid w:val="00DC4E09"/>
    <w:rsid w:val="00DC5478"/>
    <w:rsid w:val="00DC58D6"/>
    <w:rsid w:val="00DC59D3"/>
    <w:rsid w:val="00DC6004"/>
    <w:rsid w:val="00DC6708"/>
    <w:rsid w:val="00DC7099"/>
    <w:rsid w:val="00DC7D01"/>
    <w:rsid w:val="00DC7E46"/>
    <w:rsid w:val="00DD0DA4"/>
    <w:rsid w:val="00DD183C"/>
    <w:rsid w:val="00DD21E4"/>
    <w:rsid w:val="00DD2EDF"/>
    <w:rsid w:val="00DD444F"/>
    <w:rsid w:val="00DD5E45"/>
    <w:rsid w:val="00DD6D18"/>
    <w:rsid w:val="00DE0184"/>
    <w:rsid w:val="00DE19E9"/>
    <w:rsid w:val="00DE295B"/>
    <w:rsid w:val="00DE3811"/>
    <w:rsid w:val="00DE42B1"/>
    <w:rsid w:val="00DE434A"/>
    <w:rsid w:val="00DE47CB"/>
    <w:rsid w:val="00DE52AE"/>
    <w:rsid w:val="00DE648A"/>
    <w:rsid w:val="00DE6540"/>
    <w:rsid w:val="00DE7698"/>
    <w:rsid w:val="00DE7DB4"/>
    <w:rsid w:val="00DE7F05"/>
    <w:rsid w:val="00DE7F5D"/>
    <w:rsid w:val="00DF001A"/>
    <w:rsid w:val="00DF0C63"/>
    <w:rsid w:val="00DF28DE"/>
    <w:rsid w:val="00DF3377"/>
    <w:rsid w:val="00DF363A"/>
    <w:rsid w:val="00DF43C9"/>
    <w:rsid w:val="00DF4870"/>
    <w:rsid w:val="00DF5DD9"/>
    <w:rsid w:val="00DF5DEA"/>
    <w:rsid w:val="00DF6523"/>
    <w:rsid w:val="00E01204"/>
    <w:rsid w:val="00E02023"/>
    <w:rsid w:val="00E0476E"/>
    <w:rsid w:val="00E06DC7"/>
    <w:rsid w:val="00E06E57"/>
    <w:rsid w:val="00E1079B"/>
    <w:rsid w:val="00E10E4B"/>
    <w:rsid w:val="00E137E1"/>
    <w:rsid w:val="00E14161"/>
    <w:rsid w:val="00E1773F"/>
    <w:rsid w:val="00E203E2"/>
    <w:rsid w:val="00E20423"/>
    <w:rsid w:val="00E21ED2"/>
    <w:rsid w:val="00E22FD9"/>
    <w:rsid w:val="00E24CFB"/>
    <w:rsid w:val="00E25039"/>
    <w:rsid w:val="00E25660"/>
    <w:rsid w:val="00E25882"/>
    <w:rsid w:val="00E25AC8"/>
    <w:rsid w:val="00E267DE"/>
    <w:rsid w:val="00E26D50"/>
    <w:rsid w:val="00E306FE"/>
    <w:rsid w:val="00E334AA"/>
    <w:rsid w:val="00E341B7"/>
    <w:rsid w:val="00E34D17"/>
    <w:rsid w:val="00E35589"/>
    <w:rsid w:val="00E35961"/>
    <w:rsid w:val="00E36307"/>
    <w:rsid w:val="00E37288"/>
    <w:rsid w:val="00E40E6D"/>
    <w:rsid w:val="00E414A4"/>
    <w:rsid w:val="00E41FDD"/>
    <w:rsid w:val="00E42B65"/>
    <w:rsid w:val="00E4318D"/>
    <w:rsid w:val="00E44686"/>
    <w:rsid w:val="00E4475A"/>
    <w:rsid w:val="00E44A2D"/>
    <w:rsid w:val="00E44B6D"/>
    <w:rsid w:val="00E4535C"/>
    <w:rsid w:val="00E457FE"/>
    <w:rsid w:val="00E4591D"/>
    <w:rsid w:val="00E45E28"/>
    <w:rsid w:val="00E50A38"/>
    <w:rsid w:val="00E50ADC"/>
    <w:rsid w:val="00E5413A"/>
    <w:rsid w:val="00E55A9B"/>
    <w:rsid w:val="00E57562"/>
    <w:rsid w:val="00E60F7E"/>
    <w:rsid w:val="00E6146D"/>
    <w:rsid w:val="00E63014"/>
    <w:rsid w:val="00E630F2"/>
    <w:rsid w:val="00E64494"/>
    <w:rsid w:val="00E6531C"/>
    <w:rsid w:val="00E65DEC"/>
    <w:rsid w:val="00E6624B"/>
    <w:rsid w:val="00E66572"/>
    <w:rsid w:val="00E70391"/>
    <w:rsid w:val="00E70B4F"/>
    <w:rsid w:val="00E71537"/>
    <w:rsid w:val="00E71C59"/>
    <w:rsid w:val="00E7371C"/>
    <w:rsid w:val="00E77437"/>
    <w:rsid w:val="00E77B5D"/>
    <w:rsid w:val="00E80CE2"/>
    <w:rsid w:val="00E811D4"/>
    <w:rsid w:val="00E81F14"/>
    <w:rsid w:val="00E82436"/>
    <w:rsid w:val="00E83626"/>
    <w:rsid w:val="00E83E25"/>
    <w:rsid w:val="00E84C70"/>
    <w:rsid w:val="00E8508C"/>
    <w:rsid w:val="00E90ACE"/>
    <w:rsid w:val="00E9144C"/>
    <w:rsid w:val="00E91C58"/>
    <w:rsid w:val="00E91D66"/>
    <w:rsid w:val="00E95039"/>
    <w:rsid w:val="00E954B6"/>
    <w:rsid w:val="00E956B1"/>
    <w:rsid w:val="00E95AF2"/>
    <w:rsid w:val="00E95C50"/>
    <w:rsid w:val="00E961E0"/>
    <w:rsid w:val="00E963B0"/>
    <w:rsid w:val="00E96D7B"/>
    <w:rsid w:val="00E97594"/>
    <w:rsid w:val="00E97897"/>
    <w:rsid w:val="00EA2063"/>
    <w:rsid w:val="00EA3FCB"/>
    <w:rsid w:val="00EA6DB1"/>
    <w:rsid w:val="00EB1266"/>
    <w:rsid w:val="00EB180D"/>
    <w:rsid w:val="00EB28A9"/>
    <w:rsid w:val="00EB2CD6"/>
    <w:rsid w:val="00EB394A"/>
    <w:rsid w:val="00EB4B32"/>
    <w:rsid w:val="00EB5FFB"/>
    <w:rsid w:val="00EB62B3"/>
    <w:rsid w:val="00EB7237"/>
    <w:rsid w:val="00EB7CBB"/>
    <w:rsid w:val="00EC0477"/>
    <w:rsid w:val="00EC201F"/>
    <w:rsid w:val="00EC21D5"/>
    <w:rsid w:val="00EC2824"/>
    <w:rsid w:val="00EC2884"/>
    <w:rsid w:val="00EC2AD7"/>
    <w:rsid w:val="00EC2BBE"/>
    <w:rsid w:val="00EC31A0"/>
    <w:rsid w:val="00EC3893"/>
    <w:rsid w:val="00EC423C"/>
    <w:rsid w:val="00EC446C"/>
    <w:rsid w:val="00EC5EB1"/>
    <w:rsid w:val="00EC710E"/>
    <w:rsid w:val="00ED0BDC"/>
    <w:rsid w:val="00ED14C7"/>
    <w:rsid w:val="00ED17F5"/>
    <w:rsid w:val="00EE0C24"/>
    <w:rsid w:val="00EE0DAC"/>
    <w:rsid w:val="00EE0EBF"/>
    <w:rsid w:val="00EE2F2A"/>
    <w:rsid w:val="00EE31E7"/>
    <w:rsid w:val="00EE368C"/>
    <w:rsid w:val="00EE3A11"/>
    <w:rsid w:val="00EE40F8"/>
    <w:rsid w:val="00EE4544"/>
    <w:rsid w:val="00EE5091"/>
    <w:rsid w:val="00EE6014"/>
    <w:rsid w:val="00EE63AF"/>
    <w:rsid w:val="00EE7663"/>
    <w:rsid w:val="00EF1136"/>
    <w:rsid w:val="00EF1BB3"/>
    <w:rsid w:val="00EF2239"/>
    <w:rsid w:val="00EF2A8D"/>
    <w:rsid w:val="00EF2CF8"/>
    <w:rsid w:val="00EF2EBF"/>
    <w:rsid w:val="00EF4173"/>
    <w:rsid w:val="00EF485D"/>
    <w:rsid w:val="00EF5118"/>
    <w:rsid w:val="00EF54C2"/>
    <w:rsid w:val="00EF56A4"/>
    <w:rsid w:val="00EF5907"/>
    <w:rsid w:val="00EF5B17"/>
    <w:rsid w:val="00EF5FBA"/>
    <w:rsid w:val="00EF6311"/>
    <w:rsid w:val="00EF6A99"/>
    <w:rsid w:val="00EF6D4A"/>
    <w:rsid w:val="00EF6E21"/>
    <w:rsid w:val="00EF718F"/>
    <w:rsid w:val="00EF77FC"/>
    <w:rsid w:val="00EF7B91"/>
    <w:rsid w:val="00F013EE"/>
    <w:rsid w:val="00F014F4"/>
    <w:rsid w:val="00F01FEC"/>
    <w:rsid w:val="00F02057"/>
    <w:rsid w:val="00F032F5"/>
    <w:rsid w:val="00F0336D"/>
    <w:rsid w:val="00F04601"/>
    <w:rsid w:val="00F0488C"/>
    <w:rsid w:val="00F056D5"/>
    <w:rsid w:val="00F064E5"/>
    <w:rsid w:val="00F10BF6"/>
    <w:rsid w:val="00F114C8"/>
    <w:rsid w:val="00F11A9E"/>
    <w:rsid w:val="00F1249A"/>
    <w:rsid w:val="00F1282B"/>
    <w:rsid w:val="00F12BFB"/>
    <w:rsid w:val="00F12EDF"/>
    <w:rsid w:val="00F12F81"/>
    <w:rsid w:val="00F13350"/>
    <w:rsid w:val="00F13355"/>
    <w:rsid w:val="00F13536"/>
    <w:rsid w:val="00F14650"/>
    <w:rsid w:val="00F14869"/>
    <w:rsid w:val="00F1606D"/>
    <w:rsid w:val="00F16D74"/>
    <w:rsid w:val="00F1753A"/>
    <w:rsid w:val="00F1796A"/>
    <w:rsid w:val="00F17C11"/>
    <w:rsid w:val="00F2009D"/>
    <w:rsid w:val="00F208EC"/>
    <w:rsid w:val="00F21827"/>
    <w:rsid w:val="00F22379"/>
    <w:rsid w:val="00F2239C"/>
    <w:rsid w:val="00F22973"/>
    <w:rsid w:val="00F236F5"/>
    <w:rsid w:val="00F23AB8"/>
    <w:rsid w:val="00F23F3F"/>
    <w:rsid w:val="00F244BD"/>
    <w:rsid w:val="00F24BF3"/>
    <w:rsid w:val="00F255F8"/>
    <w:rsid w:val="00F25EAA"/>
    <w:rsid w:val="00F263F8"/>
    <w:rsid w:val="00F26B86"/>
    <w:rsid w:val="00F27087"/>
    <w:rsid w:val="00F31821"/>
    <w:rsid w:val="00F3670A"/>
    <w:rsid w:val="00F40158"/>
    <w:rsid w:val="00F414E5"/>
    <w:rsid w:val="00F4182C"/>
    <w:rsid w:val="00F4190D"/>
    <w:rsid w:val="00F427B5"/>
    <w:rsid w:val="00F42C6D"/>
    <w:rsid w:val="00F430E2"/>
    <w:rsid w:val="00F4478F"/>
    <w:rsid w:val="00F447AF"/>
    <w:rsid w:val="00F44BD4"/>
    <w:rsid w:val="00F44EFD"/>
    <w:rsid w:val="00F45562"/>
    <w:rsid w:val="00F4705E"/>
    <w:rsid w:val="00F50450"/>
    <w:rsid w:val="00F506D8"/>
    <w:rsid w:val="00F51637"/>
    <w:rsid w:val="00F5342D"/>
    <w:rsid w:val="00F539D9"/>
    <w:rsid w:val="00F569D0"/>
    <w:rsid w:val="00F56EB8"/>
    <w:rsid w:val="00F574B2"/>
    <w:rsid w:val="00F605E8"/>
    <w:rsid w:val="00F6102D"/>
    <w:rsid w:val="00F62503"/>
    <w:rsid w:val="00F648EC"/>
    <w:rsid w:val="00F6587D"/>
    <w:rsid w:val="00F67998"/>
    <w:rsid w:val="00F679B8"/>
    <w:rsid w:val="00F7054E"/>
    <w:rsid w:val="00F72D0D"/>
    <w:rsid w:val="00F73EC8"/>
    <w:rsid w:val="00F74441"/>
    <w:rsid w:val="00F7524D"/>
    <w:rsid w:val="00F75D7F"/>
    <w:rsid w:val="00F75F54"/>
    <w:rsid w:val="00F771ED"/>
    <w:rsid w:val="00F7736F"/>
    <w:rsid w:val="00F8076B"/>
    <w:rsid w:val="00F811A3"/>
    <w:rsid w:val="00F82A83"/>
    <w:rsid w:val="00F82D0C"/>
    <w:rsid w:val="00F836D2"/>
    <w:rsid w:val="00F8443F"/>
    <w:rsid w:val="00F848BC"/>
    <w:rsid w:val="00F84AB9"/>
    <w:rsid w:val="00F84DC4"/>
    <w:rsid w:val="00F85E32"/>
    <w:rsid w:val="00F872A0"/>
    <w:rsid w:val="00F8797E"/>
    <w:rsid w:val="00F90AB4"/>
    <w:rsid w:val="00F90D3F"/>
    <w:rsid w:val="00F919F8"/>
    <w:rsid w:val="00F938B5"/>
    <w:rsid w:val="00F93FDA"/>
    <w:rsid w:val="00F94CD4"/>
    <w:rsid w:val="00F94D70"/>
    <w:rsid w:val="00F950F5"/>
    <w:rsid w:val="00F9534F"/>
    <w:rsid w:val="00F9546E"/>
    <w:rsid w:val="00F965A5"/>
    <w:rsid w:val="00F96E9C"/>
    <w:rsid w:val="00F96F58"/>
    <w:rsid w:val="00F979C2"/>
    <w:rsid w:val="00FA32B4"/>
    <w:rsid w:val="00FA3CE3"/>
    <w:rsid w:val="00FA4070"/>
    <w:rsid w:val="00FA5451"/>
    <w:rsid w:val="00FA56DC"/>
    <w:rsid w:val="00FA59CB"/>
    <w:rsid w:val="00FA73F6"/>
    <w:rsid w:val="00FB0E77"/>
    <w:rsid w:val="00FB20DF"/>
    <w:rsid w:val="00FB2A08"/>
    <w:rsid w:val="00FB4246"/>
    <w:rsid w:val="00FB575E"/>
    <w:rsid w:val="00FB5F55"/>
    <w:rsid w:val="00FB5FC2"/>
    <w:rsid w:val="00FB7462"/>
    <w:rsid w:val="00FC1602"/>
    <w:rsid w:val="00FC1AFC"/>
    <w:rsid w:val="00FC2553"/>
    <w:rsid w:val="00FC2BB9"/>
    <w:rsid w:val="00FC3057"/>
    <w:rsid w:val="00FC430C"/>
    <w:rsid w:val="00FC48E9"/>
    <w:rsid w:val="00FC51E9"/>
    <w:rsid w:val="00FC60E1"/>
    <w:rsid w:val="00FC7033"/>
    <w:rsid w:val="00FC7061"/>
    <w:rsid w:val="00FC71FB"/>
    <w:rsid w:val="00FC729B"/>
    <w:rsid w:val="00FC7939"/>
    <w:rsid w:val="00FC7C2B"/>
    <w:rsid w:val="00FD0A70"/>
    <w:rsid w:val="00FD10C0"/>
    <w:rsid w:val="00FD152A"/>
    <w:rsid w:val="00FD4A77"/>
    <w:rsid w:val="00FD58B0"/>
    <w:rsid w:val="00FD5F7C"/>
    <w:rsid w:val="00FD60AF"/>
    <w:rsid w:val="00FD6269"/>
    <w:rsid w:val="00FD71A5"/>
    <w:rsid w:val="00FD79DE"/>
    <w:rsid w:val="00FE00AF"/>
    <w:rsid w:val="00FE04C7"/>
    <w:rsid w:val="00FE0C99"/>
    <w:rsid w:val="00FE1224"/>
    <w:rsid w:val="00FE175B"/>
    <w:rsid w:val="00FE2351"/>
    <w:rsid w:val="00FE24FC"/>
    <w:rsid w:val="00FE3989"/>
    <w:rsid w:val="00FE3D2E"/>
    <w:rsid w:val="00FE40DD"/>
    <w:rsid w:val="00FE552C"/>
    <w:rsid w:val="00FE6BAD"/>
    <w:rsid w:val="00FE6EA2"/>
    <w:rsid w:val="00FF1817"/>
    <w:rsid w:val="00FF2941"/>
    <w:rsid w:val="00FF3E4F"/>
    <w:rsid w:val="00FF4217"/>
    <w:rsid w:val="00FF46DC"/>
    <w:rsid w:val="00FF4B87"/>
    <w:rsid w:val="00FF54F6"/>
    <w:rsid w:val="00FF58D4"/>
    <w:rsid w:val="00FF7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796"/>
    <w:rPr>
      <w:rFonts w:ascii="CG Times" w:hAnsi="CG Times" w:cs="CG Times"/>
      <w:sz w:val="24"/>
      <w:szCs w:val="24"/>
    </w:rPr>
  </w:style>
  <w:style w:type="paragraph" w:styleId="Heading2">
    <w:name w:val="heading 2"/>
    <w:basedOn w:val="Normal"/>
    <w:next w:val="Normal"/>
    <w:link w:val="Heading2Char"/>
    <w:uiPriority w:val="99"/>
    <w:qFormat/>
    <w:rsid w:val="00982796"/>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982796"/>
    <w:pPr>
      <w:keepNext/>
      <w:tabs>
        <w:tab w:val="left" w:pos="1440"/>
        <w:tab w:val="right" w:pos="9360"/>
      </w:tabs>
      <w:outlineLvl w:val="3"/>
    </w:pPr>
    <w:rPr>
      <w:sz w:val="28"/>
      <w:szCs w:val="28"/>
    </w:rPr>
  </w:style>
  <w:style w:type="paragraph" w:styleId="Heading5">
    <w:name w:val="heading 5"/>
    <w:basedOn w:val="Normal"/>
    <w:next w:val="Normal"/>
    <w:link w:val="Heading5Char"/>
    <w:uiPriority w:val="99"/>
    <w:qFormat/>
    <w:rsid w:val="0098279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557A71"/>
    <w:rPr>
      <w:rFonts w:ascii="Cambria" w:hAnsi="Cambria" w:cs="Cambria"/>
      <w:b/>
      <w:bCs/>
      <w:i/>
      <w:iCs/>
      <w:sz w:val="28"/>
      <w:szCs w:val="28"/>
    </w:rPr>
  </w:style>
  <w:style w:type="character" w:customStyle="1" w:styleId="Heading4Char">
    <w:name w:val="Heading 4 Char"/>
    <w:basedOn w:val="DefaultParagraphFont"/>
    <w:link w:val="Heading4"/>
    <w:uiPriority w:val="99"/>
    <w:semiHidden/>
    <w:rsid w:val="00557A71"/>
    <w:rPr>
      <w:rFonts w:ascii="Calibri" w:hAnsi="Calibri" w:cs="Calibri"/>
      <w:b/>
      <w:bCs/>
      <w:sz w:val="28"/>
      <w:szCs w:val="28"/>
    </w:rPr>
  </w:style>
  <w:style w:type="character" w:customStyle="1" w:styleId="Heading5Char">
    <w:name w:val="Heading 5 Char"/>
    <w:basedOn w:val="DefaultParagraphFont"/>
    <w:link w:val="Heading5"/>
    <w:uiPriority w:val="99"/>
    <w:semiHidden/>
    <w:rsid w:val="00557A71"/>
    <w:rPr>
      <w:rFonts w:ascii="Calibri" w:hAnsi="Calibri" w:cs="Calibri"/>
      <w:b/>
      <w:bCs/>
      <w:i/>
      <w:iCs/>
      <w:sz w:val="26"/>
      <w:szCs w:val="26"/>
    </w:rPr>
  </w:style>
  <w:style w:type="paragraph" w:styleId="EndnoteText">
    <w:name w:val="endnote text"/>
    <w:basedOn w:val="Normal"/>
    <w:link w:val="EndnoteTextChar"/>
    <w:uiPriority w:val="99"/>
    <w:semiHidden/>
    <w:rsid w:val="00982796"/>
  </w:style>
  <w:style w:type="character" w:customStyle="1" w:styleId="EndnoteTextChar">
    <w:name w:val="Endnote Text Char"/>
    <w:basedOn w:val="DefaultParagraphFont"/>
    <w:link w:val="EndnoteText"/>
    <w:uiPriority w:val="99"/>
    <w:semiHidden/>
    <w:rsid w:val="00557A71"/>
    <w:rPr>
      <w:rFonts w:ascii="CG Times" w:hAnsi="CG Times" w:cs="CG Times"/>
      <w:sz w:val="20"/>
      <w:szCs w:val="20"/>
    </w:rPr>
  </w:style>
  <w:style w:type="table" w:styleId="TableGrid">
    <w:name w:val="Table Grid"/>
    <w:basedOn w:val="TableNormal"/>
    <w:uiPriority w:val="99"/>
    <w:rsid w:val="00982796"/>
    <w:rPr>
      <w:rFonts w:ascii="CG Times" w:hAnsi="CG Times" w:cs="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uiPriority w:val="99"/>
    <w:rsid w:val="00982796"/>
    <w:rPr>
      <w:sz w:val="20"/>
      <w:szCs w:val="20"/>
    </w:rPr>
  </w:style>
  <w:style w:type="paragraph" w:styleId="Header">
    <w:name w:val="header"/>
    <w:basedOn w:val="Normal"/>
    <w:link w:val="HeaderChar"/>
    <w:uiPriority w:val="99"/>
    <w:rsid w:val="00116BA2"/>
    <w:pPr>
      <w:tabs>
        <w:tab w:val="center" w:pos="4320"/>
        <w:tab w:val="right" w:pos="8640"/>
      </w:tabs>
    </w:pPr>
  </w:style>
  <w:style w:type="character" w:customStyle="1" w:styleId="HeaderChar">
    <w:name w:val="Header Char"/>
    <w:basedOn w:val="DefaultParagraphFont"/>
    <w:link w:val="Header"/>
    <w:uiPriority w:val="99"/>
    <w:semiHidden/>
    <w:rsid w:val="00557A71"/>
    <w:rPr>
      <w:rFonts w:ascii="CG Times" w:hAnsi="CG Times" w:cs="CG Times"/>
      <w:sz w:val="24"/>
      <w:szCs w:val="24"/>
    </w:rPr>
  </w:style>
  <w:style w:type="paragraph" w:styleId="Footer">
    <w:name w:val="footer"/>
    <w:basedOn w:val="Normal"/>
    <w:link w:val="FooterChar"/>
    <w:uiPriority w:val="99"/>
    <w:rsid w:val="00116BA2"/>
    <w:pPr>
      <w:tabs>
        <w:tab w:val="center" w:pos="4320"/>
        <w:tab w:val="right" w:pos="8640"/>
      </w:tabs>
    </w:pPr>
  </w:style>
  <w:style w:type="character" w:customStyle="1" w:styleId="FooterChar">
    <w:name w:val="Footer Char"/>
    <w:basedOn w:val="DefaultParagraphFont"/>
    <w:link w:val="Footer"/>
    <w:uiPriority w:val="99"/>
    <w:semiHidden/>
    <w:rsid w:val="00557A71"/>
    <w:rPr>
      <w:rFonts w:ascii="CG Times" w:hAnsi="CG Times" w:cs="CG Times"/>
      <w:sz w:val="24"/>
      <w:szCs w:val="24"/>
    </w:rPr>
  </w:style>
  <w:style w:type="character" w:styleId="PageNumber">
    <w:name w:val="page number"/>
    <w:basedOn w:val="DefaultParagraphFont"/>
    <w:uiPriority w:val="99"/>
    <w:rsid w:val="00116BA2"/>
  </w:style>
  <w:style w:type="paragraph" w:styleId="BalloonText">
    <w:name w:val="Balloon Text"/>
    <w:basedOn w:val="Normal"/>
    <w:link w:val="BalloonTextChar"/>
    <w:uiPriority w:val="99"/>
    <w:semiHidden/>
    <w:rsid w:val="00651210"/>
    <w:rPr>
      <w:rFonts w:ascii="Tahoma" w:hAnsi="Tahoma" w:cs="Tahoma"/>
      <w:sz w:val="16"/>
      <w:szCs w:val="16"/>
    </w:rPr>
  </w:style>
  <w:style w:type="character" w:customStyle="1" w:styleId="BalloonTextChar">
    <w:name w:val="Balloon Text Char"/>
    <w:basedOn w:val="DefaultParagraphFont"/>
    <w:link w:val="BalloonText"/>
    <w:uiPriority w:val="99"/>
    <w:semiHidden/>
    <w:rsid w:val="00557A71"/>
    <w:rPr>
      <w:sz w:val="2"/>
      <w:szCs w:val="2"/>
    </w:rPr>
  </w:style>
  <w:style w:type="character" w:styleId="CommentReference">
    <w:name w:val="annotation reference"/>
    <w:basedOn w:val="DefaultParagraphFont"/>
    <w:uiPriority w:val="99"/>
    <w:semiHidden/>
    <w:rsid w:val="00960DC8"/>
    <w:rPr>
      <w:sz w:val="16"/>
      <w:szCs w:val="16"/>
    </w:rPr>
  </w:style>
  <w:style w:type="paragraph" w:styleId="CommentText">
    <w:name w:val="annotation text"/>
    <w:basedOn w:val="Normal"/>
    <w:link w:val="CommentTextChar"/>
    <w:uiPriority w:val="99"/>
    <w:semiHidden/>
    <w:rsid w:val="00960DC8"/>
    <w:rPr>
      <w:sz w:val="20"/>
      <w:szCs w:val="20"/>
    </w:rPr>
  </w:style>
  <w:style w:type="character" w:customStyle="1" w:styleId="CommentTextChar">
    <w:name w:val="Comment Text Char"/>
    <w:basedOn w:val="DefaultParagraphFont"/>
    <w:link w:val="CommentText"/>
    <w:uiPriority w:val="99"/>
    <w:rsid w:val="00087533"/>
    <w:rPr>
      <w:rFonts w:ascii="CG Times" w:hAnsi="CG Times" w:cs="CG Times"/>
    </w:rPr>
  </w:style>
  <w:style w:type="paragraph" w:styleId="CommentSubject">
    <w:name w:val="annotation subject"/>
    <w:basedOn w:val="CommentText"/>
    <w:next w:val="CommentText"/>
    <w:link w:val="CommentSubjectChar"/>
    <w:uiPriority w:val="99"/>
    <w:semiHidden/>
    <w:rsid w:val="00960DC8"/>
    <w:rPr>
      <w:b/>
      <w:bCs/>
    </w:rPr>
  </w:style>
  <w:style w:type="character" w:customStyle="1" w:styleId="CommentSubjectChar">
    <w:name w:val="Comment Subject Char"/>
    <w:basedOn w:val="CommentTextChar"/>
    <w:link w:val="CommentSubject"/>
    <w:uiPriority w:val="99"/>
    <w:semiHidden/>
    <w:rsid w:val="00557A71"/>
    <w:rPr>
      <w:b/>
      <w:bCs/>
      <w:sz w:val="20"/>
      <w:szCs w:val="20"/>
    </w:rPr>
  </w:style>
  <w:style w:type="paragraph" w:styleId="BlockText">
    <w:name w:val="Block Text"/>
    <w:basedOn w:val="Normal"/>
    <w:uiPriority w:val="99"/>
    <w:rsid w:val="00107A31"/>
  </w:style>
  <w:style w:type="paragraph" w:styleId="ListParagraph">
    <w:name w:val="List Paragraph"/>
    <w:basedOn w:val="Normal"/>
    <w:uiPriority w:val="99"/>
    <w:qFormat/>
    <w:rsid w:val="00EB7237"/>
    <w:pPr>
      <w:ind w:left="720"/>
      <w:contextualSpacing/>
    </w:pPr>
  </w:style>
  <w:style w:type="paragraph" w:customStyle="1" w:styleId="Default">
    <w:name w:val="Default"/>
    <w:uiPriority w:val="99"/>
    <w:rsid w:val="003E3A57"/>
    <w:pPr>
      <w:autoSpaceDE w:val="0"/>
      <w:autoSpaceDN w:val="0"/>
      <w:adjustRightInd w:val="0"/>
    </w:pPr>
    <w:rPr>
      <w:rFonts w:ascii="CG Times" w:hAnsi="CG Times" w:cs="CG Times"/>
      <w:color w:val="000000"/>
      <w:sz w:val="24"/>
      <w:szCs w:val="24"/>
    </w:rPr>
  </w:style>
  <w:style w:type="paragraph" w:styleId="NormalWeb">
    <w:name w:val="Normal (Web)"/>
    <w:basedOn w:val="Normal"/>
    <w:uiPriority w:val="99"/>
    <w:rsid w:val="0027612A"/>
    <w:pPr>
      <w:spacing w:before="100" w:beforeAutospacing="1" w:after="100" w:afterAutospacing="1"/>
    </w:pPr>
  </w:style>
  <w:style w:type="paragraph" w:customStyle="1" w:styleId="DEQSMALLHEADLINES">
    <w:name w:val="(DEQ)SMALL HEADLINES"/>
    <w:basedOn w:val="Normal"/>
    <w:uiPriority w:val="99"/>
    <w:rsid w:val="00F1753A"/>
    <w:rPr>
      <w:rFonts w:ascii="Arial" w:hAnsi="Arial" w:cs="Arial"/>
      <w:b/>
      <w:bCs/>
      <w:sz w:val="20"/>
      <w:szCs w:val="20"/>
    </w:rPr>
  </w:style>
  <w:style w:type="character" w:styleId="Hyperlink">
    <w:name w:val="Hyperlink"/>
    <w:basedOn w:val="DefaultParagraphFont"/>
    <w:uiPriority w:val="99"/>
    <w:semiHidden/>
    <w:rsid w:val="0070204E"/>
    <w:rPr>
      <w:color w:val="3333CC"/>
      <w:u w:val="single"/>
    </w:rPr>
  </w:style>
  <w:style w:type="character" w:styleId="Strong">
    <w:name w:val="Strong"/>
    <w:basedOn w:val="DefaultParagraphFont"/>
    <w:uiPriority w:val="99"/>
    <w:qFormat/>
    <w:rsid w:val="0070204E"/>
    <w:rPr>
      <w:b/>
      <w:bCs/>
    </w:rPr>
  </w:style>
  <w:style w:type="character" w:styleId="Emphasis">
    <w:name w:val="Emphasis"/>
    <w:basedOn w:val="DefaultParagraphFont"/>
    <w:uiPriority w:val="99"/>
    <w:qFormat/>
    <w:rsid w:val="00FD60AF"/>
    <w:rPr>
      <w:i/>
      <w:iCs/>
    </w:rPr>
  </w:style>
  <w:style w:type="paragraph" w:styleId="Revision">
    <w:name w:val="Revision"/>
    <w:hidden/>
    <w:uiPriority w:val="99"/>
    <w:semiHidden/>
    <w:rsid w:val="00E22FD9"/>
    <w:rPr>
      <w:rFonts w:ascii="CG Times" w:hAnsi="CG Times" w:cs="CG Times"/>
      <w:sz w:val="24"/>
      <w:szCs w:val="24"/>
    </w:rPr>
  </w:style>
  <w:style w:type="character" w:styleId="FollowedHyperlink">
    <w:name w:val="FollowedHyperlink"/>
    <w:basedOn w:val="DefaultParagraphFont"/>
    <w:uiPriority w:val="99"/>
    <w:semiHidden/>
    <w:unhideWhenUsed/>
    <w:rsid w:val="00DA13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25319571">
      <w:marLeft w:val="0"/>
      <w:marRight w:val="0"/>
      <w:marTop w:val="0"/>
      <w:marBottom w:val="0"/>
      <w:divBdr>
        <w:top w:val="none" w:sz="0" w:space="0" w:color="auto"/>
        <w:left w:val="none" w:sz="0" w:space="0" w:color="auto"/>
        <w:bottom w:val="none" w:sz="0" w:space="0" w:color="auto"/>
        <w:right w:val="none" w:sz="0" w:space="0" w:color="auto"/>
      </w:divBdr>
      <w:divsChild>
        <w:div w:id="1825319583">
          <w:marLeft w:val="720"/>
          <w:marRight w:val="720"/>
          <w:marTop w:val="100"/>
          <w:marBottom w:val="100"/>
          <w:divBdr>
            <w:top w:val="none" w:sz="0" w:space="0" w:color="auto"/>
            <w:left w:val="none" w:sz="0" w:space="0" w:color="auto"/>
            <w:bottom w:val="none" w:sz="0" w:space="0" w:color="auto"/>
            <w:right w:val="none" w:sz="0" w:space="0" w:color="auto"/>
          </w:divBdr>
          <w:divsChild>
            <w:div w:id="182531957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5319573">
      <w:marLeft w:val="0"/>
      <w:marRight w:val="5"/>
      <w:marTop w:val="0"/>
      <w:marBottom w:val="430"/>
      <w:divBdr>
        <w:top w:val="none" w:sz="0" w:space="0" w:color="auto"/>
        <w:left w:val="none" w:sz="0" w:space="0" w:color="auto"/>
        <w:bottom w:val="none" w:sz="0" w:space="0" w:color="auto"/>
        <w:right w:val="none" w:sz="0" w:space="0" w:color="auto"/>
      </w:divBdr>
      <w:divsChild>
        <w:div w:id="1825319585">
          <w:marLeft w:val="1623"/>
          <w:marRight w:val="0"/>
          <w:marTop w:val="322"/>
          <w:marBottom w:val="215"/>
          <w:divBdr>
            <w:top w:val="none" w:sz="0" w:space="0" w:color="auto"/>
            <w:left w:val="none" w:sz="0" w:space="0" w:color="auto"/>
            <w:bottom w:val="none" w:sz="0" w:space="0" w:color="auto"/>
            <w:right w:val="none" w:sz="0" w:space="0" w:color="auto"/>
          </w:divBdr>
        </w:div>
      </w:divsChild>
    </w:div>
    <w:div w:id="1825319574">
      <w:marLeft w:val="0"/>
      <w:marRight w:val="5"/>
      <w:marTop w:val="0"/>
      <w:marBottom w:val="400"/>
      <w:divBdr>
        <w:top w:val="none" w:sz="0" w:space="0" w:color="auto"/>
        <w:left w:val="none" w:sz="0" w:space="0" w:color="auto"/>
        <w:bottom w:val="none" w:sz="0" w:space="0" w:color="auto"/>
        <w:right w:val="none" w:sz="0" w:space="0" w:color="auto"/>
      </w:divBdr>
      <w:divsChild>
        <w:div w:id="1825319568">
          <w:marLeft w:val="1510"/>
          <w:marRight w:val="0"/>
          <w:marTop w:val="300"/>
          <w:marBottom w:val="200"/>
          <w:divBdr>
            <w:top w:val="none" w:sz="0" w:space="0" w:color="auto"/>
            <w:left w:val="none" w:sz="0" w:space="0" w:color="auto"/>
            <w:bottom w:val="none" w:sz="0" w:space="0" w:color="auto"/>
            <w:right w:val="none" w:sz="0" w:space="0" w:color="auto"/>
          </w:divBdr>
        </w:div>
      </w:divsChild>
    </w:div>
    <w:div w:id="1825319577">
      <w:marLeft w:val="0"/>
      <w:marRight w:val="5"/>
      <w:marTop w:val="0"/>
      <w:marBottom w:val="430"/>
      <w:divBdr>
        <w:top w:val="none" w:sz="0" w:space="0" w:color="auto"/>
        <w:left w:val="none" w:sz="0" w:space="0" w:color="auto"/>
        <w:bottom w:val="none" w:sz="0" w:space="0" w:color="auto"/>
        <w:right w:val="none" w:sz="0" w:space="0" w:color="auto"/>
      </w:divBdr>
      <w:divsChild>
        <w:div w:id="1825319569">
          <w:marLeft w:val="1623"/>
          <w:marRight w:val="0"/>
          <w:marTop w:val="322"/>
          <w:marBottom w:val="215"/>
          <w:divBdr>
            <w:top w:val="none" w:sz="0" w:space="0" w:color="auto"/>
            <w:left w:val="none" w:sz="0" w:space="0" w:color="auto"/>
            <w:bottom w:val="none" w:sz="0" w:space="0" w:color="auto"/>
            <w:right w:val="none" w:sz="0" w:space="0" w:color="auto"/>
          </w:divBdr>
        </w:div>
      </w:divsChild>
    </w:div>
    <w:div w:id="1825319580">
      <w:marLeft w:val="0"/>
      <w:marRight w:val="5"/>
      <w:marTop w:val="0"/>
      <w:marBottom w:val="430"/>
      <w:divBdr>
        <w:top w:val="none" w:sz="0" w:space="0" w:color="auto"/>
        <w:left w:val="none" w:sz="0" w:space="0" w:color="auto"/>
        <w:bottom w:val="none" w:sz="0" w:space="0" w:color="auto"/>
        <w:right w:val="none" w:sz="0" w:space="0" w:color="auto"/>
      </w:divBdr>
      <w:divsChild>
        <w:div w:id="1825319570">
          <w:marLeft w:val="1623"/>
          <w:marRight w:val="0"/>
          <w:marTop w:val="322"/>
          <w:marBottom w:val="215"/>
          <w:divBdr>
            <w:top w:val="none" w:sz="0" w:space="0" w:color="auto"/>
            <w:left w:val="none" w:sz="0" w:space="0" w:color="auto"/>
            <w:bottom w:val="none" w:sz="0" w:space="0" w:color="auto"/>
            <w:right w:val="none" w:sz="0" w:space="0" w:color="auto"/>
          </w:divBdr>
        </w:div>
      </w:divsChild>
    </w:div>
    <w:div w:id="1825319581">
      <w:marLeft w:val="0"/>
      <w:marRight w:val="0"/>
      <w:marTop w:val="0"/>
      <w:marBottom w:val="0"/>
      <w:divBdr>
        <w:top w:val="none" w:sz="0" w:space="0" w:color="auto"/>
        <w:left w:val="none" w:sz="0" w:space="0" w:color="auto"/>
        <w:bottom w:val="none" w:sz="0" w:space="0" w:color="auto"/>
        <w:right w:val="none" w:sz="0" w:space="0" w:color="auto"/>
      </w:divBdr>
      <w:divsChild>
        <w:div w:id="1825319572">
          <w:marLeft w:val="0"/>
          <w:marRight w:val="0"/>
          <w:marTop w:val="0"/>
          <w:marBottom w:val="0"/>
          <w:divBdr>
            <w:top w:val="none" w:sz="0" w:space="0" w:color="auto"/>
            <w:left w:val="none" w:sz="0" w:space="0" w:color="auto"/>
            <w:bottom w:val="none" w:sz="0" w:space="0" w:color="auto"/>
            <w:right w:val="none" w:sz="0" w:space="0" w:color="auto"/>
          </w:divBdr>
          <w:divsChild>
            <w:div w:id="1825319575">
              <w:marLeft w:val="10"/>
              <w:marRight w:val="0"/>
              <w:marTop w:val="0"/>
              <w:marBottom w:val="0"/>
              <w:divBdr>
                <w:top w:val="none" w:sz="0" w:space="0" w:color="auto"/>
                <w:left w:val="none" w:sz="0" w:space="0" w:color="auto"/>
                <w:bottom w:val="none" w:sz="0" w:space="0" w:color="auto"/>
                <w:right w:val="none" w:sz="0" w:space="0" w:color="auto"/>
              </w:divBdr>
              <w:divsChild>
                <w:div w:id="1825319584">
                  <w:marLeft w:val="200"/>
                  <w:marRight w:val="0"/>
                  <w:marTop w:val="0"/>
                  <w:marBottom w:val="0"/>
                  <w:divBdr>
                    <w:top w:val="none" w:sz="0" w:space="0" w:color="auto"/>
                    <w:left w:val="none" w:sz="0" w:space="0" w:color="auto"/>
                    <w:bottom w:val="none" w:sz="0" w:space="0" w:color="auto"/>
                    <w:right w:val="none" w:sz="0" w:space="0" w:color="auto"/>
                  </w:divBdr>
                  <w:divsChild>
                    <w:div w:id="1825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9586">
      <w:marLeft w:val="0"/>
      <w:marRight w:val="0"/>
      <w:marTop w:val="0"/>
      <w:marBottom w:val="0"/>
      <w:divBdr>
        <w:top w:val="none" w:sz="0" w:space="0" w:color="auto"/>
        <w:left w:val="none" w:sz="0" w:space="0" w:color="auto"/>
        <w:bottom w:val="none" w:sz="0" w:space="0" w:color="auto"/>
        <w:right w:val="none" w:sz="0" w:space="0" w:color="auto"/>
      </w:divBdr>
      <w:divsChild>
        <w:div w:id="1825319579">
          <w:marLeft w:val="720"/>
          <w:marRight w:val="720"/>
          <w:marTop w:val="100"/>
          <w:marBottom w:val="100"/>
          <w:divBdr>
            <w:top w:val="none" w:sz="0" w:space="0" w:color="auto"/>
            <w:left w:val="none" w:sz="0" w:space="0" w:color="auto"/>
            <w:bottom w:val="none" w:sz="0" w:space="0" w:color="auto"/>
            <w:right w:val="none" w:sz="0" w:space="0" w:color="auto"/>
          </w:divBdr>
          <w:divsChild>
            <w:div w:id="182531957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5319587">
      <w:marLeft w:val="0"/>
      <w:marRight w:val="0"/>
      <w:marTop w:val="0"/>
      <w:marBottom w:val="0"/>
      <w:divBdr>
        <w:top w:val="none" w:sz="0" w:space="0" w:color="auto"/>
        <w:left w:val="none" w:sz="0" w:space="0" w:color="auto"/>
        <w:bottom w:val="none" w:sz="0" w:space="0" w:color="auto"/>
        <w:right w:val="none" w:sz="0" w:space="0" w:color="auto"/>
      </w:divBdr>
    </w:div>
    <w:div w:id="1825319588">
      <w:marLeft w:val="0"/>
      <w:marRight w:val="0"/>
      <w:marTop w:val="0"/>
      <w:marBottom w:val="0"/>
      <w:divBdr>
        <w:top w:val="none" w:sz="0" w:space="0" w:color="auto"/>
        <w:left w:val="none" w:sz="0" w:space="0" w:color="auto"/>
        <w:bottom w:val="none" w:sz="0" w:space="0" w:color="auto"/>
        <w:right w:val="none" w:sz="0" w:space="0" w:color="auto"/>
      </w:divBdr>
      <w:divsChild>
        <w:div w:id="1825319582">
          <w:marLeft w:val="0"/>
          <w:marRight w:val="0"/>
          <w:marTop w:val="0"/>
          <w:marBottom w:val="0"/>
          <w:divBdr>
            <w:top w:val="none" w:sz="0" w:space="0" w:color="auto"/>
            <w:left w:val="none" w:sz="0" w:space="0" w:color="auto"/>
            <w:bottom w:val="none" w:sz="0" w:space="0" w:color="auto"/>
            <w:right w:val="none" w:sz="0" w:space="0" w:color="auto"/>
          </w:divBdr>
        </w:div>
      </w:divsChild>
    </w:div>
    <w:div w:id="1825319589">
      <w:marLeft w:val="0"/>
      <w:marRight w:val="0"/>
      <w:marTop w:val="0"/>
      <w:marBottom w:val="0"/>
      <w:divBdr>
        <w:top w:val="none" w:sz="0" w:space="0" w:color="auto"/>
        <w:left w:val="none" w:sz="0" w:space="0" w:color="auto"/>
        <w:bottom w:val="none" w:sz="0" w:space="0" w:color="auto"/>
        <w:right w:val="none" w:sz="0" w:space="0" w:color="auto"/>
      </w:divBdr>
    </w:div>
    <w:div w:id="1825319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95D48C-4779-43DB-8841-929BCA4413FC}">
  <ds:schemaRefs>
    <ds:schemaRef ds:uri="http://schemas.microsoft.com/office/2006/metadata/properties"/>
  </ds:schemaRefs>
</ds:datastoreItem>
</file>

<file path=customXml/itemProps2.xml><?xml version="1.0" encoding="utf-8"?>
<ds:datastoreItem xmlns:ds="http://schemas.openxmlformats.org/officeDocument/2006/customXml" ds:itemID="{DC6577BD-AED5-43E9-BC66-020C9B106602}">
  <ds:schemaRefs>
    <ds:schemaRef ds:uri="http://schemas.microsoft.com/sharepoint/v3/contenttype/forms"/>
  </ds:schemaRefs>
</ds:datastoreItem>
</file>

<file path=customXml/itemProps3.xml><?xml version="1.0" encoding="utf-8"?>
<ds:datastoreItem xmlns:ds="http://schemas.openxmlformats.org/officeDocument/2006/customXml" ds:itemID="{9A56EF47-DD0D-4288-BD2E-9E1F07FDB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2273</Words>
  <Characters>12787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subject/>
  <dc:creator>Andrea Curtis</dc:creator>
  <cp:keywords/>
  <dc:description/>
  <cp:lastModifiedBy>Stephanie Clark</cp:lastModifiedBy>
  <cp:revision>6</cp:revision>
  <cp:lastPrinted>2011-03-22T15:12:00Z</cp:lastPrinted>
  <dcterms:created xsi:type="dcterms:W3CDTF">2011-03-31T22:13:00Z</dcterms:created>
  <dcterms:modified xsi:type="dcterms:W3CDTF">2011-04-01T20:39:00Z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