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B8" w:rsidRPr="003975D2" w:rsidRDefault="00CD03B8" w:rsidP="00CE74E5">
      <w:pPr>
        <w:spacing w:after="0" w:line="240" w:lineRule="auto"/>
        <w:jc w:val="center"/>
        <w:outlineLvl w:val="0"/>
        <w:rPr>
          <w:rFonts w:ascii="Times New Roman" w:hAnsi="Times New Roman" w:cs="Times New Roman"/>
          <w:b/>
          <w:sz w:val="24"/>
          <w:szCs w:val="24"/>
        </w:rPr>
      </w:pPr>
      <w:r w:rsidRPr="003975D2">
        <w:rPr>
          <w:rFonts w:ascii="Times New Roman" w:hAnsi="Times New Roman" w:cs="Times New Roman"/>
          <w:b/>
          <w:sz w:val="24"/>
          <w:szCs w:val="24"/>
        </w:rPr>
        <w:t>DIVISION 200  </w:t>
      </w:r>
    </w:p>
    <w:p w:rsidR="00CE74E5" w:rsidRDefault="00CD03B8" w:rsidP="00CE74E5">
      <w:pPr>
        <w:spacing w:after="0" w:line="240" w:lineRule="auto"/>
        <w:jc w:val="center"/>
        <w:rPr>
          <w:rFonts w:ascii="Times New Roman" w:eastAsia="Times New Roman" w:hAnsi="Times New Roman" w:cs="Times New Roman"/>
          <w:b/>
          <w:bCs/>
          <w:sz w:val="24"/>
          <w:szCs w:val="24"/>
        </w:rPr>
      </w:pPr>
      <w:r w:rsidRPr="00CD03B8">
        <w:rPr>
          <w:rFonts w:ascii="Times New Roman" w:eastAsia="Times New Roman" w:hAnsi="Times New Roman" w:cs="Times New Roman"/>
          <w:b/>
          <w:bCs/>
          <w:sz w:val="24"/>
          <w:szCs w:val="24"/>
        </w:rPr>
        <w:t>GENERAL AIR POLLUTION</w:t>
      </w:r>
    </w:p>
    <w:p w:rsidR="00CD03B8" w:rsidRDefault="00CD03B8" w:rsidP="00CE74E5">
      <w:pPr>
        <w:spacing w:after="0" w:line="240" w:lineRule="auto"/>
        <w:jc w:val="center"/>
        <w:rPr>
          <w:rFonts w:ascii="Times New Roman" w:eastAsia="Times New Roman" w:hAnsi="Times New Roman" w:cs="Times New Roman"/>
          <w:b/>
          <w:bCs/>
          <w:sz w:val="24"/>
          <w:szCs w:val="24"/>
        </w:rPr>
      </w:pPr>
      <w:r w:rsidRPr="00CD03B8">
        <w:rPr>
          <w:rFonts w:ascii="Times New Roman" w:eastAsia="Times New Roman" w:hAnsi="Times New Roman" w:cs="Times New Roman"/>
          <w:b/>
          <w:bCs/>
          <w:sz w:val="24"/>
          <w:szCs w:val="24"/>
        </w:rPr>
        <w:br/>
        <w:t>PROCEDURES AND DEFINITIONS</w:t>
      </w:r>
    </w:p>
    <w:p w:rsidR="00CE74E5" w:rsidRPr="00CD03B8" w:rsidRDefault="00CE74E5" w:rsidP="00CE74E5">
      <w:pPr>
        <w:spacing w:after="0" w:line="240" w:lineRule="auto"/>
        <w:jc w:val="center"/>
        <w:rPr>
          <w:rFonts w:ascii="Times New Roman" w:eastAsia="Times New Roman" w:hAnsi="Times New Roman" w:cs="Times New Roman"/>
          <w:sz w:val="24"/>
          <w:szCs w:val="24"/>
        </w:rPr>
      </w:pP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 xml:space="preserve">340-200-0020 </w:t>
      </w:r>
    </w:p>
    <w:p w:rsidR="00CD03B8" w:rsidRPr="00CD03B8" w:rsidRDefault="00CD03B8" w:rsidP="00CE74E5">
      <w:pPr>
        <w:spacing w:after="0" w:line="240" w:lineRule="auto"/>
        <w:outlineLvl w:val="0"/>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General Air Quality Definitions</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As used in divisions 200 through 268, unless specifically defined otherwise: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 "Act" or "FCAA" means the Federal Clean Air Act, 42 U.S.C.A. 7401 to 7671q.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(2) "Activity" means any process, operation, action, or reaction (e.g., chemical) at a source that emits a regulated pollutant.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(3) "Actual emissions" means the mass emissions of a pollutant from an emissions source during a specified time period.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For determining actual emissions as of the baseline period: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(A) Except as provided in paragraph</w:t>
      </w:r>
      <w:r w:rsidR="00F22C73">
        <w:rPr>
          <w:rFonts w:ascii="Times New Roman" w:eastAsia="Times New Roman" w:hAnsi="Times New Roman" w:cs="Times New Roman"/>
          <w:sz w:val="24"/>
          <w:szCs w:val="24"/>
        </w:rPr>
        <w:t>s</w:t>
      </w:r>
      <w:r w:rsidRPr="00CD03B8">
        <w:rPr>
          <w:rFonts w:ascii="Times New Roman" w:eastAsia="Times New Roman" w:hAnsi="Times New Roman" w:cs="Times New Roman"/>
          <w:sz w:val="24"/>
          <w:szCs w:val="24"/>
        </w:rPr>
        <w:t xml:space="preserve"> (B)</w:t>
      </w:r>
      <w:r w:rsidR="007D6972">
        <w:rPr>
          <w:rFonts w:ascii="Times New Roman" w:eastAsia="Times New Roman" w:hAnsi="Times New Roman" w:cs="Times New Roman"/>
          <w:sz w:val="24"/>
          <w:szCs w:val="24"/>
        </w:rPr>
        <w:t xml:space="preserve"> </w:t>
      </w:r>
      <w:r w:rsidR="00F22C73">
        <w:rPr>
          <w:rFonts w:ascii="Times New Roman" w:eastAsia="Times New Roman" w:hAnsi="Times New Roman" w:cs="Times New Roman"/>
          <w:sz w:val="24"/>
          <w:szCs w:val="24"/>
        </w:rPr>
        <w:t xml:space="preserve">and (C) </w:t>
      </w:r>
      <w:r w:rsidR="007D6972">
        <w:rPr>
          <w:rFonts w:ascii="Times New Roman" w:eastAsia="Times New Roman" w:hAnsi="Times New Roman" w:cs="Times New Roman"/>
          <w:sz w:val="24"/>
          <w:szCs w:val="24"/>
        </w:rPr>
        <w:t>of this subsection and subsection (b) of this section</w:t>
      </w:r>
      <w:r w:rsidRPr="00CD03B8">
        <w:rPr>
          <w:rFonts w:ascii="Times New Roman" w:eastAsia="Times New Roman" w:hAnsi="Times New Roman" w:cs="Times New Roman"/>
          <w:sz w:val="24"/>
          <w:szCs w:val="24"/>
        </w:rPr>
        <w:t>, actual emissions equal the average rate at which the source actually emitted the pollutant during a</w:t>
      </w:r>
      <w:r w:rsidR="00950676">
        <w:rPr>
          <w:rFonts w:ascii="Times New Roman" w:eastAsia="Times New Roman" w:hAnsi="Times New Roman" w:cs="Times New Roman"/>
          <w:sz w:val="24"/>
          <w:szCs w:val="24"/>
        </w:rPr>
        <w:t>n applicable</w:t>
      </w:r>
      <w:r w:rsidRPr="00CD03B8">
        <w:rPr>
          <w:rFonts w:ascii="Times New Roman" w:eastAsia="Times New Roman" w:hAnsi="Times New Roman" w:cs="Times New Roman"/>
          <w:sz w:val="24"/>
          <w:szCs w:val="24"/>
        </w:rPr>
        <w:t xml:space="preserve"> baseline period and that represents normal source operation;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The Department presumes that the source-specific mass emissions limit included in a source's permit that was effective on September 8, 1981 is equivalent to the source's actual emissions during the </w:t>
      </w:r>
      <w:r w:rsidR="00950676">
        <w:rPr>
          <w:rFonts w:ascii="Times New Roman" w:eastAsia="Times New Roman" w:hAnsi="Times New Roman" w:cs="Times New Roman"/>
          <w:sz w:val="24"/>
          <w:szCs w:val="24"/>
        </w:rPr>
        <w:t xml:space="preserve">applicable </w:t>
      </w:r>
      <w:r w:rsidRPr="00CD03B8">
        <w:rPr>
          <w:rFonts w:ascii="Times New Roman" w:eastAsia="Times New Roman" w:hAnsi="Times New Roman" w:cs="Times New Roman"/>
          <w:sz w:val="24"/>
          <w:szCs w:val="24"/>
        </w:rPr>
        <w:t>baseline period if it is within 10% of the actual emissions calculated under paragraph (A)</w:t>
      </w:r>
      <w:r w:rsidR="007D6972">
        <w:rPr>
          <w:rFonts w:ascii="Times New Roman" w:eastAsia="Times New Roman" w:hAnsi="Times New Roman" w:cs="Times New Roman"/>
          <w:sz w:val="24"/>
          <w:szCs w:val="24"/>
        </w:rPr>
        <w:t xml:space="preserve"> of this subsection</w:t>
      </w:r>
      <w:r w:rsidRPr="00CD03B8">
        <w:rPr>
          <w:rFonts w:ascii="Times New Roman" w:eastAsia="Times New Roman" w:hAnsi="Times New Roman" w:cs="Times New Roman"/>
          <w:sz w:val="24"/>
          <w:szCs w:val="24"/>
        </w:rPr>
        <w:t xml:space="preserve">. </w:t>
      </w:r>
    </w:p>
    <w:p w:rsidR="00E54A96" w:rsidRPr="003136FF" w:rsidRDefault="00E54A96" w:rsidP="00CE74E5">
      <w:pPr>
        <w:spacing w:after="0" w:line="240" w:lineRule="auto"/>
        <w:rPr>
          <w:rFonts w:ascii="Times New Roman" w:eastAsia="Times New Roman" w:hAnsi="Times New Roman" w:cs="Times New Roman"/>
          <w:sz w:val="24"/>
          <w:szCs w:val="24"/>
        </w:rPr>
      </w:pPr>
      <w:r w:rsidRPr="003136FF">
        <w:rPr>
          <w:rFonts w:ascii="Times New Roman" w:eastAsia="Times New Roman" w:hAnsi="Times New Roman" w:cs="Times New Roman"/>
          <w:sz w:val="24"/>
          <w:szCs w:val="24"/>
        </w:rPr>
        <w:t xml:space="preserve">(C) Actual emissions equal the potential to emit of the source for the sources listed in paragraphs (i) through (iii) of this paragraph.  The actual emissions will be reset if required in accordance with subsection (c) of this section.   </w:t>
      </w:r>
    </w:p>
    <w:p w:rsidR="00E54A96" w:rsidRPr="003136FF" w:rsidRDefault="00E54A96" w:rsidP="00CE74E5">
      <w:pPr>
        <w:spacing w:after="0" w:line="240" w:lineRule="auto"/>
        <w:rPr>
          <w:rFonts w:ascii="Times New Roman" w:eastAsia="Times New Roman" w:hAnsi="Times New Roman" w:cs="Times New Roman"/>
          <w:sz w:val="24"/>
          <w:szCs w:val="24"/>
        </w:rPr>
      </w:pPr>
      <w:r w:rsidRPr="003136FF">
        <w:rPr>
          <w:rFonts w:ascii="Times New Roman" w:eastAsia="Times New Roman" w:hAnsi="Times New Roman" w:cs="Times New Roman"/>
          <w:sz w:val="24"/>
          <w:szCs w:val="24"/>
        </w:rPr>
        <w:t xml:space="preserve">(i) Any source or part of a source that had not begun normal operations during the applicable baseline period but was approved to construct and operate before or during the baseline period in accordance with OAR 340 division 210, or </w:t>
      </w:r>
    </w:p>
    <w:p w:rsidR="00E54A96" w:rsidRPr="003136FF" w:rsidRDefault="00E54A96" w:rsidP="00CE74E5">
      <w:pPr>
        <w:spacing w:after="0" w:line="240" w:lineRule="auto"/>
        <w:rPr>
          <w:rFonts w:ascii="Times New Roman" w:eastAsia="Times New Roman" w:hAnsi="Times New Roman" w:cs="Times New Roman"/>
          <w:sz w:val="24"/>
          <w:szCs w:val="24"/>
        </w:rPr>
      </w:pPr>
      <w:r w:rsidRPr="003136FF">
        <w:rPr>
          <w:rFonts w:ascii="Times New Roman" w:eastAsia="Times New Roman" w:hAnsi="Times New Roman" w:cs="Times New Roman"/>
          <w:sz w:val="24"/>
          <w:szCs w:val="24"/>
        </w:rPr>
        <w:t xml:space="preserve">(ii) Any source or part of a source of greenhouse gases that had not begun normal operations prior to January 1, 2010, but was approved to construct and operate prior to January 1, 2011 in accordance with OAR 340 division 210, or </w:t>
      </w:r>
    </w:p>
    <w:p w:rsidR="00E54A96" w:rsidRDefault="00E54A96" w:rsidP="00CE74E5">
      <w:pPr>
        <w:spacing w:after="0" w:line="240" w:lineRule="auto"/>
        <w:rPr>
          <w:rFonts w:ascii="Times New Roman" w:eastAsia="Times New Roman" w:hAnsi="Times New Roman" w:cs="Times New Roman"/>
          <w:sz w:val="24"/>
          <w:szCs w:val="24"/>
        </w:rPr>
      </w:pPr>
      <w:r w:rsidRPr="003136FF">
        <w:rPr>
          <w:rFonts w:ascii="Times New Roman" w:eastAsia="Times New Roman" w:hAnsi="Times New Roman" w:cs="Times New Roman"/>
          <w:sz w:val="24"/>
          <w:szCs w:val="24"/>
        </w:rPr>
        <w:t>(iii) Any source or part of a source that had not begun normal operations during the applicable baseline period and was not required to obtain approval to construct and operate before or during the applicable baseline period</w:t>
      </w:r>
      <w:r>
        <w:rPr>
          <w:rFonts w:ascii="Times New Roman" w:eastAsia="Times New Roman" w:hAnsi="Times New Roman" w:cs="Times New Roman"/>
          <w:sz w:val="24"/>
          <w:szCs w:val="24"/>
        </w:rPr>
        <w:t xml:space="preserve">.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7D6972">
        <w:rPr>
          <w:rFonts w:ascii="Times New Roman" w:eastAsia="Times New Roman" w:hAnsi="Times New Roman" w:cs="Times New Roman"/>
          <w:sz w:val="24"/>
          <w:szCs w:val="24"/>
        </w:rPr>
        <w:t>b</w:t>
      </w:r>
      <w:r w:rsidRPr="00CD03B8">
        <w:rPr>
          <w:rFonts w:ascii="Times New Roman" w:eastAsia="Times New Roman" w:hAnsi="Times New Roman" w:cs="Times New Roman"/>
          <w:sz w:val="24"/>
          <w:szCs w:val="24"/>
        </w:rPr>
        <w:t xml:space="preserve">) For any source </w:t>
      </w:r>
      <w:r w:rsidR="007D6972">
        <w:rPr>
          <w:rFonts w:ascii="Times New Roman" w:eastAsia="Times New Roman" w:hAnsi="Times New Roman" w:cs="Times New Roman"/>
          <w:sz w:val="24"/>
          <w:szCs w:val="24"/>
        </w:rPr>
        <w:t xml:space="preserve">or part of a source </w:t>
      </w:r>
      <w:r w:rsidR="00BD2CFE">
        <w:rPr>
          <w:rFonts w:ascii="Times New Roman" w:eastAsia="Times New Roman" w:hAnsi="Times New Roman" w:cs="Times New Roman"/>
          <w:sz w:val="24"/>
          <w:szCs w:val="24"/>
        </w:rPr>
        <w:t>that had not begun normal operation</w:t>
      </w:r>
      <w:r w:rsidR="00C10A91">
        <w:rPr>
          <w:rFonts w:ascii="Times New Roman" w:eastAsia="Times New Roman" w:hAnsi="Times New Roman" w:cs="Times New Roman"/>
          <w:sz w:val="24"/>
          <w:szCs w:val="24"/>
        </w:rPr>
        <w:t>s during the applicable baseline period, but was approved to construct and operate in accordance with OAR 340 division 224</w:t>
      </w:r>
      <w:r w:rsidRPr="00CD03B8">
        <w:rPr>
          <w:rFonts w:ascii="Times New Roman" w:eastAsia="Times New Roman" w:hAnsi="Times New Roman" w:cs="Times New Roman"/>
          <w:sz w:val="24"/>
          <w:szCs w:val="24"/>
        </w:rPr>
        <w:t xml:space="preserve">, actual emissions </w:t>
      </w:r>
      <w:r w:rsidR="00CE1D6B">
        <w:rPr>
          <w:rFonts w:ascii="Times New Roman" w:eastAsia="Times New Roman" w:hAnsi="Times New Roman" w:cs="Times New Roman"/>
          <w:sz w:val="24"/>
          <w:szCs w:val="24"/>
        </w:rPr>
        <w:t>on the date the permit is issued</w:t>
      </w:r>
      <w:r w:rsidR="00FB14F6">
        <w:rPr>
          <w:rFonts w:ascii="Times New Roman" w:eastAsia="Times New Roman" w:hAnsi="Times New Roman" w:cs="Times New Roman"/>
          <w:sz w:val="24"/>
          <w:szCs w:val="24"/>
        </w:rPr>
        <w:t xml:space="preserve"> </w:t>
      </w:r>
      <w:r w:rsidRPr="00CD03B8">
        <w:rPr>
          <w:rFonts w:ascii="Times New Roman" w:eastAsia="Times New Roman" w:hAnsi="Times New Roman" w:cs="Times New Roman"/>
          <w:sz w:val="24"/>
          <w:szCs w:val="24"/>
        </w:rPr>
        <w:t>equal the potential to emit of the source</w:t>
      </w:r>
      <w:r w:rsidR="00FB14F6">
        <w:rPr>
          <w:rFonts w:ascii="Times New Roman" w:eastAsia="Times New Roman" w:hAnsi="Times New Roman" w:cs="Times New Roman"/>
          <w:sz w:val="24"/>
          <w:szCs w:val="24"/>
        </w:rPr>
        <w:t xml:space="preserve">. </w:t>
      </w:r>
      <w:r w:rsidR="00D95F94" w:rsidRPr="00F77CA3">
        <w:rPr>
          <w:rFonts w:ascii="Times New Roman" w:eastAsia="Times New Roman" w:hAnsi="Times New Roman" w:cs="Times New Roman"/>
          <w:sz w:val="24"/>
          <w:szCs w:val="24"/>
        </w:rPr>
        <w:t>The actual emissions will be reset if required in accordance with subsection (c) of this section.</w:t>
      </w:r>
      <w:r w:rsidR="007D6972">
        <w:rPr>
          <w:rFonts w:ascii="Times New Roman" w:eastAsia="Times New Roman" w:hAnsi="Times New Roman" w:cs="Times New Roman"/>
          <w:sz w:val="24"/>
          <w:szCs w:val="24"/>
        </w:rPr>
        <w:t xml:space="preserve">   </w:t>
      </w:r>
    </w:p>
    <w:p w:rsidR="00CE1D6B" w:rsidRPr="00F77CA3" w:rsidRDefault="00D95F94" w:rsidP="00CE74E5">
      <w:pPr>
        <w:spacing w:after="0" w:line="240" w:lineRule="auto"/>
        <w:rPr>
          <w:rFonts w:ascii="Times New Roman" w:eastAsia="Times New Roman" w:hAnsi="Times New Roman" w:cs="Times New Roman"/>
          <w:sz w:val="24"/>
          <w:szCs w:val="24"/>
        </w:rPr>
      </w:pPr>
      <w:r w:rsidRPr="00F77CA3">
        <w:rPr>
          <w:rFonts w:ascii="Times New Roman" w:eastAsia="Times New Roman" w:hAnsi="Times New Roman" w:cs="Times New Roman"/>
          <w:sz w:val="24"/>
          <w:szCs w:val="24"/>
        </w:rPr>
        <w:t xml:space="preserve">(c) Where actual emissions equal potential to emit under paragraph (a)(C) or subsection (b) of this section, the potential emissions will be reset to actual emissions as follows: </w:t>
      </w:r>
    </w:p>
    <w:p w:rsidR="007D6972" w:rsidRPr="00F77CA3" w:rsidRDefault="00D95F94" w:rsidP="00CE74E5">
      <w:pPr>
        <w:spacing w:after="0" w:line="240" w:lineRule="auto"/>
        <w:rPr>
          <w:rFonts w:ascii="Times New Roman" w:eastAsia="Times New Roman" w:hAnsi="Times New Roman" w:cs="Times New Roman"/>
          <w:color w:val="000000" w:themeColor="text1"/>
          <w:sz w:val="24"/>
          <w:szCs w:val="24"/>
        </w:rPr>
      </w:pPr>
      <w:r w:rsidRPr="00F77CA3">
        <w:rPr>
          <w:rFonts w:ascii="Times New Roman" w:eastAsia="Times New Roman" w:hAnsi="Times New Roman" w:cs="Times New Roman"/>
          <w:color w:val="000000" w:themeColor="text1"/>
          <w:sz w:val="24"/>
          <w:szCs w:val="24"/>
        </w:rPr>
        <w:t xml:space="preserve">(A) Paragraphs (A) through (D) of this subsection apply to sources </w:t>
      </w:r>
      <w:r w:rsidR="005C26FF">
        <w:rPr>
          <w:rFonts w:ascii="Times New Roman" w:eastAsia="Times New Roman" w:hAnsi="Times New Roman" w:cs="Times New Roman"/>
          <w:color w:val="000000" w:themeColor="text1"/>
          <w:sz w:val="24"/>
          <w:szCs w:val="24"/>
        </w:rPr>
        <w:t xml:space="preserve">whose actual emissions of greenhouse gases were determined pursuant paragraph </w:t>
      </w:r>
      <w:r w:rsidR="00557783">
        <w:rPr>
          <w:rFonts w:ascii="Times New Roman" w:eastAsia="Times New Roman" w:hAnsi="Times New Roman" w:cs="Times New Roman"/>
          <w:color w:val="000000" w:themeColor="text1"/>
          <w:sz w:val="24"/>
          <w:szCs w:val="24"/>
        </w:rPr>
        <w:t>3(a)(C)</w:t>
      </w:r>
      <w:r w:rsidRPr="00F77CA3">
        <w:rPr>
          <w:rFonts w:ascii="Times New Roman" w:eastAsia="Times New Roman" w:hAnsi="Times New Roman" w:cs="Times New Roman"/>
          <w:color w:val="000000" w:themeColor="text1"/>
          <w:sz w:val="24"/>
          <w:szCs w:val="24"/>
        </w:rPr>
        <w:t xml:space="preserve">, and to all other sources of </w:t>
      </w:r>
      <w:r w:rsidR="00B9477B">
        <w:rPr>
          <w:rFonts w:ascii="Times New Roman" w:eastAsia="Times New Roman" w:hAnsi="Times New Roman" w:cs="Times New Roman"/>
          <w:color w:val="000000" w:themeColor="text1"/>
          <w:sz w:val="24"/>
          <w:szCs w:val="24"/>
        </w:rPr>
        <w:t xml:space="preserve">all </w:t>
      </w:r>
      <w:r w:rsidRPr="00F77CA3">
        <w:rPr>
          <w:rFonts w:ascii="Times New Roman" w:eastAsia="Times New Roman" w:hAnsi="Times New Roman" w:cs="Times New Roman"/>
          <w:color w:val="000000" w:themeColor="text1"/>
          <w:sz w:val="24"/>
          <w:szCs w:val="24"/>
        </w:rPr>
        <w:t xml:space="preserve">other regulated pollutants that </w:t>
      </w:r>
      <w:r w:rsidR="00B9477B">
        <w:rPr>
          <w:rFonts w:ascii="Times New Roman" w:eastAsia="Times New Roman" w:hAnsi="Times New Roman" w:cs="Times New Roman"/>
          <w:color w:val="000000" w:themeColor="text1"/>
          <w:sz w:val="24"/>
          <w:szCs w:val="24"/>
        </w:rPr>
        <w:t xml:space="preserve">are permitted in accordance with OAR division 224 </w:t>
      </w:r>
      <w:r w:rsidRPr="00F77CA3">
        <w:rPr>
          <w:rFonts w:ascii="Times New Roman" w:eastAsia="Times New Roman" w:hAnsi="Times New Roman" w:cs="Times New Roman"/>
          <w:color w:val="000000" w:themeColor="text1"/>
          <w:sz w:val="24"/>
          <w:szCs w:val="24"/>
        </w:rPr>
        <w:t xml:space="preserve">on or after May 1, 2011.  </w:t>
      </w:r>
    </w:p>
    <w:p w:rsidR="007D6972" w:rsidRPr="00F77CA3" w:rsidRDefault="00D95F94" w:rsidP="00CE74E5">
      <w:pPr>
        <w:spacing w:after="0" w:line="240" w:lineRule="auto"/>
        <w:rPr>
          <w:rFonts w:ascii="Times New Roman" w:eastAsia="Times New Roman" w:hAnsi="Times New Roman" w:cs="Times New Roman"/>
          <w:color w:val="000000" w:themeColor="text1"/>
          <w:sz w:val="24"/>
          <w:szCs w:val="24"/>
        </w:rPr>
      </w:pPr>
      <w:r w:rsidRPr="00F77CA3">
        <w:rPr>
          <w:rFonts w:ascii="Times New Roman" w:eastAsia="Times New Roman" w:hAnsi="Times New Roman" w:cs="Times New Roman"/>
          <w:color w:val="000000" w:themeColor="text1"/>
          <w:sz w:val="24"/>
          <w:szCs w:val="24"/>
        </w:rPr>
        <w:t xml:space="preserve">(B) Except as provided in paragraph (D) of this subsection, ten years from the end of the </w:t>
      </w:r>
      <w:r w:rsidR="0009691C">
        <w:rPr>
          <w:rFonts w:ascii="Times New Roman" w:eastAsia="Times New Roman" w:hAnsi="Times New Roman" w:cs="Times New Roman"/>
          <w:color w:val="000000" w:themeColor="text1"/>
          <w:sz w:val="24"/>
          <w:szCs w:val="24"/>
        </w:rPr>
        <w:t xml:space="preserve">applicable </w:t>
      </w:r>
      <w:r w:rsidRPr="00F77CA3">
        <w:rPr>
          <w:rFonts w:ascii="Times New Roman" w:eastAsia="Times New Roman" w:hAnsi="Times New Roman" w:cs="Times New Roman"/>
          <w:color w:val="000000" w:themeColor="text1"/>
          <w:sz w:val="24"/>
          <w:szCs w:val="24"/>
        </w:rPr>
        <w:t>baseline period under paragraph (a)(C) or ten years from the date the permit is issued under subsection (b)</w:t>
      </w:r>
      <w:r w:rsidR="0009691C">
        <w:rPr>
          <w:rFonts w:ascii="Times New Roman" w:eastAsia="Times New Roman" w:hAnsi="Times New Roman" w:cs="Times New Roman"/>
          <w:color w:val="000000" w:themeColor="text1"/>
          <w:sz w:val="24"/>
          <w:szCs w:val="24"/>
        </w:rPr>
        <w:t>,</w:t>
      </w:r>
      <w:r w:rsidRPr="00F77CA3">
        <w:rPr>
          <w:rFonts w:ascii="Times New Roman" w:eastAsia="Times New Roman" w:hAnsi="Times New Roman" w:cs="Times New Roman"/>
          <w:color w:val="000000" w:themeColor="text1"/>
          <w:sz w:val="24"/>
          <w:szCs w:val="24"/>
        </w:rPr>
        <w:t xml:space="preserve"> or an earlier time if requested by the source in a permit application </w:t>
      </w:r>
      <w:r w:rsidRPr="00F77CA3">
        <w:rPr>
          <w:rFonts w:ascii="Times New Roman" w:eastAsia="Times New Roman" w:hAnsi="Times New Roman" w:cs="Times New Roman"/>
          <w:color w:val="000000" w:themeColor="text1"/>
          <w:sz w:val="24"/>
          <w:szCs w:val="24"/>
        </w:rPr>
        <w:lastRenderedPageBreak/>
        <w:t xml:space="preserve">involving pubic notice, </w:t>
      </w:r>
      <w:r w:rsidRPr="00F77CA3">
        <w:rPr>
          <w:rFonts w:ascii="Times New Roman" w:hAnsi="Times New Roman" w:cs="Times New Roman"/>
          <w:sz w:val="24"/>
          <w:szCs w:val="24"/>
        </w:rPr>
        <w:t xml:space="preserve">the Department will reset actual emissions </w:t>
      </w:r>
      <w:r w:rsidRPr="00F77CA3">
        <w:rPr>
          <w:rFonts w:ascii="Times New Roman" w:eastAsia="Times New Roman" w:hAnsi="Times New Roman" w:cs="Times New Roman"/>
          <w:color w:val="000000" w:themeColor="text1"/>
          <w:sz w:val="24"/>
          <w:szCs w:val="24"/>
        </w:rPr>
        <w:t xml:space="preserve">to equal the highest actual emission rate during any consecutive 12-month period during the ten year period or any shorter period if requested by the source.  </w:t>
      </w:r>
    </w:p>
    <w:p w:rsidR="00745D4F" w:rsidRPr="00F77CA3" w:rsidRDefault="00D95F94" w:rsidP="00CE74E5">
      <w:pPr>
        <w:spacing w:after="0" w:line="240" w:lineRule="auto"/>
        <w:rPr>
          <w:rFonts w:ascii="Times New Roman" w:eastAsia="Times New Roman" w:hAnsi="Times New Roman" w:cs="Times New Roman"/>
          <w:color w:val="000000" w:themeColor="text1"/>
          <w:sz w:val="24"/>
          <w:szCs w:val="24"/>
        </w:rPr>
      </w:pPr>
      <w:r w:rsidRPr="00F77CA3">
        <w:rPr>
          <w:rFonts w:ascii="Times New Roman" w:eastAsia="Times New Roman" w:hAnsi="Times New Roman" w:cs="Times New Roman"/>
          <w:color w:val="000000" w:themeColor="text1"/>
          <w:sz w:val="24"/>
          <w:szCs w:val="24"/>
        </w:rPr>
        <w:t xml:space="preserve">(C) Any emission reductions achieved due to enforceable permit conditions based on OAR 340-226-0110 and 0120 (highest and best practicable treatment and control) are </w:t>
      </w:r>
      <w:r w:rsidRPr="001D0CC6">
        <w:rPr>
          <w:rFonts w:ascii="Times New Roman" w:eastAsia="Times New Roman" w:hAnsi="Times New Roman" w:cs="Times New Roman"/>
          <w:color w:val="000000" w:themeColor="text1"/>
          <w:sz w:val="24"/>
          <w:szCs w:val="24"/>
        </w:rPr>
        <w:t>not included</w:t>
      </w:r>
      <w:r w:rsidRPr="00F77CA3">
        <w:rPr>
          <w:rFonts w:ascii="Times New Roman" w:eastAsia="Times New Roman" w:hAnsi="Times New Roman" w:cs="Times New Roman"/>
          <w:color w:val="000000" w:themeColor="text1"/>
          <w:sz w:val="24"/>
          <w:szCs w:val="24"/>
        </w:rPr>
        <w:t xml:space="preserve"> in the reset calculation required in paragraph (B) of this subsection.  </w:t>
      </w:r>
    </w:p>
    <w:p w:rsidR="007D3E75" w:rsidRPr="007D6972" w:rsidRDefault="00D95F94" w:rsidP="00CE74E5">
      <w:pPr>
        <w:spacing w:after="0" w:line="240" w:lineRule="auto"/>
        <w:rPr>
          <w:rFonts w:ascii="Times New Roman" w:eastAsia="Times New Roman" w:hAnsi="Times New Roman" w:cs="Times New Roman"/>
          <w:sz w:val="24"/>
          <w:szCs w:val="24"/>
        </w:rPr>
      </w:pPr>
      <w:r w:rsidRPr="00F77CA3">
        <w:rPr>
          <w:rFonts w:ascii="Times New Roman" w:eastAsia="Times New Roman" w:hAnsi="Times New Roman" w:cs="Times New Roman"/>
          <w:color w:val="000000" w:themeColor="text1"/>
          <w:sz w:val="24"/>
          <w:szCs w:val="24"/>
        </w:rPr>
        <w:t>(D) The Department may extend the date of resetting by five additional years upon satisfactory demonstration by the source that construction is ongoing or normal operation has not yet been achieved.</w:t>
      </w:r>
      <w:r w:rsidR="007D6972">
        <w:rPr>
          <w:rFonts w:ascii="Times New Roman" w:eastAsia="Times New Roman" w:hAnsi="Times New Roman" w:cs="Times New Roman"/>
          <w:color w:val="000000" w:themeColor="text1"/>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8452BC">
        <w:rPr>
          <w:rFonts w:ascii="Times New Roman" w:eastAsia="Times New Roman" w:hAnsi="Times New Roman" w:cs="Times New Roman"/>
          <w:sz w:val="24"/>
          <w:szCs w:val="24"/>
        </w:rPr>
        <w:t>d</w:t>
      </w:r>
      <w:r w:rsidRPr="00CD03B8">
        <w:rPr>
          <w:rFonts w:ascii="Times New Roman" w:eastAsia="Times New Roman" w:hAnsi="Times New Roman" w:cs="Times New Roman"/>
          <w:sz w:val="24"/>
          <w:szCs w:val="24"/>
        </w:rPr>
        <w:t xml:space="preserve">)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8452BC">
        <w:rPr>
          <w:rFonts w:ascii="Times New Roman" w:eastAsia="Times New Roman" w:hAnsi="Times New Roman" w:cs="Times New Roman"/>
          <w:sz w:val="24"/>
          <w:szCs w:val="24"/>
        </w:rPr>
        <w:t>e</w:t>
      </w:r>
      <w:r w:rsidRPr="00CD03B8">
        <w:rPr>
          <w:rFonts w:ascii="Times New Roman" w:eastAsia="Times New Roman" w:hAnsi="Times New Roman" w:cs="Times New Roman"/>
          <w:sz w:val="24"/>
          <w:szCs w:val="24"/>
        </w:rPr>
        <w:t xml:space="preserve">) For Oregon Title V Operating Permit Fees under OAR 340 division 220, actual emissions must be directly measured with a continuous monitoring system or calculated using a material balance or verified emission factor </w:t>
      </w:r>
      <w:r w:rsidR="000375E2">
        <w:rPr>
          <w:rFonts w:ascii="Times New Roman" w:eastAsia="Times New Roman" w:hAnsi="Times New Roman" w:cs="Times New Roman"/>
          <w:sz w:val="24"/>
          <w:szCs w:val="24"/>
        </w:rPr>
        <w:t xml:space="preserve">determined in accordance with division 220 </w:t>
      </w:r>
      <w:r w:rsidRPr="00CD03B8">
        <w:rPr>
          <w:rFonts w:ascii="Times New Roman" w:eastAsia="Times New Roman" w:hAnsi="Times New Roman" w:cs="Times New Roman"/>
          <w:sz w:val="24"/>
          <w:szCs w:val="24"/>
        </w:rPr>
        <w:t xml:space="preserve">in combination with the source's actual operating hours, production rates, or types of materials processed, stored, or combusted during the specified time period.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(4) "Adjacent" means interdependent facilities that are nearby to each other.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(5) "Affected source" means a source that includes one or more affected units that are subject to emission reduction requirements or limitations under Title IV of the FCAA.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(6) "Affected states" means all states: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Whose air quality may be affected by a proposed permit, permit modification, or permit renewal and that are contiguous to Oregon; 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That are within 50 miles of the permitted source.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One ton for total reduced sulfur, hydrogen sulfide, sulfuric acid mist, any Class I or II substance subject to a standard promulgated under or established by Title VI of the Act, and each criteria pollutant, except lead;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120 pounds for lead;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600 pounds for fluoride; </w:t>
      </w:r>
    </w:p>
    <w:p w:rsidR="00A166A7"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500 pounds for PM10 in a PM10 nonattainment area; </w:t>
      </w:r>
    </w:p>
    <w:p w:rsidR="00A166A7" w:rsidRPr="00CD03B8" w:rsidRDefault="00A166A7"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402B68">
        <w:rPr>
          <w:rFonts w:ascii="Times New Roman" w:eastAsia="Times New Roman" w:hAnsi="Times New Roman" w:cs="Times New Roman"/>
          <w:sz w:val="24"/>
          <w:szCs w:val="24"/>
        </w:rPr>
        <w:t>500 pounds</w:t>
      </w:r>
      <w:r>
        <w:rPr>
          <w:rFonts w:ascii="Times New Roman" w:eastAsia="Times New Roman" w:hAnsi="Times New Roman" w:cs="Times New Roman"/>
          <w:sz w:val="24"/>
          <w:szCs w:val="24"/>
        </w:rPr>
        <w:t xml:space="preserve"> for direct PM2.5 in a PM2.5 nonattainment area;</w:t>
      </w:r>
    </w:p>
    <w:p w:rsidR="00A166A7"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A166A7">
        <w:rPr>
          <w:rFonts w:ascii="Times New Roman" w:eastAsia="Times New Roman" w:hAnsi="Times New Roman" w:cs="Times New Roman"/>
          <w:sz w:val="24"/>
          <w:szCs w:val="24"/>
        </w:rPr>
        <w:t>f</w:t>
      </w:r>
      <w:r w:rsidRPr="00CD03B8">
        <w:rPr>
          <w:rFonts w:ascii="Times New Roman" w:eastAsia="Times New Roman" w:hAnsi="Times New Roman" w:cs="Times New Roman"/>
          <w:sz w:val="24"/>
          <w:szCs w:val="24"/>
        </w:rPr>
        <w:t xml:space="preserve">) The lesser of the amount established in OAR 340-244-0040, Table 1 or 340-244-0230, Table 3, or 1,000 pounds; </w:t>
      </w:r>
    </w:p>
    <w:p w:rsidR="003D40A0"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A166A7">
        <w:rPr>
          <w:rFonts w:ascii="Times New Roman" w:eastAsia="Times New Roman" w:hAnsi="Times New Roman" w:cs="Times New Roman"/>
          <w:sz w:val="24"/>
          <w:szCs w:val="24"/>
        </w:rPr>
        <w:t>g</w:t>
      </w:r>
      <w:r w:rsidRPr="00CD03B8">
        <w:rPr>
          <w:rFonts w:ascii="Times New Roman" w:eastAsia="Times New Roman" w:hAnsi="Times New Roman" w:cs="Times New Roman"/>
          <w:sz w:val="24"/>
          <w:szCs w:val="24"/>
        </w:rPr>
        <w:t>) An aggregate of 5,000 pounds for all Hazardous Air Pollutants</w:t>
      </w:r>
      <w:r w:rsidR="003D40A0">
        <w:rPr>
          <w:rFonts w:ascii="Times New Roman" w:eastAsia="Times New Roman" w:hAnsi="Times New Roman" w:cs="Times New Roman"/>
          <w:sz w:val="24"/>
          <w:szCs w:val="24"/>
        </w:rPr>
        <w:t>;</w:t>
      </w:r>
    </w:p>
    <w:p w:rsidR="00CD03B8" w:rsidRPr="00CD03B8" w:rsidRDefault="003D40A0"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sidR="00395B36">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D722A9">
        <w:rPr>
          <w:rFonts w:ascii="Times New Roman" w:eastAsia="Times New Roman" w:hAnsi="Times New Roman" w:cs="Times New Roman"/>
          <w:sz w:val="24"/>
          <w:szCs w:val="24"/>
        </w:rPr>
        <w:t>756</w:t>
      </w:r>
      <w:r>
        <w:rPr>
          <w:rFonts w:ascii="Times New Roman" w:eastAsia="Times New Roman" w:hAnsi="Times New Roman" w:cs="Times New Roman"/>
          <w:sz w:val="24"/>
          <w:szCs w:val="24"/>
        </w:rPr>
        <w:t xml:space="preserve"> tons </w:t>
      </w:r>
      <w:r w:rsidR="00C627BD">
        <w:rPr>
          <w:rFonts w:ascii="Times New Roman" w:eastAsia="Times New Roman" w:hAnsi="Times New Roman" w:cs="Times New Roman"/>
          <w:sz w:val="24"/>
          <w:szCs w:val="24"/>
        </w:rPr>
        <w:t xml:space="preserve">CO2e </w:t>
      </w:r>
      <w:r>
        <w:rPr>
          <w:rFonts w:ascii="Times New Roman" w:eastAsia="Times New Roman" w:hAnsi="Times New Roman" w:cs="Times New Roman"/>
          <w:sz w:val="24"/>
          <w:szCs w:val="24"/>
        </w:rPr>
        <w:t>for greenhouse gases</w:t>
      </w:r>
      <w:r w:rsidR="00CD03B8"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(8) "Air Contaminant" means a dust, fume, gas, mist, odor, smoke, vapor, pollen, soot, carbon, acid or particulate matter, or any combination thereof.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(9) "Air Contaminant Discharge Permit" or "ACDP" means a written permit issued, renewed, amended, or revised by the Department, pursuant to OAR 340 division 216.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(10) "Alternative method" means any method of sampling and analyzing for an air pollutant that is not a reference or equivalent method but has been demonstrated to the Department's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the Department.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(11) "Ambient Air" means that portion of the atmosphere, external to buildings, to which the general public has access.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Any term or condition in an ACDP, OAR 340 division 216, including any term or condition of any preconstruction permits issued pursuant to OAR 340 division 224, New Source Review, until or unless the Department revokes or modifies the term or condition by a permit modification;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Any term or condition in a Notice of Construction and Approval of Plans, OAR 340-210-0205 through 340-210-0240, until or unless the Department revokes or modifies the term or condition by a Notice of Construction and Approval of Plans or a permit modification;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(e) Any term or condition in a Notice of Approval, OAR 340-218-0190, issued before July 1, 2001, until or unless the Department revokes or modifies the term or condition by a Notice of Approval or a permit modification;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(f) Any term or condition of a PSD permit issued by the EPA until or unless the EPA revokes or modifies the term or condition by a permit modification;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(g) Any standard or other requirement under section 111 of the Act, including section 111(d);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(h) Any standard or other requirement under section 112 of the Act, including any requirement concerning accident prevention under section 112(r)(7)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 Any standard or other requirement of the acid rain program under Title IV of the Act or the regulations promulgated thereunder;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(j) Any requirements established pursuant to section 504(b) or section 114(a)(3)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(k) Any standard or other requirement under section 126(a)(1) and(c)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(l) Any standard or other requirement governing solid waste incineration, under section 129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(m) Any standard or other requirement for consumer and commercial products, under section 183(e)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(n) Any standard or other requirement for tank vessels, under section 183(f)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(o) Any standard or other requirement of the program to control air pollution from outer continental shelf sources, under section 328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B82C40"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(q) Any national ambient air quality standard or increment or visibility requirement under part C of Title I of the Act, but only as it would apply to temporary sources permitted pursuant to section 504(e) of the Act. </w:t>
      </w:r>
    </w:p>
    <w:p w:rsidR="00F36E6B"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(13) "Baseline Emission Rate" means the actual emission rate during </w:t>
      </w:r>
      <w:r w:rsidR="00F1479D">
        <w:rPr>
          <w:rFonts w:ascii="Times New Roman" w:eastAsia="Times New Roman" w:hAnsi="Times New Roman" w:cs="Times New Roman"/>
          <w:sz w:val="24"/>
          <w:szCs w:val="24"/>
        </w:rPr>
        <w:t>a</w:t>
      </w:r>
      <w:r w:rsidRPr="00CD03B8">
        <w:rPr>
          <w:rFonts w:ascii="Times New Roman" w:eastAsia="Times New Roman" w:hAnsi="Times New Roman" w:cs="Times New Roman"/>
          <w:sz w:val="24"/>
          <w:szCs w:val="24"/>
        </w:rPr>
        <w:t xml:space="preserve"> baseline period. Baseline emission rate does not include increases due to voluntary fuel switches or increased hours of operation that occurred after </w:t>
      </w:r>
      <w:r w:rsidR="00F1479D">
        <w:rPr>
          <w:rFonts w:ascii="Times New Roman" w:eastAsia="Times New Roman" w:hAnsi="Times New Roman" w:cs="Times New Roman"/>
          <w:sz w:val="24"/>
          <w:szCs w:val="24"/>
        </w:rPr>
        <w:t>that</w:t>
      </w:r>
      <w:r w:rsidR="00F1479D" w:rsidRPr="00CD03B8">
        <w:rPr>
          <w:rFonts w:ascii="Times New Roman" w:eastAsia="Times New Roman" w:hAnsi="Times New Roman" w:cs="Times New Roman"/>
          <w:sz w:val="24"/>
          <w:szCs w:val="24"/>
        </w:rPr>
        <w:t xml:space="preserve"> </w:t>
      </w:r>
      <w:r w:rsidRPr="00CD03B8">
        <w:rPr>
          <w:rFonts w:ascii="Times New Roman" w:eastAsia="Times New Roman" w:hAnsi="Times New Roman" w:cs="Times New Roman"/>
          <w:sz w:val="24"/>
          <w:szCs w:val="24"/>
        </w:rPr>
        <w:t xml:space="preserve">baseline period. </w:t>
      </w:r>
      <w:r w:rsidR="00992E8E">
        <w:rPr>
          <w:rFonts w:ascii="Times New Roman" w:eastAsia="Times New Roman" w:hAnsi="Times New Roman" w:cs="Times New Roman"/>
          <w:sz w:val="24"/>
          <w:szCs w:val="24"/>
        </w:rPr>
        <w:t xml:space="preserve"> </w:t>
      </w:r>
    </w:p>
    <w:p w:rsidR="006D1200" w:rsidRDefault="00F36E6B"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6D1200">
        <w:rPr>
          <w:rFonts w:ascii="Times New Roman" w:eastAsia="Times New Roman" w:hAnsi="Times New Roman" w:cs="Times New Roman"/>
          <w:sz w:val="24"/>
          <w:szCs w:val="24"/>
        </w:rPr>
        <w:t xml:space="preserve">A baseline emission rate will be established </w:t>
      </w:r>
      <w:r w:rsidR="009F686F">
        <w:rPr>
          <w:rFonts w:ascii="Times New Roman" w:eastAsia="Times New Roman" w:hAnsi="Times New Roman" w:cs="Times New Roman"/>
          <w:sz w:val="24"/>
          <w:szCs w:val="24"/>
        </w:rPr>
        <w:t xml:space="preserve">only </w:t>
      </w:r>
      <w:r w:rsidR="006D1200">
        <w:rPr>
          <w:rFonts w:ascii="Times New Roman" w:eastAsia="Times New Roman" w:hAnsi="Times New Roman" w:cs="Times New Roman"/>
          <w:sz w:val="24"/>
          <w:szCs w:val="24"/>
        </w:rPr>
        <w:t xml:space="preserve">for regulated pollutants subject to </w:t>
      </w:r>
      <w:r w:rsidR="00D57988">
        <w:rPr>
          <w:rFonts w:ascii="Times New Roman" w:eastAsia="Times New Roman" w:hAnsi="Times New Roman" w:cs="Times New Roman"/>
          <w:sz w:val="24"/>
          <w:szCs w:val="24"/>
        </w:rPr>
        <w:t xml:space="preserve">OAR 340 </w:t>
      </w:r>
      <w:r w:rsidR="007D3404">
        <w:rPr>
          <w:rFonts w:ascii="Times New Roman" w:eastAsia="Times New Roman" w:hAnsi="Times New Roman" w:cs="Times New Roman"/>
          <w:sz w:val="24"/>
          <w:szCs w:val="24"/>
        </w:rPr>
        <w:t>d</w:t>
      </w:r>
      <w:r w:rsidR="006D1200">
        <w:rPr>
          <w:rFonts w:ascii="Times New Roman" w:eastAsia="Times New Roman" w:hAnsi="Times New Roman" w:cs="Times New Roman"/>
          <w:sz w:val="24"/>
          <w:szCs w:val="24"/>
        </w:rPr>
        <w:t>ivision 224 as specified in the definition of regulated pollutant.</w:t>
      </w:r>
      <w:r w:rsidR="00D57988">
        <w:rPr>
          <w:rFonts w:ascii="Times New Roman" w:eastAsia="Times New Roman" w:hAnsi="Times New Roman" w:cs="Times New Roman"/>
          <w:sz w:val="24"/>
          <w:szCs w:val="24"/>
        </w:rPr>
        <w:t xml:space="preserve">  A baseline emission rate will not be established for PM2.5.  </w:t>
      </w:r>
    </w:p>
    <w:p w:rsidR="00D57988" w:rsidRDefault="00D5798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The baseline emission rate for greenhouse gases</w:t>
      </w:r>
      <w:r w:rsidR="001936E5">
        <w:rPr>
          <w:rFonts w:ascii="Times New Roman" w:eastAsia="Times New Roman" w:hAnsi="Times New Roman" w:cs="Times New Roman"/>
          <w:sz w:val="24"/>
          <w:szCs w:val="24"/>
        </w:rPr>
        <w:t xml:space="preserve">, </w:t>
      </w:r>
      <w:r w:rsidR="00840762">
        <w:rPr>
          <w:rFonts w:ascii="Times New Roman" w:eastAsia="Times New Roman" w:hAnsi="Times New Roman" w:cs="Times New Roman"/>
          <w:sz w:val="24"/>
          <w:szCs w:val="24"/>
        </w:rPr>
        <w:t>o</w:t>
      </w:r>
      <w:r w:rsidR="001936E5">
        <w:rPr>
          <w:rFonts w:ascii="Times New Roman" w:eastAsia="Times New Roman" w:hAnsi="Times New Roman" w:cs="Times New Roman"/>
          <w:sz w:val="24"/>
          <w:szCs w:val="24"/>
        </w:rPr>
        <w:t>n a CO2e</w:t>
      </w:r>
      <w:r w:rsidR="00B143BC">
        <w:rPr>
          <w:rFonts w:ascii="Times New Roman" w:eastAsia="Times New Roman" w:hAnsi="Times New Roman" w:cs="Times New Roman"/>
          <w:sz w:val="24"/>
          <w:szCs w:val="24"/>
        </w:rPr>
        <w:t xml:space="preserve"> basis</w:t>
      </w:r>
      <w:r w:rsidR="001936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be </w:t>
      </w:r>
      <w:r w:rsidR="00240570" w:rsidRPr="00763780">
        <w:rPr>
          <w:rFonts w:ascii="Times New Roman" w:hAnsi="Times New Roman" w:cs="Times New Roman"/>
          <w:sz w:val="24"/>
          <w:szCs w:val="24"/>
        </w:rPr>
        <w:t xml:space="preserve">established with the first permitting action </w:t>
      </w:r>
      <w:r w:rsidR="00240570">
        <w:rPr>
          <w:rFonts w:ascii="Times New Roman" w:hAnsi="Times New Roman" w:cs="Times New Roman"/>
          <w:sz w:val="24"/>
          <w:szCs w:val="24"/>
        </w:rPr>
        <w:t>issued</w:t>
      </w:r>
      <w:r w:rsidR="00240570" w:rsidRPr="00763780">
        <w:rPr>
          <w:rFonts w:ascii="Times New Roman" w:hAnsi="Times New Roman" w:cs="Times New Roman"/>
          <w:sz w:val="24"/>
          <w:szCs w:val="24"/>
        </w:rPr>
        <w:t xml:space="preserve"> </w:t>
      </w:r>
      <w:r w:rsidR="00240570">
        <w:rPr>
          <w:rFonts w:ascii="Times New Roman" w:hAnsi="Times New Roman" w:cs="Times New Roman"/>
          <w:sz w:val="24"/>
          <w:szCs w:val="24"/>
        </w:rPr>
        <w:t xml:space="preserve">after July 1, 2011, provided the permitting action involved a public notice period that began </w:t>
      </w:r>
      <w:r w:rsidR="00240570" w:rsidRPr="00763780">
        <w:rPr>
          <w:rFonts w:ascii="Times New Roman" w:hAnsi="Times New Roman" w:cs="Times New Roman"/>
          <w:sz w:val="24"/>
          <w:szCs w:val="24"/>
        </w:rPr>
        <w:t xml:space="preserve">after </w:t>
      </w:r>
      <w:r w:rsidR="00240570">
        <w:rPr>
          <w:rFonts w:ascii="Times New Roman" w:hAnsi="Times New Roman" w:cs="Times New Roman"/>
          <w:sz w:val="24"/>
          <w:szCs w:val="24"/>
        </w:rPr>
        <w:t>July 1, 2</w:t>
      </w:r>
      <w:r w:rsidR="00240570" w:rsidRPr="00763780">
        <w:rPr>
          <w:rFonts w:ascii="Times New Roman" w:hAnsi="Times New Roman" w:cs="Times New Roman"/>
          <w:sz w:val="24"/>
          <w:szCs w:val="24"/>
        </w:rPr>
        <w:t>01</w:t>
      </w:r>
      <w:r w:rsidR="00240570">
        <w:rPr>
          <w:rFonts w:ascii="Times New Roman" w:hAnsi="Times New Roman" w:cs="Times New Roman"/>
          <w:sz w:val="24"/>
          <w:szCs w:val="24"/>
        </w:rPr>
        <w:t>1</w:t>
      </w:r>
      <w:r w:rsidR="00240570" w:rsidRPr="00763780">
        <w:rPr>
          <w:rFonts w:ascii="Times New Roman" w:hAnsi="Times New Roman" w:cs="Times New Roman"/>
          <w:sz w:val="24"/>
          <w:szCs w:val="24"/>
        </w:rPr>
        <w:t>.</w:t>
      </w:r>
    </w:p>
    <w:p w:rsidR="00AC14EA" w:rsidRDefault="00AC14EA"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Pr="00DF73BA">
        <w:rPr>
          <w:rFonts w:ascii="Times New Roman" w:eastAsia="Times New Roman" w:hAnsi="Times New Roman" w:cs="Times New Roman"/>
          <w:sz w:val="24"/>
          <w:szCs w:val="24"/>
        </w:rPr>
        <w:t xml:space="preserve">) For a pollutant that </w:t>
      </w:r>
      <w:r w:rsidR="00126705">
        <w:rPr>
          <w:rFonts w:ascii="Times New Roman" w:eastAsia="Times New Roman" w:hAnsi="Times New Roman" w:cs="Times New Roman"/>
          <w:sz w:val="24"/>
          <w:szCs w:val="24"/>
        </w:rPr>
        <w:t>becomes a</w:t>
      </w:r>
      <w:r w:rsidRPr="00DF73BA">
        <w:rPr>
          <w:rFonts w:ascii="Times New Roman" w:eastAsia="Times New Roman" w:hAnsi="Times New Roman" w:cs="Times New Roman"/>
          <w:sz w:val="24"/>
          <w:szCs w:val="24"/>
        </w:rPr>
        <w:t xml:space="preserve"> regulated </w:t>
      </w:r>
      <w:r w:rsidR="00126705">
        <w:rPr>
          <w:rFonts w:ascii="Times New Roman" w:eastAsia="Times New Roman" w:hAnsi="Times New Roman" w:cs="Times New Roman"/>
          <w:sz w:val="24"/>
          <w:szCs w:val="24"/>
        </w:rPr>
        <w:t xml:space="preserve">pollutant subject to OAR 340 division 224 </w:t>
      </w:r>
      <w:r w:rsidRPr="00DF73BA">
        <w:rPr>
          <w:rFonts w:ascii="Times New Roman" w:eastAsia="Times New Roman" w:hAnsi="Times New Roman" w:cs="Times New Roman"/>
          <w:sz w:val="24"/>
          <w:szCs w:val="24"/>
        </w:rPr>
        <w:t xml:space="preserve">after </w:t>
      </w:r>
      <w:r>
        <w:rPr>
          <w:rFonts w:ascii="Times New Roman" w:eastAsia="Times New Roman" w:hAnsi="Times New Roman" w:cs="Times New Roman"/>
          <w:sz w:val="24"/>
          <w:szCs w:val="24"/>
        </w:rPr>
        <w:t>Ma</w:t>
      </w:r>
      <w:r w:rsidR="005F1D50">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1, 2011</w:t>
      </w:r>
      <w:r w:rsidRPr="00DF73BA">
        <w:rPr>
          <w:rFonts w:ascii="Times New Roman" w:eastAsia="Times New Roman" w:hAnsi="Times New Roman" w:cs="Times New Roman"/>
          <w:sz w:val="24"/>
          <w:szCs w:val="24"/>
        </w:rPr>
        <w:t xml:space="preserve">, the initial </w:t>
      </w:r>
      <w:r>
        <w:rPr>
          <w:rFonts w:ascii="Times New Roman" w:eastAsia="Times New Roman" w:hAnsi="Times New Roman" w:cs="Times New Roman"/>
          <w:sz w:val="24"/>
          <w:szCs w:val="24"/>
        </w:rPr>
        <w:t xml:space="preserve">baseline emission rate </w:t>
      </w:r>
      <w:r w:rsidRPr="00DF73BA">
        <w:rPr>
          <w:rFonts w:ascii="Times New Roman" w:eastAsia="Times New Roman" w:hAnsi="Times New Roman" w:cs="Times New Roman"/>
          <w:sz w:val="24"/>
          <w:szCs w:val="24"/>
        </w:rPr>
        <w:t xml:space="preserve">is the actual emissions </w:t>
      </w:r>
      <w:r w:rsidR="00F1479D">
        <w:rPr>
          <w:rFonts w:ascii="Times New Roman" w:eastAsia="Times New Roman" w:hAnsi="Times New Roman" w:cs="Times New Roman"/>
          <w:sz w:val="24"/>
          <w:szCs w:val="24"/>
        </w:rPr>
        <w:t xml:space="preserve">of that pollutant </w:t>
      </w:r>
      <w:r w:rsidRPr="00DF73BA">
        <w:rPr>
          <w:rFonts w:ascii="Times New Roman" w:eastAsia="Times New Roman" w:hAnsi="Times New Roman" w:cs="Times New Roman"/>
          <w:sz w:val="24"/>
          <w:szCs w:val="24"/>
        </w:rPr>
        <w:t xml:space="preserve">during any </w:t>
      </w:r>
      <w:r w:rsidR="005F1D50">
        <w:rPr>
          <w:rFonts w:ascii="Times New Roman" w:eastAsia="Times New Roman" w:hAnsi="Times New Roman" w:cs="Times New Roman"/>
          <w:sz w:val="24"/>
          <w:szCs w:val="24"/>
        </w:rPr>
        <w:t>consecutive 1</w:t>
      </w:r>
      <w:r w:rsidRPr="00DF73BA">
        <w:rPr>
          <w:rFonts w:ascii="Times New Roman" w:eastAsia="Times New Roman" w:hAnsi="Times New Roman" w:cs="Times New Roman"/>
          <w:sz w:val="24"/>
          <w:szCs w:val="24"/>
        </w:rPr>
        <w:t>2 month period within the 24 months immediately preceding its designation as a regulated pollutant</w:t>
      </w:r>
      <w:r>
        <w:rPr>
          <w:rFonts w:ascii="Times New Roman" w:eastAsia="Times New Roman" w:hAnsi="Times New Roman" w:cs="Times New Roman"/>
          <w:sz w:val="24"/>
          <w:szCs w:val="24"/>
        </w:rPr>
        <w:t xml:space="preserve"> if a baseline period has not been defined for the pollutant</w:t>
      </w:r>
      <w:r w:rsidRPr="00DF73BA">
        <w:rPr>
          <w:rFonts w:ascii="Times New Roman" w:eastAsia="Times New Roman" w:hAnsi="Times New Roman" w:cs="Times New Roman"/>
          <w:sz w:val="24"/>
          <w:szCs w:val="24"/>
        </w:rPr>
        <w:t xml:space="preserve">. </w:t>
      </w:r>
    </w:p>
    <w:p w:rsidR="008A567C" w:rsidRPr="00476D6C" w:rsidRDefault="008A567C" w:rsidP="00CE74E5">
      <w:pPr>
        <w:spacing w:after="0" w:line="240" w:lineRule="auto"/>
        <w:rPr>
          <w:rFonts w:ascii="Times New Roman" w:eastAsia="Times New Roman" w:hAnsi="Times New Roman" w:cs="Times New Roman"/>
          <w:strike/>
          <w:sz w:val="24"/>
          <w:szCs w:val="24"/>
        </w:rPr>
      </w:pPr>
      <w:r w:rsidRPr="008A567C">
        <w:rPr>
          <w:rFonts w:ascii="Times New Roman" w:eastAsia="Times New Roman" w:hAnsi="Times New Roman" w:cs="Times New Roman"/>
          <w:sz w:val="24"/>
          <w:szCs w:val="24"/>
        </w:rPr>
        <w:t>(</w:t>
      </w:r>
      <w:r w:rsidR="005F1D50">
        <w:rPr>
          <w:rFonts w:ascii="Times New Roman" w:eastAsia="Times New Roman" w:hAnsi="Times New Roman" w:cs="Times New Roman"/>
          <w:sz w:val="24"/>
          <w:szCs w:val="24"/>
        </w:rPr>
        <w:t>d</w:t>
      </w:r>
      <w:r w:rsidRPr="008A567C">
        <w:rPr>
          <w:rFonts w:ascii="Times New Roman" w:eastAsia="Times New Roman" w:hAnsi="Times New Roman" w:cs="Times New Roman"/>
          <w:sz w:val="24"/>
          <w:szCs w:val="24"/>
        </w:rPr>
        <w:t xml:space="preserve">)  </w:t>
      </w:r>
      <w:r w:rsidR="00D95F94" w:rsidRPr="00F77CA3">
        <w:rPr>
          <w:rFonts w:ascii="Times New Roman" w:eastAsia="Times New Roman" w:hAnsi="Times New Roman" w:cs="Times New Roman"/>
          <w:sz w:val="24"/>
          <w:szCs w:val="24"/>
        </w:rPr>
        <w:t>The baseline emission rate will be recalculated if actual emissions are reset in accordance with the definition of actual emissions.</w:t>
      </w:r>
    </w:p>
    <w:p w:rsidR="000927E6" w:rsidRDefault="003C510E" w:rsidP="00CE74E5">
      <w:pPr>
        <w:spacing w:after="0" w:line="240" w:lineRule="auto"/>
        <w:rPr>
          <w:rFonts w:ascii="Times New Roman" w:eastAsia="Times New Roman" w:hAnsi="Times New Roman" w:cs="Times New Roman"/>
          <w:sz w:val="24"/>
          <w:szCs w:val="24"/>
        </w:rPr>
      </w:pPr>
      <w:r w:rsidDel="003C510E">
        <w:rPr>
          <w:rFonts w:ascii="Times New Roman" w:eastAsia="Times New Roman" w:hAnsi="Times New Roman" w:cs="Times New Roman"/>
          <w:sz w:val="24"/>
          <w:szCs w:val="24"/>
        </w:rPr>
        <w:t xml:space="preserve"> </w:t>
      </w:r>
      <w:r w:rsidR="00D57988">
        <w:rPr>
          <w:rFonts w:ascii="Times New Roman" w:eastAsia="Times New Roman" w:hAnsi="Times New Roman" w:cs="Times New Roman"/>
          <w:sz w:val="24"/>
          <w:szCs w:val="24"/>
        </w:rPr>
        <w:t>(</w:t>
      </w:r>
      <w:r w:rsidR="005F1D50">
        <w:rPr>
          <w:rFonts w:ascii="Times New Roman" w:eastAsia="Times New Roman" w:hAnsi="Times New Roman" w:cs="Times New Roman"/>
          <w:sz w:val="24"/>
          <w:szCs w:val="24"/>
        </w:rPr>
        <w:t>e</w:t>
      </w:r>
      <w:r w:rsidR="00D57988">
        <w:rPr>
          <w:rFonts w:ascii="Times New Roman" w:eastAsia="Times New Roman" w:hAnsi="Times New Roman" w:cs="Times New Roman"/>
          <w:sz w:val="24"/>
          <w:szCs w:val="24"/>
        </w:rPr>
        <w:t xml:space="preserve">) </w:t>
      </w:r>
      <w:r w:rsidR="0022101A">
        <w:rPr>
          <w:rFonts w:ascii="Times New Roman" w:eastAsia="Times New Roman" w:hAnsi="Times New Roman" w:cs="Times New Roman"/>
          <w:sz w:val="24"/>
          <w:szCs w:val="24"/>
        </w:rPr>
        <w:t xml:space="preserve">Once the baseline emission rate has been established </w:t>
      </w:r>
      <w:r w:rsidR="00D95F94" w:rsidRPr="00F77CA3">
        <w:rPr>
          <w:rFonts w:ascii="Times New Roman" w:eastAsia="Times New Roman" w:hAnsi="Times New Roman" w:cs="Times New Roman"/>
          <w:sz w:val="24"/>
          <w:szCs w:val="24"/>
        </w:rPr>
        <w:t>or recalculated</w:t>
      </w:r>
      <w:r w:rsidR="0022101A">
        <w:rPr>
          <w:rFonts w:ascii="Times New Roman" w:eastAsia="Times New Roman" w:hAnsi="Times New Roman" w:cs="Times New Roman"/>
          <w:sz w:val="24"/>
          <w:szCs w:val="24"/>
        </w:rPr>
        <w:t xml:space="preserve"> in accordance with subsection (d) of this section, </w:t>
      </w:r>
      <w:r w:rsidRPr="007D3404">
        <w:rPr>
          <w:rFonts w:ascii="Times New Roman" w:eastAsia="Times New Roman" w:hAnsi="Times New Roman" w:cs="Times New Roman"/>
          <w:sz w:val="24"/>
          <w:szCs w:val="24"/>
        </w:rPr>
        <w:t>t</w:t>
      </w:r>
      <w:r w:rsidR="00732D14" w:rsidRPr="007D3404">
        <w:rPr>
          <w:rFonts w:ascii="Times New Roman" w:eastAsia="Times New Roman" w:hAnsi="Times New Roman" w:cs="Times New Roman"/>
          <w:sz w:val="24"/>
          <w:szCs w:val="24"/>
        </w:rPr>
        <w:t xml:space="preserve">he production basis for the baseline emission rate may only be </w:t>
      </w:r>
      <w:r w:rsidR="008A567C" w:rsidRPr="007D3404">
        <w:rPr>
          <w:rFonts w:ascii="Times New Roman" w:eastAsia="Times New Roman" w:hAnsi="Times New Roman" w:cs="Times New Roman"/>
          <w:sz w:val="24"/>
          <w:szCs w:val="24"/>
        </w:rPr>
        <w:t>changed</w:t>
      </w:r>
      <w:r w:rsidR="00732D14" w:rsidRPr="007D3404">
        <w:rPr>
          <w:rFonts w:ascii="Times New Roman" w:eastAsia="Times New Roman" w:hAnsi="Times New Roman" w:cs="Times New Roman"/>
          <w:sz w:val="24"/>
          <w:szCs w:val="24"/>
        </w:rPr>
        <w:t xml:space="preserve"> if a material mistake or an inaccurate statement was made in establishing the production basis for baseline emission rate.</w:t>
      </w:r>
      <w:r w:rsidR="000927E6">
        <w:rPr>
          <w:rFonts w:ascii="Times New Roman" w:eastAsia="Times New Roman" w:hAnsi="Times New Roman" w:cs="Times New Roman"/>
          <w:sz w:val="24"/>
          <w:szCs w:val="24"/>
        </w:rPr>
        <w:t xml:space="preserve">  </w:t>
      </w:r>
    </w:p>
    <w:p w:rsidR="00637E5D" w:rsidRDefault="00CD03B8" w:rsidP="00CE74E5">
      <w:pPr>
        <w:spacing w:after="0" w:line="240" w:lineRule="auto"/>
        <w:rPr>
          <w:rFonts w:ascii="Times New Roman" w:eastAsia="Times New Roman" w:hAnsi="Times New Roman" w:cs="Times New Roman"/>
          <w:sz w:val="24"/>
          <w:szCs w:val="24"/>
        </w:rPr>
      </w:pPr>
      <w:r w:rsidRPr="00344778">
        <w:rPr>
          <w:rFonts w:ascii="Times New Roman" w:eastAsia="Times New Roman" w:hAnsi="Times New Roman" w:cs="Times New Roman"/>
          <w:sz w:val="24"/>
          <w:szCs w:val="24"/>
        </w:rPr>
        <w:t>(14) "Baseline Period"</w:t>
      </w:r>
      <w:r w:rsidR="00715F30" w:rsidRPr="00344778">
        <w:rPr>
          <w:rFonts w:ascii="Times New Roman" w:eastAsia="Times New Roman" w:hAnsi="Times New Roman" w:cs="Times New Roman"/>
          <w:sz w:val="24"/>
          <w:szCs w:val="24"/>
        </w:rPr>
        <w:t xml:space="preserve"> </w:t>
      </w:r>
      <w:r w:rsidRPr="00344778">
        <w:rPr>
          <w:rFonts w:ascii="Times New Roman" w:eastAsia="Times New Roman" w:hAnsi="Times New Roman" w:cs="Times New Roman"/>
          <w:sz w:val="24"/>
          <w:szCs w:val="24"/>
        </w:rPr>
        <w:t>means</w:t>
      </w:r>
      <w:r w:rsidR="00637E5D">
        <w:rPr>
          <w:rFonts w:ascii="Times New Roman" w:eastAsia="Times New Roman" w:hAnsi="Times New Roman" w:cs="Times New Roman"/>
          <w:sz w:val="24"/>
          <w:szCs w:val="24"/>
        </w:rPr>
        <w:t xml:space="preserve">: </w:t>
      </w:r>
    </w:p>
    <w:p w:rsidR="00CD03B8" w:rsidRPr="00344778" w:rsidRDefault="00637E5D"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CD03B8" w:rsidRPr="003447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CD03B8" w:rsidRPr="00344778">
        <w:rPr>
          <w:rFonts w:ascii="Times New Roman" w:eastAsia="Times New Roman" w:hAnsi="Times New Roman" w:cs="Times New Roman"/>
          <w:sz w:val="24"/>
          <w:szCs w:val="24"/>
        </w:rPr>
        <w:t xml:space="preserve">ny consecutive 12 calendar month period during </w:t>
      </w:r>
      <w:r w:rsidR="003A3AC3">
        <w:rPr>
          <w:rFonts w:ascii="Times New Roman" w:eastAsia="Times New Roman" w:hAnsi="Times New Roman" w:cs="Times New Roman"/>
          <w:sz w:val="24"/>
          <w:szCs w:val="24"/>
        </w:rPr>
        <w:t>the calendar years 1977 or 1978 for any regulated pollutant other than greenhouse gases. The Department may allow the use of a prior time period upon a determination that it is more representative of normal source operation.</w:t>
      </w:r>
    </w:p>
    <w:p w:rsidR="007F0D7E" w:rsidRDefault="00344778" w:rsidP="00CE74E5">
      <w:pPr>
        <w:spacing w:after="0" w:line="240" w:lineRule="auto"/>
        <w:rPr>
          <w:rFonts w:ascii="Times New Roman" w:eastAsia="Times New Roman" w:hAnsi="Times New Roman" w:cs="Times New Roman"/>
          <w:sz w:val="24"/>
          <w:szCs w:val="24"/>
        </w:rPr>
      </w:pPr>
      <w:r w:rsidRPr="00344778" w:rsidDel="00344778">
        <w:rPr>
          <w:rFonts w:ascii="Times New Roman" w:eastAsia="Times New Roman" w:hAnsi="Times New Roman" w:cs="Times New Roman"/>
          <w:sz w:val="24"/>
          <w:szCs w:val="24"/>
        </w:rPr>
        <w:t xml:space="preserve"> </w:t>
      </w:r>
      <w:r w:rsidR="007F0D7E" w:rsidRPr="00344778">
        <w:rPr>
          <w:rFonts w:ascii="Times New Roman" w:eastAsia="Times New Roman" w:hAnsi="Times New Roman" w:cs="Times New Roman"/>
          <w:sz w:val="24"/>
          <w:szCs w:val="24"/>
        </w:rPr>
        <w:t xml:space="preserve">(b) </w:t>
      </w:r>
      <w:r w:rsidR="00637E5D">
        <w:rPr>
          <w:rFonts w:ascii="Times New Roman" w:eastAsia="Times New Roman" w:hAnsi="Times New Roman" w:cs="Times New Roman"/>
          <w:sz w:val="24"/>
          <w:szCs w:val="24"/>
        </w:rPr>
        <w:t>A</w:t>
      </w:r>
      <w:r w:rsidR="00E36294">
        <w:rPr>
          <w:rFonts w:ascii="Times New Roman" w:eastAsia="Times New Roman" w:hAnsi="Times New Roman" w:cs="Times New Roman"/>
          <w:sz w:val="24"/>
          <w:szCs w:val="24"/>
        </w:rPr>
        <w:t>ny consecutive 12 calendar month period during the calendar year</w:t>
      </w:r>
      <w:r w:rsidR="00332672">
        <w:rPr>
          <w:rFonts w:ascii="Times New Roman" w:eastAsia="Times New Roman" w:hAnsi="Times New Roman" w:cs="Times New Roman"/>
          <w:sz w:val="24"/>
          <w:szCs w:val="24"/>
        </w:rPr>
        <w:t>s</w:t>
      </w:r>
      <w:r w:rsidR="00E36294">
        <w:rPr>
          <w:rFonts w:ascii="Times New Roman" w:eastAsia="Times New Roman" w:hAnsi="Times New Roman" w:cs="Times New Roman"/>
          <w:sz w:val="24"/>
          <w:szCs w:val="24"/>
        </w:rPr>
        <w:t xml:space="preserve"> </w:t>
      </w:r>
      <w:r w:rsidR="00332672">
        <w:rPr>
          <w:rFonts w:ascii="Times New Roman" w:eastAsia="Times New Roman" w:hAnsi="Times New Roman" w:cs="Times New Roman"/>
          <w:sz w:val="24"/>
          <w:szCs w:val="24"/>
        </w:rPr>
        <w:t xml:space="preserve">2000 through </w:t>
      </w:r>
      <w:r w:rsidRPr="00344778">
        <w:rPr>
          <w:rFonts w:ascii="Times New Roman" w:eastAsia="Times New Roman" w:hAnsi="Times New Roman" w:cs="Times New Roman"/>
          <w:sz w:val="24"/>
          <w:szCs w:val="24"/>
        </w:rPr>
        <w:t>2010</w:t>
      </w:r>
      <w:r w:rsidR="00637E5D" w:rsidRPr="00637E5D">
        <w:rPr>
          <w:rFonts w:ascii="Times New Roman" w:eastAsia="Times New Roman" w:hAnsi="Times New Roman" w:cs="Times New Roman"/>
          <w:sz w:val="24"/>
          <w:szCs w:val="24"/>
        </w:rPr>
        <w:t xml:space="preserve"> </w:t>
      </w:r>
      <w:r w:rsidR="00637E5D">
        <w:rPr>
          <w:rFonts w:ascii="Times New Roman" w:eastAsia="Times New Roman" w:hAnsi="Times New Roman" w:cs="Times New Roman"/>
          <w:sz w:val="24"/>
          <w:szCs w:val="24"/>
        </w:rPr>
        <w:t>f</w:t>
      </w:r>
      <w:r w:rsidR="00637E5D" w:rsidRPr="00344778">
        <w:rPr>
          <w:rFonts w:ascii="Times New Roman" w:eastAsia="Times New Roman" w:hAnsi="Times New Roman" w:cs="Times New Roman"/>
          <w:sz w:val="24"/>
          <w:szCs w:val="24"/>
        </w:rPr>
        <w:t>or greenhouse gases</w:t>
      </w:r>
      <w:r w:rsidR="00BF6FCA">
        <w:rPr>
          <w:rFonts w:ascii="Times New Roman" w:eastAsia="Times New Roman" w:hAnsi="Times New Roman" w:cs="Times New Roman"/>
          <w:sz w:val="24"/>
          <w:szCs w:val="24"/>
        </w:rPr>
        <w:t>.</w:t>
      </w:r>
      <w:r w:rsidRPr="00344778">
        <w:rPr>
          <w:rFonts w:ascii="Times New Roman" w:eastAsia="Times New Roman" w:hAnsi="Times New Roman" w:cs="Times New Roman"/>
          <w:sz w:val="24"/>
          <w:szCs w:val="24"/>
        </w:rPr>
        <w:t xml:space="preserve">  </w:t>
      </w:r>
      <w:r w:rsidR="007F0D7E">
        <w:rPr>
          <w:rFonts w:ascii="Times New Roman" w:eastAsia="Times New Roman" w:hAnsi="Times New Roman" w:cs="Times New Roman"/>
          <w:sz w:val="24"/>
          <w:szCs w:val="24"/>
        </w:rPr>
        <w:t xml:space="preserve">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EA137D" w:rsidRDefault="00505C0C" w:rsidP="00CE74E5">
      <w:pPr>
        <w:spacing w:after="0" w:line="240" w:lineRule="auto"/>
        <w:rPr>
          <w:rFonts w:ascii="Times New Roman" w:hAnsi="Times New Roman" w:cs="Times New Roman"/>
          <w:sz w:val="24"/>
          <w:szCs w:val="24"/>
        </w:rPr>
      </w:pPr>
      <w:r w:rsidRPr="001E531D">
        <w:rPr>
          <w:rFonts w:ascii="Times New Roman" w:eastAsia="Times New Roman" w:hAnsi="Times New Roman" w:cs="Times New Roman"/>
          <w:sz w:val="24"/>
          <w:szCs w:val="24"/>
        </w:rPr>
        <w:t>(16</w:t>
      </w:r>
      <w:r w:rsidRPr="00505C0C">
        <w:rPr>
          <w:rFonts w:ascii="Times New Roman" w:eastAsia="Times New Roman" w:hAnsi="Times New Roman" w:cs="Times New Roman"/>
          <w:sz w:val="24"/>
          <w:szCs w:val="24"/>
        </w:rPr>
        <w:t xml:space="preserve">)  </w:t>
      </w:r>
      <w:r w:rsidRPr="00505C0C">
        <w:rPr>
          <w:rFonts w:ascii="Times New Roman" w:hAnsi="Times New Roman" w:cs="Times New Roman"/>
          <w:sz w:val="24"/>
          <w:szCs w:val="24"/>
        </w:rPr>
        <w:t>“</w:t>
      </w:r>
      <w:r w:rsidRPr="00505C0C">
        <w:rPr>
          <w:rFonts w:ascii="Times New Roman" w:hAnsi="Times New Roman" w:cs="Times New Roman"/>
          <w:bCs/>
          <w:sz w:val="24"/>
          <w:szCs w:val="24"/>
        </w:rPr>
        <w:t>Biomass</w:t>
      </w:r>
      <w:r w:rsidRPr="00505C0C">
        <w:rPr>
          <w:rFonts w:ascii="Times New Roman" w:hAnsi="Times New Roman" w:cs="Times New Roman"/>
          <w:sz w:val="24"/>
          <w:szCs w:val="24"/>
        </w:rPr>
        <w:t xml:space="preserve">” means non-fossilized and biodegradable organic material originating from plants, animals, and micro-organisms, including products, byproducts, residues and waste from </w:t>
      </w:r>
      <w:r w:rsidRPr="00505C0C">
        <w:rPr>
          <w:rFonts w:ascii="Times New Roman" w:hAnsi="Times New Roman" w:cs="Times New Roman"/>
          <w:sz w:val="24"/>
          <w:szCs w:val="24"/>
        </w:rPr>
        <w:lastRenderedPageBreak/>
        <w:t>agriculture, forestry, and related industries as well as the non-fossilized and biodegradable organic fractions of industrial and municipal wastes, including gases and liquids recovered from the decomposition of non-fossilized and biodegradable organic matter.</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"Capacity" means the maximum regulated pollutant emissions from a stationary source under its physical and operational design.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"Capture system" means the equipment (including but not limited to hoods, ducts, fans, and booths) used to contain, capture and transport a pollutant to a control device. </w:t>
      </w:r>
    </w:p>
    <w:p w:rsidR="00CD03B8" w:rsidRPr="00CD03B8" w:rsidRDefault="008C11DC" w:rsidP="00CE74E5">
      <w:pPr>
        <w:spacing w:after="0" w:line="240" w:lineRule="auto"/>
        <w:rPr>
          <w:rFonts w:ascii="Times New Roman" w:eastAsia="Times New Roman" w:hAnsi="Times New Roman" w:cs="Times New Roman"/>
          <w:sz w:val="24"/>
          <w:szCs w:val="24"/>
        </w:rPr>
      </w:pPr>
      <w:r w:rsidRPr="00407D21">
        <w:rPr>
          <w:rFonts w:ascii="Times New Roman" w:hAnsi="Times New Roman" w:cs="Times New Roman"/>
          <w:sz w:val="24"/>
          <w:szCs w:val="24"/>
        </w:rPr>
        <w:t>(</w:t>
      </w:r>
      <w:r w:rsidR="00A96140">
        <w:rPr>
          <w:rFonts w:ascii="Times New Roman" w:hAnsi="Times New Roman" w:cs="Times New Roman"/>
          <w:sz w:val="24"/>
          <w:szCs w:val="24"/>
        </w:rPr>
        <w:t>1</w:t>
      </w:r>
      <w:r w:rsidR="001E531D">
        <w:rPr>
          <w:rFonts w:ascii="Times New Roman" w:hAnsi="Times New Roman" w:cs="Times New Roman"/>
          <w:sz w:val="24"/>
          <w:szCs w:val="24"/>
        </w:rPr>
        <w:t>9</w:t>
      </w:r>
      <w:r w:rsidRPr="00407D21">
        <w:rPr>
          <w:rFonts w:ascii="Times New Roman" w:hAnsi="Times New Roman" w:cs="Times New Roman"/>
          <w:sz w:val="24"/>
          <w:szCs w:val="24"/>
        </w:rPr>
        <w:t>) “</w:t>
      </w:r>
      <w:r w:rsidRPr="00A96140">
        <w:rPr>
          <w:rFonts w:ascii="Times New Roman" w:hAnsi="Times New Roman" w:cs="Times New Roman"/>
          <w:bCs/>
          <w:sz w:val="24"/>
          <w:szCs w:val="24"/>
        </w:rPr>
        <w:t>Carbon dioxide equivalent</w:t>
      </w:r>
      <w:r w:rsidR="00686321" w:rsidRPr="00A96140">
        <w:rPr>
          <w:rFonts w:ascii="Times New Roman" w:hAnsi="Times New Roman" w:cs="Times New Roman"/>
          <w:bCs/>
          <w:sz w:val="24"/>
          <w:szCs w:val="24"/>
        </w:rPr>
        <w:t>” or</w:t>
      </w:r>
      <w:r w:rsidRPr="00407D21">
        <w:rPr>
          <w:rFonts w:ascii="Times New Roman" w:hAnsi="Times New Roman" w:cs="Times New Roman"/>
          <w:sz w:val="24"/>
          <w:szCs w:val="24"/>
        </w:rPr>
        <w:t xml:space="preserve"> </w:t>
      </w:r>
      <w:r w:rsidR="00686321">
        <w:rPr>
          <w:rFonts w:ascii="Times New Roman" w:hAnsi="Times New Roman" w:cs="Times New Roman"/>
          <w:sz w:val="24"/>
          <w:szCs w:val="24"/>
        </w:rPr>
        <w:t>“</w:t>
      </w:r>
      <w:r w:rsidR="00D95F94" w:rsidRPr="00F77CA3">
        <w:rPr>
          <w:rFonts w:ascii="Times New Roman" w:hAnsi="Times New Roman" w:cs="Times New Roman"/>
          <w:sz w:val="24"/>
          <w:szCs w:val="24"/>
        </w:rPr>
        <w:t>CO2e</w:t>
      </w:r>
      <w:r>
        <w:rPr>
          <w:rFonts w:ascii="Times New Roman" w:hAnsi="Times New Roman" w:cs="Times New Roman"/>
          <w:sz w:val="24"/>
          <w:szCs w:val="24"/>
        </w:rPr>
        <w:t>”</w:t>
      </w:r>
      <w:r w:rsidRPr="00407D21">
        <w:rPr>
          <w:rFonts w:ascii="Times New Roman" w:hAnsi="Times New Roman" w:cs="Times New Roman"/>
          <w:sz w:val="24"/>
          <w:szCs w:val="24"/>
        </w:rPr>
        <w:t xml:space="preserve"> means an amount of </w:t>
      </w:r>
      <w:r w:rsidR="00960B15">
        <w:rPr>
          <w:rFonts w:ascii="Times New Roman" w:hAnsi="Times New Roman" w:cs="Times New Roman"/>
          <w:sz w:val="24"/>
          <w:szCs w:val="24"/>
        </w:rPr>
        <w:t xml:space="preserve">a </w:t>
      </w:r>
      <w:r w:rsidR="00686321">
        <w:rPr>
          <w:rFonts w:ascii="Times New Roman" w:hAnsi="Times New Roman" w:cs="Times New Roman"/>
          <w:sz w:val="24"/>
          <w:szCs w:val="24"/>
        </w:rPr>
        <w:t>greenhouse gas or gases</w:t>
      </w:r>
      <w:r w:rsidRPr="00407D21">
        <w:rPr>
          <w:rFonts w:ascii="Times New Roman" w:hAnsi="Times New Roman" w:cs="Times New Roman"/>
          <w:sz w:val="24"/>
          <w:szCs w:val="24"/>
        </w:rPr>
        <w:t xml:space="preserve"> </w:t>
      </w:r>
      <w:r>
        <w:rPr>
          <w:rFonts w:ascii="Times New Roman" w:hAnsi="Times New Roman" w:cs="Times New Roman"/>
          <w:sz w:val="24"/>
          <w:szCs w:val="24"/>
        </w:rPr>
        <w:t>expressed as the equivalent amount of carbon dioxide</w:t>
      </w:r>
      <w:r w:rsidRPr="00407D21">
        <w:rPr>
          <w:rFonts w:ascii="Times New Roman" w:hAnsi="Times New Roman" w:cs="Times New Roman"/>
          <w:sz w:val="24"/>
          <w:szCs w:val="24"/>
        </w:rPr>
        <w:t xml:space="preserve">, and shall be computed by multiplying the mass of each of the </w:t>
      </w:r>
      <w:r w:rsidR="00686321">
        <w:rPr>
          <w:rFonts w:ascii="Times New Roman" w:hAnsi="Times New Roman" w:cs="Times New Roman"/>
          <w:sz w:val="24"/>
          <w:szCs w:val="24"/>
        </w:rPr>
        <w:t>greenhouse gase</w:t>
      </w:r>
      <w:r w:rsidRPr="00407D21">
        <w:rPr>
          <w:rFonts w:ascii="Times New Roman" w:hAnsi="Times New Roman" w:cs="Times New Roman"/>
          <w:sz w:val="24"/>
          <w:szCs w:val="24"/>
        </w:rPr>
        <w:t xml:space="preserve">s by </w:t>
      </w:r>
      <w:r w:rsidR="009F686F">
        <w:rPr>
          <w:rFonts w:ascii="Times New Roman" w:hAnsi="Times New Roman" w:cs="Times New Roman"/>
          <w:sz w:val="24"/>
          <w:szCs w:val="24"/>
        </w:rPr>
        <w:t>the</w:t>
      </w:r>
      <w:r w:rsidRPr="00407D21">
        <w:rPr>
          <w:rFonts w:ascii="Times New Roman" w:hAnsi="Times New Roman" w:cs="Times New Roman"/>
          <w:sz w:val="24"/>
          <w:szCs w:val="24"/>
        </w:rPr>
        <w:t xml:space="preserve"> global warming potential published </w:t>
      </w:r>
      <w:r w:rsidR="009F686F">
        <w:rPr>
          <w:rFonts w:ascii="Times New Roman" w:hAnsi="Times New Roman" w:cs="Times New Roman"/>
          <w:sz w:val="24"/>
          <w:szCs w:val="24"/>
        </w:rPr>
        <w:t xml:space="preserve">for each gas </w:t>
      </w:r>
      <w:r w:rsidRPr="00407D21">
        <w:rPr>
          <w:rFonts w:ascii="Times New Roman" w:hAnsi="Times New Roman" w:cs="Times New Roman"/>
          <w:sz w:val="24"/>
          <w:szCs w:val="24"/>
        </w:rPr>
        <w:t xml:space="preserve">at 40 CFR Part 98, subpart A, Table A–1—Global Warming Potentials, and </w:t>
      </w:r>
      <w:r w:rsidR="009F686F">
        <w:rPr>
          <w:rFonts w:ascii="Times New Roman" w:hAnsi="Times New Roman" w:cs="Times New Roman"/>
          <w:sz w:val="24"/>
          <w:szCs w:val="24"/>
        </w:rPr>
        <w:t>add</w:t>
      </w:r>
      <w:r w:rsidRPr="00407D21">
        <w:rPr>
          <w:rFonts w:ascii="Times New Roman" w:hAnsi="Times New Roman" w:cs="Times New Roman"/>
          <w:sz w:val="24"/>
          <w:szCs w:val="24"/>
        </w:rPr>
        <w:t>ing the result</w:t>
      </w:r>
      <w:r w:rsidR="009F686F">
        <w:rPr>
          <w:rFonts w:ascii="Times New Roman" w:hAnsi="Times New Roman" w:cs="Times New Roman"/>
          <w:sz w:val="24"/>
          <w:szCs w:val="24"/>
        </w:rPr>
        <w:t>ing</w:t>
      </w:r>
      <w:r w:rsidRPr="00407D21">
        <w:rPr>
          <w:rFonts w:ascii="Times New Roman" w:hAnsi="Times New Roman" w:cs="Times New Roman"/>
          <w:sz w:val="24"/>
          <w:szCs w:val="24"/>
        </w:rPr>
        <w:t xml:space="preserve"> value for each </w:t>
      </w:r>
      <w:r w:rsidR="00686321">
        <w:rPr>
          <w:rFonts w:ascii="Times New Roman" w:hAnsi="Times New Roman" w:cs="Times New Roman"/>
          <w:sz w:val="24"/>
          <w:szCs w:val="24"/>
        </w:rPr>
        <w:t xml:space="preserve">greenhouse gas </w:t>
      </w:r>
      <w:r w:rsidRPr="00407D21">
        <w:rPr>
          <w:rFonts w:ascii="Times New Roman" w:hAnsi="Times New Roman" w:cs="Times New Roman"/>
          <w:sz w:val="24"/>
          <w:szCs w:val="24"/>
        </w:rPr>
        <w:t xml:space="preserve">to compute </w:t>
      </w:r>
      <w:r>
        <w:rPr>
          <w:rFonts w:ascii="Times New Roman" w:hAnsi="Times New Roman" w:cs="Times New Roman"/>
          <w:sz w:val="24"/>
          <w:szCs w:val="24"/>
        </w:rPr>
        <w:t>the total equivalent amount of</w:t>
      </w:r>
      <w:r w:rsidRPr="00407D21">
        <w:rPr>
          <w:rFonts w:ascii="Times New Roman" w:hAnsi="Times New Roman" w:cs="Times New Roman"/>
          <w:sz w:val="24"/>
          <w:szCs w:val="24"/>
        </w:rPr>
        <w:t xml:space="preserve"> </w:t>
      </w:r>
      <w:r>
        <w:rPr>
          <w:rFonts w:ascii="Times New Roman" w:hAnsi="Times New Roman" w:cs="Times New Roman"/>
          <w:sz w:val="24"/>
          <w:szCs w:val="24"/>
        </w:rPr>
        <w:t>carbon dioxide</w:t>
      </w:r>
      <w:r w:rsidRPr="00407D21">
        <w:rPr>
          <w:rFonts w:ascii="Times New Roman" w:hAnsi="Times New Roman" w:cs="Times New Roman"/>
          <w:sz w:val="24"/>
          <w:szCs w:val="24"/>
        </w:rPr>
        <w:t>.</w:t>
      </w:r>
      <w:r w:rsidR="0074550F">
        <w:rPr>
          <w:rFonts w:ascii="Times New Roman" w:hAnsi="Times New Roman" w:cs="Times New Roman"/>
          <w:sz w:val="24"/>
          <w:szCs w:val="24"/>
        </w:rPr>
        <w:t xml:space="preserve"> </w:t>
      </w:r>
      <w:r w:rsidRPr="00CD03B8">
        <w:rPr>
          <w:rFonts w:ascii="Times New Roman" w:eastAsia="Times New Roman" w:hAnsi="Times New Roman" w:cs="Times New Roman"/>
          <w:sz w:val="24"/>
          <w:szCs w:val="24"/>
        </w:rPr>
        <w:t xml:space="preserve"> </w:t>
      </w:r>
      <w:r w:rsidR="00CD03B8" w:rsidRPr="00CD03B8">
        <w:rPr>
          <w:rFonts w:ascii="Times New Roman" w:eastAsia="Times New Roman" w:hAnsi="Times New Roman" w:cs="Times New Roman"/>
          <w:sz w:val="24"/>
          <w:szCs w:val="24"/>
        </w:rPr>
        <w:t>(</w:t>
      </w:r>
      <w:r w:rsidR="001E531D">
        <w:rPr>
          <w:rFonts w:ascii="Times New Roman" w:eastAsia="Times New Roman" w:hAnsi="Times New Roman" w:cs="Times New Roman"/>
          <w:sz w:val="24"/>
          <w:szCs w:val="24"/>
        </w:rPr>
        <w:t>20</w:t>
      </w:r>
      <w:r w:rsidR="00CD03B8" w:rsidRPr="00CD03B8">
        <w:rPr>
          <w:rFonts w:ascii="Times New Roman" w:eastAsia="Times New Roman" w:hAnsi="Times New Roman" w:cs="Times New Roman"/>
          <w:sz w:val="24"/>
          <w:szCs w:val="24"/>
        </w:rPr>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Evaporative and tail pipe emissions from on-site motor vehicle operation;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Distillate oil, kerosene, and gasoline fuel burning equipment rated at less than or equal to 0.4 million Btu/hr;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Natural gas and propane burning equipment rated at less than or equal to 2.0 million Btu/hr;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(e) Office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(f) Food service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(g) Janitorial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(h) Personal care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 Groundskeeping activities including, but not limited to building painting and road and parking lot maintenance;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(j) On-site laundry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(k) On-site recreation facilities;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(l) Instrument calibration;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(m) Maintenance and repair shop;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(n) Automotive repair shops or storage garages;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(o) Air cooling or ventilating equipment not designed to remove air contaminants generated by or released from associated equipment;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(q) Bench scale laboratory equipment and laboratory equipment used exclusively for chemical and physical analysis, including associated vacuum producing devices but excluding research and development facilities;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(r) Temporary construction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(s) Warehouse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(t) Accidental fires;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(u) Air vents from air compressors;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(v) Air purification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(w) Continuous emissions monitoring vent lines;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 Demineralized water tanks;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(y) Pre-treatment of municipal water, including use of deionized water purification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(z) Electrical charging stations;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(aa) Fire brigade training;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(bb) Instrument air dryers and distribution;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(cc) Process raw water filtration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(dd) Pharmaceutical packaging;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(ee) Fire suppression;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(ff) Blueprint making;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(hh) Electric motors;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(ii) Storage tanks, reservoirs, transfer and lubricating equipment used for ASTM grade distillate or residual fuels, lubricants, and hydraulic fluids;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(jj) On-site storage tanks not subject to any New Source Performance Standards (NSPS), including underground storage tanks (UST), storing gasoline or diesel used exclusively for fueling of the facility's fleet of vehicles;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(kk) Natural gas, propane, and liquefied petroleum gas (LPG) storage tanks and transfer equipment;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(ll) Pressurized tanks containing gaseous compounds;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(mm) Vacuum sheet stacker vents;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(nn) Emissions from wastewater discharges to publicly owned treatment works (POTW) provided the source is authorized to discharge to the POTW, not including on-site wastewater treatment and/or holding facilities;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(oo) Log ponds;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(pp) Storm water settling basins;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(qq) Fire suppression and training;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(rr) Paved roads and paved parking lots within an urban growth boundary;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(ss) Hazardous air pollutant emissions of fugitive dust from paved and unpaved roads except for those sources that have processes or activities that contribute to the deposition and entrainment of hazardous air pollutants from surface soils;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(tt) Health, safety, and emergency response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(uu) Emergency generators and pumps used only during loss of primary equipment or utility service due to circumstances beyond the reasonable control of the owner or operator, or to address a power emergency as determined by the Department;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(vv) Non-contact steam vents and leaks and safety and relief valves for boiler steam distribution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(ww) Non-contact steam condensate flash tanks;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 Non-contact steam vents on condensate receivers, deaerators and similar equipment;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(yy) Boiler blowdown tanks;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(zz) Industrial cooling towers that do not use chromium-based water treatment chemicals;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(aaa) Ash piles maintained in a wetted condition and associated handling systems and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(bbb) Oil/water separators in effluent treatment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(ccc) Combustion source flame safety purging on startup;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(ddd) Broke beaters, pulp and repulping tanks, stock chests and pulp handling equipment, excluding thickening equipment and repulpers;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(eee) Stock cleaning and pressurized pulp washing, excluding open stock washing systems;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(fff) White water storage tanks.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992E8E">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"Certifying individual" means the responsible person or official authorized by the owner or operator of a source who certifies the accuracy of the emission statement.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"CFR" means Code of Federal Regulations. </w:t>
      </w:r>
    </w:p>
    <w:p w:rsidR="00E05006"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"Class I area" means any Federal, State or Indian reservation land which is classified or reclassified as Class I area. Class I areas are identified in OAR 340-204-0050. </w:t>
      </w:r>
      <w:r w:rsidR="008C11DC" w:rsidRPr="00407D21" w:rsidDel="008C11DC">
        <w:rPr>
          <w:rFonts w:ascii="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"Commence" or "commencement" means that the owner or operator has obtained all necessary preconstruction approvals required by the Act and either has: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Begun, or caused to begin, a continuous program of actual on-site construction of the source to be completed in a reasonable time; 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"Commission" or "EQC" means Environmental Quality Commission.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"Constant Process Rate" means the average variation in process rate for the calendar year is not greater than plus or minus ten percent of the average process rate.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"Construction":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(a) Except as provided in subsection</w:t>
      </w:r>
      <w:r w:rsidR="001503BA">
        <w:rPr>
          <w:rFonts w:ascii="Times New Roman" w:eastAsia="Times New Roman" w:hAnsi="Times New Roman" w:cs="Times New Roman"/>
          <w:sz w:val="24"/>
          <w:szCs w:val="24"/>
        </w:rPr>
        <w:t xml:space="preserve"> </w:t>
      </w:r>
      <w:r w:rsidRPr="00CD03B8">
        <w:rPr>
          <w:rFonts w:ascii="Times New Roman" w:eastAsia="Times New Roman" w:hAnsi="Times New Roman" w:cs="Times New Roman"/>
          <w:sz w:val="24"/>
          <w:szCs w:val="24"/>
        </w:rPr>
        <w:t xml:space="preserve">(b) of this section means any physical change including, but not limited to, fabrication, erection, installation, demolition, or modification of a source or part of a source;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"Continuous compliance determination method" means a method, specified by the applicable standard or an applicable permit condition, which: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Is used to determine compliance with an emission limitation or standard on a continuous basis, consistent with the averaging period established for the emission limitation or standard;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Provides data either in units of the standard or correlated directly with the compliance limit.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"Continuous Monitoring Systems" means sampling and analysis, in a timed sequence, using techniques which will adequately reflect actual emissions or concentrations on a continuing basis in accordance with the Department's Continuous Monitoring Manual, and includes continuous emission monitoring systems, continuous opacity monitoring system (COMS) and continuous parameter monitoring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1E531D">
        <w:rPr>
          <w:rFonts w:ascii="Times New Roman" w:eastAsia="Times New Roman" w:hAnsi="Times New Roman" w:cs="Times New Roman"/>
          <w:sz w:val="24"/>
          <w:szCs w:val="24"/>
        </w:rPr>
        <w:t>30</w:t>
      </w:r>
      <w:r w:rsidRPr="00CD03B8">
        <w:rPr>
          <w:rFonts w:ascii="Times New Roman" w:eastAsia="Times New Roman" w:hAnsi="Times New Roman" w:cs="Times New Roman"/>
          <w:sz w:val="24"/>
          <w:szCs w:val="24"/>
        </w:rPr>
        <w:t xml:space="preserve">)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w:t>
      </w:r>
      <w:r w:rsidRPr="00CD03B8">
        <w:rPr>
          <w:rFonts w:ascii="Times New Roman" w:eastAsia="Times New Roman" w:hAnsi="Times New Roman" w:cs="Times New Roman"/>
          <w:sz w:val="24"/>
          <w:szCs w:val="24"/>
        </w:rPr>
        <w:lastRenderedPageBreak/>
        <w:t xml:space="preserve">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992E8E">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"Criteria Pollutant" means nitrogen oxides, volatile organic compounds, particulate matter, PM10, </w:t>
      </w:r>
      <w:r w:rsidR="009F56BF">
        <w:rPr>
          <w:rFonts w:ascii="Times New Roman" w:eastAsia="Times New Roman" w:hAnsi="Times New Roman" w:cs="Times New Roman"/>
          <w:sz w:val="24"/>
          <w:szCs w:val="24"/>
        </w:rPr>
        <w:t xml:space="preserve">PM2.5, </w:t>
      </w:r>
      <w:r w:rsidRPr="00CD03B8">
        <w:rPr>
          <w:rFonts w:ascii="Times New Roman" w:eastAsia="Times New Roman" w:hAnsi="Times New Roman" w:cs="Times New Roman"/>
          <w:sz w:val="24"/>
          <w:szCs w:val="24"/>
        </w:rPr>
        <w:t xml:space="preserve">sulfur dioxide, carbon monoxide, or lead.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"De minimis emission level</w:t>
      </w:r>
      <w:r w:rsidR="00641DBD">
        <w:rPr>
          <w:rFonts w:ascii="Times New Roman" w:eastAsia="Times New Roman" w:hAnsi="Times New Roman" w:cs="Times New Roman"/>
          <w:sz w:val="24"/>
          <w:szCs w:val="24"/>
        </w:rPr>
        <w:t>s</w:t>
      </w:r>
      <w:r w:rsidRPr="00CD03B8">
        <w:rPr>
          <w:rFonts w:ascii="Times New Roman" w:eastAsia="Times New Roman" w:hAnsi="Times New Roman" w:cs="Times New Roman"/>
          <w:sz w:val="24"/>
          <w:szCs w:val="24"/>
        </w:rPr>
        <w:t xml:space="preserve">" mean </w:t>
      </w:r>
      <w:r w:rsidR="003975D2">
        <w:rPr>
          <w:rFonts w:ascii="Times New Roman" w:eastAsia="Times New Roman" w:hAnsi="Times New Roman" w:cs="Times New Roman"/>
          <w:sz w:val="24"/>
          <w:szCs w:val="24"/>
        </w:rPr>
        <w:t xml:space="preserve">the levels for the pollutants listed in Table 4.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NOTE:</w:t>
      </w:r>
      <w:r w:rsidRPr="00CD03B8">
        <w:rPr>
          <w:rFonts w:ascii="Times New Roman" w:eastAsia="Times New Roman" w:hAnsi="Times New Roman" w:cs="Times New Roman"/>
          <w:sz w:val="24"/>
          <w:szCs w:val="24"/>
        </w:rPr>
        <w:t xml:space="preserve"> De minimis is compared to all increases that are not included in the PSEL.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"Department":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Means Department of Environmental Quality; except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in OAR 340 divisions 218 and 220 means Department of Environmental Quality or in the case of Lane County, Lane Regional Air Protection Agency.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"Device" means any machine, equipment, raw material, product, or byproduct at a source that produces or emits a regulated pollutant. </w:t>
      </w:r>
    </w:p>
    <w:p w:rsidR="00E41BD2" w:rsidRDefault="00A55954"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96140">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41BD2">
        <w:rPr>
          <w:rFonts w:ascii="Times New Roman" w:eastAsia="Times New Roman" w:hAnsi="Times New Roman" w:cs="Times New Roman"/>
          <w:sz w:val="24"/>
          <w:szCs w:val="24"/>
        </w:rPr>
        <w:t xml:space="preserve">“Direct PM2.5” has the meaning provided in the definition of PM2.5.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"Director" means the Director of the Department or the Director's designee.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8</w:t>
      </w:r>
      <w:r w:rsidR="00CD03B8" w:rsidRPr="00CD03B8">
        <w:rPr>
          <w:rFonts w:ascii="Times New Roman" w:eastAsia="Times New Roman" w:hAnsi="Times New Roman" w:cs="Times New Roman"/>
          <w:sz w:val="24"/>
          <w:szCs w:val="24"/>
        </w:rPr>
        <w:t xml:space="preserve">) "Draft permit" means the version of an Oregon Title V Operating Permit for which the Department or Lane Regional Air Protection Agency offers public participation under OAR 340-218-0210 or the EPA and affected State review under 340-218-0230.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A36CF">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9</w:t>
      </w:r>
      <w:r w:rsidR="00CD03B8" w:rsidRPr="00CD03B8">
        <w:rPr>
          <w:rFonts w:ascii="Times New Roman" w:eastAsia="Times New Roman" w:hAnsi="Times New Roman" w:cs="Times New Roman"/>
          <w:sz w:val="24"/>
          <w:szCs w:val="24"/>
        </w:rPr>
        <w:t xml:space="preserve">) "Effective date of the program" means the date that the EPA approves the Oregon Title V Operating Permit program submitted by the Department on a full or interim basis. In case of a partial approval, the "effective date of the program" for each portion of the program is the date of the EPA approval of that portion.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E531D">
        <w:rPr>
          <w:rFonts w:ascii="Times New Roman" w:eastAsia="Times New Roman" w:hAnsi="Times New Roman" w:cs="Times New Roman"/>
          <w:sz w:val="24"/>
          <w:szCs w:val="24"/>
        </w:rPr>
        <w:t>40</w:t>
      </w:r>
      <w:r w:rsidR="00CD03B8" w:rsidRPr="00CD03B8">
        <w:rPr>
          <w:rFonts w:ascii="Times New Roman" w:eastAsia="Times New Roman" w:hAnsi="Times New Roman" w:cs="Times New Roman"/>
          <w:sz w:val="24"/>
          <w:szCs w:val="24"/>
        </w:rPr>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92E8E">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1</w:t>
      </w:r>
      <w:r w:rsidR="00CD03B8" w:rsidRPr="00CD03B8">
        <w:rPr>
          <w:rFonts w:ascii="Times New Roman" w:eastAsia="Times New Roman" w:hAnsi="Times New Roman" w:cs="Times New Roman"/>
          <w:sz w:val="24"/>
          <w:szCs w:val="24"/>
        </w:rPr>
        <w:t xml:space="preserve">) "Emission" means a release into the atmosphere of any regulated pollutant or any air contaminant.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A36CF">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2</w:t>
      </w:r>
      <w:r w:rsidR="00CD03B8" w:rsidRPr="00CD03B8">
        <w:rPr>
          <w:rFonts w:ascii="Times New Roman" w:eastAsia="Times New Roman" w:hAnsi="Times New Roman" w:cs="Times New Roman"/>
          <w:sz w:val="24"/>
          <w:szCs w:val="24"/>
        </w:rPr>
        <w:t xml:space="preserve">) "Emission Estimate Adjustment Factor" or "EEAF" means an adjustment applied to an emission factor to account for the relative inaccuracy of the emission factor. </w:t>
      </w:r>
    </w:p>
    <w:p w:rsidR="00EA137D"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1E531D">
        <w:rPr>
          <w:rFonts w:ascii="Times New Roman" w:eastAsia="Times New Roman" w:hAnsi="Times New Roman" w:cs="Times New Roman"/>
          <w:sz w:val="24"/>
          <w:szCs w:val="24"/>
        </w:rPr>
        <w:t>3</w:t>
      </w:r>
      <w:r w:rsidR="00CD03B8" w:rsidRPr="00CD03B8">
        <w:rPr>
          <w:rFonts w:ascii="Times New Roman" w:eastAsia="Times New Roman" w:hAnsi="Times New Roman" w:cs="Times New Roman"/>
          <w:sz w:val="24"/>
          <w:szCs w:val="24"/>
        </w:rPr>
        <w:t xml:space="preserve">) "Emission Factor" means an estimate of the rate at which a pollutant is released into the atmosphere, as the result of some activity, divided by the rate of that activity (e.g., production or process rate).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4</w:t>
      </w:r>
      <w:r w:rsidR="00CD03B8" w:rsidRPr="00CD03B8">
        <w:rPr>
          <w:rFonts w:ascii="Times New Roman" w:eastAsia="Times New Roman" w:hAnsi="Times New Roman" w:cs="Times New Roman"/>
          <w:sz w:val="24"/>
          <w:szCs w:val="24"/>
        </w:rPr>
        <w:t xml:space="preserve">)(a)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5</w:t>
      </w:r>
      <w:r w:rsidR="00CD03B8" w:rsidRPr="00CD03B8">
        <w:rPr>
          <w:rFonts w:ascii="Times New Roman" w:eastAsia="Times New Roman" w:hAnsi="Times New Roman" w:cs="Times New Roman"/>
          <w:sz w:val="24"/>
          <w:szCs w:val="24"/>
        </w:rPr>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6</w:t>
      </w:r>
      <w:r w:rsidR="00CD03B8" w:rsidRPr="00CD03B8">
        <w:rPr>
          <w:rFonts w:ascii="Times New Roman" w:eastAsia="Times New Roman" w:hAnsi="Times New Roman" w:cs="Times New Roman"/>
          <w:sz w:val="24"/>
          <w:szCs w:val="24"/>
        </w:rPr>
        <w:t xml:space="preserve">) "Emission Reporting Form" means a paper or electronic form developed by the Department that must be completed by the permittee to report calculated emissions, actual emissions, or permitted emissions for interim emission fee assessment purposes.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7</w:t>
      </w:r>
      <w:r w:rsidR="00CD03B8" w:rsidRPr="00CD03B8">
        <w:rPr>
          <w:rFonts w:ascii="Times New Roman" w:eastAsia="Times New Roman" w:hAnsi="Times New Roman" w:cs="Times New Roman"/>
          <w:sz w:val="24"/>
          <w:szCs w:val="24"/>
        </w:rPr>
        <w:t xml:space="preserve">) "Emissions unit" means any part or activity of a source that emits or has the potential to emit any regulated air pollutant.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The group used to define the emissions unit may not include discrete parts or activities to which a distinct emissions standard applies or for which different compliance demonstration requirements apply;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The emissions from the emissions unit are quantifiable.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Emissions units may be defined on a pollutant by pollutant basis where applicable.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The term emissions unit is not meant to alter or affect the definition of the term "unit" under Title IV of the FCAA.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8</w:t>
      </w:r>
      <w:r w:rsidR="00CD03B8" w:rsidRPr="00CD03B8">
        <w:rPr>
          <w:rFonts w:ascii="Times New Roman" w:eastAsia="Times New Roman" w:hAnsi="Times New Roman" w:cs="Times New Roman"/>
          <w:sz w:val="24"/>
          <w:szCs w:val="24"/>
        </w:rPr>
        <w:t xml:space="preserve">) "EPA" or "Administrator" means the Administrator of the United States Environmental Protection Agency or the Administrator's designee.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9</w:t>
      </w:r>
      <w:r w:rsidR="00CD03B8" w:rsidRPr="00CD03B8">
        <w:rPr>
          <w:rFonts w:ascii="Times New Roman" w:eastAsia="Times New Roman" w:hAnsi="Times New Roman" w:cs="Times New Roman"/>
          <w:sz w:val="24"/>
          <w:szCs w:val="24"/>
        </w:rPr>
        <w:t xml:space="preserve">) "Equivalent method" means any method of sampling and analyzing for an air pollutant that has been demonstrated to the Department's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the Department.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E531D">
        <w:rPr>
          <w:rFonts w:ascii="Times New Roman" w:eastAsia="Times New Roman" w:hAnsi="Times New Roman" w:cs="Times New Roman"/>
          <w:sz w:val="24"/>
          <w:szCs w:val="24"/>
        </w:rPr>
        <w:t>50</w:t>
      </w:r>
      <w:r w:rsidR="00CD03B8" w:rsidRPr="00CD03B8">
        <w:rPr>
          <w:rFonts w:ascii="Times New Roman" w:eastAsia="Times New Roman" w:hAnsi="Times New Roman" w:cs="Times New Roman"/>
          <w:sz w:val="24"/>
          <w:szCs w:val="24"/>
        </w:rPr>
        <w:t xml:space="preserve">) "Event" means excess emissions that arise from the same condition and occur during a single calendar day or continue into subsequent calendar days.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70F1D">
        <w:rPr>
          <w:rFonts w:ascii="Times New Roman" w:eastAsia="Times New Roman" w:hAnsi="Times New Roman" w:cs="Times New Roman"/>
          <w:sz w:val="24"/>
          <w:szCs w:val="24"/>
        </w:rPr>
        <w:t>5</w:t>
      </w:r>
      <w:r w:rsidR="001E531D">
        <w:rPr>
          <w:rFonts w:ascii="Times New Roman" w:eastAsia="Times New Roman" w:hAnsi="Times New Roman" w:cs="Times New Roman"/>
          <w:sz w:val="24"/>
          <w:szCs w:val="24"/>
        </w:rPr>
        <w:t>1</w:t>
      </w:r>
      <w:r w:rsidR="00CD03B8" w:rsidRPr="00CD03B8">
        <w:rPr>
          <w:rFonts w:ascii="Times New Roman" w:eastAsia="Times New Roman" w:hAnsi="Times New Roman" w:cs="Times New Roman"/>
          <w:sz w:val="24"/>
          <w:szCs w:val="24"/>
        </w:rPr>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A32CF">
        <w:rPr>
          <w:rFonts w:ascii="Times New Roman" w:eastAsia="Times New Roman" w:hAnsi="Times New Roman" w:cs="Times New Roman"/>
          <w:sz w:val="24"/>
          <w:szCs w:val="24"/>
        </w:rPr>
        <w:t>5</w:t>
      </w:r>
      <w:r w:rsidR="001E531D">
        <w:rPr>
          <w:rFonts w:ascii="Times New Roman" w:eastAsia="Times New Roman" w:hAnsi="Times New Roman" w:cs="Times New Roman"/>
          <w:sz w:val="24"/>
          <w:szCs w:val="24"/>
        </w:rPr>
        <w:t>2</w:t>
      </w:r>
      <w:r w:rsidR="00CD03B8" w:rsidRPr="00CD03B8">
        <w:rPr>
          <w:rFonts w:ascii="Times New Roman" w:eastAsia="Times New Roman" w:hAnsi="Times New Roman" w:cs="Times New Roman"/>
          <w:sz w:val="24"/>
          <w:szCs w:val="24"/>
        </w:rPr>
        <w:t xml:space="preserve">) "Excess emissions" means emissions in excess of a permit limit or any applicable air quality rule. </w:t>
      </w:r>
    </w:p>
    <w:p w:rsid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E531D">
        <w:rPr>
          <w:rFonts w:ascii="Times New Roman" w:eastAsia="Times New Roman" w:hAnsi="Times New Roman" w:cs="Times New Roman"/>
          <w:sz w:val="24"/>
          <w:szCs w:val="24"/>
        </w:rPr>
        <w:t>3</w:t>
      </w:r>
      <w:r w:rsidR="00CD03B8" w:rsidRPr="00CD03B8">
        <w:rPr>
          <w:rFonts w:ascii="Times New Roman" w:eastAsia="Times New Roman" w:hAnsi="Times New Roman" w:cs="Times New Roman"/>
          <w:sz w:val="24"/>
          <w:szCs w:val="24"/>
        </w:rPr>
        <w:t xml:space="preserve">) "Excursion" means a departure from an indicator range established for monitoring under OAR 340-212-0200 through 340-212-0280 and 340-218-0050(3)(a), consistent with any averaging period specified for averaging the results of the monitoring.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E531D">
        <w:rPr>
          <w:rFonts w:ascii="Times New Roman" w:eastAsia="Times New Roman" w:hAnsi="Times New Roman" w:cs="Times New Roman"/>
          <w:sz w:val="24"/>
          <w:szCs w:val="24"/>
        </w:rPr>
        <w:t>4</w:t>
      </w:r>
      <w:r w:rsidR="00CD03B8" w:rsidRPr="00CD03B8">
        <w:rPr>
          <w:rFonts w:ascii="Times New Roman" w:eastAsia="Times New Roman" w:hAnsi="Times New Roman" w:cs="Times New Roman"/>
          <w:sz w:val="24"/>
          <w:szCs w:val="24"/>
        </w:rPr>
        <w:t xml:space="preserve">) "Federal Land Manager" means with respect to any lands in the United States, the Secretary of the federal department with authority over such lands.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E531D">
        <w:rPr>
          <w:rFonts w:ascii="Times New Roman" w:eastAsia="Times New Roman" w:hAnsi="Times New Roman" w:cs="Times New Roman"/>
          <w:sz w:val="24"/>
          <w:szCs w:val="24"/>
        </w:rPr>
        <w:t>5</w:t>
      </w:r>
      <w:r w:rsidR="00CD03B8" w:rsidRPr="00CD03B8">
        <w:rPr>
          <w:rFonts w:ascii="Times New Roman" w:eastAsia="Times New Roman" w:hAnsi="Times New Roman" w:cs="Times New Roman"/>
          <w:sz w:val="24"/>
          <w:szCs w:val="24"/>
        </w:rPr>
        <w:t xml:space="preserve">) </w:t>
      </w:r>
      <w:r w:rsidR="00CD693D">
        <w:rPr>
          <w:rFonts w:ascii="Times New Roman" w:eastAsia="Times New Roman" w:hAnsi="Times New Roman" w:cs="Times New Roman"/>
          <w:sz w:val="24"/>
          <w:szCs w:val="24"/>
        </w:rPr>
        <w:t>“</w:t>
      </w:r>
      <w:r w:rsidR="00CD03B8" w:rsidRPr="00CD03B8">
        <w:rPr>
          <w:rFonts w:ascii="Times New Roman" w:eastAsia="Times New Roman" w:hAnsi="Times New Roman" w:cs="Times New Roman"/>
          <w:sz w:val="24"/>
          <w:szCs w:val="24"/>
        </w:rPr>
        <w:t>Federal Major Source</w:t>
      </w:r>
      <w:r w:rsidR="00CD693D">
        <w:rPr>
          <w:rFonts w:ascii="Times New Roman" w:eastAsia="Times New Roman" w:hAnsi="Times New Roman" w:cs="Times New Roman"/>
          <w:sz w:val="24"/>
          <w:szCs w:val="24"/>
        </w:rPr>
        <w:t>”</w:t>
      </w:r>
      <w:r w:rsidR="00CD03B8" w:rsidRPr="00CD03B8">
        <w:rPr>
          <w:rFonts w:ascii="Times New Roman" w:eastAsia="Times New Roman" w:hAnsi="Times New Roman" w:cs="Times New Roman"/>
          <w:sz w:val="24"/>
          <w:szCs w:val="24"/>
        </w:rPr>
        <w:t xml:space="preserve"> means a source with potential to emit any individual regulated pollutant, excluding hazardous air pollutants listed in OAR 340 division 244, greater than or equal to 100 tons per year if in a source category listed below, or 250 tons per year if not in a source category listed. </w:t>
      </w:r>
      <w:r w:rsidR="00A10EB3">
        <w:rPr>
          <w:rFonts w:ascii="Times New Roman" w:eastAsia="Times New Roman" w:hAnsi="Times New Roman" w:cs="Times New Roman"/>
          <w:sz w:val="24"/>
          <w:szCs w:val="24"/>
        </w:rPr>
        <w:t>In addition</w:t>
      </w:r>
      <w:r w:rsidR="003755F0">
        <w:rPr>
          <w:rFonts w:ascii="Times New Roman" w:eastAsia="Times New Roman" w:hAnsi="Times New Roman" w:cs="Times New Roman"/>
          <w:sz w:val="24"/>
          <w:szCs w:val="24"/>
        </w:rPr>
        <w:t>,</w:t>
      </w:r>
      <w:r w:rsidR="00A10EB3">
        <w:rPr>
          <w:rFonts w:ascii="Times New Roman" w:eastAsia="Times New Roman" w:hAnsi="Times New Roman" w:cs="Times New Roman"/>
          <w:sz w:val="24"/>
          <w:szCs w:val="24"/>
        </w:rPr>
        <w:t xml:space="preserve"> for greenhouse gases, a federal major source must also have the potential to emit CO2e greater than or equal to 100,000 tons per year. </w:t>
      </w:r>
      <w:r w:rsidR="000476F5">
        <w:rPr>
          <w:rFonts w:ascii="Times New Roman" w:eastAsia="Times New Roman" w:hAnsi="Times New Roman" w:cs="Times New Roman"/>
          <w:sz w:val="24"/>
          <w:szCs w:val="24"/>
        </w:rPr>
        <w:t xml:space="preserve"> </w:t>
      </w:r>
      <w:r w:rsidR="000476F5" w:rsidRPr="00CD03B8">
        <w:rPr>
          <w:rFonts w:ascii="Times New Roman" w:eastAsia="Times New Roman" w:hAnsi="Times New Roman" w:cs="Times New Roman"/>
          <w:sz w:val="24"/>
          <w:szCs w:val="24"/>
        </w:rPr>
        <w:t xml:space="preserve">The fugitive emissions </w:t>
      </w:r>
      <w:r w:rsidR="001A286A">
        <w:rPr>
          <w:rFonts w:ascii="Times New Roman" w:eastAsia="Times New Roman" w:hAnsi="Times New Roman" w:cs="Times New Roman"/>
          <w:sz w:val="24"/>
          <w:szCs w:val="24"/>
        </w:rPr>
        <w:t xml:space="preserve">and insignificant activity emissions </w:t>
      </w:r>
      <w:r w:rsidR="000476F5" w:rsidRPr="00CD03B8">
        <w:rPr>
          <w:rFonts w:ascii="Times New Roman" w:eastAsia="Times New Roman" w:hAnsi="Times New Roman" w:cs="Times New Roman"/>
          <w:sz w:val="24"/>
          <w:szCs w:val="24"/>
        </w:rPr>
        <w:t xml:space="preserve">of a stationary source are considered in determining whether it is a </w:t>
      </w:r>
      <w:r w:rsidR="000476F5">
        <w:rPr>
          <w:rFonts w:ascii="Times New Roman" w:eastAsia="Times New Roman" w:hAnsi="Times New Roman" w:cs="Times New Roman"/>
          <w:sz w:val="24"/>
          <w:szCs w:val="24"/>
        </w:rPr>
        <w:t xml:space="preserve">federal </w:t>
      </w:r>
      <w:r w:rsidR="000476F5" w:rsidRPr="00CD03B8">
        <w:rPr>
          <w:rFonts w:ascii="Times New Roman" w:eastAsia="Times New Roman" w:hAnsi="Times New Roman" w:cs="Times New Roman"/>
          <w:sz w:val="24"/>
          <w:szCs w:val="24"/>
        </w:rPr>
        <w:t>major source</w:t>
      </w:r>
      <w:r w:rsidR="004903E8" w:rsidRPr="00CD693D">
        <w:rPr>
          <w:rFonts w:ascii="Times New Roman" w:eastAsia="Times New Roman" w:hAnsi="Times New Roman" w:cs="Times New Roman"/>
          <w:sz w:val="24"/>
          <w:szCs w:val="24"/>
        </w:rPr>
        <w:t>.</w:t>
      </w:r>
      <w:r w:rsidR="000476F5">
        <w:rPr>
          <w:rFonts w:ascii="Times New Roman" w:eastAsia="Times New Roman" w:hAnsi="Times New Roman" w:cs="Times New Roman"/>
          <w:sz w:val="24"/>
          <w:szCs w:val="24"/>
        </w:rPr>
        <w:t xml:space="preserve"> </w:t>
      </w:r>
      <w:r w:rsidR="000476F5" w:rsidRPr="00CD03B8">
        <w:rPr>
          <w:rFonts w:ascii="Times New Roman" w:eastAsia="Times New Roman" w:hAnsi="Times New Roman" w:cs="Times New Roman"/>
          <w:sz w:val="24"/>
          <w:szCs w:val="24"/>
        </w:rPr>
        <w:t xml:space="preserve"> </w:t>
      </w:r>
      <w:r w:rsidR="00CD03B8" w:rsidRPr="00CD03B8">
        <w:rPr>
          <w:rFonts w:ascii="Times New Roman" w:eastAsia="Times New Roman" w:hAnsi="Times New Roman" w:cs="Times New Roman"/>
          <w:sz w:val="24"/>
          <w:szCs w:val="24"/>
        </w:rPr>
        <w:t>Potential to emit calculations must include emission increases due to a new or modified source</w:t>
      </w:r>
      <w:r w:rsidR="001F2116">
        <w:rPr>
          <w:rFonts w:ascii="Times New Roman" w:eastAsia="Times New Roman" w:hAnsi="Times New Roman" w:cs="Times New Roman"/>
          <w:sz w:val="24"/>
          <w:szCs w:val="24"/>
        </w:rPr>
        <w:t xml:space="preserve"> and may include emission decreases</w:t>
      </w:r>
      <w:r w:rsidR="00CD03B8"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Fossil fuel-fired steam electric plants of more than 250 million BTU/hour heat input;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Coal cleaning plants with thermal dryers;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Kraft pulp mills;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Portland cement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(e) Primary Zinc Smelters;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(f) Iron and Steel Mill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(g) Primary aluminum ore reduction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(h) Primary copper smelters;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 Municipal Incinerators capable of charging more than 50 tons of refuse per day;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(j) Hydrofluoric acid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(k) Sulfuric acid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(l) Nitric acid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(m) Petroleum Refineries;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(n) Lime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(o) Phosphate rock processing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(p) Coke oven batteries;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(q) Sulfur recovery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(r) Carbon black plants, furnace process;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(s) Primary lead smelters;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(t) Fuel conversion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(u) Sintering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(v) Secondary metal production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(w) Chemical process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 Fossil fuel fired boilers, or combinations thereof, totaling more than 250 million BTU per hour heat input;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(y) Petroleum storage and transfer units with a total storage capacity exceeding 300,000 barrels;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(z) Taconite ore processing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(aa) Glass fiber processing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(bb) Charcoal production plants. </w:t>
      </w:r>
    </w:p>
    <w:p w:rsidR="0066575D"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r w:rsidR="001E531D">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"Final permit" means the version of an Oregon Title V Operating Permit issued by the Department or Lane Regional Air Protection Agency that has completed all review procedures required by OAR 340-218-0120 through 340-218-0240.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r w:rsidR="001E531D">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"Fugitive Emissions":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Except as used in subsection (b) of this section, means emissions of any air contaminant which escape to the atmosphere from any point or area that is not identifiable as a stack, vent, duct, or equivalent opening.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to define a major Oregon Title V Operating Permit program source, means those emissions which could not reasonably pass through a stack, chimney, vent, or other functionally equivalent opening.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r w:rsidR="001E531D">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"General permit":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Except as provided in subsection (b) of this section, means an Oregon Air Contaminant Discharge Permit established under OAR 340-216-0060;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in OAR 340 division 218 means an Oregon Title V Operating Permit established under OAR 340-218-0090. </w:t>
      </w:r>
    </w:p>
    <w:p w:rsidR="00CD03B8" w:rsidRPr="00CD03B8" w:rsidRDefault="002D3BE8"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E531D">
        <w:rPr>
          <w:rFonts w:ascii="Times New Roman" w:eastAsia="Times New Roman" w:hAnsi="Times New Roman" w:cs="Times New Roman"/>
          <w:sz w:val="24"/>
          <w:szCs w:val="24"/>
        </w:rPr>
        <w:t>9</w:t>
      </w:r>
      <w:r w:rsidR="00CD03B8" w:rsidRPr="00CD03B8">
        <w:rPr>
          <w:rFonts w:ascii="Times New Roman" w:eastAsia="Times New Roman" w:hAnsi="Times New Roman" w:cs="Times New Roman"/>
          <w:sz w:val="24"/>
          <w:szCs w:val="24"/>
        </w:rPr>
        <w:t xml:space="preserve">) "Generic PSEL" means </w:t>
      </w:r>
      <w:r w:rsidR="003975D2">
        <w:rPr>
          <w:rFonts w:ascii="Times New Roman" w:eastAsia="Times New Roman" w:hAnsi="Times New Roman" w:cs="Times New Roman"/>
          <w:sz w:val="24"/>
          <w:szCs w:val="24"/>
        </w:rPr>
        <w:t xml:space="preserve">the levels for the pollutants listed in Table 5.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NOTE: Sources are eligible for a generic PSEL if expected emissions are less than or equal to the levels listed in </w:t>
      </w:r>
      <w:r w:rsidR="009A62A5">
        <w:rPr>
          <w:rFonts w:ascii="Times New Roman" w:eastAsia="Times New Roman" w:hAnsi="Times New Roman" w:cs="Times New Roman"/>
          <w:sz w:val="24"/>
          <w:szCs w:val="24"/>
        </w:rPr>
        <w:t>Table 5</w:t>
      </w:r>
      <w:r w:rsidRPr="00CD03B8">
        <w:rPr>
          <w:rFonts w:ascii="Times New Roman" w:eastAsia="Times New Roman" w:hAnsi="Times New Roman" w:cs="Times New Roman"/>
          <w:sz w:val="24"/>
          <w:szCs w:val="24"/>
        </w:rPr>
        <w:t xml:space="preserve">. Baseline emission rate and netting basis do not apply to pollutants at sources using generic </w:t>
      </w:r>
      <w:r w:rsidR="00BE169F" w:rsidRPr="00E41BD2">
        <w:rPr>
          <w:rFonts w:ascii="Times New Roman" w:eastAsia="Times New Roman" w:hAnsi="Times New Roman" w:cs="Times New Roman"/>
          <w:sz w:val="24"/>
          <w:szCs w:val="24"/>
        </w:rPr>
        <w:t>PSELs</w:t>
      </w:r>
      <w:r w:rsidRPr="00CD03B8">
        <w:rPr>
          <w:rFonts w:ascii="Times New Roman" w:eastAsia="Times New Roman" w:hAnsi="Times New Roman" w:cs="Times New Roman"/>
          <w:sz w:val="24"/>
          <w:szCs w:val="24"/>
        </w:rPr>
        <w:t xml:space="preserve">. </w:t>
      </w:r>
    </w:p>
    <w:p w:rsidR="0047739E" w:rsidRDefault="0047739E" w:rsidP="00CE74E5">
      <w:pPr>
        <w:spacing w:after="0" w:line="240" w:lineRule="auto"/>
        <w:rPr>
          <w:rFonts w:ascii="Times New Roman" w:hAnsi="Times New Roman" w:cs="Times New Roman"/>
          <w:color w:val="000000"/>
          <w:sz w:val="24"/>
          <w:szCs w:val="24"/>
        </w:rPr>
      </w:pPr>
      <w:r w:rsidRPr="00D42566">
        <w:rPr>
          <w:rFonts w:ascii="Times New Roman" w:hAnsi="Times New Roman" w:cs="Times New Roman"/>
          <w:color w:val="000000"/>
          <w:sz w:val="24"/>
          <w:szCs w:val="24"/>
        </w:rPr>
        <w:t>(60)</w:t>
      </w:r>
      <w:r>
        <w:rPr>
          <w:rFonts w:ascii="Times New Roman" w:hAnsi="Times New Roman" w:cs="Times New Roman"/>
          <w:color w:val="000000"/>
          <w:sz w:val="24"/>
          <w:szCs w:val="24"/>
        </w:rPr>
        <w:t xml:space="preserve">(a) </w:t>
      </w:r>
      <w:r w:rsidRPr="00D42566">
        <w:rPr>
          <w:rFonts w:ascii="Times New Roman" w:hAnsi="Times New Roman" w:cs="Times New Roman"/>
          <w:color w:val="000000"/>
          <w:sz w:val="24"/>
          <w:szCs w:val="24"/>
        </w:rPr>
        <w:t xml:space="preserve">“Greenhouse Gases” or “GHGs” means the aggregate group of six greenhouse gases: carbon dioxide, nitrous oxide, methane, hydrofluorocarbons, perfluorocarbons, and sulfur hexafluoride.  Each gas is also individually a greenhouse gas.  </w:t>
      </w:r>
    </w:p>
    <w:p w:rsidR="0047739E" w:rsidRPr="001F2116" w:rsidRDefault="0047739E" w:rsidP="00CE74E5">
      <w:pPr>
        <w:spacing w:after="0" w:line="240" w:lineRule="auto"/>
      </w:pPr>
      <w:r w:rsidRPr="0080305C">
        <w:rPr>
          <w:rFonts w:ascii="Times New Roman" w:hAnsi="Times New Roman" w:cs="Times New Roman"/>
          <w:sz w:val="24"/>
          <w:szCs w:val="24"/>
        </w:rPr>
        <w:t>(b) The definition of greenhouse gases in subsection (a) of this section does not include, for purposes of division 216, 218, and 224, carbon dioxide emissions from the combustion or decomposition of biomass except to the extent required by federal law.</w:t>
      </w:r>
      <w:r w:rsidRPr="00832C69">
        <w:rPr>
          <w:rFonts w:ascii="Times New Roman" w:hAnsi="Times New Roman" w:cs="Times New Roman"/>
          <w:sz w:val="24"/>
          <w:szCs w:val="24"/>
        </w:rPr>
        <w:t xml:space="preserve">   </w:t>
      </w:r>
    </w:p>
    <w:p w:rsidR="00CD03B8" w:rsidRDefault="00CD03B8" w:rsidP="00CE74E5">
      <w:pPr>
        <w:spacing w:after="0" w:line="240" w:lineRule="auto"/>
        <w:rPr>
          <w:rFonts w:ascii="Times New Roman" w:eastAsia="Times New Roman" w:hAnsi="Times New Roman" w:cs="Times New Roman"/>
          <w:sz w:val="24"/>
          <w:szCs w:val="24"/>
        </w:rPr>
      </w:pPr>
      <w:r w:rsidRPr="00BE42F5">
        <w:rPr>
          <w:rFonts w:ascii="Times New Roman" w:eastAsia="Times New Roman" w:hAnsi="Times New Roman" w:cs="Times New Roman"/>
          <w:sz w:val="24"/>
          <w:szCs w:val="24"/>
        </w:rPr>
        <w:t>(</w:t>
      </w:r>
      <w:r w:rsidR="00ED592F" w:rsidRPr="00BE42F5">
        <w:rPr>
          <w:rFonts w:ascii="Times New Roman" w:eastAsia="Times New Roman" w:hAnsi="Times New Roman" w:cs="Times New Roman"/>
          <w:sz w:val="24"/>
          <w:szCs w:val="24"/>
        </w:rPr>
        <w:t>6</w:t>
      </w:r>
      <w:r w:rsidR="001E531D" w:rsidRPr="00BE42F5">
        <w:rPr>
          <w:rFonts w:ascii="Times New Roman" w:eastAsia="Times New Roman" w:hAnsi="Times New Roman" w:cs="Times New Roman"/>
          <w:sz w:val="24"/>
          <w:szCs w:val="24"/>
        </w:rPr>
        <w:t>1</w:t>
      </w:r>
      <w:r w:rsidRPr="00BE42F5">
        <w:rPr>
          <w:rFonts w:ascii="Times New Roman" w:eastAsia="Times New Roman" w:hAnsi="Times New Roman" w:cs="Times New Roman"/>
          <w:sz w:val="24"/>
          <w:szCs w:val="24"/>
        </w:rPr>
        <w:t>) "Growth Allowance" means an allocation of some part of an airshed's</w:t>
      </w:r>
      <w:r w:rsidRPr="00CD03B8">
        <w:rPr>
          <w:rFonts w:ascii="Times New Roman" w:eastAsia="Times New Roman" w:hAnsi="Times New Roman" w:cs="Times New Roman"/>
          <w:sz w:val="24"/>
          <w:szCs w:val="24"/>
        </w:rPr>
        <w:t xml:space="preserve"> capacity to accommodate future proposed major sources and major modifications of sources.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9464D7">
        <w:rPr>
          <w:rFonts w:ascii="Times New Roman" w:eastAsia="Times New Roman" w:hAnsi="Times New Roman" w:cs="Times New Roman"/>
          <w:sz w:val="24"/>
          <w:szCs w:val="24"/>
        </w:rPr>
        <w:t>6</w:t>
      </w:r>
      <w:r w:rsidR="001E531D">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"Immediately" means as soon as possible but in no case more than one hour after a source knew or should have known of an excess emission period.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9464D7">
        <w:rPr>
          <w:rFonts w:ascii="Times New Roman" w:eastAsia="Times New Roman" w:hAnsi="Times New Roman" w:cs="Times New Roman"/>
          <w:sz w:val="24"/>
          <w:szCs w:val="24"/>
        </w:rPr>
        <w:t>6</w:t>
      </w:r>
      <w:r w:rsidR="001E531D">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"Inherent process equipment" means equipment that is necessary for the proper or safe functioning of the process, or material recovery equipment that the owner or operator documents </w:t>
      </w:r>
      <w:r w:rsidRPr="00CD03B8">
        <w:rPr>
          <w:rFonts w:ascii="Times New Roman" w:eastAsia="Times New Roman" w:hAnsi="Times New Roman" w:cs="Times New Roman"/>
          <w:sz w:val="24"/>
          <w:szCs w:val="24"/>
        </w:rPr>
        <w:lastRenderedPageBreak/>
        <w:t xml:space="preserve">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r w:rsidR="001E531D">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"Insignificant Activity" means an activity or emission that the Department has designated as categorically insignificant, or that meets the criteria of aggregate insignificant emissions.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r w:rsidR="001E531D">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"Insignificant Change" means an off-permit change defined under OAR 340-218-0140(2)(a) to either a significant or an insignificant activity which: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Does not result in a re-designation from an insignificant to a significant activity;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Does not invoke an applicable requirement not included in the permit;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Does not result in emission of regulated air pollutants not regulated by the source's permit.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r w:rsidR="001E531D">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"Late Payment" means a fee payment which is postmarked after the due date.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r w:rsidR="001E531D">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r w:rsidR="001E531D">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"Maintenance Area" means a geographical area of the State that was designated as a nonattainment area, redesignated as an attainment area by EPA, and redesignated as a maintenance area by the Environmental Quality Commission in OAR 340, division 204.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r w:rsidR="001E531D">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"Maintenance Pollutant" means a pollutant for which a maintenance area was formerly designated a nonattainment area. </w:t>
      </w:r>
    </w:p>
    <w:p w:rsidR="00CD03B8" w:rsidRPr="001F2116"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1E531D">
        <w:rPr>
          <w:rFonts w:ascii="Times New Roman" w:eastAsia="Times New Roman" w:hAnsi="Times New Roman" w:cs="Times New Roman"/>
          <w:sz w:val="24"/>
          <w:szCs w:val="24"/>
        </w:rPr>
        <w:t>70</w:t>
      </w:r>
      <w:r w:rsidRPr="00CD03B8">
        <w:rPr>
          <w:rFonts w:ascii="Times New Roman" w:eastAsia="Times New Roman" w:hAnsi="Times New Roman" w:cs="Times New Roman"/>
          <w:sz w:val="24"/>
          <w:szCs w:val="24"/>
        </w:rPr>
        <w:t xml:space="preserve">) "Major Modification" means any physical change or change </w:t>
      </w:r>
      <w:r w:rsidR="00344144">
        <w:rPr>
          <w:rFonts w:ascii="Times New Roman" w:eastAsia="Times New Roman" w:hAnsi="Times New Roman" w:cs="Times New Roman"/>
          <w:sz w:val="24"/>
          <w:szCs w:val="24"/>
        </w:rPr>
        <w:t xml:space="preserve">in the method </w:t>
      </w:r>
      <w:r w:rsidRPr="00CD03B8">
        <w:rPr>
          <w:rFonts w:ascii="Times New Roman" w:eastAsia="Times New Roman" w:hAnsi="Times New Roman" w:cs="Times New Roman"/>
          <w:sz w:val="24"/>
          <w:szCs w:val="24"/>
        </w:rPr>
        <w:t xml:space="preserve">of operation of a source that results in </w:t>
      </w:r>
      <w:r w:rsidR="0038712A">
        <w:rPr>
          <w:rFonts w:ascii="Times New Roman" w:eastAsia="Times New Roman" w:hAnsi="Times New Roman" w:cs="Times New Roman"/>
          <w:sz w:val="24"/>
          <w:szCs w:val="24"/>
        </w:rPr>
        <w:t xml:space="preserve">satisfying the requirements of both subsections </w:t>
      </w:r>
      <w:r w:rsidR="002511FA">
        <w:rPr>
          <w:rFonts w:ascii="Times New Roman" w:eastAsia="Times New Roman" w:hAnsi="Times New Roman" w:cs="Times New Roman"/>
          <w:sz w:val="24"/>
          <w:szCs w:val="24"/>
        </w:rPr>
        <w:t>(a) and (b)</w:t>
      </w:r>
      <w:r w:rsidR="007767F8">
        <w:rPr>
          <w:rFonts w:ascii="Times New Roman" w:eastAsia="Times New Roman" w:hAnsi="Times New Roman" w:cs="Times New Roman"/>
          <w:sz w:val="24"/>
          <w:szCs w:val="24"/>
        </w:rPr>
        <w:t xml:space="preserve"> of this section</w:t>
      </w:r>
      <w:r w:rsidR="002511FA">
        <w:rPr>
          <w:rFonts w:ascii="Times New Roman" w:eastAsia="Times New Roman" w:hAnsi="Times New Roman" w:cs="Times New Roman"/>
          <w:sz w:val="24"/>
          <w:szCs w:val="24"/>
        </w:rPr>
        <w:t xml:space="preserve">, or </w:t>
      </w:r>
      <w:r w:rsidR="0038712A">
        <w:rPr>
          <w:rFonts w:ascii="Times New Roman" w:eastAsia="Times New Roman" w:hAnsi="Times New Roman" w:cs="Times New Roman"/>
          <w:sz w:val="24"/>
          <w:szCs w:val="24"/>
        </w:rPr>
        <w:t xml:space="preserve">of subsection </w:t>
      </w:r>
      <w:r w:rsidR="002511FA">
        <w:rPr>
          <w:rFonts w:ascii="Times New Roman" w:eastAsia="Times New Roman" w:hAnsi="Times New Roman" w:cs="Times New Roman"/>
          <w:sz w:val="24"/>
          <w:szCs w:val="24"/>
        </w:rPr>
        <w:t>(c)</w:t>
      </w:r>
      <w:r w:rsidR="007767F8">
        <w:rPr>
          <w:rFonts w:ascii="Times New Roman" w:eastAsia="Times New Roman" w:hAnsi="Times New Roman" w:cs="Times New Roman"/>
          <w:sz w:val="24"/>
          <w:szCs w:val="24"/>
        </w:rPr>
        <w:t xml:space="preserve"> of this section </w:t>
      </w:r>
      <w:r w:rsidR="002511FA">
        <w:rPr>
          <w:rFonts w:ascii="Times New Roman" w:eastAsia="Times New Roman" w:hAnsi="Times New Roman" w:cs="Times New Roman"/>
          <w:sz w:val="24"/>
          <w:szCs w:val="24"/>
        </w:rPr>
        <w:t xml:space="preserve"> </w:t>
      </w:r>
      <w:r w:rsidRPr="00CD03B8">
        <w:rPr>
          <w:rFonts w:ascii="Times New Roman" w:eastAsia="Times New Roman" w:hAnsi="Times New Roman" w:cs="Times New Roman"/>
          <w:sz w:val="24"/>
          <w:szCs w:val="24"/>
        </w:rPr>
        <w:t>for any regulated air pollutant</w:t>
      </w:r>
      <w:r w:rsidR="00BB4E9B" w:rsidRPr="001F2116">
        <w:rPr>
          <w:rFonts w:ascii="Times New Roman" w:eastAsia="Times New Roman" w:hAnsi="Times New Roman" w:cs="Times New Roman"/>
          <w:sz w:val="24"/>
          <w:szCs w:val="24"/>
        </w:rPr>
        <w:t xml:space="preserve">.  </w:t>
      </w:r>
      <w:r w:rsidR="006713F9" w:rsidRPr="005C26FF">
        <w:rPr>
          <w:rFonts w:ascii="Times New Roman" w:hAnsi="Times New Roman" w:cs="Times New Roman"/>
          <w:sz w:val="24"/>
          <w:szCs w:val="24"/>
        </w:rPr>
        <w:t>Major modifications for ozone precursors or PM2.5 precursors also constitute major modifications for ozone and PM2.5, respectively.</w:t>
      </w:r>
      <w:r w:rsidR="00BB4E9B" w:rsidRPr="001F2116">
        <w:rPr>
          <w:rFonts w:ascii="Times New Roman" w:hAnsi="Times New Roman" w:cs="Times New Roman"/>
          <w:sz w:val="24"/>
          <w:szCs w:val="24"/>
        </w:rPr>
        <w:t xml:space="preserve">  </w:t>
      </w:r>
      <w:r w:rsidRPr="001F2116">
        <w:rPr>
          <w:rFonts w:ascii="Times New Roman" w:eastAsia="Times New Roman" w:hAnsi="Times New Roman" w:cs="Times New Roman"/>
          <w:sz w:val="24"/>
          <w:szCs w:val="24"/>
        </w:rPr>
        <w:t xml:space="preserve">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w:t>
      </w:r>
      <w:r w:rsidR="007767F8">
        <w:rPr>
          <w:rFonts w:ascii="Times New Roman" w:eastAsia="Times New Roman" w:hAnsi="Times New Roman" w:cs="Times New Roman"/>
          <w:sz w:val="24"/>
          <w:szCs w:val="24"/>
        </w:rPr>
        <w:t>Except as provided in subsection (d) of this section, a</w:t>
      </w:r>
      <w:r w:rsidRPr="00CD03B8">
        <w:rPr>
          <w:rFonts w:ascii="Times New Roman" w:eastAsia="Times New Roman" w:hAnsi="Times New Roman" w:cs="Times New Roman"/>
          <w:sz w:val="24"/>
          <w:szCs w:val="24"/>
        </w:rPr>
        <w:t xml:space="preserve"> PSEL </w:t>
      </w:r>
      <w:r w:rsidR="00344144">
        <w:rPr>
          <w:rFonts w:ascii="Times New Roman" w:eastAsia="Times New Roman" w:hAnsi="Times New Roman" w:cs="Times New Roman"/>
          <w:sz w:val="24"/>
          <w:szCs w:val="24"/>
        </w:rPr>
        <w:t xml:space="preserve">that exceeds the netting basis </w:t>
      </w:r>
      <w:r w:rsidRPr="00CD03B8">
        <w:rPr>
          <w:rFonts w:ascii="Times New Roman" w:eastAsia="Times New Roman" w:hAnsi="Times New Roman" w:cs="Times New Roman"/>
          <w:sz w:val="24"/>
          <w:szCs w:val="24"/>
        </w:rPr>
        <w:t xml:space="preserve">by an amount </w:t>
      </w:r>
      <w:r w:rsidR="00344144">
        <w:rPr>
          <w:rFonts w:ascii="Times New Roman" w:eastAsia="Times New Roman" w:hAnsi="Times New Roman" w:cs="Times New Roman"/>
          <w:sz w:val="24"/>
          <w:szCs w:val="24"/>
        </w:rPr>
        <w:t xml:space="preserve">that is </w:t>
      </w:r>
      <w:r w:rsidRPr="00CD03B8">
        <w:rPr>
          <w:rFonts w:ascii="Times New Roman" w:eastAsia="Times New Roman" w:hAnsi="Times New Roman" w:cs="Times New Roman"/>
          <w:sz w:val="24"/>
          <w:szCs w:val="24"/>
        </w:rPr>
        <w:t xml:space="preserve">equal to or </w:t>
      </w:r>
      <w:r w:rsidR="00E2720F">
        <w:rPr>
          <w:rFonts w:ascii="Times New Roman" w:eastAsia="Times New Roman" w:hAnsi="Times New Roman" w:cs="Times New Roman"/>
          <w:sz w:val="24"/>
          <w:szCs w:val="24"/>
        </w:rPr>
        <w:t>greater</w:t>
      </w:r>
      <w:r w:rsidRPr="00CD03B8">
        <w:rPr>
          <w:rFonts w:ascii="Times New Roman" w:eastAsia="Times New Roman" w:hAnsi="Times New Roman" w:cs="Times New Roman"/>
          <w:sz w:val="24"/>
          <w:szCs w:val="24"/>
        </w:rPr>
        <w:t xml:space="preserve"> than the significant emission rate</w:t>
      </w:r>
      <w:r w:rsidR="00BA7DEF">
        <w:rPr>
          <w:rFonts w:ascii="Times New Roman" w:eastAsia="Times New Roman" w:hAnsi="Times New Roman" w:cs="Times New Roman"/>
          <w:sz w:val="24"/>
          <w:szCs w:val="24"/>
        </w:rPr>
        <w:t>.</w:t>
      </w:r>
      <w:r w:rsidRPr="00CD03B8">
        <w:rPr>
          <w:rFonts w:ascii="Times New Roman" w:eastAsia="Times New Roman" w:hAnsi="Times New Roman" w:cs="Times New Roman"/>
          <w:sz w:val="24"/>
          <w:szCs w:val="24"/>
        </w:rPr>
        <w:t xml:space="preserve"> </w:t>
      </w:r>
    </w:p>
    <w:p w:rsidR="00CD03B8" w:rsidRPr="005E60A6" w:rsidRDefault="00CD03B8" w:rsidP="00CE74E5">
      <w:pPr>
        <w:spacing w:after="0" w:line="240" w:lineRule="auto"/>
        <w:rPr>
          <w:rFonts w:ascii="Times New Roman" w:eastAsia="Times New Roman" w:hAnsi="Times New Roman" w:cs="Times New Roman"/>
          <w:sz w:val="24"/>
          <w:szCs w:val="24"/>
          <w:highlight w:val="yellow"/>
        </w:rPr>
      </w:pPr>
      <w:r w:rsidRPr="00BB4E9B">
        <w:rPr>
          <w:rFonts w:ascii="Times New Roman" w:eastAsia="Times New Roman" w:hAnsi="Times New Roman" w:cs="Times New Roman"/>
          <w:sz w:val="24"/>
          <w:szCs w:val="24"/>
        </w:rPr>
        <w:t>(</w:t>
      </w:r>
      <w:r w:rsidRPr="00CD03B8">
        <w:rPr>
          <w:rFonts w:ascii="Times New Roman" w:eastAsia="Times New Roman" w:hAnsi="Times New Roman" w:cs="Times New Roman"/>
          <w:sz w:val="24"/>
          <w:szCs w:val="24"/>
        </w:rPr>
        <w:t xml:space="preserve">b) The accumulation of </w:t>
      </w:r>
      <w:r w:rsidR="004B510E">
        <w:rPr>
          <w:rFonts w:ascii="Times New Roman" w:eastAsia="Times New Roman" w:hAnsi="Times New Roman" w:cs="Times New Roman"/>
          <w:sz w:val="24"/>
          <w:szCs w:val="24"/>
        </w:rPr>
        <w:t xml:space="preserve">emission increases due to </w:t>
      </w:r>
      <w:r w:rsidRPr="00CD03B8">
        <w:rPr>
          <w:rFonts w:ascii="Times New Roman" w:eastAsia="Times New Roman" w:hAnsi="Times New Roman" w:cs="Times New Roman"/>
          <w:sz w:val="24"/>
          <w:szCs w:val="24"/>
        </w:rPr>
        <w:t xml:space="preserve">physical changes and changes </w:t>
      </w:r>
      <w:r w:rsidR="007A4C14">
        <w:rPr>
          <w:rFonts w:ascii="Times New Roman" w:eastAsia="Times New Roman" w:hAnsi="Times New Roman" w:cs="Times New Roman"/>
          <w:sz w:val="24"/>
          <w:szCs w:val="24"/>
        </w:rPr>
        <w:t xml:space="preserve">in </w:t>
      </w:r>
      <w:r w:rsidR="004B510E">
        <w:rPr>
          <w:rFonts w:ascii="Times New Roman" w:eastAsia="Times New Roman" w:hAnsi="Times New Roman" w:cs="Times New Roman"/>
          <w:sz w:val="24"/>
          <w:szCs w:val="24"/>
        </w:rPr>
        <w:t xml:space="preserve">the method </w:t>
      </w:r>
      <w:r w:rsidRPr="00CD03B8">
        <w:rPr>
          <w:rFonts w:ascii="Times New Roman" w:eastAsia="Times New Roman" w:hAnsi="Times New Roman" w:cs="Times New Roman"/>
          <w:sz w:val="24"/>
          <w:szCs w:val="24"/>
        </w:rPr>
        <w:t xml:space="preserve">of operation </w:t>
      </w:r>
      <w:r w:rsidR="007A4C14" w:rsidRPr="007A4C14">
        <w:rPr>
          <w:rFonts w:ascii="Times New Roman" w:eastAsia="Times New Roman" w:hAnsi="Times New Roman" w:cs="Times New Roman"/>
          <w:sz w:val="24"/>
          <w:szCs w:val="24"/>
        </w:rPr>
        <w:t xml:space="preserve"> </w:t>
      </w:r>
      <w:r w:rsidR="00E2720F">
        <w:rPr>
          <w:rFonts w:ascii="Times New Roman" w:eastAsia="Times New Roman" w:hAnsi="Times New Roman" w:cs="Times New Roman"/>
          <w:sz w:val="24"/>
          <w:szCs w:val="24"/>
        </w:rPr>
        <w:t>as determined in accordance with paragraphs (A) and (B)</w:t>
      </w:r>
      <w:r w:rsidR="007767F8">
        <w:rPr>
          <w:rFonts w:ascii="Times New Roman" w:eastAsia="Times New Roman" w:hAnsi="Times New Roman" w:cs="Times New Roman"/>
          <w:sz w:val="24"/>
          <w:szCs w:val="24"/>
        </w:rPr>
        <w:t xml:space="preserve"> of this subsection</w:t>
      </w:r>
      <w:r w:rsidR="00E2720F">
        <w:rPr>
          <w:rFonts w:ascii="Times New Roman" w:eastAsia="Times New Roman" w:hAnsi="Times New Roman" w:cs="Times New Roman"/>
          <w:sz w:val="24"/>
          <w:szCs w:val="24"/>
        </w:rPr>
        <w:t xml:space="preserve"> is equal to or </w:t>
      </w:r>
      <w:r w:rsidR="007A4C14">
        <w:rPr>
          <w:rFonts w:ascii="Times New Roman" w:eastAsia="Times New Roman" w:hAnsi="Times New Roman" w:cs="Times New Roman"/>
          <w:sz w:val="24"/>
          <w:szCs w:val="24"/>
        </w:rPr>
        <w:t>greater than the</w:t>
      </w:r>
      <w:r w:rsidRPr="00CD03B8">
        <w:rPr>
          <w:rFonts w:ascii="Times New Roman" w:eastAsia="Times New Roman" w:hAnsi="Times New Roman" w:cs="Times New Roman"/>
          <w:sz w:val="24"/>
          <w:szCs w:val="24"/>
        </w:rPr>
        <w:t xml:space="preserve"> significant emission rate</w:t>
      </w:r>
      <w:r w:rsidR="00161194" w:rsidRPr="00AD191F">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(A) Calculations of emission increases in</w:t>
      </w:r>
      <w:r w:rsidR="00EE3130">
        <w:rPr>
          <w:rFonts w:ascii="Times New Roman" w:eastAsia="Times New Roman" w:hAnsi="Times New Roman" w:cs="Times New Roman"/>
          <w:sz w:val="24"/>
          <w:szCs w:val="24"/>
        </w:rPr>
        <w:t xml:space="preserve"> </w:t>
      </w:r>
      <w:r w:rsidR="00B36642">
        <w:rPr>
          <w:rFonts w:ascii="Times New Roman" w:eastAsia="Times New Roman" w:hAnsi="Times New Roman" w:cs="Times New Roman"/>
          <w:sz w:val="24"/>
          <w:szCs w:val="24"/>
        </w:rPr>
        <w:t xml:space="preserve">subsection </w:t>
      </w:r>
      <w:r w:rsidRPr="00CD03B8">
        <w:rPr>
          <w:rFonts w:ascii="Times New Roman" w:eastAsia="Times New Roman" w:hAnsi="Times New Roman" w:cs="Times New Roman"/>
          <w:sz w:val="24"/>
          <w:szCs w:val="24"/>
        </w:rPr>
        <w:t>(b)</w:t>
      </w:r>
      <w:r w:rsidR="00B36642">
        <w:rPr>
          <w:rFonts w:ascii="Times New Roman" w:eastAsia="Times New Roman" w:hAnsi="Times New Roman" w:cs="Times New Roman"/>
          <w:sz w:val="24"/>
          <w:szCs w:val="24"/>
        </w:rPr>
        <w:t xml:space="preserve"> of this section</w:t>
      </w:r>
      <w:r w:rsidRPr="00CD03B8">
        <w:rPr>
          <w:rFonts w:ascii="Times New Roman" w:eastAsia="Times New Roman" w:hAnsi="Times New Roman" w:cs="Times New Roman"/>
          <w:sz w:val="24"/>
          <w:szCs w:val="24"/>
        </w:rPr>
        <w:t xml:space="preserve"> must account for all accumulated increases in actual emissions due to physical changes and changes </w:t>
      </w:r>
      <w:r w:rsidR="00F1680D">
        <w:rPr>
          <w:rFonts w:ascii="Times New Roman" w:eastAsia="Times New Roman" w:hAnsi="Times New Roman" w:cs="Times New Roman"/>
          <w:sz w:val="24"/>
          <w:szCs w:val="24"/>
        </w:rPr>
        <w:t xml:space="preserve">in the method </w:t>
      </w:r>
      <w:r w:rsidRPr="00CD03B8">
        <w:rPr>
          <w:rFonts w:ascii="Times New Roman" w:eastAsia="Times New Roman" w:hAnsi="Times New Roman" w:cs="Times New Roman"/>
          <w:sz w:val="24"/>
          <w:szCs w:val="24"/>
        </w:rPr>
        <w:t xml:space="preserve">of operation occurring at the source since the </w:t>
      </w:r>
      <w:r w:rsidR="0074154D">
        <w:rPr>
          <w:rFonts w:ascii="Times New Roman" w:eastAsia="Times New Roman" w:hAnsi="Times New Roman" w:cs="Times New Roman"/>
          <w:sz w:val="24"/>
          <w:szCs w:val="24"/>
        </w:rPr>
        <w:t xml:space="preserve">applicable </w:t>
      </w:r>
      <w:r w:rsidRPr="00CD03B8">
        <w:rPr>
          <w:rFonts w:ascii="Times New Roman" w:eastAsia="Times New Roman" w:hAnsi="Times New Roman" w:cs="Times New Roman"/>
          <w:sz w:val="24"/>
          <w:szCs w:val="24"/>
        </w:rPr>
        <w:t xml:space="preserve">baseline period, or since the time of the last construction approval issued for the source pursuant to the New Source Review Regulations in OAR 340 division 224 for that pollutant, whichever time is more recent. These include </w:t>
      </w:r>
      <w:r w:rsidR="00961C73">
        <w:rPr>
          <w:rFonts w:ascii="Times New Roman" w:eastAsia="Times New Roman" w:hAnsi="Times New Roman" w:cs="Times New Roman"/>
          <w:sz w:val="24"/>
          <w:szCs w:val="24"/>
        </w:rPr>
        <w:t xml:space="preserve">fugitive emissions and </w:t>
      </w:r>
      <w:r w:rsidRPr="00CD03B8">
        <w:rPr>
          <w:rFonts w:ascii="Times New Roman" w:eastAsia="Times New Roman" w:hAnsi="Times New Roman" w:cs="Times New Roman"/>
          <w:sz w:val="24"/>
          <w:szCs w:val="24"/>
        </w:rPr>
        <w:t xml:space="preserve">emissions from insignificant activities.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Emission increases due solely to increased use of equipment or facilities that existed </w:t>
      </w:r>
      <w:r w:rsidR="00B36642">
        <w:rPr>
          <w:rFonts w:ascii="Times New Roman" w:eastAsia="Times New Roman" w:hAnsi="Times New Roman" w:cs="Times New Roman"/>
          <w:sz w:val="24"/>
          <w:szCs w:val="24"/>
        </w:rPr>
        <w:t xml:space="preserve">or were permitted or approved to construct in accordance with OAR 340 division 210 </w:t>
      </w:r>
      <w:r w:rsidRPr="00CD03B8">
        <w:rPr>
          <w:rFonts w:ascii="Times New Roman" w:eastAsia="Times New Roman" w:hAnsi="Times New Roman" w:cs="Times New Roman"/>
          <w:sz w:val="24"/>
          <w:szCs w:val="24"/>
        </w:rPr>
        <w:t xml:space="preserve">during the </w:t>
      </w:r>
      <w:r w:rsidR="00F1479D">
        <w:rPr>
          <w:rFonts w:ascii="Times New Roman" w:eastAsia="Times New Roman" w:hAnsi="Times New Roman" w:cs="Times New Roman"/>
          <w:sz w:val="24"/>
          <w:szCs w:val="24"/>
        </w:rPr>
        <w:t>applicable</w:t>
      </w:r>
      <w:r w:rsidR="00751949">
        <w:rPr>
          <w:rFonts w:ascii="Times New Roman" w:eastAsia="Times New Roman" w:hAnsi="Times New Roman" w:cs="Times New Roman"/>
          <w:sz w:val="24"/>
          <w:szCs w:val="24"/>
        </w:rPr>
        <w:t xml:space="preserve"> </w:t>
      </w:r>
      <w:r w:rsidRPr="00CD03B8">
        <w:rPr>
          <w:rFonts w:ascii="Times New Roman" w:eastAsia="Times New Roman" w:hAnsi="Times New Roman" w:cs="Times New Roman"/>
          <w:sz w:val="24"/>
          <w:szCs w:val="24"/>
        </w:rPr>
        <w:t xml:space="preserve">baseline period are not included, </w:t>
      </w:r>
      <w:r w:rsidR="00EB07E7">
        <w:rPr>
          <w:rFonts w:ascii="Times New Roman" w:eastAsia="Times New Roman" w:hAnsi="Times New Roman" w:cs="Times New Roman"/>
          <w:sz w:val="24"/>
          <w:szCs w:val="24"/>
        </w:rPr>
        <w:t xml:space="preserve">except </w:t>
      </w:r>
      <w:r w:rsidRPr="00CD03B8">
        <w:rPr>
          <w:rFonts w:ascii="Times New Roman" w:eastAsia="Times New Roman" w:hAnsi="Times New Roman" w:cs="Times New Roman"/>
          <w:sz w:val="24"/>
          <w:szCs w:val="24"/>
        </w:rPr>
        <w:t xml:space="preserve">if the increased use is to support a physical change or change in </w:t>
      </w:r>
      <w:r w:rsidR="00F1680D">
        <w:rPr>
          <w:rFonts w:ascii="Times New Roman" w:eastAsia="Times New Roman" w:hAnsi="Times New Roman" w:cs="Times New Roman"/>
          <w:sz w:val="24"/>
          <w:szCs w:val="24"/>
        </w:rPr>
        <w:t xml:space="preserve">the method of </w:t>
      </w:r>
      <w:r w:rsidRPr="00CD03B8">
        <w:rPr>
          <w:rFonts w:ascii="Times New Roman" w:eastAsia="Times New Roman" w:hAnsi="Times New Roman" w:cs="Times New Roman"/>
          <w:sz w:val="24"/>
          <w:szCs w:val="24"/>
        </w:rPr>
        <w:t xml:space="preserve">operation. </w:t>
      </w:r>
    </w:p>
    <w:p w:rsidR="001503BA" w:rsidRDefault="003256E7" w:rsidP="00CE74E5">
      <w:pPr>
        <w:spacing w:after="0" w:line="240" w:lineRule="auto"/>
        <w:rPr>
          <w:rFonts w:ascii="Times New Roman" w:eastAsia="Times New Roman" w:hAnsi="Times New Roman" w:cs="Times New Roman"/>
          <w:sz w:val="24"/>
          <w:szCs w:val="24"/>
        </w:rPr>
      </w:pPr>
      <w:r w:rsidDel="003256E7">
        <w:rPr>
          <w:rFonts w:ascii="Times New Roman" w:hAnsi="Times New Roman" w:cs="Times New Roman"/>
          <w:sz w:val="24"/>
          <w:szCs w:val="24"/>
        </w:rPr>
        <w:lastRenderedPageBreak/>
        <w:t xml:space="preserve"> </w:t>
      </w:r>
      <w:r w:rsidR="00CD03B8" w:rsidRPr="00CD03B8">
        <w:rPr>
          <w:rFonts w:ascii="Times New Roman" w:eastAsia="Times New Roman" w:hAnsi="Times New Roman" w:cs="Times New Roman"/>
          <w:sz w:val="24"/>
          <w:szCs w:val="24"/>
        </w:rPr>
        <w:t>(</w:t>
      </w:r>
      <w:r w:rsidR="004C1093">
        <w:rPr>
          <w:rFonts w:ascii="Times New Roman" w:eastAsia="Times New Roman" w:hAnsi="Times New Roman" w:cs="Times New Roman"/>
          <w:sz w:val="24"/>
          <w:szCs w:val="24"/>
        </w:rPr>
        <w:t>c</w:t>
      </w:r>
      <w:r w:rsidR="00CD03B8" w:rsidRPr="00CD03B8">
        <w:rPr>
          <w:rFonts w:ascii="Times New Roman" w:eastAsia="Times New Roman" w:hAnsi="Times New Roman" w:cs="Times New Roman"/>
          <w:sz w:val="24"/>
          <w:szCs w:val="24"/>
        </w:rPr>
        <w:t>) Any change at a source, including production increases, that would result in a Plant Site Emission Limit increase of 1 ton or more for any regulated pollutant for which the source is a major source</w:t>
      </w:r>
      <w:r w:rsidR="00336CA6">
        <w:rPr>
          <w:rFonts w:ascii="Times New Roman" w:eastAsia="Times New Roman" w:hAnsi="Times New Roman" w:cs="Times New Roman"/>
          <w:sz w:val="24"/>
          <w:szCs w:val="24"/>
        </w:rPr>
        <w:t xml:space="preserve"> in nonattainment or maintenance areas or a federal major source in attainment or unclassified areas</w:t>
      </w:r>
      <w:r w:rsidR="00C947B0">
        <w:rPr>
          <w:rFonts w:ascii="Times New Roman" w:eastAsia="Times New Roman" w:hAnsi="Times New Roman" w:cs="Times New Roman"/>
          <w:sz w:val="24"/>
          <w:szCs w:val="24"/>
        </w:rPr>
        <w:t>, if the source</w:t>
      </w:r>
      <w:r w:rsidR="00CA37D2">
        <w:rPr>
          <w:rFonts w:ascii="Times New Roman" w:eastAsia="Times New Roman" w:hAnsi="Times New Roman" w:cs="Times New Roman"/>
          <w:sz w:val="24"/>
          <w:szCs w:val="24"/>
        </w:rPr>
        <w:t xml:space="preserve"> obtained permits to construct and operate after the applicable baseline period but ha</w:t>
      </w:r>
      <w:r w:rsidR="00C455C0">
        <w:rPr>
          <w:rFonts w:ascii="Times New Roman" w:eastAsia="Times New Roman" w:hAnsi="Times New Roman" w:cs="Times New Roman"/>
          <w:sz w:val="24"/>
          <w:szCs w:val="24"/>
        </w:rPr>
        <w:t>s</w:t>
      </w:r>
      <w:r w:rsidR="00CA37D2">
        <w:rPr>
          <w:rFonts w:ascii="Times New Roman" w:eastAsia="Times New Roman" w:hAnsi="Times New Roman" w:cs="Times New Roman"/>
          <w:sz w:val="24"/>
          <w:szCs w:val="24"/>
        </w:rPr>
        <w:t xml:space="preserve"> not undergon</w:t>
      </w:r>
      <w:r w:rsidR="00C455C0">
        <w:rPr>
          <w:rFonts w:ascii="Times New Roman" w:eastAsia="Times New Roman" w:hAnsi="Times New Roman" w:cs="Times New Roman"/>
          <w:sz w:val="24"/>
          <w:szCs w:val="24"/>
        </w:rPr>
        <w:t>e</w:t>
      </w:r>
      <w:r w:rsidR="00CA37D2">
        <w:rPr>
          <w:rFonts w:ascii="Times New Roman" w:eastAsia="Times New Roman" w:hAnsi="Times New Roman" w:cs="Times New Roman"/>
          <w:sz w:val="24"/>
          <w:szCs w:val="24"/>
        </w:rPr>
        <w:t xml:space="preserve"> New Source Review.</w:t>
      </w:r>
    </w:p>
    <w:p w:rsidR="001503BA" w:rsidRDefault="00C947B0" w:rsidP="00CE74E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D95F94" w:rsidRPr="00F77CA3">
        <w:rPr>
          <w:rFonts w:ascii="Times New Roman" w:hAnsi="Times New Roman" w:cs="Times New Roman"/>
          <w:sz w:val="24"/>
          <w:szCs w:val="24"/>
        </w:rPr>
        <w:t xml:space="preserve">) Subsection (c) of this section does not apply to </w:t>
      </w:r>
      <w:r w:rsidR="00D95F94" w:rsidRPr="00F77CA3">
        <w:rPr>
          <w:rFonts w:ascii="Times New Roman" w:eastAsia="Times New Roman" w:hAnsi="Times New Roman" w:cs="Times New Roman"/>
          <w:sz w:val="24"/>
          <w:szCs w:val="24"/>
        </w:rPr>
        <w:t>PM2.5 and greenhouse gases.</w:t>
      </w:r>
      <w:r w:rsidRPr="00CD03B8">
        <w:rPr>
          <w:rFonts w:ascii="Times New Roman" w:eastAsia="Times New Roman" w:hAnsi="Times New Roman" w:cs="Times New Roman"/>
          <w:sz w:val="24"/>
          <w:szCs w:val="24"/>
        </w:rPr>
        <w:t xml:space="preserve"> </w:t>
      </w:r>
      <w:r w:rsidR="003C29B0" w:rsidRPr="00F1680D">
        <w:rPr>
          <w:rFonts w:ascii="Times New Roman" w:hAnsi="Times New Roman" w:cs="Times New Roman"/>
          <w:sz w:val="24"/>
          <w:szCs w:val="24"/>
        </w:rPr>
        <w:t xml:space="preserve"> </w:t>
      </w:r>
    </w:p>
    <w:p w:rsidR="00C3105D"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C947B0">
        <w:rPr>
          <w:rFonts w:ascii="Times New Roman" w:eastAsia="Times New Roman" w:hAnsi="Times New Roman" w:cs="Times New Roman"/>
          <w:sz w:val="24"/>
          <w:szCs w:val="24"/>
        </w:rPr>
        <w:t>B</w:t>
      </w:r>
      <w:r w:rsidRPr="00CD03B8">
        <w:rPr>
          <w:rFonts w:ascii="Times New Roman" w:eastAsia="Times New Roman" w:hAnsi="Times New Roman" w:cs="Times New Roman"/>
          <w:sz w:val="24"/>
          <w:szCs w:val="24"/>
        </w:rPr>
        <w:t xml:space="preserve">) Changes to the PSEL solely due to the availability of better emissions information are exempt from being considered an increase. </w:t>
      </w:r>
    </w:p>
    <w:p w:rsidR="00B36642" w:rsidRPr="00476D6C" w:rsidRDefault="00B36642"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53AAA" w:rsidRPr="003F4224">
        <w:rPr>
          <w:rFonts w:ascii="Times New Roman" w:eastAsia="Times New Roman" w:hAnsi="Times New Roman" w:cs="Times New Roman"/>
          <w:sz w:val="24"/>
          <w:szCs w:val="24"/>
        </w:rPr>
        <w:t xml:space="preserve">If a </w:t>
      </w:r>
      <w:r w:rsidR="00D95F94" w:rsidRPr="00F77CA3">
        <w:rPr>
          <w:rFonts w:ascii="Times New Roman" w:eastAsia="Times New Roman" w:hAnsi="Times New Roman" w:cs="Times New Roman"/>
          <w:sz w:val="24"/>
          <w:szCs w:val="24"/>
        </w:rPr>
        <w:t xml:space="preserve">portion of the netting basis </w:t>
      </w:r>
      <w:r w:rsidR="00336CA6">
        <w:rPr>
          <w:rFonts w:ascii="Times New Roman" w:eastAsia="Times New Roman" w:hAnsi="Times New Roman" w:cs="Times New Roman"/>
          <w:sz w:val="24"/>
          <w:szCs w:val="24"/>
        </w:rPr>
        <w:t>or</w:t>
      </w:r>
      <w:r w:rsidR="00D95F94" w:rsidRPr="00F77CA3">
        <w:rPr>
          <w:rFonts w:ascii="Times New Roman" w:eastAsia="Times New Roman" w:hAnsi="Times New Roman" w:cs="Times New Roman"/>
          <w:sz w:val="24"/>
          <w:szCs w:val="24"/>
        </w:rPr>
        <w:t xml:space="preserve"> PSEL</w:t>
      </w:r>
      <w:r w:rsidR="00336CA6">
        <w:rPr>
          <w:rFonts w:ascii="Times New Roman" w:eastAsia="Times New Roman" w:hAnsi="Times New Roman" w:cs="Times New Roman"/>
          <w:sz w:val="24"/>
          <w:szCs w:val="24"/>
        </w:rPr>
        <w:t xml:space="preserve"> (or both)</w:t>
      </w:r>
      <w:r w:rsidR="00C947B0">
        <w:rPr>
          <w:rFonts w:ascii="Times New Roman" w:eastAsia="Times New Roman" w:hAnsi="Times New Roman" w:cs="Times New Roman"/>
          <w:sz w:val="24"/>
          <w:szCs w:val="24"/>
        </w:rPr>
        <w:t xml:space="preserve"> </w:t>
      </w:r>
      <w:r w:rsidR="00353AAA" w:rsidRPr="003F4224">
        <w:rPr>
          <w:rFonts w:ascii="Times New Roman" w:eastAsia="Times New Roman" w:hAnsi="Times New Roman" w:cs="Times New Roman"/>
          <w:sz w:val="24"/>
          <w:szCs w:val="24"/>
        </w:rPr>
        <w:t xml:space="preserve">was set based on PTE because the source had not begun </w:t>
      </w:r>
      <w:r w:rsidR="009D769E">
        <w:rPr>
          <w:rFonts w:ascii="Times New Roman" w:eastAsia="Times New Roman" w:hAnsi="Times New Roman" w:cs="Times New Roman"/>
          <w:sz w:val="24"/>
          <w:szCs w:val="24"/>
        </w:rPr>
        <w:t xml:space="preserve">normal </w:t>
      </w:r>
      <w:r w:rsidR="00353AAA" w:rsidRPr="003F4224">
        <w:rPr>
          <w:rFonts w:ascii="Times New Roman" w:eastAsia="Times New Roman" w:hAnsi="Times New Roman" w:cs="Times New Roman"/>
          <w:sz w:val="24"/>
          <w:szCs w:val="24"/>
        </w:rPr>
        <w:t xml:space="preserve">operations but was permitted or approved to construct and operate, that portion of the netting basis </w:t>
      </w:r>
      <w:r w:rsidR="00336CA6">
        <w:rPr>
          <w:rFonts w:ascii="Times New Roman" w:eastAsia="Times New Roman" w:hAnsi="Times New Roman" w:cs="Times New Roman"/>
          <w:sz w:val="24"/>
          <w:szCs w:val="24"/>
        </w:rPr>
        <w:t xml:space="preserve">or </w:t>
      </w:r>
      <w:r w:rsidR="00D95F94" w:rsidRPr="00F77CA3">
        <w:rPr>
          <w:rFonts w:ascii="Times New Roman" w:eastAsia="Times New Roman" w:hAnsi="Times New Roman" w:cs="Times New Roman"/>
          <w:sz w:val="24"/>
          <w:szCs w:val="24"/>
        </w:rPr>
        <w:t>PSEL</w:t>
      </w:r>
      <w:r w:rsidR="00C947B0">
        <w:rPr>
          <w:rFonts w:ascii="Times New Roman" w:eastAsia="Times New Roman" w:hAnsi="Times New Roman" w:cs="Times New Roman"/>
          <w:sz w:val="24"/>
          <w:szCs w:val="24"/>
        </w:rPr>
        <w:t xml:space="preserve"> </w:t>
      </w:r>
      <w:r w:rsidR="00336CA6">
        <w:rPr>
          <w:rFonts w:ascii="Times New Roman" w:eastAsia="Times New Roman" w:hAnsi="Times New Roman" w:cs="Times New Roman"/>
          <w:sz w:val="24"/>
          <w:szCs w:val="24"/>
        </w:rPr>
        <w:t xml:space="preserve">(or both) </w:t>
      </w:r>
      <w:r w:rsidR="00353AAA" w:rsidRPr="003F4224">
        <w:rPr>
          <w:rFonts w:ascii="Times New Roman" w:eastAsia="Times New Roman" w:hAnsi="Times New Roman" w:cs="Times New Roman"/>
          <w:sz w:val="24"/>
          <w:szCs w:val="24"/>
        </w:rPr>
        <w:t xml:space="preserve">must be excluded from </w:t>
      </w:r>
      <w:r w:rsidR="009D769E">
        <w:rPr>
          <w:rFonts w:ascii="Times New Roman" w:eastAsia="Times New Roman" w:hAnsi="Times New Roman" w:cs="Times New Roman"/>
          <w:sz w:val="24"/>
          <w:szCs w:val="24"/>
        </w:rPr>
        <w:t xml:space="preserve">the tests in </w:t>
      </w:r>
      <w:r w:rsidR="000B0ECD">
        <w:rPr>
          <w:rFonts w:ascii="Times New Roman" w:eastAsia="Times New Roman" w:hAnsi="Times New Roman" w:cs="Times New Roman"/>
          <w:sz w:val="24"/>
          <w:szCs w:val="24"/>
        </w:rPr>
        <w:t>subsection</w:t>
      </w:r>
      <w:r w:rsidR="00AC4456">
        <w:rPr>
          <w:rFonts w:ascii="Times New Roman" w:eastAsia="Times New Roman" w:hAnsi="Times New Roman" w:cs="Times New Roman"/>
          <w:sz w:val="24"/>
          <w:szCs w:val="24"/>
        </w:rPr>
        <w:t>s (a) and</w:t>
      </w:r>
      <w:r w:rsidR="000B0ECD">
        <w:rPr>
          <w:rFonts w:ascii="Times New Roman" w:eastAsia="Times New Roman" w:hAnsi="Times New Roman" w:cs="Times New Roman"/>
          <w:sz w:val="24"/>
          <w:szCs w:val="24"/>
        </w:rPr>
        <w:t xml:space="preserve"> (b) of this section </w:t>
      </w:r>
      <w:r w:rsidR="00353AAA" w:rsidRPr="003F4224">
        <w:rPr>
          <w:rFonts w:ascii="Times New Roman" w:eastAsia="Times New Roman" w:hAnsi="Times New Roman" w:cs="Times New Roman"/>
          <w:sz w:val="24"/>
          <w:szCs w:val="24"/>
        </w:rPr>
        <w:t xml:space="preserve">until </w:t>
      </w:r>
      <w:r w:rsidR="009D769E">
        <w:rPr>
          <w:rFonts w:ascii="Times New Roman" w:eastAsia="Times New Roman" w:hAnsi="Times New Roman" w:cs="Times New Roman"/>
          <w:sz w:val="24"/>
          <w:szCs w:val="24"/>
        </w:rPr>
        <w:t>the netting basis</w:t>
      </w:r>
      <w:r w:rsidR="00D8677E">
        <w:rPr>
          <w:rFonts w:ascii="Times New Roman" w:eastAsia="Times New Roman" w:hAnsi="Times New Roman" w:cs="Times New Roman"/>
          <w:sz w:val="24"/>
          <w:szCs w:val="24"/>
        </w:rPr>
        <w:t xml:space="preserve"> </w:t>
      </w:r>
      <w:r w:rsidR="00353AAA" w:rsidRPr="003F4224">
        <w:rPr>
          <w:rFonts w:ascii="Times New Roman" w:eastAsia="Times New Roman" w:hAnsi="Times New Roman" w:cs="Times New Roman"/>
          <w:sz w:val="24"/>
          <w:szCs w:val="24"/>
        </w:rPr>
        <w:t>is reset as specified in the definition</w:t>
      </w:r>
      <w:r w:rsidR="00D8677E">
        <w:rPr>
          <w:rFonts w:ascii="Times New Roman" w:eastAsia="Times New Roman" w:hAnsi="Times New Roman" w:cs="Times New Roman"/>
          <w:sz w:val="24"/>
          <w:szCs w:val="24"/>
        </w:rPr>
        <w:t>s</w:t>
      </w:r>
      <w:r w:rsidR="00353AAA" w:rsidRPr="003F4224">
        <w:rPr>
          <w:rFonts w:ascii="Times New Roman" w:eastAsia="Times New Roman" w:hAnsi="Times New Roman" w:cs="Times New Roman"/>
          <w:sz w:val="24"/>
          <w:szCs w:val="24"/>
        </w:rPr>
        <w:t xml:space="preserve"> of </w:t>
      </w:r>
      <w:r w:rsidR="00D95F94" w:rsidRPr="00F77CA3">
        <w:rPr>
          <w:rFonts w:ascii="Times New Roman" w:eastAsia="Times New Roman" w:hAnsi="Times New Roman" w:cs="Times New Roman"/>
          <w:sz w:val="24"/>
          <w:szCs w:val="24"/>
        </w:rPr>
        <w:t>baseline emission rate</w:t>
      </w:r>
      <w:r w:rsidR="00D8677E">
        <w:rPr>
          <w:rFonts w:ascii="Times New Roman" w:eastAsia="Times New Roman" w:hAnsi="Times New Roman" w:cs="Times New Roman"/>
          <w:sz w:val="24"/>
          <w:szCs w:val="24"/>
        </w:rPr>
        <w:t xml:space="preserve"> and netting basis</w:t>
      </w:r>
      <w:r w:rsidR="00353AAA" w:rsidRPr="003F4224">
        <w:rPr>
          <w:rFonts w:ascii="Times New Roman" w:eastAsia="Times New Roman" w:hAnsi="Times New Roman" w:cs="Times New Roman"/>
          <w:sz w:val="24"/>
          <w:szCs w:val="24"/>
        </w:rPr>
        <w:t>.</w:t>
      </w:r>
      <w:r w:rsidRPr="003F4224">
        <w:rPr>
          <w:rFonts w:ascii="Times New Roman" w:eastAsia="Times New Roman" w:hAnsi="Times New Roman" w:cs="Times New Roman"/>
          <w:sz w:val="24"/>
          <w:szCs w:val="24"/>
        </w:rPr>
        <w:t xml:space="preserve">    </w:t>
      </w:r>
    </w:p>
    <w:p w:rsidR="00CD03B8" w:rsidRPr="00CD03B8" w:rsidRDefault="003C29B0"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 </w:t>
      </w:r>
      <w:r w:rsidR="00CD03B8" w:rsidRPr="00CD03B8">
        <w:rPr>
          <w:rFonts w:ascii="Times New Roman" w:eastAsia="Times New Roman" w:hAnsi="Times New Roman" w:cs="Times New Roman"/>
          <w:sz w:val="24"/>
          <w:szCs w:val="24"/>
        </w:rPr>
        <w:t>(</w:t>
      </w:r>
      <w:r w:rsidR="00B36642">
        <w:rPr>
          <w:rFonts w:ascii="Times New Roman" w:eastAsia="Times New Roman" w:hAnsi="Times New Roman" w:cs="Times New Roman"/>
          <w:sz w:val="24"/>
          <w:szCs w:val="24"/>
        </w:rPr>
        <w:t>e</w:t>
      </w:r>
      <w:r w:rsidR="00CD03B8" w:rsidRPr="00CD03B8">
        <w:rPr>
          <w:rFonts w:ascii="Times New Roman" w:eastAsia="Times New Roman" w:hAnsi="Times New Roman" w:cs="Times New Roman"/>
          <w:sz w:val="24"/>
          <w:szCs w:val="24"/>
        </w:rPr>
        <w:t xml:space="preserve">) The following are not considered major modifications: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(A) Except as provided in</w:t>
      </w:r>
      <w:r w:rsidR="00FC1FDB">
        <w:rPr>
          <w:rFonts w:ascii="Times New Roman" w:eastAsia="Times New Roman" w:hAnsi="Times New Roman" w:cs="Times New Roman"/>
          <w:sz w:val="24"/>
          <w:szCs w:val="24"/>
        </w:rPr>
        <w:t xml:space="preserve"> </w:t>
      </w:r>
      <w:r w:rsidR="00B36642">
        <w:rPr>
          <w:rFonts w:ascii="Times New Roman" w:eastAsia="Times New Roman" w:hAnsi="Times New Roman" w:cs="Times New Roman"/>
          <w:sz w:val="24"/>
          <w:szCs w:val="24"/>
        </w:rPr>
        <w:t xml:space="preserve">subsection </w:t>
      </w:r>
      <w:r w:rsidRPr="00CD03B8">
        <w:rPr>
          <w:rFonts w:ascii="Times New Roman" w:eastAsia="Times New Roman" w:hAnsi="Times New Roman" w:cs="Times New Roman"/>
          <w:sz w:val="24"/>
          <w:szCs w:val="24"/>
        </w:rPr>
        <w:t>(c)</w:t>
      </w:r>
      <w:r w:rsidR="00B36642">
        <w:rPr>
          <w:rFonts w:ascii="Times New Roman" w:eastAsia="Times New Roman" w:hAnsi="Times New Roman" w:cs="Times New Roman"/>
          <w:sz w:val="24"/>
          <w:szCs w:val="24"/>
        </w:rPr>
        <w:t xml:space="preserve"> of this section</w:t>
      </w:r>
      <w:r w:rsidRPr="00CD03B8">
        <w:rPr>
          <w:rFonts w:ascii="Times New Roman" w:eastAsia="Times New Roman" w:hAnsi="Times New Roman" w:cs="Times New Roman"/>
          <w:sz w:val="24"/>
          <w:szCs w:val="24"/>
        </w:rPr>
        <w:t xml:space="preserve">, proposed increases in hours of operation or production rates that would cause emission increases above the levels allowed in a permit and would not involve a physical change or change in method of operation in the source; </w:t>
      </w:r>
    </w:p>
    <w:p w:rsidR="00CD03B8" w:rsidRPr="00CD03B8" w:rsidRDefault="00ED0A6F" w:rsidP="00CE74E5">
      <w:pPr>
        <w:spacing w:after="0" w:line="240" w:lineRule="auto"/>
        <w:rPr>
          <w:rFonts w:ascii="Times New Roman" w:eastAsia="Times New Roman" w:hAnsi="Times New Roman" w:cs="Times New Roman"/>
          <w:sz w:val="24"/>
          <w:szCs w:val="24"/>
        </w:rPr>
      </w:pPr>
      <w:r w:rsidRPr="00CD03B8" w:rsidDel="00ED0A6F">
        <w:rPr>
          <w:rFonts w:ascii="Times New Roman" w:eastAsia="Times New Roman" w:hAnsi="Times New Roman" w:cs="Times New Roman"/>
          <w:sz w:val="24"/>
          <w:szCs w:val="24"/>
        </w:rPr>
        <w:t xml:space="preserve"> </w:t>
      </w:r>
      <w:r w:rsidR="00CD03B8" w:rsidRPr="00CD03B8">
        <w:rPr>
          <w:rFonts w:ascii="Times New Roman" w:eastAsia="Times New Roman" w:hAnsi="Times New Roman" w:cs="Times New Roman"/>
          <w:sz w:val="24"/>
          <w:szCs w:val="24"/>
        </w:rPr>
        <w:t>(</w:t>
      </w:r>
      <w:r>
        <w:rPr>
          <w:rFonts w:ascii="Times New Roman" w:eastAsia="Times New Roman" w:hAnsi="Times New Roman" w:cs="Times New Roman"/>
          <w:sz w:val="24"/>
          <w:szCs w:val="24"/>
        </w:rPr>
        <w:t>B</w:t>
      </w:r>
      <w:r w:rsidR="00CD03B8" w:rsidRPr="00CD03B8">
        <w:rPr>
          <w:rFonts w:ascii="Times New Roman" w:eastAsia="Times New Roman" w:hAnsi="Times New Roman" w:cs="Times New Roman"/>
          <w:sz w:val="24"/>
          <w:szCs w:val="24"/>
        </w:rPr>
        <w:t xml:space="preserve">) Routine maintenance, repair, and replacement of components;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ED0A6F">
        <w:rPr>
          <w:rFonts w:ascii="Times New Roman" w:eastAsia="Times New Roman" w:hAnsi="Times New Roman" w:cs="Times New Roman"/>
          <w:sz w:val="24"/>
          <w:szCs w:val="24"/>
        </w:rPr>
        <w:t>C</w:t>
      </w:r>
      <w:r w:rsidRPr="00CD03B8">
        <w:rPr>
          <w:rFonts w:ascii="Times New Roman" w:eastAsia="Times New Roman" w:hAnsi="Times New Roman" w:cs="Times New Roman"/>
          <w:sz w:val="24"/>
          <w:szCs w:val="24"/>
        </w:rPr>
        <w:t xml:space="preserve">) Temporary equipment installed for maintenance of the permanent equipment if the temporary equipment is in place for less than six months and operated within the permanent equipment's existing PSEL;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ED0A6F">
        <w:rPr>
          <w:rFonts w:ascii="Times New Roman" w:eastAsia="Times New Roman" w:hAnsi="Times New Roman" w:cs="Times New Roman"/>
          <w:sz w:val="24"/>
          <w:szCs w:val="24"/>
        </w:rPr>
        <w:t>D</w:t>
      </w:r>
      <w:r w:rsidRPr="00CD03B8">
        <w:rPr>
          <w:rFonts w:ascii="Times New Roman" w:eastAsia="Times New Roman" w:hAnsi="Times New Roman" w:cs="Times New Roman"/>
          <w:sz w:val="24"/>
          <w:szCs w:val="24"/>
        </w:rPr>
        <w:t xml:space="preserve">) Use of alternate fuel or raw materials, that were available and the source was capable of accommodating in the baseline period.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1C21D8">
        <w:rPr>
          <w:rFonts w:ascii="Times New Roman" w:eastAsia="Times New Roman" w:hAnsi="Times New Roman" w:cs="Times New Roman"/>
          <w:sz w:val="24"/>
          <w:szCs w:val="24"/>
        </w:rPr>
        <w:t>7</w:t>
      </w:r>
      <w:r w:rsidR="001E531D">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"Major Source": </w:t>
      </w:r>
    </w:p>
    <w:p w:rsidR="00CD03B8" w:rsidRPr="007D6AF4"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(a) Except as provided in subsection (b)</w:t>
      </w:r>
      <w:r w:rsidR="00A96370">
        <w:rPr>
          <w:rFonts w:ascii="Times New Roman" w:eastAsia="Times New Roman" w:hAnsi="Times New Roman" w:cs="Times New Roman"/>
          <w:sz w:val="24"/>
          <w:szCs w:val="24"/>
        </w:rPr>
        <w:t xml:space="preserve"> of this section</w:t>
      </w:r>
      <w:r w:rsidRPr="00CD03B8">
        <w:rPr>
          <w:rFonts w:ascii="Times New Roman" w:eastAsia="Times New Roman" w:hAnsi="Times New Roman" w:cs="Times New Roman"/>
          <w:sz w:val="24"/>
          <w:szCs w:val="24"/>
        </w:rPr>
        <w:t xml:space="preserve">, means a source that emits, or has the potential to emit, any regulated air pollutant at a Significant Emission Rate. </w:t>
      </w:r>
      <w:r w:rsidR="001A286A" w:rsidRPr="00CD03B8">
        <w:rPr>
          <w:rFonts w:ascii="Times New Roman" w:eastAsia="Times New Roman" w:hAnsi="Times New Roman" w:cs="Times New Roman"/>
          <w:sz w:val="24"/>
          <w:szCs w:val="24"/>
        </w:rPr>
        <w:t xml:space="preserve">The fugitive emissions </w:t>
      </w:r>
      <w:r w:rsidR="001A286A">
        <w:rPr>
          <w:rFonts w:ascii="Times New Roman" w:eastAsia="Times New Roman" w:hAnsi="Times New Roman" w:cs="Times New Roman"/>
          <w:sz w:val="24"/>
          <w:szCs w:val="24"/>
        </w:rPr>
        <w:t xml:space="preserve">and insignificant activity emissions </w:t>
      </w:r>
      <w:r w:rsidR="001A286A" w:rsidRPr="00CD03B8">
        <w:rPr>
          <w:rFonts w:ascii="Times New Roman" w:eastAsia="Times New Roman" w:hAnsi="Times New Roman" w:cs="Times New Roman"/>
          <w:sz w:val="24"/>
          <w:szCs w:val="24"/>
        </w:rPr>
        <w:t>of a stationary source are considered in determining whether it is a major source</w:t>
      </w:r>
      <w:r w:rsidR="001A286A" w:rsidRPr="00CD693D">
        <w:rPr>
          <w:rFonts w:ascii="Times New Roman" w:eastAsia="Times New Roman" w:hAnsi="Times New Roman" w:cs="Times New Roman"/>
          <w:sz w:val="24"/>
          <w:szCs w:val="24"/>
        </w:rPr>
        <w:t>.</w:t>
      </w:r>
      <w:r w:rsidR="001A286A">
        <w:rPr>
          <w:rFonts w:ascii="Times New Roman" w:eastAsia="Times New Roman" w:hAnsi="Times New Roman" w:cs="Times New Roman"/>
          <w:sz w:val="24"/>
          <w:szCs w:val="24"/>
        </w:rPr>
        <w:t xml:space="preserve"> </w:t>
      </w:r>
      <w:r w:rsidR="001A286A" w:rsidRPr="00CD03B8">
        <w:rPr>
          <w:rFonts w:ascii="Times New Roman" w:eastAsia="Times New Roman" w:hAnsi="Times New Roman" w:cs="Times New Roman"/>
          <w:sz w:val="24"/>
          <w:szCs w:val="24"/>
        </w:rPr>
        <w:t xml:space="preserve"> </w:t>
      </w:r>
      <w:r w:rsidR="00B02D83">
        <w:rPr>
          <w:rFonts w:ascii="Times New Roman" w:eastAsia="Times New Roman" w:hAnsi="Times New Roman" w:cs="Times New Roman"/>
          <w:sz w:val="24"/>
          <w:szCs w:val="24"/>
        </w:rPr>
        <w:t xml:space="preserve">Potential to emit calculations must include emission </w:t>
      </w:r>
      <w:r w:rsidR="002A2283" w:rsidRPr="00D50E9D">
        <w:rPr>
          <w:rFonts w:ascii="Times New Roman" w:eastAsia="Times New Roman" w:hAnsi="Times New Roman" w:cs="Times New Roman"/>
          <w:sz w:val="24"/>
          <w:szCs w:val="24"/>
        </w:rPr>
        <w:t>increases</w:t>
      </w:r>
      <w:r w:rsidR="00B02D83">
        <w:rPr>
          <w:rFonts w:ascii="Times New Roman" w:eastAsia="Times New Roman" w:hAnsi="Times New Roman" w:cs="Times New Roman"/>
          <w:sz w:val="24"/>
          <w:szCs w:val="24"/>
        </w:rPr>
        <w:t xml:space="preserve"> due to a new or modified </w:t>
      </w:r>
      <w:r w:rsidR="00B02D83" w:rsidRPr="007D6AF4">
        <w:rPr>
          <w:rFonts w:ascii="Times New Roman" w:eastAsia="Times New Roman" w:hAnsi="Times New Roman" w:cs="Times New Roman"/>
          <w:sz w:val="24"/>
          <w:szCs w:val="24"/>
        </w:rPr>
        <w:t>source</w:t>
      </w:r>
      <w:r w:rsidR="00D50E9D" w:rsidRPr="007D6AF4">
        <w:rPr>
          <w:rFonts w:ascii="Times New Roman" w:eastAsia="Times New Roman" w:hAnsi="Times New Roman" w:cs="Times New Roman"/>
          <w:sz w:val="24"/>
          <w:szCs w:val="24"/>
        </w:rPr>
        <w:t xml:space="preserve"> </w:t>
      </w:r>
      <w:r w:rsidR="00D50E9D" w:rsidRPr="007D6AF4">
        <w:rPr>
          <w:rFonts w:ascii="Times New Roman" w:hAnsi="Times New Roman"/>
          <w:sz w:val="24"/>
          <w:szCs w:val="24"/>
        </w:rPr>
        <w:t>and may include emission decreases</w:t>
      </w:r>
      <w:r w:rsidR="00B02D83" w:rsidRPr="007D6AF4">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w:t>
      </w:r>
      <w:r w:rsidR="0074256E">
        <w:rPr>
          <w:rFonts w:ascii="Times New Roman" w:eastAsia="Times New Roman" w:hAnsi="Times New Roman" w:cs="Times New Roman"/>
          <w:sz w:val="24"/>
          <w:szCs w:val="24"/>
        </w:rPr>
        <w:t xml:space="preserve"> </w:t>
      </w:r>
      <w:r w:rsidRPr="00CD03B8">
        <w:rPr>
          <w:rFonts w:ascii="Times New Roman" w:eastAsia="Times New Roman" w:hAnsi="Times New Roman" w:cs="Times New Roman"/>
          <w:sz w:val="24"/>
          <w:szCs w:val="24"/>
        </w:rPr>
        <w:t>(or any group of stationary sources that are located on one or more contiguous or adjacent properties and are under common control of the same person</w:t>
      </w:r>
      <w:r w:rsidR="0074256E">
        <w:rPr>
          <w:rFonts w:ascii="Times New Roman" w:eastAsia="Times New Roman" w:hAnsi="Times New Roman" w:cs="Times New Roman"/>
          <w:sz w:val="24"/>
          <w:szCs w:val="24"/>
        </w:rPr>
        <w:t xml:space="preserve"> </w:t>
      </w:r>
      <w:r w:rsidRPr="00CD03B8">
        <w:rPr>
          <w:rFonts w:ascii="Times New Roman" w:eastAsia="Times New Roman" w:hAnsi="Times New Roman" w:cs="Times New Roman"/>
          <w:sz w:val="24"/>
          <w:szCs w:val="24"/>
        </w:rPr>
        <w:t>(or persons under common control)) belonging to a single major industrial grouping or supporting the major industrial group and that is described in paragraphs (A),</w:t>
      </w:r>
      <w:r w:rsidR="001036E5">
        <w:rPr>
          <w:rFonts w:ascii="Times New Roman" w:eastAsia="Times New Roman" w:hAnsi="Times New Roman" w:cs="Times New Roman"/>
          <w:sz w:val="24"/>
          <w:szCs w:val="24"/>
        </w:rPr>
        <w:t xml:space="preserve"> </w:t>
      </w:r>
      <w:r w:rsidRPr="00CD03B8">
        <w:rPr>
          <w:rFonts w:ascii="Times New Roman" w:eastAsia="Times New Roman" w:hAnsi="Times New Roman" w:cs="Times New Roman"/>
          <w:sz w:val="24"/>
          <w:szCs w:val="24"/>
        </w:rPr>
        <w:t>(B)</w:t>
      </w:r>
      <w:r w:rsidR="001036E5">
        <w:rPr>
          <w:rFonts w:ascii="Times New Roman" w:eastAsia="Times New Roman" w:hAnsi="Times New Roman" w:cs="Times New Roman"/>
          <w:sz w:val="24"/>
          <w:szCs w:val="24"/>
        </w:rPr>
        <w:t>,</w:t>
      </w:r>
      <w:r w:rsidRPr="00CD03B8">
        <w:rPr>
          <w:rFonts w:ascii="Times New Roman" w:eastAsia="Times New Roman" w:hAnsi="Times New Roman" w:cs="Times New Roman"/>
          <w:sz w:val="24"/>
          <w:szCs w:val="24"/>
        </w:rPr>
        <w:t xml:space="preserve"> (C)</w:t>
      </w:r>
      <w:r w:rsidR="001036E5">
        <w:rPr>
          <w:rFonts w:ascii="Times New Roman" w:eastAsia="Times New Roman" w:hAnsi="Times New Roman" w:cs="Times New Roman"/>
          <w:sz w:val="24"/>
          <w:szCs w:val="24"/>
        </w:rPr>
        <w:t xml:space="preserve"> or (D)</w:t>
      </w:r>
      <w:r w:rsidRPr="00CD03B8">
        <w:rPr>
          <w:rFonts w:ascii="Times New Roman" w:eastAsia="Times New Roman" w:hAnsi="Times New Roman" w:cs="Times New Roman"/>
          <w:sz w:val="24"/>
          <w:szCs w:val="24"/>
        </w:rPr>
        <w:t xml:space="preserve">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A major source of hazardous air pollutants, which means: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w:t>
      </w:r>
      <w:r w:rsidRPr="00CD03B8">
        <w:rPr>
          <w:rFonts w:ascii="Times New Roman" w:eastAsia="Times New Roman" w:hAnsi="Times New Roman" w:cs="Times New Roman"/>
          <w:sz w:val="24"/>
          <w:szCs w:val="24"/>
        </w:rPr>
        <w:lastRenderedPageBreak/>
        <w:t xml:space="preserve">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FB5E3D"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(ii) For radionuclides, "major source" will have the meaning specified by the Administrator by rule.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 major stationary source of air pollutants, as defined in section 302 of the Act, that directly emits or has the potential to emit 100 tpy or more of any regulated air pollutant, </w:t>
      </w:r>
      <w:r w:rsidR="00F47593">
        <w:rPr>
          <w:rFonts w:ascii="Times New Roman" w:eastAsia="Times New Roman" w:hAnsi="Times New Roman" w:cs="Times New Roman"/>
          <w:sz w:val="24"/>
          <w:szCs w:val="24"/>
        </w:rPr>
        <w:t xml:space="preserve">except greenhouse gases, </w:t>
      </w:r>
      <w:r w:rsidRPr="00CD03B8">
        <w:rPr>
          <w:rFonts w:ascii="Times New Roman" w:eastAsia="Times New Roman" w:hAnsi="Times New Roman" w:cs="Times New Roman"/>
          <w:sz w:val="24"/>
          <w:szCs w:val="24"/>
        </w:rPr>
        <w:t xml:space="preserve">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 Coal cleaning plants (with thermal dryers);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(ii) Kraft pulp mills;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(iii) Portland cement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(iv) Primary zinc smelters;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(v) Iron and steel mills;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(vi) Primary aluminum ore reduction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(vii) Primary copper smelters;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(viii) Municipal incinerators capable of charging more than 50 tons of refuse per day;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(ix) Hydrofluoric, sulfuric, or nitric acid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 Petroleum refineries;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(xi) Lime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(xii) Phosphate rock processing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(xiii) Coke oven batteries;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(xiv) Sulfur recovery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(xv) Carbon black plants(furnace process);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(xvi) Primary lead smelters;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(xvii) Fuel conversion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(xviii) Sintering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(xix) Secondary metal production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 Chemical process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(xxi) Fossil-fuel boilers, or combination thereof, totaling more than 250 million British thermal units per hour heat input;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(xxii) Petroleum storage and transfer units with a total storage capacity exceeding 300,000 barrels;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(xxiii) Taconite ore processing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(xxiv) Glass fiber processing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(xxv) Charcoal production plants;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(xxvi) Fossil-fuel-fired steam electric plants of more than 250 million British thermal units per hour heat input; or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(xxvii) Any other stationary source category, that as of August 7, 1980 is being regulated under section 111 or 112 of the Act. </w:t>
      </w:r>
    </w:p>
    <w:p w:rsidR="00DE7010" w:rsidRPr="00CD03B8" w:rsidRDefault="00B80370"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F47593">
        <w:rPr>
          <w:rFonts w:ascii="Times New Roman" w:eastAsia="Times New Roman" w:hAnsi="Times New Roman" w:cs="Times New Roman"/>
          <w:sz w:val="24"/>
          <w:szCs w:val="24"/>
        </w:rPr>
        <w:t>Beginning July 1, 2011, a</w:t>
      </w:r>
      <w:r w:rsidR="00F47593" w:rsidRPr="00CD03B8">
        <w:rPr>
          <w:rFonts w:ascii="Times New Roman" w:eastAsia="Times New Roman" w:hAnsi="Times New Roman" w:cs="Times New Roman"/>
          <w:sz w:val="24"/>
          <w:szCs w:val="24"/>
        </w:rPr>
        <w:t xml:space="preserve"> major stationary source </w:t>
      </w:r>
      <w:r w:rsidR="00937D92">
        <w:rPr>
          <w:rFonts w:ascii="Times New Roman" w:eastAsia="Times New Roman" w:hAnsi="Times New Roman" w:cs="Times New Roman"/>
          <w:sz w:val="24"/>
          <w:szCs w:val="24"/>
        </w:rPr>
        <w:t>of air pollutants, as defined by Section 302 of the Act,</w:t>
      </w:r>
      <w:r w:rsidR="00F47593" w:rsidRPr="00CD03B8">
        <w:rPr>
          <w:rFonts w:ascii="Times New Roman" w:eastAsia="Times New Roman" w:hAnsi="Times New Roman" w:cs="Times New Roman"/>
          <w:sz w:val="24"/>
          <w:szCs w:val="24"/>
        </w:rPr>
        <w:t xml:space="preserve"> that directly emits or has the potential to emit 100 tpy or more of </w:t>
      </w:r>
      <w:r w:rsidR="00F47593">
        <w:rPr>
          <w:rFonts w:ascii="Times New Roman" w:eastAsia="Times New Roman" w:hAnsi="Times New Roman" w:cs="Times New Roman"/>
          <w:sz w:val="24"/>
          <w:szCs w:val="24"/>
        </w:rPr>
        <w:t xml:space="preserve">greenhouse gases </w:t>
      </w:r>
      <w:r w:rsidR="00F47593">
        <w:rPr>
          <w:rFonts w:ascii="Times New Roman" w:eastAsia="Times New Roman" w:hAnsi="Times New Roman" w:cs="Times New Roman"/>
          <w:sz w:val="24"/>
          <w:szCs w:val="24"/>
        </w:rPr>
        <w:lastRenderedPageBreak/>
        <w:t xml:space="preserve">and </w:t>
      </w:r>
      <w:r w:rsidR="00194BEB">
        <w:rPr>
          <w:rFonts w:ascii="Times New Roman" w:eastAsia="Times New Roman" w:hAnsi="Times New Roman" w:cs="Times New Roman"/>
          <w:sz w:val="24"/>
          <w:szCs w:val="24"/>
        </w:rPr>
        <w:t xml:space="preserve">directly emits or </w:t>
      </w:r>
      <w:r w:rsidR="00DE7010" w:rsidRPr="00CD03B8">
        <w:rPr>
          <w:rFonts w:ascii="Times New Roman" w:eastAsia="Times New Roman" w:hAnsi="Times New Roman" w:cs="Times New Roman"/>
          <w:sz w:val="24"/>
          <w:szCs w:val="24"/>
        </w:rPr>
        <w:t>has the potential to emit 100</w:t>
      </w:r>
      <w:r w:rsidR="007D5C43">
        <w:rPr>
          <w:rFonts w:ascii="Times New Roman" w:eastAsia="Times New Roman" w:hAnsi="Times New Roman" w:cs="Times New Roman"/>
          <w:sz w:val="24"/>
          <w:szCs w:val="24"/>
        </w:rPr>
        <w:t>,</w:t>
      </w:r>
      <w:r w:rsidR="00DE7010">
        <w:rPr>
          <w:rFonts w:ascii="Times New Roman" w:eastAsia="Times New Roman" w:hAnsi="Times New Roman" w:cs="Times New Roman"/>
          <w:sz w:val="24"/>
          <w:szCs w:val="24"/>
        </w:rPr>
        <w:t>000</w:t>
      </w:r>
      <w:r w:rsidR="00DE7010" w:rsidRPr="00CD03B8">
        <w:rPr>
          <w:rFonts w:ascii="Times New Roman" w:eastAsia="Times New Roman" w:hAnsi="Times New Roman" w:cs="Times New Roman"/>
          <w:sz w:val="24"/>
          <w:szCs w:val="24"/>
        </w:rPr>
        <w:t xml:space="preserve"> tpy or more </w:t>
      </w:r>
      <w:r w:rsidR="00DE7010">
        <w:rPr>
          <w:rFonts w:ascii="Times New Roman" w:eastAsia="Times New Roman" w:hAnsi="Times New Roman" w:cs="Times New Roman"/>
          <w:sz w:val="24"/>
          <w:szCs w:val="24"/>
        </w:rPr>
        <w:t>CO2e</w:t>
      </w:r>
      <w:r w:rsidR="00DE7010" w:rsidRPr="00CD03B8">
        <w:rPr>
          <w:rFonts w:ascii="Times New Roman" w:eastAsia="Times New Roman" w:hAnsi="Times New Roman" w:cs="Times New Roman"/>
          <w:sz w:val="24"/>
          <w:szCs w:val="24"/>
        </w:rPr>
        <w:t>, including fugitive emissions</w:t>
      </w:r>
      <w:r>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B80370">
        <w:rPr>
          <w:rFonts w:ascii="Times New Roman" w:eastAsia="Times New Roman" w:hAnsi="Times New Roman" w:cs="Times New Roman"/>
          <w:sz w:val="24"/>
          <w:szCs w:val="24"/>
        </w:rPr>
        <w:t>D</w:t>
      </w:r>
      <w:r w:rsidRPr="00CD03B8">
        <w:rPr>
          <w:rFonts w:ascii="Times New Roman" w:eastAsia="Times New Roman" w:hAnsi="Times New Roman" w:cs="Times New Roman"/>
          <w:sz w:val="24"/>
          <w:szCs w:val="24"/>
        </w:rPr>
        <w:t xml:space="preserve">) A major stationary source as defined in part D of Title I of the Act, including: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w:t>
      </w:r>
      <w:r w:rsidR="006F5262">
        <w:rPr>
          <w:rFonts w:ascii="Times New Roman" w:eastAsia="Times New Roman" w:hAnsi="Times New Roman" w:cs="Times New Roman"/>
          <w:sz w:val="24"/>
          <w:szCs w:val="24"/>
        </w:rPr>
        <w:t xml:space="preserve">of this subsection </w:t>
      </w:r>
      <w:r w:rsidRPr="00CD03B8">
        <w:rPr>
          <w:rFonts w:ascii="Times New Roman" w:eastAsia="Times New Roman" w:hAnsi="Times New Roman" w:cs="Times New Roman"/>
          <w:sz w:val="24"/>
          <w:szCs w:val="24"/>
        </w:rPr>
        <w:t xml:space="preserve">to 100, 50, 25, and 10 tpy of nitrogen oxides do not apply with respect to any source for which the Administrator has made a finding, under section 182(f)(1) or (2) of the Act, that requirements under section 182(f) of the Act do not apply;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(ii) For ozone transport regions established pursuant to section 184 of the Act, sources with the potential to emit 50 tpy or more of VOCs;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(iii) For carbon monoxide nonattainment areas: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 That are classified as "serious";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(II) In which stationary sources contribute significantly to carbon monoxide levels as determined under rules issued by the Administrator, sources with the potential to emit 50 tpy or more of carbon monoxide.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(iv) For particulate matter(PM10) nonattainment areas classified as "serious," sources with the potential to emit 70 tpy or more of PM10.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FC1FDB">
        <w:rPr>
          <w:rFonts w:ascii="Times New Roman" w:eastAsia="Times New Roman" w:hAnsi="Times New Roman" w:cs="Times New Roman"/>
          <w:sz w:val="24"/>
          <w:szCs w:val="24"/>
        </w:rPr>
        <w:t>7</w:t>
      </w:r>
      <w:r w:rsidR="001E531D">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"Material Balance" means a procedure for determining emissions based on the difference in the amount of material added to a process and the amount consumed and/or recovered from a process.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031CC4">
        <w:rPr>
          <w:rFonts w:ascii="Times New Roman" w:eastAsia="Times New Roman" w:hAnsi="Times New Roman" w:cs="Times New Roman"/>
          <w:sz w:val="24"/>
          <w:szCs w:val="24"/>
        </w:rPr>
        <w:t>7</w:t>
      </w:r>
      <w:r w:rsidR="001E531D">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Increases in hours of operation or production rates that do not involve a physical change or change in the method of operation;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Changes in the method of operation due to using an alternative fuel or raw material that the stationary source was physically capable of accommodating during the baseline period;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r w:rsidR="001E531D">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Continuous emission or opacity monitoring systems.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Continuous process, capture system, control device or other relevant parameter monitoring systems or procedures, including a predictive emission monitoring system.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(c) Emission estimation and calculation procedures (e.g., mass balance or stoichiometric calculations).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Maintaining and analyzing records of fuel or raw materials usage.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(e) Recording results of a program or protocol to conduct specific operation and maintenance procedures.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(f) Verifying emissions, process parameters, capture system parameters, or control device parameters using portable or in situ measurement devices.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(g) Visible emission observations and recording. </w:t>
      </w:r>
    </w:p>
    <w:p w:rsidR="000927E6"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924705"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(7</w:t>
      </w:r>
      <w:r w:rsidR="001E531D">
        <w:rPr>
          <w:rFonts w:ascii="Times New Roman" w:eastAsia="Times New Roman" w:hAnsi="Times New Roman" w:cs="Times New Roman"/>
          <w:sz w:val="24"/>
          <w:szCs w:val="24"/>
        </w:rPr>
        <w:t>5</w:t>
      </w:r>
      <w:r w:rsidRPr="00DF73BA">
        <w:rPr>
          <w:rFonts w:ascii="Times New Roman" w:eastAsia="Times New Roman" w:hAnsi="Times New Roman" w:cs="Times New Roman"/>
          <w:sz w:val="24"/>
          <w:szCs w:val="24"/>
        </w:rPr>
        <w:t>)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w:t>
      </w:r>
      <w:r w:rsidR="0034095D">
        <w:rPr>
          <w:rFonts w:ascii="Times New Roman" w:eastAsia="Times New Roman" w:hAnsi="Times New Roman" w:cs="Times New Roman"/>
          <w:sz w:val="24"/>
          <w:szCs w:val="24"/>
        </w:rPr>
        <w:t xml:space="preserve"> in OAR 340 </w:t>
      </w:r>
      <w:r w:rsidR="0034095D" w:rsidRPr="00476D6C">
        <w:rPr>
          <w:rFonts w:ascii="Times New Roman" w:eastAsia="Times New Roman" w:hAnsi="Times New Roman" w:cs="Times New Roman"/>
          <w:sz w:val="24"/>
          <w:szCs w:val="24"/>
        </w:rPr>
        <w:t>division 224</w:t>
      </w:r>
      <w:r w:rsidR="0034095D">
        <w:rPr>
          <w:rFonts w:ascii="Times New Roman" w:eastAsia="Times New Roman" w:hAnsi="Times New Roman" w:cs="Times New Roman"/>
          <w:sz w:val="24"/>
          <w:szCs w:val="24"/>
        </w:rPr>
        <w:t xml:space="preserve"> </w:t>
      </w:r>
      <w:r w:rsidR="0034095D" w:rsidRPr="00476D6C">
        <w:rPr>
          <w:rFonts w:ascii="Times New Roman" w:eastAsia="Times New Roman" w:hAnsi="Times New Roman" w:cs="Times New Roman"/>
          <w:sz w:val="24"/>
          <w:szCs w:val="24"/>
        </w:rPr>
        <w:t xml:space="preserve">MINUS any emissions reductions required </w:t>
      </w:r>
      <w:r w:rsidR="00802327">
        <w:rPr>
          <w:rFonts w:ascii="Times New Roman" w:eastAsia="Times New Roman" w:hAnsi="Times New Roman" w:cs="Times New Roman"/>
          <w:sz w:val="24"/>
          <w:szCs w:val="24"/>
        </w:rPr>
        <w:t xml:space="preserve">by </w:t>
      </w:r>
      <w:r w:rsidR="0034095D" w:rsidRPr="00476D6C">
        <w:rPr>
          <w:rFonts w:ascii="Times New Roman" w:eastAsia="Times New Roman" w:hAnsi="Times New Roman" w:cs="Times New Roman"/>
          <w:sz w:val="24"/>
          <w:szCs w:val="24"/>
        </w:rPr>
        <w:t xml:space="preserve">subsection (g) of this section. </w:t>
      </w:r>
    </w:p>
    <w:p w:rsidR="00F349CA" w:rsidRDefault="00AC437C"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 netting basis will only be established for regulated pollutants subject to</w:t>
      </w:r>
      <w:r w:rsidR="0034095D">
        <w:rPr>
          <w:rFonts w:ascii="Times New Roman" w:eastAsia="Times New Roman" w:hAnsi="Times New Roman" w:cs="Times New Roman"/>
          <w:sz w:val="24"/>
          <w:szCs w:val="24"/>
        </w:rPr>
        <w:t xml:space="preserve"> OAR 340</w:t>
      </w:r>
      <w:r>
        <w:rPr>
          <w:rFonts w:ascii="Times New Roman" w:eastAsia="Times New Roman" w:hAnsi="Times New Roman" w:cs="Times New Roman"/>
          <w:sz w:val="24"/>
          <w:szCs w:val="24"/>
        </w:rPr>
        <w:t xml:space="preserve"> </w:t>
      </w:r>
      <w:r w:rsidR="0034095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ivision 224 as specified in the definition of regulated pollutant.  </w:t>
      </w:r>
    </w:p>
    <w:p w:rsidR="0034095D" w:rsidRDefault="00F626EC" w:rsidP="00CE74E5">
      <w:pPr>
        <w:spacing w:after="0" w:line="240" w:lineRule="auto"/>
        <w:rPr>
          <w:rFonts w:ascii="Times New Roman" w:hAnsi="Times New Roman" w:cs="Times New Roman"/>
          <w:sz w:val="24"/>
          <w:szCs w:val="24"/>
        </w:rPr>
      </w:pPr>
      <w:r w:rsidRPr="00763780">
        <w:rPr>
          <w:rFonts w:ascii="Times New Roman" w:hAnsi="Times New Roman" w:cs="Times New Roman"/>
          <w:sz w:val="24"/>
          <w:szCs w:val="24"/>
        </w:rPr>
        <w:t>(</w:t>
      </w:r>
      <w:r w:rsidR="00AC14EA">
        <w:rPr>
          <w:rFonts w:ascii="Times New Roman" w:hAnsi="Times New Roman" w:cs="Times New Roman"/>
          <w:sz w:val="24"/>
          <w:szCs w:val="24"/>
        </w:rPr>
        <w:t>b</w:t>
      </w:r>
      <w:r w:rsidRPr="00763780">
        <w:rPr>
          <w:rFonts w:ascii="Times New Roman" w:hAnsi="Times New Roman" w:cs="Times New Roman"/>
          <w:sz w:val="24"/>
          <w:szCs w:val="24"/>
        </w:rPr>
        <w:t xml:space="preserve">) The </w:t>
      </w:r>
      <w:r w:rsidR="0034095D">
        <w:rPr>
          <w:rFonts w:ascii="Times New Roman" w:hAnsi="Times New Roman" w:cs="Times New Roman"/>
          <w:sz w:val="24"/>
          <w:szCs w:val="24"/>
        </w:rPr>
        <w:t xml:space="preserve">initial PM2.5 </w:t>
      </w:r>
      <w:r w:rsidRPr="00763780">
        <w:rPr>
          <w:rFonts w:ascii="Times New Roman" w:hAnsi="Times New Roman" w:cs="Times New Roman"/>
          <w:sz w:val="24"/>
          <w:szCs w:val="24"/>
        </w:rPr>
        <w:t xml:space="preserve">netting basis </w:t>
      </w:r>
      <w:r w:rsidR="0034095D">
        <w:rPr>
          <w:rFonts w:ascii="Times New Roman" w:hAnsi="Times New Roman" w:cs="Times New Roman"/>
          <w:sz w:val="24"/>
          <w:szCs w:val="24"/>
        </w:rPr>
        <w:t xml:space="preserve">and PSEL for a source that was permitted prior to May 1, 2011 </w:t>
      </w:r>
      <w:r w:rsidRPr="00763780">
        <w:rPr>
          <w:rFonts w:ascii="Times New Roman" w:hAnsi="Times New Roman" w:cs="Times New Roman"/>
          <w:sz w:val="24"/>
          <w:szCs w:val="24"/>
        </w:rPr>
        <w:t xml:space="preserve">will be established with the first permitting action </w:t>
      </w:r>
      <w:r w:rsidR="00A43FBC">
        <w:rPr>
          <w:rFonts w:ascii="Times New Roman" w:hAnsi="Times New Roman" w:cs="Times New Roman"/>
          <w:sz w:val="24"/>
          <w:szCs w:val="24"/>
        </w:rPr>
        <w:t>issued</w:t>
      </w:r>
      <w:r w:rsidRPr="00763780">
        <w:rPr>
          <w:rFonts w:ascii="Times New Roman" w:hAnsi="Times New Roman" w:cs="Times New Roman"/>
          <w:sz w:val="24"/>
          <w:szCs w:val="24"/>
        </w:rPr>
        <w:t xml:space="preserve"> </w:t>
      </w:r>
      <w:r w:rsidR="00A43FBC">
        <w:rPr>
          <w:rFonts w:ascii="Times New Roman" w:hAnsi="Times New Roman" w:cs="Times New Roman"/>
          <w:sz w:val="24"/>
          <w:szCs w:val="24"/>
        </w:rPr>
        <w:t xml:space="preserve">after July 1, 2011, provided the permitting action involved a public </w:t>
      </w:r>
      <w:r w:rsidR="00B75902">
        <w:rPr>
          <w:rFonts w:ascii="Times New Roman" w:hAnsi="Times New Roman" w:cs="Times New Roman"/>
          <w:sz w:val="24"/>
          <w:szCs w:val="24"/>
        </w:rPr>
        <w:t xml:space="preserve">notice </w:t>
      </w:r>
      <w:r w:rsidR="00A43FBC">
        <w:rPr>
          <w:rFonts w:ascii="Times New Roman" w:hAnsi="Times New Roman" w:cs="Times New Roman"/>
          <w:sz w:val="24"/>
          <w:szCs w:val="24"/>
        </w:rPr>
        <w:t xml:space="preserve">period that </w:t>
      </w:r>
      <w:r w:rsidR="00B75902">
        <w:rPr>
          <w:rFonts w:ascii="Times New Roman" w:hAnsi="Times New Roman" w:cs="Times New Roman"/>
          <w:sz w:val="24"/>
          <w:szCs w:val="24"/>
        </w:rPr>
        <w:t xml:space="preserve">began </w:t>
      </w:r>
      <w:r w:rsidRPr="00763780">
        <w:rPr>
          <w:rFonts w:ascii="Times New Roman" w:hAnsi="Times New Roman" w:cs="Times New Roman"/>
          <w:sz w:val="24"/>
          <w:szCs w:val="24"/>
        </w:rPr>
        <w:t xml:space="preserve">after </w:t>
      </w:r>
      <w:r w:rsidR="00B75902">
        <w:rPr>
          <w:rFonts w:ascii="Times New Roman" w:hAnsi="Times New Roman" w:cs="Times New Roman"/>
          <w:sz w:val="24"/>
          <w:szCs w:val="24"/>
        </w:rPr>
        <w:t>Jul</w:t>
      </w:r>
      <w:r w:rsidR="0034095D">
        <w:rPr>
          <w:rFonts w:ascii="Times New Roman" w:hAnsi="Times New Roman" w:cs="Times New Roman"/>
          <w:sz w:val="24"/>
          <w:szCs w:val="24"/>
        </w:rPr>
        <w:t>y 1, 2</w:t>
      </w:r>
      <w:r w:rsidRPr="00763780">
        <w:rPr>
          <w:rFonts w:ascii="Times New Roman" w:hAnsi="Times New Roman" w:cs="Times New Roman"/>
          <w:sz w:val="24"/>
          <w:szCs w:val="24"/>
        </w:rPr>
        <w:t>01</w:t>
      </w:r>
      <w:r w:rsidR="0034095D">
        <w:rPr>
          <w:rFonts w:ascii="Times New Roman" w:hAnsi="Times New Roman" w:cs="Times New Roman"/>
          <w:sz w:val="24"/>
          <w:szCs w:val="24"/>
        </w:rPr>
        <w:t>1</w:t>
      </w:r>
      <w:r w:rsidRPr="00763780">
        <w:rPr>
          <w:rFonts w:ascii="Times New Roman" w:hAnsi="Times New Roman" w:cs="Times New Roman"/>
          <w:sz w:val="24"/>
          <w:szCs w:val="24"/>
        </w:rPr>
        <w:t>.</w:t>
      </w:r>
    </w:p>
    <w:p w:rsidR="00002D70" w:rsidRPr="001B64EF" w:rsidRDefault="0034095D" w:rsidP="00CE74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24CED" w:rsidRPr="001B64EF">
        <w:rPr>
          <w:rFonts w:ascii="Times New Roman" w:hAnsi="Times New Roman" w:cs="Times New Roman"/>
          <w:sz w:val="24"/>
          <w:szCs w:val="24"/>
        </w:rPr>
        <w:t>The initial netting basis is the PM2.5 fraction of the PM10 netting basis</w:t>
      </w:r>
      <w:r w:rsidR="001B64EF" w:rsidRPr="001B64EF">
        <w:rPr>
          <w:rFonts w:ascii="Times New Roman" w:hAnsi="Times New Roman" w:cs="Times New Roman"/>
          <w:sz w:val="24"/>
          <w:szCs w:val="24"/>
        </w:rPr>
        <w:t xml:space="preserve"> in effect on May 1, 2011</w:t>
      </w:r>
      <w:r w:rsidR="00E24CED" w:rsidRPr="001B64EF">
        <w:rPr>
          <w:rFonts w:ascii="Times New Roman" w:hAnsi="Times New Roman" w:cs="Times New Roman"/>
          <w:sz w:val="24"/>
          <w:szCs w:val="24"/>
        </w:rPr>
        <w:t xml:space="preserve">.  DEQ may increase the initial PM2.5 netting basis by up to </w:t>
      </w:r>
      <w:r w:rsidR="00D95F94" w:rsidRPr="00F77CA3">
        <w:rPr>
          <w:rFonts w:ascii="Times New Roman" w:hAnsi="Times New Roman" w:cs="Times New Roman"/>
          <w:sz w:val="24"/>
          <w:szCs w:val="24"/>
        </w:rPr>
        <w:t>5 tons</w:t>
      </w:r>
      <w:r w:rsidR="00E24CED" w:rsidRPr="001B64EF">
        <w:rPr>
          <w:rFonts w:ascii="Times New Roman" w:hAnsi="Times New Roman" w:cs="Times New Roman"/>
          <w:sz w:val="24"/>
          <w:szCs w:val="24"/>
        </w:rPr>
        <w:t xml:space="preserve"> if necessary </w:t>
      </w:r>
      <w:r w:rsidR="00002D70" w:rsidRPr="001B64EF">
        <w:rPr>
          <w:rFonts w:ascii="Times New Roman" w:hAnsi="Times New Roman" w:cs="Times New Roman"/>
          <w:sz w:val="24"/>
          <w:szCs w:val="24"/>
        </w:rPr>
        <w:t>to avoid exceedance of the PM2.5 significant emission rate</w:t>
      </w:r>
      <w:r w:rsidR="001B64EF" w:rsidRPr="001B64EF">
        <w:rPr>
          <w:rFonts w:ascii="Times New Roman" w:hAnsi="Times New Roman" w:cs="Times New Roman"/>
          <w:sz w:val="24"/>
          <w:szCs w:val="24"/>
        </w:rPr>
        <w:t xml:space="preserve"> as of May 1, 2011</w:t>
      </w:r>
      <w:r w:rsidR="00002D70" w:rsidRPr="001B64EF">
        <w:rPr>
          <w:rFonts w:ascii="Times New Roman" w:hAnsi="Times New Roman" w:cs="Times New Roman"/>
          <w:sz w:val="24"/>
          <w:szCs w:val="24"/>
        </w:rPr>
        <w:t xml:space="preserve">.  </w:t>
      </w:r>
    </w:p>
    <w:p w:rsidR="001D4B32" w:rsidRDefault="0034095D" w:rsidP="00CE74E5">
      <w:pPr>
        <w:spacing w:after="0" w:line="240" w:lineRule="auto"/>
        <w:rPr>
          <w:rFonts w:ascii="Times New Roman" w:hAnsi="Times New Roman" w:cs="Times New Roman"/>
          <w:sz w:val="24"/>
          <w:szCs w:val="24"/>
        </w:rPr>
      </w:pPr>
      <w:r w:rsidRPr="00476D6C">
        <w:rPr>
          <w:rFonts w:ascii="Times New Roman" w:eastAsia="Times New Roman" w:hAnsi="Times New Roman" w:cs="Times New Roman"/>
          <w:sz w:val="24"/>
          <w:szCs w:val="24"/>
        </w:rPr>
        <w:t xml:space="preserve">(B) Notwithstanding OAR 340-222-0041(2), the initial source specific PSEL for a source with PTE greater than </w:t>
      </w:r>
      <w:r>
        <w:rPr>
          <w:rFonts w:ascii="Times New Roman" w:eastAsia="Times New Roman" w:hAnsi="Times New Roman" w:cs="Times New Roman"/>
          <w:sz w:val="24"/>
          <w:szCs w:val="24"/>
        </w:rPr>
        <w:t xml:space="preserve">or equal to the SER will be set equal to the </w:t>
      </w:r>
      <w:r>
        <w:rPr>
          <w:rFonts w:ascii="Times New Roman" w:hAnsi="Times New Roman" w:cs="Times New Roman"/>
          <w:sz w:val="24"/>
          <w:szCs w:val="24"/>
        </w:rPr>
        <w:t xml:space="preserve">PM2.5 fraction of the PM10 PSEL.  </w:t>
      </w:r>
    </w:p>
    <w:p w:rsidR="007D6AF4" w:rsidRDefault="00D32BA3" w:rsidP="00CE74E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w:t>
      </w:r>
      <w:r w:rsidR="001B64E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005F134A" w:rsidRPr="00763780">
        <w:rPr>
          <w:rFonts w:ascii="Times New Roman" w:hAnsi="Times New Roman" w:cs="Times New Roman"/>
          <w:sz w:val="24"/>
          <w:szCs w:val="24"/>
        </w:rPr>
        <w:t xml:space="preserve">The </w:t>
      </w:r>
      <w:r w:rsidR="00021363">
        <w:rPr>
          <w:rFonts w:ascii="Times New Roman" w:hAnsi="Times New Roman" w:cs="Times New Roman"/>
          <w:sz w:val="24"/>
          <w:szCs w:val="24"/>
        </w:rPr>
        <w:t xml:space="preserve">initial greenhouse gas </w:t>
      </w:r>
      <w:r w:rsidR="005F134A" w:rsidRPr="00763780">
        <w:rPr>
          <w:rFonts w:ascii="Times New Roman" w:hAnsi="Times New Roman" w:cs="Times New Roman"/>
          <w:sz w:val="24"/>
          <w:szCs w:val="24"/>
        </w:rPr>
        <w:t xml:space="preserve">netting basis </w:t>
      </w:r>
      <w:r w:rsidR="00021363">
        <w:rPr>
          <w:rFonts w:ascii="Times New Roman" w:hAnsi="Times New Roman" w:cs="Times New Roman"/>
          <w:sz w:val="24"/>
          <w:szCs w:val="24"/>
        </w:rPr>
        <w:t xml:space="preserve">and PSEL for a source </w:t>
      </w:r>
      <w:r w:rsidR="005F134A" w:rsidRPr="00763780">
        <w:rPr>
          <w:rFonts w:ascii="Times New Roman" w:hAnsi="Times New Roman" w:cs="Times New Roman"/>
          <w:sz w:val="24"/>
          <w:szCs w:val="24"/>
        </w:rPr>
        <w:t xml:space="preserve">will be established with the first permitting action </w:t>
      </w:r>
      <w:r w:rsidR="00A43FBC">
        <w:rPr>
          <w:rFonts w:ascii="Times New Roman" w:hAnsi="Times New Roman" w:cs="Times New Roman"/>
          <w:sz w:val="24"/>
          <w:szCs w:val="24"/>
        </w:rPr>
        <w:t>issued</w:t>
      </w:r>
      <w:r w:rsidR="00A43FBC" w:rsidRPr="00763780">
        <w:rPr>
          <w:rFonts w:ascii="Times New Roman" w:hAnsi="Times New Roman" w:cs="Times New Roman"/>
          <w:sz w:val="24"/>
          <w:szCs w:val="24"/>
        </w:rPr>
        <w:t xml:space="preserve"> </w:t>
      </w:r>
      <w:r w:rsidR="00A43FBC">
        <w:rPr>
          <w:rFonts w:ascii="Times New Roman" w:hAnsi="Times New Roman" w:cs="Times New Roman"/>
          <w:sz w:val="24"/>
          <w:szCs w:val="24"/>
        </w:rPr>
        <w:t xml:space="preserve">after July 1, 2011, provided the permitting action involved a public notice period that began </w:t>
      </w:r>
      <w:r w:rsidR="00A43FBC" w:rsidRPr="00763780">
        <w:rPr>
          <w:rFonts w:ascii="Times New Roman" w:hAnsi="Times New Roman" w:cs="Times New Roman"/>
          <w:sz w:val="24"/>
          <w:szCs w:val="24"/>
        </w:rPr>
        <w:t xml:space="preserve">after </w:t>
      </w:r>
      <w:r w:rsidR="00A43FBC">
        <w:rPr>
          <w:rFonts w:ascii="Times New Roman" w:hAnsi="Times New Roman" w:cs="Times New Roman"/>
          <w:sz w:val="24"/>
          <w:szCs w:val="24"/>
        </w:rPr>
        <w:t>July 1, 2</w:t>
      </w:r>
      <w:r w:rsidR="00A43FBC" w:rsidRPr="00763780">
        <w:rPr>
          <w:rFonts w:ascii="Times New Roman" w:hAnsi="Times New Roman" w:cs="Times New Roman"/>
          <w:sz w:val="24"/>
          <w:szCs w:val="24"/>
        </w:rPr>
        <w:t>01</w:t>
      </w:r>
      <w:r w:rsidR="00A43FBC">
        <w:rPr>
          <w:rFonts w:ascii="Times New Roman" w:hAnsi="Times New Roman" w:cs="Times New Roman"/>
          <w:sz w:val="24"/>
          <w:szCs w:val="24"/>
        </w:rPr>
        <w:t>1</w:t>
      </w:r>
      <w:r w:rsidR="00A43FBC" w:rsidRPr="00763780">
        <w:rPr>
          <w:rFonts w:ascii="Times New Roman" w:hAnsi="Times New Roman" w:cs="Times New Roman"/>
          <w:sz w:val="24"/>
          <w:szCs w:val="24"/>
        </w:rPr>
        <w:t>.</w:t>
      </w:r>
    </w:p>
    <w:p w:rsidR="009A4DC7" w:rsidRPr="00DF73B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w:t>
      </w:r>
      <w:r w:rsidR="004A6C6F">
        <w:rPr>
          <w:rFonts w:ascii="Times New Roman" w:eastAsia="Times New Roman" w:hAnsi="Times New Roman" w:cs="Times New Roman"/>
          <w:sz w:val="24"/>
          <w:szCs w:val="24"/>
        </w:rPr>
        <w:t>d</w:t>
      </w:r>
      <w:r w:rsidRPr="00DF73BA">
        <w:rPr>
          <w:rFonts w:ascii="Times New Roman" w:eastAsia="Times New Roman" w:hAnsi="Times New Roman" w:cs="Times New Roman"/>
          <w:sz w:val="24"/>
          <w:szCs w:val="24"/>
        </w:rPr>
        <w:t xml:space="preserve">) Netting basis is zero for: </w:t>
      </w:r>
    </w:p>
    <w:p w:rsidR="00F349C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 xml:space="preserve">(A) </w:t>
      </w:r>
      <w:r w:rsidR="00AC437C">
        <w:rPr>
          <w:rFonts w:ascii="Times New Roman" w:eastAsia="Times New Roman" w:hAnsi="Times New Roman" w:cs="Times New Roman"/>
          <w:sz w:val="24"/>
          <w:szCs w:val="24"/>
        </w:rPr>
        <w:t>A</w:t>
      </w:r>
      <w:r w:rsidRPr="00DF73BA">
        <w:rPr>
          <w:rFonts w:ascii="Times New Roman" w:eastAsia="Times New Roman" w:hAnsi="Times New Roman" w:cs="Times New Roman"/>
          <w:sz w:val="24"/>
          <w:szCs w:val="24"/>
        </w:rPr>
        <w:t xml:space="preserve">ny </w:t>
      </w:r>
      <w:r w:rsidR="00AC437C">
        <w:rPr>
          <w:rFonts w:ascii="Times New Roman" w:eastAsia="Times New Roman" w:hAnsi="Times New Roman" w:cs="Times New Roman"/>
          <w:sz w:val="24"/>
          <w:szCs w:val="24"/>
        </w:rPr>
        <w:t xml:space="preserve">regulated pollutant </w:t>
      </w:r>
      <w:r w:rsidR="00C64DC9">
        <w:rPr>
          <w:rFonts w:ascii="Times New Roman" w:eastAsia="Times New Roman" w:hAnsi="Times New Roman" w:cs="Times New Roman"/>
          <w:sz w:val="24"/>
          <w:szCs w:val="24"/>
        </w:rPr>
        <w:t xml:space="preserve">emitted from </w:t>
      </w:r>
      <w:r w:rsidR="00AC437C">
        <w:rPr>
          <w:rFonts w:ascii="Times New Roman" w:eastAsia="Times New Roman" w:hAnsi="Times New Roman" w:cs="Times New Roman"/>
          <w:sz w:val="24"/>
          <w:szCs w:val="24"/>
        </w:rPr>
        <w:t xml:space="preserve">a </w:t>
      </w:r>
      <w:r w:rsidRPr="00DF73BA">
        <w:rPr>
          <w:rFonts w:ascii="Times New Roman" w:eastAsia="Times New Roman" w:hAnsi="Times New Roman" w:cs="Times New Roman"/>
          <w:sz w:val="24"/>
          <w:szCs w:val="24"/>
        </w:rPr>
        <w:t xml:space="preserve">source </w:t>
      </w:r>
      <w:r w:rsidR="00080CF1">
        <w:rPr>
          <w:rFonts w:ascii="Times New Roman" w:eastAsia="Times New Roman" w:hAnsi="Times New Roman" w:cs="Times New Roman"/>
          <w:sz w:val="24"/>
          <w:szCs w:val="24"/>
        </w:rPr>
        <w:t xml:space="preserve">that </w:t>
      </w:r>
      <w:r w:rsidR="00C64DC9">
        <w:rPr>
          <w:rFonts w:ascii="Times New Roman" w:eastAsia="Times New Roman" w:hAnsi="Times New Roman" w:cs="Times New Roman"/>
          <w:sz w:val="24"/>
          <w:szCs w:val="24"/>
        </w:rPr>
        <w:t xml:space="preserve">first </w:t>
      </w:r>
      <w:r w:rsidR="00080CF1">
        <w:rPr>
          <w:rFonts w:ascii="Times New Roman" w:eastAsia="Times New Roman" w:hAnsi="Times New Roman" w:cs="Times New Roman"/>
          <w:sz w:val="24"/>
          <w:szCs w:val="24"/>
        </w:rPr>
        <w:t>obtained permit</w:t>
      </w:r>
      <w:r w:rsidR="00DA2699">
        <w:rPr>
          <w:rFonts w:ascii="Times New Roman" w:eastAsia="Times New Roman" w:hAnsi="Times New Roman" w:cs="Times New Roman"/>
          <w:sz w:val="24"/>
          <w:szCs w:val="24"/>
        </w:rPr>
        <w:t>s</w:t>
      </w:r>
      <w:r w:rsidR="00080CF1">
        <w:rPr>
          <w:rFonts w:ascii="Times New Roman" w:eastAsia="Times New Roman" w:hAnsi="Times New Roman" w:cs="Times New Roman"/>
          <w:sz w:val="24"/>
          <w:szCs w:val="24"/>
        </w:rPr>
        <w:t xml:space="preserve"> to </w:t>
      </w:r>
      <w:r w:rsidRPr="00DF73BA">
        <w:rPr>
          <w:rFonts w:ascii="Times New Roman" w:eastAsia="Times New Roman" w:hAnsi="Times New Roman" w:cs="Times New Roman"/>
          <w:sz w:val="24"/>
          <w:szCs w:val="24"/>
        </w:rPr>
        <w:t>construct</w:t>
      </w:r>
      <w:r w:rsidR="00C64DC9">
        <w:rPr>
          <w:rFonts w:ascii="Times New Roman" w:eastAsia="Times New Roman" w:hAnsi="Times New Roman" w:cs="Times New Roman"/>
          <w:sz w:val="24"/>
          <w:szCs w:val="24"/>
        </w:rPr>
        <w:t xml:space="preserve"> and operate</w:t>
      </w:r>
      <w:r w:rsidRPr="00DF73BA">
        <w:rPr>
          <w:rFonts w:ascii="Times New Roman" w:eastAsia="Times New Roman" w:hAnsi="Times New Roman" w:cs="Times New Roman"/>
          <w:sz w:val="24"/>
          <w:szCs w:val="24"/>
        </w:rPr>
        <w:t xml:space="preserve"> after the </w:t>
      </w:r>
      <w:r w:rsidR="00080CF1">
        <w:rPr>
          <w:rFonts w:ascii="Times New Roman" w:eastAsia="Times New Roman" w:hAnsi="Times New Roman" w:cs="Times New Roman"/>
          <w:sz w:val="24"/>
          <w:szCs w:val="24"/>
        </w:rPr>
        <w:t xml:space="preserve">applicable </w:t>
      </w:r>
      <w:r w:rsidRPr="00DF73BA">
        <w:rPr>
          <w:rFonts w:ascii="Times New Roman" w:eastAsia="Times New Roman" w:hAnsi="Times New Roman" w:cs="Times New Roman"/>
          <w:sz w:val="24"/>
          <w:szCs w:val="24"/>
        </w:rPr>
        <w:t xml:space="preserve">baseline period </w:t>
      </w:r>
      <w:r w:rsidR="00C64DC9">
        <w:rPr>
          <w:rFonts w:ascii="Times New Roman" w:eastAsia="Times New Roman" w:hAnsi="Times New Roman" w:cs="Times New Roman"/>
          <w:sz w:val="24"/>
          <w:szCs w:val="24"/>
        </w:rPr>
        <w:t xml:space="preserve">for that regulated pollutant, </w:t>
      </w:r>
      <w:r w:rsidRPr="00DF73BA">
        <w:rPr>
          <w:rFonts w:ascii="Times New Roman" w:eastAsia="Times New Roman" w:hAnsi="Times New Roman" w:cs="Times New Roman"/>
          <w:sz w:val="24"/>
          <w:szCs w:val="24"/>
        </w:rPr>
        <w:t>and has not undergone New Source Review</w:t>
      </w:r>
      <w:r w:rsidR="00080CF1">
        <w:rPr>
          <w:rFonts w:ascii="Times New Roman" w:eastAsia="Times New Roman" w:hAnsi="Times New Roman" w:cs="Times New Roman"/>
          <w:sz w:val="24"/>
          <w:szCs w:val="24"/>
        </w:rPr>
        <w:t xml:space="preserve"> for that pollutant</w:t>
      </w:r>
      <w:r w:rsidRPr="00DF73BA">
        <w:rPr>
          <w:rFonts w:ascii="Times New Roman" w:eastAsia="Times New Roman" w:hAnsi="Times New Roman" w:cs="Times New Roman"/>
          <w:sz w:val="24"/>
          <w:szCs w:val="24"/>
        </w:rPr>
        <w:t xml:space="preserve">; </w:t>
      </w:r>
    </w:p>
    <w:p w:rsidR="009A4DC7" w:rsidRPr="00DF73B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 xml:space="preserve">(B) Any pollutant that has a generic PSEL in a permit; </w:t>
      </w:r>
    </w:p>
    <w:p w:rsidR="009A4DC7" w:rsidRPr="00DF73B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 xml:space="preserve">(C) Any source permitted as portable; </w:t>
      </w:r>
      <w:r w:rsidR="00A43FBC">
        <w:rPr>
          <w:rFonts w:ascii="Times New Roman" w:eastAsia="Times New Roman" w:hAnsi="Times New Roman" w:cs="Times New Roman"/>
          <w:sz w:val="24"/>
          <w:szCs w:val="24"/>
        </w:rPr>
        <w:t>or</w:t>
      </w:r>
      <w:r w:rsidR="00A43FBC" w:rsidRPr="00DF73BA">
        <w:rPr>
          <w:rFonts w:ascii="Times New Roman" w:eastAsia="Times New Roman" w:hAnsi="Times New Roman" w:cs="Times New Roman"/>
          <w:sz w:val="24"/>
          <w:szCs w:val="24"/>
        </w:rPr>
        <w:t xml:space="preserve"> </w:t>
      </w:r>
    </w:p>
    <w:p w:rsidR="009A4DC7" w:rsidRPr="00DF73B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 xml:space="preserve">(D) Any source with a netting basis calculation resulting in a negative number. </w:t>
      </w:r>
    </w:p>
    <w:p w:rsidR="009A4DC7" w:rsidRPr="00DF73B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w:t>
      </w:r>
      <w:r w:rsidR="004A6C6F">
        <w:rPr>
          <w:rFonts w:ascii="Times New Roman" w:eastAsia="Times New Roman" w:hAnsi="Times New Roman" w:cs="Times New Roman"/>
          <w:sz w:val="24"/>
          <w:szCs w:val="24"/>
        </w:rPr>
        <w:t>e</w:t>
      </w:r>
      <w:r w:rsidRPr="00DF73BA">
        <w:rPr>
          <w:rFonts w:ascii="Times New Roman" w:eastAsia="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9A4DC7"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w:t>
      </w:r>
      <w:r w:rsidR="004A6C6F">
        <w:rPr>
          <w:rFonts w:ascii="Times New Roman" w:eastAsia="Times New Roman" w:hAnsi="Times New Roman" w:cs="Times New Roman"/>
          <w:sz w:val="24"/>
          <w:szCs w:val="24"/>
        </w:rPr>
        <w:t>f</w:t>
      </w:r>
      <w:r w:rsidRPr="00DF73BA">
        <w:rPr>
          <w:rFonts w:ascii="Times New Roman" w:eastAsia="Times New Roman" w:hAnsi="Times New Roman" w:cs="Times New Roman"/>
          <w:sz w:val="24"/>
          <w:szCs w:val="24"/>
        </w:rPr>
        <w:t xml:space="preserve">) Emission reductions required by rule, order, or permit condition affect the netting basis if the source currently has devices or emissions units that are subject to the rules, order, or permit condition. The baseline emission rate is not affected. </w:t>
      </w:r>
      <w:r w:rsidR="00080CF1">
        <w:rPr>
          <w:rFonts w:ascii="Times New Roman" w:eastAsia="Times New Roman" w:hAnsi="Times New Roman" w:cs="Times New Roman"/>
          <w:sz w:val="24"/>
          <w:szCs w:val="24"/>
        </w:rPr>
        <w:t xml:space="preserve"> The netting basis reduction will be effective on the effective date of the rule, order, or permit condition requiring the reduction.  The PSEL reduction will be effective on the compliance date of the rule, order, or permit condition.</w:t>
      </w:r>
    </w:p>
    <w:p w:rsidR="00B36A09" w:rsidRDefault="00B36A09"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sidR="004D7D15">
        <w:rPr>
          <w:rFonts w:ascii="Times New Roman" w:eastAsia="Times New Roman" w:hAnsi="Times New Roman" w:cs="Times New Roman"/>
          <w:sz w:val="24"/>
          <w:szCs w:val="24"/>
        </w:rPr>
        <w:t xml:space="preserve">For permits issued after May 1, 2011 under New Source Review regulations in OAR 340 </w:t>
      </w:r>
      <w:r w:rsidR="004D7D15" w:rsidRPr="00476D6C">
        <w:rPr>
          <w:rFonts w:ascii="Times New Roman" w:eastAsia="Times New Roman" w:hAnsi="Times New Roman" w:cs="Times New Roman"/>
          <w:sz w:val="24"/>
          <w:szCs w:val="24"/>
        </w:rPr>
        <w:t xml:space="preserve">division 224, </w:t>
      </w:r>
      <w:r w:rsidR="004D7D15">
        <w:rPr>
          <w:rFonts w:ascii="Times New Roman" w:eastAsia="Times New Roman" w:hAnsi="Times New Roman" w:cs="Times New Roman"/>
          <w:sz w:val="24"/>
          <w:szCs w:val="24"/>
        </w:rPr>
        <w:t>and where</w:t>
      </w:r>
      <w:r w:rsidR="002B75B1">
        <w:rPr>
          <w:rFonts w:ascii="Times New Roman" w:eastAsia="Times New Roman" w:hAnsi="Times New Roman" w:cs="Times New Roman"/>
          <w:sz w:val="24"/>
          <w:szCs w:val="24"/>
        </w:rPr>
        <w:t xml:space="preserve"> the netting basis initially equal</w:t>
      </w:r>
      <w:r w:rsidR="004D7D15">
        <w:rPr>
          <w:rFonts w:ascii="Times New Roman" w:eastAsia="Times New Roman" w:hAnsi="Times New Roman" w:cs="Times New Roman"/>
          <w:sz w:val="24"/>
          <w:szCs w:val="24"/>
        </w:rPr>
        <w:t>ed</w:t>
      </w:r>
      <w:r w:rsidR="002B75B1">
        <w:rPr>
          <w:rFonts w:ascii="Times New Roman" w:eastAsia="Times New Roman" w:hAnsi="Times New Roman" w:cs="Times New Roman"/>
          <w:sz w:val="24"/>
          <w:szCs w:val="24"/>
        </w:rPr>
        <w:t xml:space="preserve"> the potential to emit for a new or </w:t>
      </w:r>
      <w:r w:rsidR="002B75B1">
        <w:rPr>
          <w:rFonts w:ascii="Times New Roman" w:eastAsia="Times New Roman" w:hAnsi="Times New Roman" w:cs="Times New Roman"/>
          <w:sz w:val="24"/>
          <w:szCs w:val="24"/>
        </w:rPr>
        <w:lastRenderedPageBreak/>
        <w:t>modified source</w:t>
      </w:r>
      <w:r w:rsidR="004D7D15">
        <w:rPr>
          <w:rFonts w:ascii="Times New Roman" w:eastAsia="Times New Roman" w:hAnsi="Times New Roman" w:cs="Times New Roman"/>
          <w:sz w:val="24"/>
          <w:szCs w:val="24"/>
        </w:rPr>
        <w:t>,</w:t>
      </w:r>
      <w:r w:rsidR="003763B9">
        <w:rPr>
          <w:rFonts w:ascii="Times New Roman" w:eastAsia="Times New Roman" w:hAnsi="Times New Roman" w:cs="Times New Roman"/>
          <w:sz w:val="24"/>
          <w:szCs w:val="24"/>
        </w:rPr>
        <w:t xml:space="preserve"> </w:t>
      </w:r>
      <w:r w:rsidRPr="00476D6C">
        <w:rPr>
          <w:rFonts w:ascii="Times New Roman" w:eastAsia="Times New Roman" w:hAnsi="Times New Roman" w:cs="Times New Roman"/>
          <w:sz w:val="24"/>
          <w:szCs w:val="24"/>
        </w:rPr>
        <w:t xml:space="preserve">the netting basis will be reduced </w:t>
      </w:r>
      <w:r w:rsidR="001C6566">
        <w:rPr>
          <w:rFonts w:ascii="Times New Roman" w:eastAsia="Times New Roman" w:hAnsi="Times New Roman" w:cs="Times New Roman"/>
          <w:sz w:val="24"/>
          <w:szCs w:val="24"/>
        </w:rPr>
        <w:t xml:space="preserve">in accordance with the </w:t>
      </w:r>
      <w:r w:rsidR="00D95F94" w:rsidRPr="00F77CA3">
        <w:rPr>
          <w:rFonts w:ascii="Times New Roman" w:eastAsia="Times New Roman" w:hAnsi="Times New Roman" w:cs="Times New Roman"/>
          <w:sz w:val="24"/>
          <w:szCs w:val="24"/>
        </w:rPr>
        <w:t>definition of actual emissions.</w:t>
      </w:r>
      <w:r w:rsidR="001C6566">
        <w:rPr>
          <w:rFonts w:ascii="Times New Roman" w:eastAsia="Times New Roman" w:hAnsi="Times New Roman" w:cs="Times New Roman"/>
          <w:sz w:val="24"/>
          <w:szCs w:val="24"/>
        </w:rPr>
        <w:t xml:space="preserve"> </w:t>
      </w:r>
      <w:r w:rsidR="003763B9">
        <w:rPr>
          <w:rFonts w:ascii="Times New Roman" w:eastAsia="Times New Roman" w:hAnsi="Times New Roman" w:cs="Times New Roman"/>
          <w:sz w:val="24"/>
          <w:szCs w:val="24"/>
        </w:rPr>
        <w:t xml:space="preserve"> </w:t>
      </w:r>
      <w:r w:rsidRPr="00476D6C">
        <w:rPr>
          <w:rFonts w:ascii="Times New Roman" w:eastAsia="Times New Roman" w:hAnsi="Times New Roman" w:cs="Times New Roman"/>
          <w:sz w:val="24"/>
          <w:szCs w:val="24"/>
        </w:rPr>
        <w:t xml:space="preserve">Notwithstanding OAR 340-222-0041(2), this adjustment does not require a reduction in the PSEL.  </w:t>
      </w:r>
    </w:p>
    <w:p w:rsidR="00471250" w:rsidRPr="00DF73BA" w:rsidRDefault="00471250"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Emission reductions </w:t>
      </w:r>
      <w:r w:rsidR="007A0F7C">
        <w:rPr>
          <w:rFonts w:ascii="Times New Roman" w:eastAsia="Times New Roman" w:hAnsi="Times New Roman" w:cs="Times New Roman"/>
          <w:sz w:val="24"/>
          <w:szCs w:val="24"/>
        </w:rPr>
        <w:t xml:space="preserve">required by rule do not include emissions reductions </w:t>
      </w:r>
      <w:r>
        <w:rPr>
          <w:rFonts w:ascii="Times New Roman" w:eastAsia="Times New Roman" w:hAnsi="Times New Roman" w:cs="Times New Roman"/>
          <w:sz w:val="24"/>
          <w:szCs w:val="24"/>
        </w:rPr>
        <w:t>achieved under OAR 340-226-0110 and 0120</w:t>
      </w:r>
      <w:r w:rsidR="007A0F7C">
        <w:rPr>
          <w:rFonts w:ascii="Times New Roman" w:eastAsia="Times New Roman" w:hAnsi="Times New Roman" w:cs="Times New Roman"/>
          <w:sz w:val="24"/>
          <w:szCs w:val="24"/>
        </w:rPr>
        <w:t xml:space="preserve">.  </w:t>
      </w:r>
    </w:p>
    <w:p w:rsidR="009A4DC7" w:rsidRPr="00DF73B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w:t>
      </w:r>
      <w:r w:rsidR="004A6C6F">
        <w:rPr>
          <w:rFonts w:ascii="Times New Roman" w:eastAsia="Times New Roman" w:hAnsi="Times New Roman" w:cs="Times New Roman"/>
          <w:sz w:val="24"/>
          <w:szCs w:val="24"/>
        </w:rPr>
        <w:t>i</w:t>
      </w:r>
      <w:r w:rsidRPr="00DF73BA">
        <w:rPr>
          <w:rFonts w:ascii="Times New Roman" w:eastAsia="Times New Roman" w:hAnsi="Times New Roman" w:cs="Times New Roman"/>
          <w:sz w:val="24"/>
          <w:szCs w:val="24"/>
        </w:rPr>
        <w:t xml:space="preserve">) Netting basis for a pollutant with a revised definition will be adjusted if the source is emitting the pollutant at the time of redefining and the pollutant is included in the permit's netting basis. </w:t>
      </w:r>
    </w:p>
    <w:p w:rsidR="009A4DC7" w:rsidRPr="00DF73BA" w:rsidRDefault="009A4DC7" w:rsidP="00CE74E5">
      <w:pPr>
        <w:spacing w:after="0" w:line="240" w:lineRule="auto"/>
        <w:rPr>
          <w:rFonts w:ascii="Times New Roman" w:eastAsia="Times New Roman" w:hAnsi="Times New Roman" w:cs="Times New Roman"/>
          <w:sz w:val="24"/>
          <w:szCs w:val="24"/>
        </w:rPr>
      </w:pPr>
      <w:r w:rsidRPr="00DF73BA">
        <w:rPr>
          <w:rFonts w:ascii="Times New Roman" w:eastAsia="Times New Roman" w:hAnsi="Times New Roman" w:cs="Times New Roman"/>
          <w:sz w:val="24"/>
          <w:szCs w:val="24"/>
        </w:rPr>
        <w:t>(</w:t>
      </w:r>
      <w:r w:rsidR="004A6C6F">
        <w:rPr>
          <w:rFonts w:ascii="Times New Roman" w:eastAsia="Times New Roman" w:hAnsi="Times New Roman" w:cs="Times New Roman"/>
          <w:sz w:val="24"/>
          <w:szCs w:val="24"/>
        </w:rPr>
        <w:t>j</w:t>
      </w:r>
      <w:r w:rsidRPr="00DF73BA">
        <w:rPr>
          <w:rFonts w:ascii="Times New Roman" w:eastAsia="Times New Roman" w:hAnsi="Times New Roman" w:cs="Times New Roman"/>
          <w:sz w:val="24"/>
          <w:szCs w:val="24"/>
        </w:rPr>
        <w:t xml:space="preserve">)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r w:rsidR="001E531D">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"Nitrogen Oxides" or "NOx" means all oxides of nitrogen except nitrous oxide. </w:t>
      </w:r>
    </w:p>
    <w:p w:rsidR="00CD03B8" w:rsidRPr="00017EA0" w:rsidRDefault="00CD03B8" w:rsidP="00CE74E5">
      <w:pPr>
        <w:spacing w:after="0" w:line="240" w:lineRule="auto"/>
        <w:rPr>
          <w:rFonts w:ascii="Times New Roman" w:hAnsi="Times New Roman" w:cs="Times New Roman"/>
          <w:sz w:val="24"/>
          <w:szCs w:val="24"/>
        </w:rPr>
      </w:pPr>
      <w:r w:rsidRPr="00CD03B8">
        <w:rPr>
          <w:rFonts w:ascii="Times New Roman" w:eastAsia="Times New Roman" w:hAnsi="Times New Roman" w:cs="Times New Roman"/>
          <w:sz w:val="24"/>
          <w:szCs w:val="24"/>
        </w:rPr>
        <w:t>(7</w:t>
      </w:r>
      <w:r w:rsidR="001E531D">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"Nonattainment Area" means a geographical area of the State, as designated by the Environmental Quality Commission or the EPA, that exceeds any state or federal primary or secondary ambient air quality standard.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r w:rsidR="001E531D">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"Nonattainment Pollutant" means a pollutant for which an area is designated a nonattainment area.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r w:rsidR="001E531D">
        <w:rPr>
          <w:rFonts w:ascii="Times New Roman" w:eastAsia="Times New Roman" w:hAnsi="Times New Roman" w:cs="Times New Roman"/>
          <w:sz w:val="24"/>
          <w:szCs w:val="24"/>
        </w:rPr>
        <w:t>9</w:t>
      </w:r>
      <w:r w:rsidR="0085172E">
        <w:rPr>
          <w:rFonts w:ascii="Times New Roman" w:eastAsia="Times New Roman" w:hAnsi="Times New Roman" w:cs="Times New Roman"/>
          <w:sz w:val="24"/>
          <w:szCs w:val="24"/>
        </w:rPr>
        <w:t>)</w:t>
      </w:r>
      <w:r w:rsidRPr="00CD03B8">
        <w:rPr>
          <w:rFonts w:ascii="Times New Roman" w:eastAsia="Times New Roman" w:hAnsi="Times New Roman" w:cs="Times New Roman"/>
          <w:sz w:val="24"/>
          <w:szCs w:val="24"/>
        </w:rPr>
        <w:t xml:space="preserve"> "Normal Source Operation" means operations which do not include such conditions as forced fuel substitution, equipment malfunction, or highly abnormal market conditions.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1E531D">
        <w:rPr>
          <w:rFonts w:ascii="Times New Roman" w:eastAsia="Times New Roman" w:hAnsi="Times New Roman" w:cs="Times New Roman"/>
          <w:sz w:val="24"/>
          <w:szCs w:val="24"/>
        </w:rPr>
        <w:t>80</w:t>
      </w:r>
      <w:r w:rsidRPr="00CD03B8">
        <w:rPr>
          <w:rFonts w:ascii="Times New Roman" w:eastAsia="Times New Roman" w:hAnsi="Times New Roman" w:cs="Times New Roman"/>
          <w:sz w:val="24"/>
          <w:szCs w:val="24"/>
        </w:rPr>
        <w:t xml:space="preserve">) "Offset" means an equivalent or greater emission reduction that is required before allowing an emission increase from a proposed major source or major modification of an existing source.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931D81">
        <w:rPr>
          <w:rFonts w:ascii="Times New Roman" w:eastAsia="Times New Roman" w:hAnsi="Times New Roman" w:cs="Times New Roman"/>
          <w:sz w:val="24"/>
          <w:szCs w:val="24"/>
        </w:rPr>
        <w:t>8</w:t>
      </w:r>
      <w:r w:rsidR="001E531D">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the Department's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85172E">
        <w:rPr>
          <w:rFonts w:ascii="Times New Roman" w:eastAsia="Times New Roman" w:hAnsi="Times New Roman" w:cs="Times New Roman"/>
          <w:sz w:val="24"/>
          <w:szCs w:val="24"/>
        </w:rPr>
        <w:t>8</w:t>
      </w:r>
      <w:r w:rsidR="001E531D">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"Oregon Title V Operating Permit" means any permit covering an Oregon Title V Operating Permit source that is issued, renewed, amended, or revised pursuant to division 218.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931D81">
        <w:rPr>
          <w:rFonts w:ascii="Times New Roman" w:eastAsia="Times New Roman" w:hAnsi="Times New Roman" w:cs="Times New Roman"/>
          <w:sz w:val="24"/>
          <w:szCs w:val="24"/>
        </w:rPr>
        <w:t>8</w:t>
      </w:r>
      <w:r w:rsidR="001E531D">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"Oregon Title V Operating Permit program" means a program approved by the Administrator under 40 CFR Part 70.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r w:rsidR="001E531D">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"Oregon Title V Operating Permit program source" means any source subject to the permitting requirements, OAR 340 division 218. </w:t>
      </w:r>
    </w:p>
    <w:p w:rsidR="004C13AF" w:rsidRDefault="004D38AD" w:rsidP="00CE74E5">
      <w:pPr>
        <w:spacing w:after="0" w:line="240" w:lineRule="auto"/>
        <w:rPr>
          <w:rFonts w:ascii="Times New Roman" w:hAnsi="Times New Roman"/>
          <w:sz w:val="24"/>
          <w:szCs w:val="24"/>
        </w:rPr>
      </w:pPr>
      <w:r>
        <w:rPr>
          <w:rFonts w:ascii="Times New Roman" w:eastAsia="Times New Roman" w:hAnsi="Times New Roman" w:cs="Times New Roman"/>
          <w:sz w:val="24"/>
          <w:szCs w:val="24"/>
        </w:rPr>
        <w:t>(8</w:t>
      </w:r>
      <w:r w:rsidR="001E531D">
        <w:rPr>
          <w:rFonts w:ascii="Times New Roman" w:eastAsia="Times New Roman" w:hAnsi="Times New Roman" w:cs="Times New Roman"/>
          <w:sz w:val="24"/>
          <w:szCs w:val="24"/>
        </w:rPr>
        <w:t>5</w:t>
      </w:r>
      <w:r>
        <w:rPr>
          <w:rFonts w:ascii="Times New Roman" w:eastAsia="Times New Roman" w:hAnsi="Times New Roman" w:cs="Times New Roman"/>
          <w:sz w:val="24"/>
          <w:szCs w:val="24"/>
        </w:rPr>
        <w:t>) “Ozone Precursor</w:t>
      </w:r>
      <w:r w:rsidR="00763F30">
        <w:rPr>
          <w:rFonts w:ascii="Times New Roman" w:eastAsia="Times New Roman" w:hAnsi="Times New Roman" w:cs="Times New Roman"/>
          <w:sz w:val="24"/>
          <w:szCs w:val="24"/>
        </w:rPr>
        <w:t xml:space="preserve">” </w:t>
      </w:r>
      <w:r w:rsidR="00B22BC8" w:rsidRPr="00CD03B8">
        <w:rPr>
          <w:rFonts w:ascii="Times New Roman" w:eastAsia="Times New Roman" w:hAnsi="Times New Roman" w:cs="Times New Roman"/>
          <w:sz w:val="24"/>
          <w:szCs w:val="24"/>
        </w:rPr>
        <w:t xml:space="preserve">means </w:t>
      </w:r>
      <w:r w:rsidR="00763F30">
        <w:rPr>
          <w:rFonts w:ascii="Times New Roman" w:eastAsia="Times New Roman" w:hAnsi="Times New Roman" w:cs="Times New Roman"/>
          <w:sz w:val="24"/>
          <w:szCs w:val="24"/>
        </w:rPr>
        <w:t xml:space="preserve">nitrogen oxides and volatile organic compounds as </w:t>
      </w:r>
      <w:r w:rsidR="00353AAA" w:rsidRPr="00763F30">
        <w:rPr>
          <w:rFonts w:ascii="Times New Roman" w:eastAsia="Times New Roman" w:hAnsi="Times New Roman" w:cs="Times New Roman"/>
          <w:sz w:val="24"/>
          <w:szCs w:val="24"/>
        </w:rPr>
        <w:t>measured by an applicable reference method in accordance with the Department's Source Sampling Manual(January, 1992)</w:t>
      </w:r>
      <w:r w:rsidR="00763F30" w:rsidRPr="00763F30">
        <w:rPr>
          <w:rFonts w:ascii="Times New Roman" w:eastAsia="Times New Roman" w:hAnsi="Times New Roman" w:cs="Times New Roman"/>
          <w:sz w:val="24"/>
          <w:szCs w:val="24"/>
        </w:rPr>
        <w:t xml:space="preserve"> or as </w:t>
      </w:r>
      <w:r w:rsidR="00353AAA" w:rsidRPr="00763F30">
        <w:rPr>
          <w:rFonts w:ascii="Times New Roman" w:hAnsi="Times New Roman"/>
          <w:sz w:val="24"/>
          <w:szCs w:val="24"/>
        </w:rPr>
        <w:t>measured by an EPA reference method in 40 CFR Part 60, appendix A</w:t>
      </w:r>
      <w:r w:rsidR="00763F30" w:rsidRPr="00763F30">
        <w:rPr>
          <w:rFonts w:ascii="Times New Roman" w:hAnsi="Times New Roman"/>
          <w:sz w:val="24"/>
          <w:szCs w:val="24"/>
        </w:rPr>
        <w:t xml:space="preserve"> or as measured by a material balance calculation for VOC as appropriate</w:t>
      </w:r>
      <w:r w:rsidR="00353AAA" w:rsidRPr="00763F30">
        <w:rPr>
          <w:rFonts w:ascii="Times New Roman" w:hAnsi="Times New Roman"/>
          <w:sz w:val="24"/>
          <w:szCs w:val="24"/>
        </w:rPr>
        <w:t>.</w:t>
      </w:r>
      <w:r w:rsidR="00B22BC8">
        <w:rPr>
          <w:rFonts w:ascii="Times New Roman" w:hAnsi="Times New Roman"/>
          <w:sz w:val="24"/>
          <w:szCs w:val="24"/>
        </w:rPr>
        <w:t xml:space="preserve"> </w:t>
      </w:r>
      <w:r w:rsidR="00B22BC8" w:rsidRPr="00CD03B8">
        <w:rPr>
          <w:rFonts w:ascii="Times New Roman" w:eastAsia="Times New Roman" w:hAnsi="Times New Roman" w:cs="Times New Roman"/>
          <w:sz w:val="24"/>
          <w:szCs w:val="24"/>
        </w:rPr>
        <w:t xml:space="preserve">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r w:rsidR="001E531D">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"Ozone Season" means the contiguous 3 month period during which ozone exceedances typically occur (i.e., June, July, and August). </w:t>
      </w:r>
    </w:p>
    <w:p w:rsidR="00501B30"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r w:rsidR="001E531D">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w:t>
      </w:r>
      <w:r w:rsidRPr="00CD03B8">
        <w:rPr>
          <w:rFonts w:ascii="Times New Roman" w:eastAsia="Times New Roman" w:hAnsi="Times New Roman" w:cs="Times New Roman"/>
          <w:sz w:val="24"/>
          <w:szCs w:val="24"/>
        </w:rPr>
        <w:lastRenderedPageBreak/>
        <w:t>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r w:rsidR="001E531D">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"Permit" means an Air Contaminant Discharge Permit or an Oregon Title V Operating Permit.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r w:rsidR="001E531D">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"Permit modification" means a permit revision that meets the applicable requirements of OAR 340 division 216, 340 division 224, or 340-218-0160 through 340-218-0180.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1E531D">
        <w:rPr>
          <w:rFonts w:ascii="Times New Roman" w:eastAsia="Times New Roman" w:hAnsi="Times New Roman" w:cs="Times New Roman"/>
          <w:sz w:val="24"/>
          <w:szCs w:val="24"/>
        </w:rPr>
        <w:t>90</w:t>
      </w:r>
      <w:r w:rsidRPr="00CD03B8">
        <w:rPr>
          <w:rFonts w:ascii="Times New Roman" w:eastAsia="Times New Roman" w:hAnsi="Times New Roman" w:cs="Times New Roman"/>
          <w:sz w:val="24"/>
          <w:szCs w:val="24"/>
        </w:rPr>
        <w:t xml:space="preserve">) "Permit revision" means any permit modification or administrative permit amendment.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931D81">
        <w:rPr>
          <w:rFonts w:ascii="Times New Roman" w:eastAsia="Times New Roman" w:hAnsi="Times New Roman" w:cs="Times New Roman"/>
          <w:sz w:val="24"/>
          <w:szCs w:val="24"/>
        </w:rPr>
        <w:t>9</w:t>
      </w:r>
      <w:r w:rsidR="001E531D">
        <w:rPr>
          <w:rFonts w:ascii="Times New Roman" w:eastAsia="Times New Roman" w:hAnsi="Times New Roman" w:cs="Times New Roman"/>
          <w:sz w:val="24"/>
          <w:szCs w:val="24"/>
        </w:rPr>
        <w:t>1</w:t>
      </w:r>
      <w:r w:rsidR="002403C3">
        <w:rPr>
          <w:rFonts w:ascii="Times New Roman" w:eastAsia="Times New Roman" w:hAnsi="Times New Roman" w:cs="Times New Roman"/>
          <w:sz w:val="24"/>
          <w:szCs w:val="24"/>
        </w:rPr>
        <w:t>)</w:t>
      </w:r>
      <w:r w:rsidRPr="00CD03B8">
        <w:rPr>
          <w:rFonts w:ascii="Times New Roman" w:eastAsia="Times New Roman" w:hAnsi="Times New Roman" w:cs="Times New Roman"/>
          <w:sz w:val="24"/>
          <w:szCs w:val="24"/>
        </w:rPr>
        <w:t xml:space="preserve"> "Permitted Emissions" as used in OAR division 220 means each regulated pollutant portion of the PSEL, as identified in an ACDP, Oregon Title V Operating Permit, review report, or by the Department pursuant to OAR 340-220-0090.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85172E">
        <w:rPr>
          <w:rFonts w:ascii="Times New Roman" w:eastAsia="Times New Roman" w:hAnsi="Times New Roman" w:cs="Times New Roman"/>
          <w:sz w:val="24"/>
          <w:szCs w:val="24"/>
        </w:rPr>
        <w:t>9</w:t>
      </w:r>
      <w:r w:rsidR="001E531D">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"Permittee" means the owner or operator of the facility, authorized by the ACDP or the Oregon Title V Operating Permit to operate the source.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931D81">
        <w:rPr>
          <w:rFonts w:ascii="Times New Roman" w:eastAsia="Times New Roman" w:hAnsi="Times New Roman" w:cs="Times New Roman"/>
          <w:sz w:val="24"/>
          <w:szCs w:val="24"/>
        </w:rPr>
        <w:t>9</w:t>
      </w:r>
      <w:r w:rsidR="001E531D">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931D81">
        <w:rPr>
          <w:rFonts w:ascii="Times New Roman" w:eastAsia="Times New Roman" w:hAnsi="Times New Roman" w:cs="Times New Roman"/>
          <w:sz w:val="24"/>
          <w:szCs w:val="24"/>
        </w:rPr>
        <w:t>9</w:t>
      </w:r>
      <w:r w:rsidR="001E531D">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"Plant Site Emission Limit" or "PSEL" means the total mass emissions per unit time of an individual air pollutant specified in a permit for a source. The PSEL for a major source may consist of more than one permitted emission.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r w:rsidR="001E531D">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"PM10":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the Department's Source Sampling Manual(January, 1992);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r w:rsidR="001E531D">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"PM2.5": </w:t>
      </w:r>
    </w:p>
    <w:p w:rsidR="002E5CED" w:rsidRDefault="002E5CED" w:rsidP="00CE74E5">
      <w:pPr>
        <w:pStyle w:val="NormalWeb"/>
        <w:spacing w:before="0" w:beforeAutospacing="0" w:after="0" w:afterAutospacing="0"/>
      </w:pPr>
      <w:r>
        <w:t xml:space="preserve">(a) When used in the context of </w:t>
      </w:r>
      <w:r w:rsidR="00CE792A">
        <w:t>d</w:t>
      </w:r>
      <w:r w:rsidR="00601B67" w:rsidRPr="00004B7F">
        <w:t xml:space="preserve">irect PM2.5 </w:t>
      </w:r>
      <w:r>
        <w:t xml:space="preserve">emissions, means finely divided solid or liquid material, including condensable particulate, other than uncombined water, with an aerodynamic diameter less than or equal to a nominal 2.5 micrometers, emitted to the ambient air as measured by </w:t>
      </w:r>
      <w:r w:rsidR="009C21E1">
        <w:t xml:space="preserve">EPA reference </w:t>
      </w:r>
      <w:r>
        <w:t>method</w:t>
      </w:r>
      <w:r w:rsidR="009C21E1">
        <w:t>s 201A and 202 in 40 CFR Part 51, appendix M.</w:t>
      </w:r>
      <w:r>
        <w:t xml:space="preserve"> </w:t>
      </w:r>
      <w:r w:rsidR="00A07815" w:rsidRPr="00FC4B97">
        <w:t xml:space="preserve"> </w:t>
      </w:r>
    </w:p>
    <w:p w:rsidR="00CD03B8" w:rsidRPr="00A27D83" w:rsidRDefault="00A27D83" w:rsidP="00CE74E5">
      <w:pPr>
        <w:spacing w:after="0" w:line="240" w:lineRule="auto"/>
        <w:rPr>
          <w:rFonts w:ascii="Times New Roman" w:hAnsi="Times New Roman"/>
          <w:sz w:val="24"/>
          <w:szCs w:val="24"/>
        </w:rPr>
      </w:pPr>
      <w:r>
        <w:rPr>
          <w:rFonts w:ascii="Times New Roman" w:hAnsi="Times New Roman"/>
          <w:sz w:val="24"/>
          <w:szCs w:val="24"/>
        </w:rPr>
        <w:t>(</w:t>
      </w:r>
      <w:r w:rsidR="00660606">
        <w:rPr>
          <w:rFonts w:ascii="Times New Roman" w:hAnsi="Times New Roman"/>
          <w:sz w:val="24"/>
          <w:szCs w:val="24"/>
        </w:rPr>
        <w:t>b</w:t>
      </w:r>
      <w:r>
        <w:rPr>
          <w:rFonts w:ascii="Times New Roman" w:hAnsi="Times New Roman"/>
          <w:sz w:val="24"/>
          <w:szCs w:val="24"/>
        </w:rPr>
        <w:t>) When used in the context of PM2</w:t>
      </w:r>
      <w:r>
        <w:rPr>
          <w:rFonts w:ascii="Times New Roman" w:hAnsi="Times New Roman"/>
          <w:color w:val="1F497D"/>
          <w:sz w:val="24"/>
          <w:szCs w:val="24"/>
        </w:rPr>
        <w:t>.</w:t>
      </w:r>
      <w:r>
        <w:rPr>
          <w:rFonts w:ascii="Times New Roman" w:hAnsi="Times New Roman"/>
          <w:sz w:val="24"/>
          <w:szCs w:val="24"/>
        </w:rPr>
        <w:t>5 precursor emissions, means sulfur dioxide (SO2) and nitrogen oxides (NOx) emitted to the ambient air as measured by EPA reference method</w:t>
      </w:r>
      <w:r w:rsidR="009C21E1">
        <w:rPr>
          <w:rFonts w:ascii="Times New Roman" w:hAnsi="Times New Roman"/>
          <w:sz w:val="24"/>
          <w:szCs w:val="24"/>
        </w:rPr>
        <w:t xml:space="preserve">s </w:t>
      </w:r>
      <w:r>
        <w:rPr>
          <w:rFonts w:ascii="Times New Roman" w:hAnsi="Times New Roman"/>
          <w:sz w:val="24"/>
          <w:szCs w:val="24"/>
        </w:rPr>
        <w:t xml:space="preserve">in 40 CFR Part </w:t>
      </w:r>
      <w:r w:rsidR="009C21E1">
        <w:rPr>
          <w:rFonts w:ascii="Times New Roman" w:hAnsi="Times New Roman"/>
          <w:sz w:val="24"/>
          <w:szCs w:val="24"/>
        </w:rPr>
        <w:t>60</w:t>
      </w:r>
      <w:r>
        <w:rPr>
          <w:rFonts w:ascii="Times New Roman" w:hAnsi="Times New Roman"/>
          <w:sz w:val="24"/>
          <w:szCs w:val="24"/>
        </w:rPr>
        <w:t xml:space="preserve">, appendix </w:t>
      </w:r>
      <w:r w:rsidR="009C21E1">
        <w:rPr>
          <w:rFonts w:ascii="Times New Roman" w:hAnsi="Times New Roman"/>
          <w:sz w:val="24"/>
          <w:szCs w:val="24"/>
        </w:rPr>
        <w:t>A</w:t>
      </w:r>
      <w:r>
        <w:rPr>
          <w:rFonts w:ascii="Times New Roman" w:hAnsi="Times New Roman"/>
          <w:sz w:val="24"/>
          <w:szCs w:val="24"/>
        </w:rPr>
        <w:t xml:space="preserve">. </w:t>
      </w:r>
      <w:r w:rsidR="00CD03B8" w:rsidRPr="00CD03B8">
        <w:rPr>
          <w:rFonts w:ascii="Times New Roman" w:eastAsia="Times New Roman" w:hAnsi="Times New Roman" w:cs="Times New Roman"/>
          <w:sz w:val="24"/>
          <w:szCs w:val="24"/>
        </w:rPr>
        <w:t xml:space="preserve"> </w:t>
      </w:r>
    </w:p>
    <w:p w:rsidR="00CD03B8" w:rsidRDefault="00A27D83" w:rsidP="00CE74E5">
      <w:pPr>
        <w:spacing w:after="0" w:line="240" w:lineRule="auto"/>
        <w:rPr>
          <w:rFonts w:ascii="Times New Roman" w:eastAsia="Times New Roman" w:hAnsi="Times New Roman" w:cs="Times New Roman"/>
          <w:sz w:val="24"/>
          <w:szCs w:val="24"/>
        </w:rPr>
      </w:pPr>
      <w:r w:rsidDel="00A27D83">
        <w:rPr>
          <w:rFonts w:ascii="Times New Roman" w:eastAsia="Times New Roman" w:hAnsi="Times New Roman" w:cs="Times New Roman"/>
          <w:sz w:val="24"/>
          <w:szCs w:val="24"/>
        </w:rPr>
        <w:t xml:space="preserve"> </w:t>
      </w:r>
      <w:r w:rsidR="00CD03B8" w:rsidRPr="00CD03B8">
        <w:rPr>
          <w:rFonts w:ascii="Times New Roman" w:eastAsia="Times New Roman" w:hAnsi="Times New Roman" w:cs="Times New Roman"/>
          <w:sz w:val="24"/>
          <w:szCs w:val="24"/>
        </w:rPr>
        <w:t>(</w:t>
      </w:r>
      <w:r w:rsidR="00004B7F">
        <w:rPr>
          <w:rFonts w:ascii="Times New Roman" w:eastAsia="Times New Roman" w:hAnsi="Times New Roman" w:cs="Times New Roman"/>
          <w:sz w:val="24"/>
          <w:szCs w:val="24"/>
        </w:rPr>
        <w:t>c</w:t>
      </w:r>
      <w:r w:rsidR="00CD03B8" w:rsidRPr="00CD03B8">
        <w:rPr>
          <w:rFonts w:ascii="Times New Roman" w:eastAsia="Times New Roman" w:hAnsi="Times New Roman" w:cs="Times New Roman"/>
          <w:sz w:val="24"/>
          <w:szCs w:val="24"/>
        </w:rPr>
        <w:t xml:space="preserve">)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A90709" w:rsidRDefault="000732AE" w:rsidP="00CE74E5">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1E531D">
        <w:rPr>
          <w:rFonts w:ascii="Times New Roman" w:hAnsi="Times New Roman" w:cs="Times New Roman"/>
          <w:sz w:val="24"/>
          <w:szCs w:val="24"/>
        </w:rPr>
        <w:t>7</w:t>
      </w:r>
      <w:r>
        <w:rPr>
          <w:rFonts w:ascii="Times New Roman" w:hAnsi="Times New Roman" w:cs="Times New Roman"/>
          <w:sz w:val="24"/>
          <w:szCs w:val="24"/>
        </w:rPr>
        <w:t xml:space="preserve">) “PM2.5 fraction” means the the </w:t>
      </w:r>
      <w:r w:rsidR="009C21E1">
        <w:rPr>
          <w:rFonts w:ascii="Times New Roman" w:hAnsi="Times New Roman" w:cs="Times New Roman"/>
          <w:sz w:val="24"/>
          <w:szCs w:val="24"/>
        </w:rPr>
        <w:t>fraction</w:t>
      </w:r>
      <w:r>
        <w:rPr>
          <w:rFonts w:ascii="Times New Roman" w:hAnsi="Times New Roman" w:cs="Times New Roman"/>
          <w:sz w:val="24"/>
          <w:szCs w:val="24"/>
        </w:rPr>
        <w:t xml:space="preserve"> of PM2.5 to PM10 for each emissions unit that is included in the </w:t>
      </w:r>
      <w:r w:rsidR="00BE2594">
        <w:rPr>
          <w:rFonts w:ascii="Times New Roman" w:hAnsi="Times New Roman" w:cs="Times New Roman"/>
          <w:sz w:val="24"/>
          <w:szCs w:val="24"/>
        </w:rPr>
        <w:t xml:space="preserve">netting basis and </w:t>
      </w:r>
      <w:r>
        <w:rPr>
          <w:rFonts w:ascii="Times New Roman" w:hAnsi="Times New Roman" w:cs="Times New Roman"/>
          <w:sz w:val="24"/>
          <w:szCs w:val="24"/>
        </w:rPr>
        <w:t>PSEL.</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r w:rsidR="001E531D">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"Pollutant-specific emissions unit" means an emissions unit considered separately with respect to each regulated air pollutant.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r w:rsidR="001E531D">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"Potential to emit" or "PTE" means the lesser of: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(a) The capacity of a stationary source; 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1E531D">
        <w:rPr>
          <w:rFonts w:ascii="Times New Roman" w:eastAsia="Times New Roman" w:hAnsi="Times New Roman" w:cs="Times New Roman"/>
          <w:sz w:val="24"/>
          <w:szCs w:val="24"/>
        </w:rPr>
        <w:t>100</w:t>
      </w:r>
      <w:r w:rsidRPr="00CD03B8">
        <w:rPr>
          <w:rFonts w:ascii="Times New Roman" w:eastAsia="Times New Roman" w:hAnsi="Times New Roman" w:cs="Times New Roman"/>
          <w:sz w:val="24"/>
          <w:szCs w:val="24"/>
        </w:rPr>
        <w:t xml:space="preserve">) "Predictive emission monitoring system (PEMS)" means a system that uses process and other parameters as inputs to a computer program or other data reduction system to produce values in terms of the applicable emission limitation or standard. </w:t>
      </w:r>
    </w:p>
    <w:p w:rsidR="00CD03B8" w:rsidRPr="00CD03B8" w:rsidRDefault="00A97015"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 </w:t>
      </w:r>
      <w:r w:rsidR="00CD03B8" w:rsidRPr="00CD03B8">
        <w:rPr>
          <w:rFonts w:ascii="Times New Roman" w:eastAsia="Times New Roman" w:hAnsi="Times New Roman" w:cs="Times New Roman"/>
          <w:sz w:val="24"/>
          <w:szCs w:val="24"/>
        </w:rPr>
        <w:t>(</w:t>
      </w:r>
      <w:r w:rsidR="000732AE">
        <w:rPr>
          <w:rFonts w:ascii="Times New Roman" w:eastAsia="Times New Roman" w:hAnsi="Times New Roman" w:cs="Times New Roman"/>
          <w:sz w:val="24"/>
          <w:szCs w:val="24"/>
        </w:rPr>
        <w:t>10</w:t>
      </w:r>
      <w:r w:rsidR="001E531D">
        <w:rPr>
          <w:rFonts w:ascii="Times New Roman" w:eastAsia="Times New Roman" w:hAnsi="Times New Roman" w:cs="Times New Roman"/>
          <w:sz w:val="24"/>
          <w:szCs w:val="24"/>
        </w:rPr>
        <w:t>1</w:t>
      </w:r>
      <w:r w:rsidR="00CD03B8" w:rsidRPr="00CD03B8">
        <w:rPr>
          <w:rFonts w:ascii="Times New Roman" w:eastAsia="Times New Roman" w:hAnsi="Times New Roman" w:cs="Times New Roman"/>
          <w:sz w:val="24"/>
          <w:szCs w:val="24"/>
        </w:rPr>
        <w:t xml:space="preserve">) "Process Upset" means a failure or malfunction of a production process or system to operate in a normal and usual manner.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40641E">
        <w:rPr>
          <w:rFonts w:ascii="Times New Roman" w:eastAsia="Times New Roman" w:hAnsi="Times New Roman" w:cs="Times New Roman"/>
          <w:sz w:val="24"/>
          <w:szCs w:val="24"/>
        </w:rPr>
        <w:t>10</w:t>
      </w:r>
      <w:r w:rsidR="001E531D">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"Proposed permit" means the version of an Oregon Title V Operating Permit that the Department or a Regional Agency proposes to issue and forwards to the Administrator for review in compliance with OAR 340-218-0230.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40641E">
        <w:rPr>
          <w:rFonts w:ascii="Times New Roman" w:eastAsia="Times New Roman" w:hAnsi="Times New Roman" w:cs="Times New Roman"/>
          <w:sz w:val="24"/>
          <w:szCs w:val="24"/>
        </w:rPr>
        <w:t>10</w:t>
      </w:r>
      <w:r w:rsidR="001E531D">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"Reference method" means any method of sampling and analyzing for an air pollutant as specified in 40 CFR Part </w:t>
      </w:r>
      <w:r w:rsidR="00EB0112">
        <w:rPr>
          <w:rFonts w:ascii="Times New Roman" w:eastAsia="Times New Roman" w:hAnsi="Times New Roman" w:cs="Times New Roman"/>
          <w:sz w:val="24"/>
          <w:szCs w:val="24"/>
        </w:rPr>
        <w:t xml:space="preserve">52, </w:t>
      </w:r>
      <w:r w:rsidRPr="00CD03B8">
        <w:rPr>
          <w:rFonts w:ascii="Times New Roman" w:eastAsia="Times New Roman" w:hAnsi="Times New Roman" w:cs="Times New Roman"/>
          <w:sz w:val="24"/>
          <w:szCs w:val="24"/>
        </w:rPr>
        <w:t xml:space="preserve">60, 61 or 63.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40641E">
        <w:rPr>
          <w:rFonts w:ascii="Times New Roman" w:eastAsia="Times New Roman" w:hAnsi="Times New Roman" w:cs="Times New Roman"/>
          <w:sz w:val="24"/>
          <w:szCs w:val="24"/>
        </w:rPr>
        <w:t>10</w:t>
      </w:r>
      <w:r w:rsidR="001E531D">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"Regional Agency" means Lane Regional Air Protection Agency.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40641E">
        <w:rPr>
          <w:rFonts w:ascii="Times New Roman" w:eastAsia="Times New Roman" w:hAnsi="Times New Roman" w:cs="Times New Roman"/>
          <w:sz w:val="24"/>
          <w:szCs w:val="24"/>
        </w:rPr>
        <w:t>10</w:t>
      </w:r>
      <w:r w:rsidR="001E531D">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"Regulated air pollutant" or "Regulated Pollutant":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Except as provided in subsections (b) and(c) of this </w:t>
      </w:r>
      <w:r w:rsidR="006F5262">
        <w:rPr>
          <w:rFonts w:ascii="Times New Roman" w:eastAsia="Times New Roman" w:hAnsi="Times New Roman" w:cs="Times New Roman"/>
          <w:sz w:val="24"/>
          <w:szCs w:val="24"/>
        </w:rPr>
        <w:t>section</w:t>
      </w:r>
      <w:r w:rsidRPr="00CD03B8">
        <w:rPr>
          <w:rFonts w:ascii="Times New Roman" w:eastAsia="Times New Roman" w:hAnsi="Times New Roman" w:cs="Times New Roman"/>
          <w:sz w:val="24"/>
          <w:szCs w:val="24"/>
        </w:rPr>
        <w:t xml:space="preserve">, means: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Nitrogen oxides or any VOCs;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(B) Any pollutant for which a national ambient air quality standard has been promulgated</w:t>
      </w:r>
      <w:r w:rsidR="00EC7B9E">
        <w:rPr>
          <w:rFonts w:ascii="Times New Roman" w:eastAsia="Times New Roman" w:hAnsi="Times New Roman" w:cs="Times New Roman"/>
          <w:sz w:val="24"/>
          <w:szCs w:val="24"/>
        </w:rPr>
        <w:t>, including any precursors to such pollutants</w:t>
      </w:r>
      <w:r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Any pollutant that is subject to any standard promulgated under section 111 of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Any Class I or II substance subject to a standard promulgated under or established by Title VI of the Act; </w:t>
      </w:r>
    </w:p>
    <w:p w:rsidR="00BE2594"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(E) Any pollutant listed under OAR 340-244-0040 or 340-244-0230</w:t>
      </w:r>
      <w:r w:rsidR="00623678">
        <w:rPr>
          <w:rFonts w:ascii="Times New Roman" w:eastAsia="Times New Roman" w:hAnsi="Times New Roman" w:cs="Times New Roman"/>
          <w:sz w:val="24"/>
          <w:szCs w:val="24"/>
        </w:rPr>
        <w:t>;</w:t>
      </w:r>
      <w:r w:rsidR="009329D0">
        <w:rPr>
          <w:rFonts w:ascii="Times New Roman" w:eastAsia="Times New Roman" w:hAnsi="Times New Roman" w:cs="Times New Roman"/>
          <w:sz w:val="24"/>
          <w:szCs w:val="24"/>
        </w:rPr>
        <w:t xml:space="preserve"> </w:t>
      </w:r>
      <w:r w:rsidR="0052462B">
        <w:rPr>
          <w:rFonts w:ascii="Times New Roman" w:eastAsia="Times New Roman" w:hAnsi="Times New Roman" w:cs="Times New Roman"/>
          <w:sz w:val="24"/>
          <w:szCs w:val="24"/>
        </w:rPr>
        <w:t>and</w:t>
      </w:r>
    </w:p>
    <w:p w:rsidR="007D5C43" w:rsidRDefault="00623678" w:rsidP="00CE74E5">
      <w:pPr>
        <w:spacing w:after="0" w:line="240" w:lineRule="auto"/>
        <w:rPr>
          <w:rFonts w:ascii="Arial" w:eastAsia="Times New Roman" w:hAnsi="Arial" w:cs="Arial"/>
          <w:i/>
          <w:iCs/>
          <w:sz w:val="24"/>
          <w:szCs w:val="24"/>
        </w:rPr>
      </w:pPr>
      <w:r>
        <w:rPr>
          <w:rFonts w:ascii="Times New Roman" w:eastAsia="Times New Roman" w:hAnsi="Times New Roman" w:cs="Times New Roman"/>
          <w:sz w:val="24"/>
          <w:szCs w:val="24"/>
        </w:rPr>
        <w:t>(F) Greenhouse Gases</w:t>
      </w:r>
      <w:r w:rsidR="00CD03B8"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in OAR 340 division 220, regulated pollutant means particulates, volatile organic compounds, oxides of nitrogen and sulfur dioxide. </w:t>
      </w:r>
    </w:p>
    <w:p w:rsidR="006D3C71"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(c) As used in OAR 340 division 224</w:t>
      </w:r>
      <w:r w:rsidR="0061645E">
        <w:rPr>
          <w:rFonts w:ascii="Times New Roman" w:eastAsia="Times New Roman" w:hAnsi="Times New Roman" w:cs="Times New Roman"/>
          <w:sz w:val="24"/>
          <w:szCs w:val="24"/>
        </w:rPr>
        <w:t>, regulated</w:t>
      </w:r>
      <w:r w:rsidRPr="00CD03B8">
        <w:rPr>
          <w:rFonts w:ascii="Times New Roman" w:eastAsia="Times New Roman" w:hAnsi="Times New Roman" w:cs="Times New Roman"/>
          <w:sz w:val="24"/>
          <w:szCs w:val="24"/>
        </w:rPr>
        <w:t xml:space="preserve"> pollutant </w:t>
      </w:r>
      <w:r w:rsidR="0061645E">
        <w:rPr>
          <w:rFonts w:ascii="Times New Roman" w:eastAsia="Times New Roman" w:hAnsi="Times New Roman" w:cs="Times New Roman"/>
          <w:sz w:val="24"/>
          <w:szCs w:val="24"/>
        </w:rPr>
        <w:t xml:space="preserve">does not include any pollutant </w:t>
      </w:r>
      <w:r w:rsidRPr="00CD03B8">
        <w:rPr>
          <w:rFonts w:ascii="Times New Roman" w:eastAsia="Times New Roman" w:hAnsi="Times New Roman" w:cs="Times New Roman"/>
          <w:sz w:val="24"/>
          <w:szCs w:val="24"/>
        </w:rPr>
        <w:t xml:space="preserve">listed </w:t>
      </w:r>
      <w:r w:rsidR="00B15B52">
        <w:rPr>
          <w:rFonts w:ascii="Times New Roman" w:eastAsia="Times New Roman" w:hAnsi="Times New Roman" w:cs="Times New Roman"/>
          <w:sz w:val="24"/>
          <w:szCs w:val="24"/>
        </w:rPr>
        <w:t xml:space="preserve">in </w:t>
      </w:r>
      <w:r w:rsidR="0061645E">
        <w:rPr>
          <w:rFonts w:ascii="Times New Roman" w:eastAsia="Times New Roman" w:hAnsi="Times New Roman" w:cs="Times New Roman"/>
          <w:sz w:val="24"/>
          <w:szCs w:val="24"/>
        </w:rPr>
        <w:t>d</w:t>
      </w:r>
      <w:r w:rsidR="00B15B52">
        <w:rPr>
          <w:rFonts w:ascii="Times New Roman" w:eastAsia="Times New Roman" w:hAnsi="Times New Roman" w:cs="Times New Roman"/>
          <w:sz w:val="24"/>
          <w:szCs w:val="24"/>
        </w:rPr>
        <w:t>ivisions 244 and 246</w:t>
      </w:r>
      <w:r w:rsidR="006E0BF6">
        <w:rPr>
          <w:rFonts w:ascii="Times New Roman" w:eastAsia="Times New Roman" w:hAnsi="Times New Roman" w:cs="Times New Roman"/>
          <w:sz w:val="24"/>
          <w:szCs w:val="24"/>
        </w:rPr>
        <w:t xml:space="preserve">, unless </w:t>
      </w:r>
      <w:r w:rsidR="0061645E">
        <w:rPr>
          <w:rFonts w:ascii="Times New Roman" w:eastAsia="Times New Roman" w:hAnsi="Times New Roman" w:cs="Times New Roman"/>
          <w:sz w:val="24"/>
          <w:szCs w:val="24"/>
        </w:rPr>
        <w:t xml:space="preserve">the pollutant is </w:t>
      </w:r>
      <w:r w:rsidR="006E0BF6">
        <w:rPr>
          <w:rFonts w:ascii="Times New Roman" w:eastAsia="Times New Roman" w:hAnsi="Times New Roman" w:cs="Times New Roman"/>
          <w:sz w:val="24"/>
          <w:szCs w:val="24"/>
        </w:rPr>
        <w:t xml:space="preserve">listed in </w:t>
      </w:r>
      <w:r w:rsidR="001C594E">
        <w:rPr>
          <w:rFonts w:ascii="Times New Roman" w:eastAsia="Times New Roman" w:hAnsi="Times New Roman" w:cs="Times New Roman"/>
          <w:sz w:val="24"/>
          <w:szCs w:val="24"/>
        </w:rPr>
        <w:t xml:space="preserve">OAR 340 division 200 </w:t>
      </w:r>
      <w:r w:rsidR="006E0BF6">
        <w:rPr>
          <w:rFonts w:ascii="Times New Roman" w:eastAsia="Times New Roman" w:hAnsi="Times New Roman" w:cs="Times New Roman"/>
          <w:sz w:val="24"/>
          <w:szCs w:val="24"/>
        </w:rPr>
        <w:t>Table 2 (significant emission rates)</w:t>
      </w:r>
      <w:r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r w:rsidR="001E531D">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"Renewal" means the process by which a permit is reissued at the end of its term.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r w:rsidR="001E531D">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"Responsible official" means one of the following: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The facilities employ more than 250 persons or have gross annual sales or expenditures exceeding $25 million (in second quarter 1980 dollars); 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The delegation of authority to such representative is approved in advance by the Department or Lane Regional Air Protection Agency.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For a partnership or sole proprietorship: a general partner or the proprietor, respectively;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(c) For a municipality, State, Federal, or other public agency: either a principal executive officer or ranking elected official. For the purposes of this </w:t>
      </w:r>
      <w:r w:rsidR="006F5262">
        <w:rPr>
          <w:rFonts w:ascii="Times New Roman" w:eastAsia="Times New Roman" w:hAnsi="Times New Roman" w:cs="Times New Roman"/>
          <w:sz w:val="24"/>
          <w:szCs w:val="24"/>
        </w:rPr>
        <w:t>d</w:t>
      </w:r>
      <w:r w:rsidRPr="00CD03B8">
        <w:rPr>
          <w:rFonts w:ascii="Times New Roman" w:eastAsia="Times New Roman" w:hAnsi="Times New Roman" w:cs="Times New Roman"/>
          <w:sz w:val="24"/>
          <w:szCs w:val="24"/>
        </w:rPr>
        <w:t xml:space="preserve">ivision, a principal executive officer of a Federal agency includes the chief executive officer having responsibility for the overall operations of a principal geographic unit of the agency(e.g., a Regional Administrator of the EPA); 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For affected sources: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The designated representative in so far as actions, standards, requirements, or prohibitions under Title IV of the Act or the regulations promulgated there under are concerned;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The designated representative for any other purposes under the Oregon Title V Operating Permit program.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0</w:t>
      </w:r>
      <w:r w:rsidR="001E531D">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Emissions from ships and trains coming to or from a facility;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Emissions from off-site support facilities that would be constructed or would otherwise increase emissions as a result of the construction or modification of a source.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0</w:t>
      </w:r>
      <w:r w:rsidR="001E531D">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"Section 111" means section 111 of the FCAA which includes Standards of Performance for New Stationary Sources (NSPS).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0</w:t>
      </w:r>
      <w:r w:rsidRPr="00CD03B8">
        <w:rPr>
          <w:rFonts w:ascii="Times New Roman" w:eastAsia="Times New Roman" w:hAnsi="Times New Roman" w:cs="Times New Roman"/>
          <w:sz w:val="24"/>
          <w:szCs w:val="24"/>
        </w:rPr>
        <w:t xml:space="preserve">) "Section 111(d)" means subsection 111(d) of the FCAA which requires states to submit to the EPA plans that establish standards of performance for existing sources and provides for implementing and enforcing such standards.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0732AE">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"Section 112" means section 112 of the FCAA which contains regulations for Hazardous Air Pollutants (HAP).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307568">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"Section 112(b)" means subsection 112(b) of the FCAA which includes the list of hazardous air pollutants to be regulated.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40641E">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40641E">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"Section 112(e)" means subsection 112(e) of the FCAA which directs the EPA to establish and promulgate emissions standards for categories and subcategories of sources that emit hazardous air pollutants.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40641E">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"Section 112(r)(7)" means subsection 112(r)(7) of the FCAA which requires the EPA to promulgate regulations for the prevention of accidental releases and requires owners or operators to prepare risk management plans.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"Section 114(a)(3)" means subsection 114(a)(3) of the FCAA which requires enhanced monitoring and submission of compliance certifications for major sources.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"Section 129" means section 129 of the FCAA which requires the EPA to establish emission standards and other requirements for solid waste incineration units.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"Section 129(e)" means subsection 129(e) of the FCAA which requires solid waste incineration units to obtain Oregon Title V Operating Permits.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"Section 182(f)" means subsection 182(f) of the FCAA which requires states to include plan provisions in the State Implementation Plan for NOx in ozone nonattainment areas.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(1</w:t>
      </w:r>
      <w:r w:rsidR="001E531D">
        <w:rPr>
          <w:rFonts w:ascii="Times New Roman" w:eastAsia="Times New Roman" w:hAnsi="Times New Roman" w:cs="Times New Roman"/>
          <w:sz w:val="24"/>
          <w:szCs w:val="24"/>
        </w:rPr>
        <w:t>20</w:t>
      </w:r>
      <w:r w:rsidRPr="00CD03B8">
        <w:rPr>
          <w:rFonts w:ascii="Times New Roman" w:eastAsia="Times New Roman" w:hAnsi="Times New Roman" w:cs="Times New Roman"/>
          <w:sz w:val="24"/>
          <w:szCs w:val="24"/>
        </w:rPr>
        <w:t xml:space="preserve">) "Section 182(f)(1)" means subsection 182(f)(1) of the FCAA which requires states to apply those plan provisions developed for major VOC sources and major NOx sources in ozone nonattainment areas.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0732AE">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"Section 183(e)" means subsection 183(e) of the FCAA which requires the EPA to study and develop regulations for the control of certain VOC sources under federal ozone measures.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307568">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"Section 183(f)" means subsection 182(f) of the FCAA which requires the EPA to develop regulations pertaining to tank vessels under federal ozone measures.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40641E">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"Section 184" means section 184 of the FCAA which contains regulations for the control of interstate ozone air pollution.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40641E">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"Section 302" means section 302 of the FCAA which contains definitions for general and administrative purposes in the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40641E">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"Section 302(j)" means subsection 302(j) of the FCAA which contains definitions of "major stationary source" and "major emitting facility."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"Section 328" means section 328 of the FCAA which contains regulations for air pollution from outer continental shelf activities.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"Section 408(a)" means subsection 408(a) of the FCAA which contains regulations for the Title IV permit program.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"Section 502(b)(10) change" means a change which contravenes an express permit term but is not a change that: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Would violate applicable requirements;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Would contravene federally enforceable permit terms and conditions that are monitoring, recordkeeping, reporting, or compliance certification requirements; 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Is a Title I modification.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2</w:t>
      </w:r>
      <w:r w:rsidR="001E531D">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"Section 504(b)" means subsection 504(b) of the FCAA which states that the EPA can prescribe by rule procedures and methods for determining compliance and for monitoring.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30</w:t>
      </w:r>
      <w:r w:rsidRPr="00CD03B8">
        <w:rPr>
          <w:rFonts w:ascii="Times New Roman" w:eastAsia="Times New Roman" w:hAnsi="Times New Roman" w:cs="Times New Roman"/>
          <w:sz w:val="24"/>
          <w:szCs w:val="24"/>
        </w:rPr>
        <w:t xml:space="preserve">) "Section 504(e)" means subsection 504(e) of the FCAA which contains regulations for permit requirements for temporary sources.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0732AE">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40641E">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"Significant Emission Rate" or "SER," except as provided in subsections</w:t>
      </w:r>
      <w:r w:rsidR="006F5262">
        <w:rPr>
          <w:rFonts w:ascii="Times New Roman" w:eastAsia="Times New Roman" w:hAnsi="Times New Roman" w:cs="Times New Roman"/>
          <w:sz w:val="24"/>
          <w:szCs w:val="24"/>
        </w:rPr>
        <w:t xml:space="preserve"> </w:t>
      </w:r>
      <w:r w:rsidRPr="00CD03B8">
        <w:rPr>
          <w:rFonts w:ascii="Times New Roman" w:eastAsia="Times New Roman" w:hAnsi="Times New Roman" w:cs="Times New Roman"/>
          <w:sz w:val="24"/>
          <w:szCs w:val="24"/>
        </w:rPr>
        <w:t xml:space="preserve">(a) through(c) of this section, means an emission rate equal to or greater than the rates specified in Table 2.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For the Medford-Ashland Air Quality Maintenance Area, the Significant Emission Rate for PM10 is defined in Table 3.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For regulated air pollutants not listed in Table 2 or 3, the significant emission rate is zero unless the Department determines the rate that constitutes a significant emission rate.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w:t>
      </w:r>
      <w:r w:rsidR="009D3EC2">
        <w:rPr>
          <w:rFonts w:ascii="Times New Roman" w:eastAsia="Times New Roman" w:hAnsi="Times New Roman" w:cs="Times New Roman"/>
          <w:sz w:val="24"/>
          <w:szCs w:val="24"/>
        </w:rPr>
        <w:t xml:space="preserve"> This provision does not apply to </w:t>
      </w:r>
      <w:r w:rsidR="0061645E">
        <w:rPr>
          <w:rFonts w:ascii="Times New Roman" w:eastAsia="Times New Roman" w:hAnsi="Times New Roman" w:cs="Times New Roman"/>
          <w:sz w:val="24"/>
          <w:szCs w:val="24"/>
        </w:rPr>
        <w:t>greenhouse gas</w:t>
      </w:r>
      <w:r w:rsidR="009D3EC2">
        <w:rPr>
          <w:rFonts w:ascii="Times New Roman" w:eastAsia="Times New Roman" w:hAnsi="Times New Roman" w:cs="Times New Roman"/>
          <w:sz w:val="24"/>
          <w:szCs w:val="24"/>
        </w:rPr>
        <w:t xml:space="preserve"> emissions.</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307568">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"Significant Impairment" occurs when the Department determines that visibility impairment interferes with the management, protection, preservation, or enjoyment of the visual </w:t>
      </w:r>
      <w:r w:rsidRPr="00CD03B8">
        <w:rPr>
          <w:rFonts w:ascii="Times New Roman" w:eastAsia="Times New Roman" w:hAnsi="Times New Roman" w:cs="Times New Roman"/>
          <w:sz w:val="24"/>
          <w:szCs w:val="24"/>
        </w:rPr>
        <w:lastRenderedPageBreak/>
        <w:t xml:space="preserve">experience within a Class I area. The Department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086C3E" w:rsidRPr="00086C3E" w:rsidRDefault="00086C3E" w:rsidP="00CE74E5">
      <w:pPr>
        <w:spacing w:after="0" w:line="240" w:lineRule="auto"/>
        <w:rPr>
          <w:rFonts w:ascii="Calibri" w:eastAsia="Times New Roman" w:hAnsi="Calibri" w:cs="Times New Roman"/>
        </w:rPr>
      </w:pPr>
      <w:r w:rsidRPr="00086C3E">
        <w:rPr>
          <w:rFonts w:ascii="Times New Roman" w:eastAsia="Times New Roman" w:hAnsi="Times New Roman" w:cs="Times New Roman"/>
          <w:sz w:val="24"/>
          <w:szCs w:val="24"/>
        </w:rPr>
        <w:t>(</w:t>
      </w:r>
      <w:r w:rsidR="002E20FA">
        <w:rPr>
          <w:rFonts w:ascii="Times New Roman" w:eastAsia="Times New Roman" w:hAnsi="Times New Roman" w:cs="Times New Roman"/>
          <w:sz w:val="24"/>
          <w:szCs w:val="24"/>
        </w:rPr>
        <w:t>13</w:t>
      </w:r>
      <w:r w:rsidR="001E531D">
        <w:rPr>
          <w:rFonts w:ascii="Times New Roman" w:eastAsia="Times New Roman" w:hAnsi="Times New Roman" w:cs="Times New Roman"/>
          <w:sz w:val="24"/>
          <w:szCs w:val="24"/>
        </w:rPr>
        <w:t>4</w:t>
      </w:r>
      <w:r w:rsidRPr="00086C3E">
        <w:rPr>
          <w:rFonts w:ascii="Times New Roman" w:eastAsia="Times New Roman" w:hAnsi="Times New Roman" w:cs="Times New Roman"/>
          <w:sz w:val="24"/>
          <w:szCs w:val="24"/>
        </w:rPr>
        <w:t>) “Small scale local energy project” means:</w:t>
      </w:r>
    </w:p>
    <w:p w:rsidR="00E1434D" w:rsidRDefault="00086C3E">
      <w:pPr>
        <w:spacing w:after="0" w:line="240" w:lineRule="auto"/>
        <w:rPr>
          <w:rFonts w:ascii="Calibri" w:eastAsia="Times New Roman" w:hAnsi="Calibri" w:cs="Times New Roman"/>
        </w:rPr>
      </w:pPr>
      <w:r w:rsidRPr="00086C3E">
        <w:rPr>
          <w:rFonts w:ascii="Times New Roman" w:eastAsia="Times New Roman" w:hAnsi="Times New Roman" w:cs="Times New Roman"/>
          <w:sz w:val="24"/>
          <w:szCs w:val="24"/>
        </w:rPr>
        <w:t xml:space="preserve">(a) A system, mechanism or series of mechanisms located primarily in Oregon that directly or indirectly uses or enables the use of, by the </w:t>
      </w:r>
      <w:r w:rsidR="00C733A8">
        <w:rPr>
          <w:rFonts w:ascii="Times New Roman" w:eastAsia="Times New Roman" w:hAnsi="Times New Roman" w:cs="Times New Roman"/>
          <w:sz w:val="24"/>
          <w:szCs w:val="24"/>
        </w:rPr>
        <w:t>owner or operator</w:t>
      </w:r>
      <w:r w:rsidRPr="00086C3E">
        <w:rPr>
          <w:rFonts w:ascii="Times New Roman" w:eastAsia="Times New Roman" w:hAnsi="Times New Roman" w:cs="Times New Roman"/>
          <w:sz w:val="24"/>
          <w:szCs w:val="24"/>
        </w:rPr>
        <w:t>, renewable resources including, but not limited to, solar, wind, geothermal, biomass, waste heat or water resources to produce energy, including heat, electricity and substitute fuels, to meet a local community or regional energy need in this state;</w:t>
      </w:r>
    </w:p>
    <w:p w:rsidR="00E1434D" w:rsidRDefault="00086C3E">
      <w:pPr>
        <w:spacing w:after="0" w:line="240" w:lineRule="auto"/>
        <w:rPr>
          <w:rFonts w:ascii="Calibri" w:eastAsia="Times New Roman" w:hAnsi="Calibri" w:cs="Times New Roman"/>
        </w:rPr>
      </w:pPr>
      <w:r w:rsidRPr="00086C3E">
        <w:rPr>
          <w:rFonts w:ascii="Times New Roman" w:eastAsia="Times New Roman" w:hAnsi="Times New Roman" w:cs="Times New Roman"/>
          <w:sz w:val="24"/>
          <w:szCs w:val="24"/>
        </w:rPr>
        <w:t xml:space="preserve">(b) A system, mechanism or series of mechanisms located primarily in Oregon or providing substantial benefits to Oregon that directly or indirectly conserves energy or enables the conservation of energy by the </w:t>
      </w:r>
      <w:r w:rsidR="00C733A8">
        <w:rPr>
          <w:rFonts w:ascii="Times New Roman" w:eastAsia="Times New Roman" w:hAnsi="Times New Roman" w:cs="Times New Roman"/>
          <w:sz w:val="24"/>
          <w:szCs w:val="24"/>
        </w:rPr>
        <w:t>owner or operator</w:t>
      </w:r>
      <w:r w:rsidRPr="00086C3E">
        <w:rPr>
          <w:rFonts w:ascii="Times New Roman" w:eastAsia="Times New Roman" w:hAnsi="Times New Roman" w:cs="Times New Roman"/>
          <w:sz w:val="24"/>
          <w:szCs w:val="24"/>
        </w:rPr>
        <w:t>, including energy used in transportation;</w:t>
      </w:r>
    </w:p>
    <w:p w:rsidR="00E1434D" w:rsidRDefault="00086C3E">
      <w:pPr>
        <w:spacing w:after="0" w:line="240" w:lineRule="auto"/>
        <w:rPr>
          <w:rFonts w:ascii="Calibri" w:eastAsia="Times New Roman" w:hAnsi="Calibri" w:cs="Times New Roman"/>
        </w:rPr>
      </w:pPr>
      <w:r w:rsidRPr="00086C3E">
        <w:rPr>
          <w:rFonts w:ascii="Times New Roman" w:eastAsia="Times New Roman" w:hAnsi="Times New Roman" w:cs="Times New Roman"/>
          <w:sz w:val="24"/>
          <w:szCs w:val="24"/>
        </w:rPr>
        <w:t>(c) A recycling project;</w:t>
      </w:r>
    </w:p>
    <w:p w:rsidR="00E1434D" w:rsidRDefault="00086C3E">
      <w:pPr>
        <w:spacing w:after="0" w:line="240" w:lineRule="auto"/>
        <w:rPr>
          <w:rFonts w:ascii="Calibri" w:eastAsia="Times New Roman" w:hAnsi="Calibri" w:cs="Times New Roman"/>
        </w:rPr>
      </w:pPr>
      <w:r w:rsidRPr="00086C3E">
        <w:rPr>
          <w:rFonts w:ascii="Times New Roman" w:eastAsia="Times New Roman" w:hAnsi="Times New Roman" w:cs="Times New Roman"/>
          <w:sz w:val="24"/>
          <w:szCs w:val="24"/>
        </w:rPr>
        <w:t>(d) An alternative fuel project;</w:t>
      </w:r>
    </w:p>
    <w:p w:rsidR="00E1434D" w:rsidRDefault="00086C3E">
      <w:pPr>
        <w:spacing w:after="0" w:line="240" w:lineRule="auto"/>
        <w:rPr>
          <w:rFonts w:ascii="Calibri" w:eastAsia="Times New Roman" w:hAnsi="Calibri" w:cs="Times New Roman"/>
        </w:rPr>
      </w:pPr>
      <w:r w:rsidRPr="00086C3E">
        <w:rPr>
          <w:rFonts w:ascii="Times New Roman" w:eastAsia="Times New Roman" w:hAnsi="Times New Roman" w:cs="Times New Roman"/>
          <w:sz w:val="24"/>
          <w:szCs w:val="24"/>
        </w:rPr>
        <w:t>(e) An improvement that increases the production or efficiency, or extends the operating life, of a system, mechanism, series of mechanisms or project otherwise described in this section</w:t>
      </w:r>
      <w:r w:rsidR="006F5262">
        <w:rPr>
          <w:rFonts w:ascii="Times New Roman" w:eastAsia="Times New Roman" w:hAnsi="Times New Roman" w:cs="Times New Roman"/>
          <w:sz w:val="24"/>
          <w:szCs w:val="24"/>
        </w:rPr>
        <w:t xml:space="preserve"> of this rule</w:t>
      </w:r>
      <w:r w:rsidRPr="00086C3E">
        <w:rPr>
          <w:rFonts w:ascii="Times New Roman" w:eastAsia="Times New Roman" w:hAnsi="Times New Roman" w:cs="Times New Roman"/>
          <w:sz w:val="24"/>
          <w:szCs w:val="24"/>
        </w:rPr>
        <w:t>, including but not limited to restarting a dormant project;</w:t>
      </w:r>
    </w:p>
    <w:p w:rsidR="00E1434D" w:rsidRDefault="00086C3E">
      <w:pPr>
        <w:spacing w:after="0" w:line="240" w:lineRule="auto"/>
        <w:rPr>
          <w:rFonts w:ascii="Calibri" w:eastAsia="Times New Roman" w:hAnsi="Calibri" w:cs="Times New Roman"/>
        </w:rPr>
      </w:pPr>
      <w:r w:rsidRPr="00086C3E">
        <w:rPr>
          <w:rFonts w:ascii="Times New Roman" w:eastAsia="Times New Roman" w:hAnsi="Times New Roman" w:cs="Times New Roman"/>
          <w:sz w:val="24"/>
          <w:szCs w:val="24"/>
        </w:rPr>
        <w:t>(f)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w:t>
      </w:r>
    </w:p>
    <w:p w:rsidR="00E1434D" w:rsidRDefault="00086C3E">
      <w:pPr>
        <w:spacing w:after="0" w:line="240" w:lineRule="auto"/>
        <w:rPr>
          <w:rFonts w:ascii="Calibri" w:eastAsia="Times New Roman" w:hAnsi="Calibri" w:cs="Times New Roman"/>
        </w:rPr>
      </w:pPr>
      <w:r w:rsidRPr="00086C3E">
        <w:rPr>
          <w:rFonts w:ascii="Times New Roman" w:eastAsia="Times New Roman" w:hAnsi="Times New Roman" w:cs="Times New Roman"/>
          <w:sz w:val="24"/>
          <w:szCs w:val="24"/>
        </w:rPr>
        <w:t xml:space="preserve">(g) A project described in </w:t>
      </w:r>
      <w:r w:rsidR="00CE6C1C">
        <w:rPr>
          <w:rFonts w:ascii="Times New Roman" w:eastAsia="Times New Roman" w:hAnsi="Times New Roman" w:cs="Times New Roman"/>
          <w:sz w:val="24"/>
          <w:szCs w:val="24"/>
        </w:rPr>
        <w:t xml:space="preserve">subsections </w:t>
      </w:r>
      <w:r w:rsidRPr="00086C3E">
        <w:rPr>
          <w:rFonts w:ascii="Times New Roman" w:eastAsia="Times New Roman" w:hAnsi="Times New Roman" w:cs="Times New Roman"/>
          <w:sz w:val="24"/>
          <w:szCs w:val="24"/>
        </w:rPr>
        <w:t>(a) to (f)</w:t>
      </w:r>
      <w:r w:rsidR="00DA61D8">
        <w:rPr>
          <w:rFonts w:ascii="Times New Roman" w:eastAsia="Times New Roman" w:hAnsi="Times New Roman" w:cs="Times New Roman"/>
          <w:sz w:val="24"/>
          <w:szCs w:val="24"/>
        </w:rPr>
        <w:t xml:space="preserve"> of this section</w:t>
      </w:r>
      <w:r w:rsidRPr="00086C3E">
        <w:rPr>
          <w:rFonts w:ascii="Times New Roman" w:eastAsia="Times New Roman" w:hAnsi="Times New Roman" w:cs="Times New Roman"/>
          <w:sz w:val="24"/>
          <w:szCs w:val="24"/>
        </w:rPr>
        <w:t xml:space="preserve">, whether or not the existing project was originally financed under </w:t>
      </w:r>
      <w:r w:rsidR="00C733A8">
        <w:rPr>
          <w:rFonts w:ascii="Times New Roman" w:eastAsia="Times New Roman" w:hAnsi="Times New Roman" w:cs="Times New Roman"/>
          <w:sz w:val="24"/>
          <w:szCs w:val="24"/>
        </w:rPr>
        <w:t>ORS 470</w:t>
      </w:r>
      <w:r w:rsidRPr="00086C3E">
        <w:rPr>
          <w:rFonts w:ascii="Times New Roman" w:eastAsia="Times New Roman" w:hAnsi="Times New Roman" w:cs="Times New Roman"/>
          <w:sz w:val="24"/>
          <w:szCs w:val="24"/>
        </w:rPr>
        <w:t>, together with any refinancing necessary to remove prior liens or encumbrances against the existing project.</w:t>
      </w:r>
    </w:p>
    <w:p w:rsidR="00E1434D" w:rsidRDefault="00086C3E">
      <w:pPr>
        <w:spacing w:after="0" w:line="240" w:lineRule="auto"/>
        <w:rPr>
          <w:rFonts w:ascii="Calibri" w:eastAsia="Times New Roman" w:hAnsi="Calibri" w:cs="Times New Roman"/>
        </w:rPr>
      </w:pPr>
      <w:r w:rsidRPr="00086C3E">
        <w:rPr>
          <w:rFonts w:ascii="Times New Roman" w:eastAsia="Times New Roman" w:hAnsi="Times New Roman" w:cs="Times New Roman"/>
          <w:sz w:val="24"/>
          <w:szCs w:val="24"/>
        </w:rPr>
        <w:t xml:space="preserve">(h) A project described in </w:t>
      </w:r>
      <w:r w:rsidR="00CE6C1C">
        <w:rPr>
          <w:rFonts w:ascii="Times New Roman" w:eastAsia="Times New Roman" w:hAnsi="Times New Roman" w:cs="Times New Roman"/>
          <w:sz w:val="24"/>
          <w:szCs w:val="24"/>
        </w:rPr>
        <w:t xml:space="preserve">subsections </w:t>
      </w:r>
      <w:r w:rsidRPr="00086C3E">
        <w:rPr>
          <w:rFonts w:ascii="Times New Roman" w:eastAsia="Times New Roman" w:hAnsi="Times New Roman" w:cs="Times New Roman"/>
          <w:sz w:val="24"/>
          <w:szCs w:val="24"/>
        </w:rPr>
        <w:t xml:space="preserve">(a) to (g) </w:t>
      </w:r>
      <w:r w:rsidR="00DA61D8">
        <w:rPr>
          <w:rFonts w:ascii="Times New Roman" w:eastAsia="Times New Roman" w:hAnsi="Times New Roman" w:cs="Times New Roman"/>
          <w:sz w:val="24"/>
          <w:szCs w:val="24"/>
        </w:rPr>
        <w:t xml:space="preserve">of this section </w:t>
      </w:r>
      <w:r w:rsidRPr="00086C3E">
        <w:rPr>
          <w:rFonts w:ascii="Times New Roman" w:eastAsia="Times New Roman" w:hAnsi="Times New Roman" w:cs="Times New Roman"/>
          <w:sz w:val="24"/>
          <w:szCs w:val="24"/>
        </w:rPr>
        <w:t>that conserves energy or produces energy by generation or by processing or collection of a renewable resource.</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40641E">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40641E">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"Source category":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As used in OAR 340 division 220, Oregon Title V Operating Permit Fees, means a group of major sources that the Department determines are using similar raw materials and have equivalent process controls and pollution control equipment. </w:t>
      </w:r>
    </w:p>
    <w:p w:rsidR="00A97015"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"Source Test" means the average of at least three test runs conducted in accordance with the Department's Source Sampling Manual. </w:t>
      </w:r>
    </w:p>
    <w:p w:rsidR="00CD03B8" w:rsidRPr="00CD03B8" w:rsidRDefault="00A97015"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 </w:t>
      </w:r>
      <w:r w:rsidR="00CD03B8" w:rsidRPr="00CD03B8">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8</w:t>
      </w:r>
      <w:r w:rsidR="00CD03B8" w:rsidRPr="00CD03B8">
        <w:rPr>
          <w:rFonts w:ascii="Times New Roman" w:eastAsia="Times New Roman" w:hAnsi="Times New Roman" w:cs="Times New Roman"/>
          <w:sz w:val="24"/>
          <w:szCs w:val="24"/>
        </w:rPr>
        <w:t xml:space="preserve">) "Startup" and "shutdown" means that time during which an air contaminant source or emission-control equipment is brought into normal operation or normal operation is terminated, respectively.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3</w:t>
      </w:r>
      <w:r w:rsidR="001E531D">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"State Implementation Plan" or "SIP" means the State of Oregon Clean Air Act Implementation Plan as adopted by the Commission under OAR 340-200-0040 and approved by EPA.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40</w:t>
      </w:r>
      <w:r w:rsidRPr="00CD03B8">
        <w:rPr>
          <w:rFonts w:ascii="Times New Roman" w:eastAsia="Times New Roman" w:hAnsi="Times New Roman" w:cs="Times New Roman"/>
          <w:sz w:val="24"/>
          <w:szCs w:val="24"/>
        </w:rPr>
        <w:t xml:space="preserve">) "Stationary source" means any building, structure, facility, or installation at a source that emits or may emit any regulated air pollutant.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"Substantial Underpayment" means the lesser of ten percent (10%) of the total interim emission fee for the major source or five hundred dollars.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40641E">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"Synthetic minor source" means a source that would be classified as a major source under OAR 340-200-0020, but for limits on its potential to emit air pollutants contained in a permit issued by the Department under OAR 340 division 216 or 218.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40641E">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"Title I modification" means one of the following modifications pursuant to Title I of the FCAA: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A major modification subject to OAR 340-224-0050, Requirements for Sources in Nonattainment Areas;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 major modification subject to OAR 340-224-0060, Requirements for Sources in Maintenance Areas;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A major modification subject to OAR 340-224-0070, Prevention of Significant Deterioration Requirements for Sources in Attainment or Unclassified Areas;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A modification that is subject to a New Source Performance Standard under Section 111 of the FCAA; 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(e) A modification under Section 112 of the FCAA.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307568">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"Total Reduced Sulfur" or "TRS" means the sum of the sulfur compounds hydrogen sulfide, methyl mercaptan, dimethyl sulfide, dimethyl disulfide, and any other organic sulfides present expressed as hydrogen sulfide(H2S).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40641E">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the Department while considering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40641E">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"Unassigned Emissions" means the amount of emissions that are in excess of the PSEL but less than the Netting Basis.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A97015">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)"Unavoidable" or "could not be avoided" means events that are not caused entirely or in part by poor or inadequate design, operation, maintenance, or any other preventable condition in either process or control equipment.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(1</w:t>
      </w:r>
      <w:r w:rsidR="00A97015">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"Upset" or "Breakdown" means any failure or malfunction of any pollution control equipment or operating equipment that may cause excess emissions. </w:t>
      </w:r>
    </w:p>
    <w:p w:rsidR="00CD03B8" w:rsidRPr="00CD03B8" w:rsidRDefault="00A97015"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 </w:t>
      </w:r>
      <w:r w:rsidR="00CD03B8" w:rsidRPr="00CD03B8">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001E531D">
        <w:rPr>
          <w:rFonts w:ascii="Times New Roman" w:eastAsia="Times New Roman" w:hAnsi="Times New Roman" w:cs="Times New Roman"/>
          <w:sz w:val="24"/>
          <w:szCs w:val="24"/>
        </w:rPr>
        <w:t>9</w:t>
      </w:r>
      <w:r w:rsidR="00CD03B8" w:rsidRPr="00CD03B8">
        <w:rPr>
          <w:rFonts w:ascii="Times New Roman" w:eastAsia="Times New Roman" w:hAnsi="Times New Roman" w:cs="Times New Roman"/>
          <w:sz w:val="24"/>
          <w:szCs w:val="24"/>
        </w:rPr>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1E531D">
        <w:rPr>
          <w:rFonts w:ascii="Times New Roman" w:eastAsia="Times New Roman" w:hAnsi="Times New Roman" w:cs="Times New Roman"/>
          <w:sz w:val="24"/>
          <w:szCs w:val="24"/>
        </w:rPr>
        <w:t>50</w:t>
      </w:r>
      <w:r w:rsidRPr="00CD03B8">
        <w:rPr>
          <w:rFonts w:ascii="Times New Roman" w:eastAsia="Times New Roman" w:hAnsi="Times New Roman" w:cs="Times New Roman"/>
          <w:sz w:val="24"/>
          <w:szCs w:val="24"/>
        </w:rPr>
        <w:t xml:space="preserve">) "Volatile Organic Compounds" or "VOC" means any compound of carbon, excluding carbon monoxide, carbon dioxide, carbonic acid, metallic carbides or carbonates, and ammonium carbonate, that participates in atmospheric photochemical reactions.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This includes any such organic compound except the following, which have been determined to have negligible photochemical reactivity in the formation of tropospheric ozone: methane; ethane; methylene chloride(dichloromethane); </w:t>
      </w:r>
      <w:r w:rsidR="00D63F3E">
        <w:rPr>
          <w:rFonts w:ascii="Times New Roman" w:eastAsia="Times New Roman" w:hAnsi="Times New Roman" w:cs="Times New Roman"/>
          <w:sz w:val="24"/>
          <w:szCs w:val="24"/>
        </w:rPr>
        <w:t xml:space="preserve">dimethyl carbonate, propylene carbonate, </w:t>
      </w:r>
      <w:r w:rsidRPr="00CD03B8">
        <w:rPr>
          <w:rFonts w:ascii="Times New Roman" w:eastAsia="Times New Roman" w:hAnsi="Times New Roman" w:cs="Times New Roman"/>
          <w:sz w:val="24"/>
          <w:szCs w:val="24"/>
        </w:rPr>
        <w:t xml:space="preserve">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Cyclic, branched, or linear, completely fluorinated alkanes;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Cyclic, branched, or linear, completely fluorinated ethers with no unsaturations;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Cyclic, branched, or linear, completely fluorinated tertiary amines with no unsaturations; and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Sulfur containing perfluorocarbons with no unsaturations and with sulfur bonds only to carbon and fluorine.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For purposes of determining compliance with emissions limits, VOC will be measured by an applicable reference method in accordance with the Department's Source Sampling Manual, January, 1992. Where such a method also measures compounds with negligible photochemical </w:t>
      </w:r>
      <w:r w:rsidRPr="00CD03B8">
        <w:rPr>
          <w:rFonts w:ascii="Times New Roman" w:eastAsia="Times New Roman" w:hAnsi="Times New Roman" w:cs="Times New Roman"/>
          <w:sz w:val="24"/>
          <w:szCs w:val="24"/>
        </w:rPr>
        <w:lastRenderedPageBreak/>
        <w:t xml:space="preserve">reactivity, these negligibly-reactive compounds may be excluded as VOC if the amount of such compounds is accurately quantified, and the Department approves the exclusion.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(c) The Department may require an owner or operator to provide monitoring or testing methods and results demonstrating, to the Department's satisfaction, the amount of negligibly-reactive compounds in the source's emissions. </w:t>
      </w:r>
    </w:p>
    <w:p w:rsidR="00A60880"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w:t>
      </w:r>
      <w:r w:rsidR="00EC7B9E">
        <w:rPr>
          <w:rFonts w:ascii="Times New Roman" w:eastAsia="Times New Roman" w:hAnsi="Times New Roman" w:cs="Times New Roman"/>
          <w:sz w:val="24"/>
          <w:szCs w:val="24"/>
        </w:rPr>
        <w:t xml:space="preserve">limitations or VOC content requirements: t-butyl acetate.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0732AE">
        <w:rPr>
          <w:rFonts w:ascii="Times New Roman" w:eastAsia="Times New Roman" w:hAnsi="Times New Roman" w:cs="Times New Roman"/>
          <w:sz w:val="24"/>
          <w:szCs w:val="24"/>
        </w:rPr>
        <w:t>5</w:t>
      </w:r>
      <w:r w:rsidR="001E531D">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"Year" means any consecutive 12 month period of time.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NOTE:</w:t>
      </w:r>
      <w:r w:rsidRPr="00CD03B8">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D03B8" w:rsidRPr="00CD03B8" w:rsidRDefault="00CD03B8" w:rsidP="00CE74E5">
      <w:pPr>
        <w:pStyle w:val="NormalWeb"/>
        <w:spacing w:before="0" w:beforeAutospacing="0" w:after="0" w:afterAutospacing="0"/>
      </w:pPr>
      <w:r w:rsidRPr="00CD03B8">
        <w:t xml:space="preserve">[ED. NOTE: </w:t>
      </w:r>
      <w:r w:rsidR="006C41F7">
        <w:t>The t</w:t>
      </w:r>
      <w:r w:rsidRPr="00CD03B8">
        <w:t xml:space="preserve">ables referenced </w:t>
      </w:r>
      <w:r w:rsidR="006C41F7">
        <w:t xml:space="preserve">in this rule </w:t>
      </w:r>
      <w:r w:rsidRPr="00CD03B8">
        <w:t xml:space="preserve">are </w:t>
      </w:r>
      <w:r w:rsidR="006C41F7">
        <w:t xml:space="preserve">not included in the rule text. </w:t>
      </w:r>
      <w:r w:rsidR="006C41F7" w:rsidRPr="006C41F7">
        <w:rPr>
          <w:color w:val="0070C0"/>
          <w:u w:val="single"/>
        </w:rPr>
        <w:t>Click here for a PDF copy of the tables</w:t>
      </w:r>
      <w:r w:rsidRPr="006C41F7">
        <w:rPr>
          <w:color w:val="0070C0"/>
          <w:u w:val="single"/>
        </w:rPr>
        <w:t>.</w:t>
      </w:r>
      <w:r w:rsidRPr="00CD03B8">
        <w:t>]</w:t>
      </w:r>
      <w:r w:rsidRPr="00CD03B8">
        <w:br/>
        <w:t xml:space="preserve">[Publications: Publications referenced are available from the agency.]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Stat. Auth.: ORS 468.020</w:t>
      </w:r>
      <w:r w:rsidRPr="00CD03B8">
        <w:rPr>
          <w:rFonts w:ascii="Times New Roman" w:eastAsia="Times New Roman" w:hAnsi="Times New Roman" w:cs="Times New Roman"/>
          <w:sz w:val="24"/>
          <w:szCs w:val="24"/>
        </w:rPr>
        <w:br/>
        <w:t>Stats. Implemented: ORS 468A.025</w:t>
      </w:r>
      <w:r w:rsidRPr="00CD03B8">
        <w:rPr>
          <w:rFonts w:ascii="Times New Roman" w:eastAsia="Times New Roman" w:hAnsi="Times New Roman" w:cs="Times New Roman"/>
          <w:sz w:val="24"/>
          <w:szCs w:val="24"/>
        </w:rPr>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w:t>
      </w:r>
    </w:p>
    <w:p w:rsidR="008B3488" w:rsidRPr="00CD03B8" w:rsidRDefault="008B3488" w:rsidP="00CE74E5">
      <w:pPr>
        <w:spacing w:after="0" w:line="240" w:lineRule="auto"/>
        <w:rPr>
          <w:rFonts w:ascii="Times New Roman" w:eastAsia="Times New Roman" w:hAnsi="Times New Roman" w:cs="Times New Roman"/>
          <w:sz w:val="24"/>
          <w:szCs w:val="24"/>
        </w:rPr>
      </w:pP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 xml:space="preserve">340-200-0025 </w:t>
      </w:r>
    </w:p>
    <w:p w:rsidR="00CD03B8" w:rsidRPr="00CD03B8" w:rsidRDefault="00CD03B8" w:rsidP="00CE74E5">
      <w:pPr>
        <w:spacing w:after="0" w:line="240" w:lineRule="auto"/>
        <w:outlineLvl w:val="0"/>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Abbreviations and Acronyms</w:t>
      </w:r>
      <w:r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 "ACDP" means Air Contaminant Discharge Permit.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(2) "ACT" means Federal Clean Air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(3) "AE" means Actual Emissions.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(4) "AICPA" means Association of Independent Certified Public Accountants.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(5) "AQCR" means Air Quality Control Region.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(6) "AQMA" means Air Quality Maintenance Area.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(7) "ASME" means American Society of Mechanical Engineers.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(8) "ASTM" means American Society for Testing &amp; Materials.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 xml:space="preserve">(9) "ATETP" means Automotive Technician Emission Training Program.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(10) "AWD" means all wheel drive.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(11) "BACT" means Best Available Control Technology.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(12) "BLS" means black liquor solids.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(13) "CAA" means Clean Air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(14) "CAR" means control area responsible party.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(15) "CBD" means central business district.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(16) "CCTMP" means Central City Transportation Management Plan.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(17) "CEM" means continuous emissions monitoring.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(18) "CEMS" means continuous emission monitoring system.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(19) "CERCLA" means Comprehensive Environmental Response Compensation and Liability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(20) "CFRMS" means continuous flow rate monitoring system.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(21) "CFR" means Code of Federal Regulations.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(22) "CMS" means continuous monitoring system. </w:t>
      </w:r>
    </w:p>
    <w:p w:rsid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(23) "CO" means carbon monoxide. </w:t>
      </w:r>
    </w:p>
    <w:p w:rsidR="00AC6CE5" w:rsidRPr="00CD03B8" w:rsidRDefault="00310291"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00AC6CE5">
        <w:rPr>
          <w:rFonts w:ascii="Times New Roman" w:eastAsia="Times New Roman" w:hAnsi="Times New Roman" w:cs="Times New Roman"/>
          <w:sz w:val="24"/>
          <w:szCs w:val="24"/>
        </w:rPr>
        <w:t xml:space="preserve">“CO2e” </w:t>
      </w:r>
      <w:r w:rsidR="00A04EEE">
        <w:rPr>
          <w:rFonts w:ascii="Times New Roman" w:eastAsia="Times New Roman" w:hAnsi="Times New Roman" w:cs="Times New Roman"/>
          <w:sz w:val="24"/>
          <w:szCs w:val="24"/>
        </w:rPr>
        <w:t>means carbon dioxide equivalent</w:t>
      </w:r>
      <w:r w:rsidR="00AC6CE5">
        <w:rPr>
          <w:rFonts w:ascii="Times New Roman" w:eastAsia="Times New Roman" w:hAnsi="Times New Roman" w:cs="Times New Roman"/>
          <w:sz w:val="24"/>
          <w:szCs w:val="24"/>
        </w:rPr>
        <w:t>.</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r w:rsidR="00310291">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"COMS" means continuous opacity monitoring system.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r w:rsidR="00310291">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"CPMS" means continuous parameter monitoring system.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r w:rsidR="00310291">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"DEQ" means Department of Environmental Quality.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r w:rsidR="00310291">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"DOD" means Department of Defense.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(2</w:t>
      </w:r>
      <w:r w:rsidR="00310291">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"EA" means environmental assessment.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310291">
        <w:rPr>
          <w:rFonts w:ascii="Times New Roman" w:eastAsia="Times New Roman" w:hAnsi="Times New Roman" w:cs="Times New Roman"/>
          <w:sz w:val="24"/>
          <w:szCs w:val="24"/>
        </w:rPr>
        <w:t>30</w:t>
      </w:r>
      <w:r w:rsidRPr="00CD03B8">
        <w:rPr>
          <w:rFonts w:ascii="Times New Roman" w:eastAsia="Times New Roman" w:hAnsi="Times New Roman" w:cs="Times New Roman"/>
          <w:sz w:val="24"/>
          <w:szCs w:val="24"/>
        </w:rPr>
        <w:t xml:space="preserve">) "ECO" means employee commute options.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r w:rsidR="00310291">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"EEAF" means emissions estimate adjustment factor.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r w:rsidR="00310291">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"EF" means emission factor.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r w:rsidR="00310291">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"EGR" means exhaust gas re-circulation.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r w:rsidR="00310291">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"EIS" means Environmental Impact Statement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r w:rsidR="00310291">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"EPA" means Environmental Protection Agency.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r w:rsidR="00310291">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"EQC" means Environmental Quality Commission.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r w:rsidR="00310291">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"ESP" means electrostatic precipitator.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r w:rsidR="00310291">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"FCAA" means Federal Clean Air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(3</w:t>
      </w:r>
      <w:r w:rsidR="00310291">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"FHWA" means Federal Highway Administration.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310291">
        <w:rPr>
          <w:rFonts w:ascii="Times New Roman" w:eastAsia="Times New Roman" w:hAnsi="Times New Roman" w:cs="Times New Roman"/>
          <w:sz w:val="24"/>
          <w:szCs w:val="24"/>
        </w:rPr>
        <w:t>40</w:t>
      </w:r>
      <w:r w:rsidRPr="00CD03B8">
        <w:rPr>
          <w:rFonts w:ascii="Times New Roman" w:eastAsia="Times New Roman" w:hAnsi="Times New Roman" w:cs="Times New Roman"/>
          <w:sz w:val="24"/>
          <w:szCs w:val="24"/>
        </w:rPr>
        <w:t xml:space="preserve">) "FONSI" means finding of no significant impact.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r w:rsidR="00310291">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"FTA" means Federal Transit Administration.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r w:rsidR="00310291">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"GFA" means gross floor area. </w:t>
      </w:r>
    </w:p>
    <w:p w:rsidR="00A07CC3" w:rsidRDefault="00A07CC3"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10291">
        <w:rPr>
          <w:rFonts w:ascii="Times New Roman" w:eastAsia="Times New Roman" w:hAnsi="Times New Roman" w:cs="Times New Roman"/>
          <w:sz w:val="24"/>
          <w:szCs w:val="24"/>
        </w:rPr>
        <w:t>3</w:t>
      </w:r>
      <w:r>
        <w:rPr>
          <w:rFonts w:ascii="Times New Roman" w:eastAsia="Times New Roman" w:hAnsi="Times New Roman" w:cs="Times New Roman"/>
          <w:sz w:val="24"/>
          <w:szCs w:val="24"/>
        </w:rPr>
        <w:t>) “GHG” means greenhouse gases.</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r w:rsidR="00310291">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"GLA" means gross leasable area.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r w:rsidR="00310291">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"GPM" means grams per mile.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r w:rsidR="00310291">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"gr/dscf" means grains per dry standard cubic foot.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r w:rsidR="00310291">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"GTBA" means grade tertiary butyl alcohol.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r w:rsidR="00310291">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"GVWR" means gross vehicle weight rating.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(4</w:t>
      </w:r>
      <w:r w:rsidR="00310291">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"HAP" means hazardous air pollutant.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310291">
        <w:rPr>
          <w:rFonts w:ascii="Times New Roman" w:eastAsia="Times New Roman" w:hAnsi="Times New Roman" w:cs="Times New Roman"/>
          <w:sz w:val="24"/>
          <w:szCs w:val="24"/>
        </w:rPr>
        <w:t>50</w:t>
      </w:r>
      <w:r w:rsidRPr="00CD03B8">
        <w:rPr>
          <w:rFonts w:ascii="Times New Roman" w:eastAsia="Times New Roman" w:hAnsi="Times New Roman" w:cs="Times New Roman"/>
          <w:sz w:val="24"/>
          <w:szCs w:val="24"/>
        </w:rPr>
        <w:t xml:space="preserve">) "HEPA" means high efficiency particulate air.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A07CC3">
        <w:rPr>
          <w:rFonts w:ascii="Times New Roman" w:eastAsia="Times New Roman" w:hAnsi="Times New Roman" w:cs="Times New Roman"/>
          <w:sz w:val="24"/>
          <w:szCs w:val="24"/>
        </w:rPr>
        <w:t>5</w:t>
      </w:r>
      <w:r w:rsidR="00310291">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"HMIWI" means hospital medical infectious waste incinerator.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r w:rsidR="00310291">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"I/M" means inspection and maintenance program.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r w:rsidR="00310291">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"IG" means inspection grade.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(5</w:t>
      </w:r>
      <w:r w:rsidR="00310291">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"IRS" means Internal Revenue Service.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r w:rsidR="00310291">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"ISECP" means indirect source emission control program.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r w:rsidR="00310291">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"ISTEA" means Intermodal Surface Transportation Efficiency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r w:rsidR="00310291">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"LAER" means Lowest Achievable Emission Rate.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r w:rsidR="00310291">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"LDT2" means light duty truck 2.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(5</w:t>
      </w:r>
      <w:r w:rsidR="00310291">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"LIDAR" means laser radar; light detection and ranging.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310291">
        <w:rPr>
          <w:rFonts w:ascii="Times New Roman" w:eastAsia="Times New Roman" w:hAnsi="Times New Roman" w:cs="Times New Roman"/>
          <w:sz w:val="24"/>
          <w:szCs w:val="24"/>
        </w:rPr>
        <w:t>60</w:t>
      </w:r>
      <w:r w:rsidRPr="00CD03B8">
        <w:rPr>
          <w:rFonts w:ascii="Times New Roman" w:eastAsia="Times New Roman" w:hAnsi="Times New Roman" w:cs="Times New Roman"/>
          <w:sz w:val="24"/>
          <w:szCs w:val="24"/>
        </w:rPr>
        <w:t xml:space="preserve">) "LPG" means liquefied petroleum gas.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A07CC3">
        <w:rPr>
          <w:rFonts w:ascii="Times New Roman" w:eastAsia="Times New Roman" w:hAnsi="Times New Roman" w:cs="Times New Roman"/>
          <w:sz w:val="24"/>
          <w:szCs w:val="24"/>
        </w:rPr>
        <w:t>6</w:t>
      </w:r>
      <w:r w:rsidR="00310291">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"LRAPA" means Lane Regional Air Protection Agency.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r w:rsidR="00310291">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"LUCS" means Land Use Compatibility Statement.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r w:rsidR="00310291">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"MACT" means Maximum Achievable Control Technology.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r w:rsidR="00310291">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"MPO" means Metropolitan Planning Organization.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r w:rsidR="00310291">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"MTBE" means methyl tertiary butyl ether.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r w:rsidR="00310291">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"MWC" means municipal waste combustor.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r w:rsidR="00310291">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"NAAQS" means National Ambient Air Quality Standards.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r w:rsidR="00310291">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"NEPA" means National Environmental Policy Act.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(6</w:t>
      </w:r>
      <w:r w:rsidR="00310291">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"NESHAP" means National Emissions Standard for Hazardous Air Pollutants.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310291">
        <w:rPr>
          <w:rFonts w:ascii="Times New Roman" w:eastAsia="Times New Roman" w:hAnsi="Times New Roman" w:cs="Times New Roman"/>
          <w:sz w:val="24"/>
          <w:szCs w:val="24"/>
        </w:rPr>
        <w:t>70</w:t>
      </w:r>
      <w:r w:rsidRPr="00CD03B8">
        <w:rPr>
          <w:rFonts w:ascii="Times New Roman" w:eastAsia="Times New Roman" w:hAnsi="Times New Roman" w:cs="Times New Roman"/>
          <w:sz w:val="24"/>
          <w:szCs w:val="24"/>
        </w:rPr>
        <w:t xml:space="preserve">) "NIOSH" means National Institute of Occupational Safety &amp; Health.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A07CC3">
        <w:rPr>
          <w:rFonts w:ascii="Times New Roman" w:eastAsia="Times New Roman" w:hAnsi="Times New Roman" w:cs="Times New Roman"/>
          <w:sz w:val="24"/>
          <w:szCs w:val="24"/>
        </w:rPr>
        <w:t>7</w:t>
      </w:r>
      <w:r w:rsidR="00310291">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"NOx" means nitrogen oxides.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r w:rsidR="00310291">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"NSPS" means New Source Performance Standards.</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color w:val="000000"/>
          <w:sz w:val="24"/>
          <w:szCs w:val="24"/>
        </w:rPr>
        <w:t>(7</w:t>
      </w:r>
      <w:r w:rsidR="00310291">
        <w:rPr>
          <w:rFonts w:ascii="Times New Roman" w:eastAsia="Times New Roman" w:hAnsi="Times New Roman" w:cs="Times New Roman"/>
          <w:color w:val="000000"/>
          <w:sz w:val="24"/>
          <w:szCs w:val="24"/>
        </w:rPr>
        <w:t>3</w:t>
      </w:r>
      <w:r w:rsidRPr="00CD03B8">
        <w:rPr>
          <w:rFonts w:ascii="Times New Roman" w:eastAsia="Times New Roman" w:hAnsi="Times New Roman" w:cs="Times New Roman"/>
          <w:color w:val="000000"/>
          <w:sz w:val="24"/>
          <w:szCs w:val="24"/>
        </w:rPr>
        <w:t>) "NSR" means New Source Review.</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r w:rsidR="00310291">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"NSSC" means neutral sulfite semi-chemical.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r w:rsidR="00310291">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"O3" means ozone.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r w:rsidR="00310291">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"OAR" means Oregon Administrative Rules.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r w:rsidR="00310291">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"ODOT" means Oregon Department of Transportation.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r w:rsidR="00310291">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"ORS" means Oregon Revised Statutes.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(7</w:t>
      </w:r>
      <w:r w:rsidR="00310291">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"OSAC" means orifice spark advance control.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310291">
        <w:rPr>
          <w:rFonts w:ascii="Times New Roman" w:eastAsia="Times New Roman" w:hAnsi="Times New Roman" w:cs="Times New Roman"/>
          <w:sz w:val="24"/>
          <w:szCs w:val="24"/>
        </w:rPr>
        <w:t>80</w:t>
      </w:r>
      <w:r w:rsidRPr="00CD03B8">
        <w:rPr>
          <w:rFonts w:ascii="Times New Roman" w:eastAsia="Times New Roman" w:hAnsi="Times New Roman" w:cs="Times New Roman"/>
          <w:sz w:val="24"/>
          <w:szCs w:val="24"/>
        </w:rPr>
        <w:t xml:space="preserve">) "OSHA" means Occupational Safety &amp; Health Administration.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E45307">
        <w:rPr>
          <w:rFonts w:ascii="Times New Roman" w:eastAsia="Times New Roman" w:hAnsi="Times New Roman" w:cs="Times New Roman"/>
          <w:sz w:val="24"/>
          <w:szCs w:val="24"/>
        </w:rPr>
        <w:t>8</w:t>
      </w:r>
      <w:r w:rsidR="00310291">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"PCDE" means pollution control device collection efficiency.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r w:rsidR="00310291">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"PEMS" means predictive emission monitoring system.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r w:rsidR="00310291">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"PM" means particulate matter.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r w:rsidR="00310291">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"PM10" means particulate matter less than 10 microns. </w:t>
      </w:r>
    </w:p>
    <w:p w:rsidR="00E45307" w:rsidRDefault="00E45307" w:rsidP="00CE74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26B9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“PM2.5” means particulate matter less than </w:t>
      </w:r>
      <w:r w:rsidR="000B7AD3">
        <w:rPr>
          <w:rFonts w:ascii="Times New Roman" w:eastAsia="Times New Roman" w:hAnsi="Times New Roman" w:cs="Times New Roman"/>
          <w:sz w:val="24"/>
          <w:szCs w:val="24"/>
        </w:rPr>
        <w:t>2.</w:t>
      </w:r>
      <w:r w:rsidR="00F53B7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microns.</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r w:rsidR="00310291">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"POTW" means Publicly Owned Treatment Works.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r w:rsidR="00310291">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"POV" means privately owned vehicle.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r w:rsidR="00310291">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"PSD" means Prevention of Significant Deterioration.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(8</w:t>
      </w:r>
      <w:r w:rsidR="00310291">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"PSEL" means Plant Site Emission Limit.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310291">
        <w:rPr>
          <w:rFonts w:ascii="Times New Roman" w:eastAsia="Times New Roman" w:hAnsi="Times New Roman" w:cs="Times New Roman"/>
          <w:sz w:val="24"/>
          <w:szCs w:val="24"/>
        </w:rPr>
        <w:t>90</w:t>
      </w:r>
      <w:r w:rsidRPr="00CD03B8">
        <w:rPr>
          <w:rFonts w:ascii="Times New Roman" w:eastAsia="Times New Roman" w:hAnsi="Times New Roman" w:cs="Times New Roman"/>
          <w:sz w:val="24"/>
          <w:szCs w:val="24"/>
        </w:rPr>
        <w:t xml:space="preserve">) "QIP" means quality improvement plan.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E45307">
        <w:rPr>
          <w:rFonts w:ascii="Times New Roman" w:eastAsia="Times New Roman" w:hAnsi="Times New Roman" w:cs="Times New Roman"/>
          <w:sz w:val="24"/>
          <w:szCs w:val="24"/>
        </w:rPr>
        <w:t>9</w:t>
      </w:r>
      <w:r w:rsidR="00310291">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"RACT" means Reasonably Available Control Technology.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6C00E3">
        <w:rPr>
          <w:rFonts w:ascii="Times New Roman" w:eastAsia="Times New Roman" w:hAnsi="Times New Roman" w:cs="Times New Roman"/>
          <w:sz w:val="24"/>
          <w:szCs w:val="24"/>
        </w:rPr>
        <w:t>9</w:t>
      </w:r>
      <w:r w:rsidR="00310291">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"RVCOG" means Rogue Valley Council of Governments.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r w:rsidR="00310291">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"RWOC" means running weighted oxygen content.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r w:rsidR="00310291">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"SKATS" means Salem-Kaiser Area Transportation Study.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r w:rsidR="00310291">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"scf" means standard cubic feet.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r w:rsidR="00310291">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"SCS" means speed control switch.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r w:rsidR="00310291">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"SD" means standard deviation.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r w:rsidR="00310291">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"SIP" means State Implementation Plan.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(9</w:t>
      </w:r>
      <w:r w:rsidR="00310291">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"SO2" means sulfur dioxide.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lastRenderedPageBreak/>
        <w:t>(</w:t>
      </w:r>
      <w:r w:rsidR="00310291">
        <w:rPr>
          <w:rFonts w:ascii="Times New Roman" w:eastAsia="Times New Roman" w:hAnsi="Times New Roman" w:cs="Times New Roman"/>
          <w:sz w:val="24"/>
          <w:szCs w:val="24"/>
        </w:rPr>
        <w:t>100</w:t>
      </w:r>
      <w:r w:rsidRPr="00CD03B8">
        <w:rPr>
          <w:rFonts w:ascii="Times New Roman" w:eastAsia="Times New Roman" w:hAnsi="Times New Roman" w:cs="Times New Roman"/>
          <w:sz w:val="24"/>
          <w:szCs w:val="24"/>
        </w:rPr>
        <w:t xml:space="preserve">) "SOCMI" means synthetic organic chemical manufacturing industry.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E45307">
        <w:rPr>
          <w:rFonts w:ascii="Times New Roman" w:eastAsia="Times New Roman" w:hAnsi="Times New Roman" w:cs="Times New Roman"/>
          <w:sz w:val="24"/>
          <w:szCs w:val="24"/>
        </w:rPr>
        <w:t>10</w:t>
      </w:r>
      <w:r w:rsidR="00310291">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"SOS" means Secretary of State.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w:t>
      </w:r>
      <w:r w:rsidR="006C00E3">
        <w:rPr>
          <w:rFonts w:ascii="Times New Roman" w:eastAsia="Times New Roman" w:hAnsi="Times New Roman" w:cs="Times New Roman"/>
          <w:sz w:val="24"/>
          <w:szCs w:val="24"/>
        </w:rPr>
        <w:t>10</w:t>
      </w:r>
      <w:r w:rsidR="00310291">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"TAC" means thermostatic air cleaner.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r w:rsidR="00310291">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"TACT" means Typically Achievable Control Technology.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r w:rsidR="00310291">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"TCM" means transportation control measures.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r w:rsidR="00310291">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"TCS" means throttle control solenoid.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r w:rsidR="00310291">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"TIP" means Transportation Improvement Program.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r w:rsidR="00310291">
        <w:rPr>
          <w:rFonts w:ascii="Times New Roman" w:eastAsia="Times New Roman" w:hAnsi="Times New Roman" w:cs="Times New Roman"/>
          <w:sz w:val="24"/>
          <w:szCs w:val="24"/>
        </w:rPr>
        <w:t>7</w:t>
      </w:r>
      <w:r w:rsidRPr="00CD03B8">
        <w:rPr>
          <w:rFonts w:ascii="Times New Roman" w:eastAsia="Times New Roman" w:hAnsi="Times New Roman" w:cs="Times New Roman"/>
          <w:sz w:val="24"/>
          <w:szCs w:val="24"/>
        </w:rPr>
        <w:t xml:space="preserve">) "TRS" means total reduced sulfur.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r w:rsidR="00310291">
        <w:rPr>
          <w:rFonts w:ascii="Times New Roman" w:eastAsia="Times New Roman" w:hAnsi="Times New Roman" w:cs="Times New Roman"/>
          <w:sz w:val="24"/>
          <w:szCs w:val="24"/>
        </w:rPr>
        <w:t>8</w:t>
      </w:r>
      <w:r w:rsidRPr="00CD03B8">
        <w:rPr>
          <w:rFonts w:ascii="Times New Roman" w:eastAsia="Times New Roman" w:hAnsi="Times New Roman" w:cs="Times New Roman"/>
          <w:sz w:val="24"/>
          <w:szCs w:val="24"/>
        </w:rPr>
        <w:t xml:space="preserve">) "TSP" means total suspended particulate matter.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(10</w:t>
      </w:r>
      <w:r w:rsidR="00310291">
        <w:rPr>
          <w:rFonts w:ascii="Times New Roman" w:eastAsia="Times New Roman" w:hAnsi="Times New Roman" w:cs="Times New Roman"/>
          <w:sz w:val="24"/>
          <w:szCs w:val="24"/>
        </w:rPr>
        <w:t>9</w:t>
      </w:r>
      <w:r w:rsidRPr="00CD03B8">
        <w:rPr>
          <w:rFonts w:ascii="Times New Roman" w:eastAsia="Times New Roman" w:hAnsi="Times New Roman" w:cs="Times New Roman"/>
          <w:sz w:val="24"/>
          <w:szCs w:val="24"/>
        </w:rPr>
        <w:t xml:space="preserve">) "UGA" means urban growth area.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310291">
        <w:rPr>
          <w:rFonts w:ascii="Times New Roman" w:eastAsia="Times New Roman" w:hAnsi="Times New Roman" w:cs="Times New Roman"/>
          <w:sz w:val="24"/>
          <w:szCs w:val="24"/>
        </w:rPr>
        <w:t>10</w:t>
      </w:r>
      <w:r w:rsidRPr="00CD03B8">
        <w:rPr>
          <w:rFonts w:ascii="Times New Roman" w:eastAsia="Times New Roman" w:hAnsi="Times New Roman" w:cs="Times New Roman"/>
          <w:sz w:val="24"/>
          <w:szCs w:val="24"/>
        </w:rPr>
        <w:t xml:space="preserve">) "UGB" means urban growth boundary.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6C00E3">
        <w:rPr>
          <w:rFonts w:ascii="Times New Roman" w:eastAsia="Times New Roman" w:hAnsi="Times New Roman" w:cs="Times New Roman"/>
          <w:sz w:val="24"/>
          <w:szCs w:val="24"/>
        </w:rPr>
        <w:t>9</w:t>
      </w:r>
      <w:r w:rsidR="00E45307">
        <w:rPr>
          <w:rFonts w:ascii="Times New Roman" w:eastAsia="Times New Roman" w:hAnsi="Times New Roman" w:cs="Times New Roman"/>
          <w:sz w:val="24"/>
          <w:szCs w:val="24"/>
        </w:rPr>
        <w:t>1</w:t>
      </w:r>
      <w:r w:rsidR="00310291">
        <w:rPr>
          <w:rFonts w:ascii="Times New Roman" w:eastAsia="Times New Roman" w:hAnsi="Times New Roman" w:cs="Times New Roman"/>
          <w:sz w:val="24"/>
          <w:szCs w:val="24"/>
        </w:rPr>
        <w:t>1</w:t>
      </w:r>
      <w:r w:rsidRPr="00CD03B8">
        <w:rPr>
          <w:rFonts w:ascii="Times New Roman" w:eastAsia="Times New Roman" w:hAnsi="Times New Roman" w:cs="Times New Roman"/>
          <w:sz w:val="24"/>
          <w:szCs w:val="24"/>
        </w:rPr>
        <w:t xml:space="preserve">) "US DOT" means United States Department of Transportation.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w:t>
      </w:r>
      <w:r w:rsidR="006C00E3">
        <w:rPr>
          <w:rFonts w:ascii="Times New Roman" w:eastAsia="Times New Roman" w:hAnsi="Times New Roman" w:cs="Times New Roman"/>
          <w:sz w:val="24"/>
          <w:szCs w:val="24"/>
        </w:rPr>
        <w:t>1</w:t>
      </w:r>
      <w:r w:rsidR="00310291">
        <w:rPr>
          <w:rFonts w:ascii="Times New Roman" w:eastAsia="Times New Roman" w:hAnsi="Times New Roman" w:cs="Times New Roman"/>
          <w:sz w:val="24"/>
          <w:szCs w:val="24"/>
        </w:rPr>
        <w:t>2</w:t>
      </w:r>
      <w:r w:rsidRPr="00CD03B8">
        <w:rPr>
          <w:rFonts w:ascii="Times New Roman" w:eastAsia="Times New Roman" w:hAnsi="Times New Roman" w:cs="Times New Roman"/>
          <w:sz w:val="24"/>
          <w:szCs w:val="24"/>
        </w:rPr>
        <w:t xml:space="preserve">) "UST" means underground storage tanks.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(11</w:t>
      </w:r>
      <w:r w:rsidR="00310291">
        <w:rPr>
          <w:rFonts w:ascii="Times New Roman" w:eastAsia="Times New Roman" w:hAnsi="Times New Roman" w:cs="Times New Roman"/>
          <w:sz w:val="24"/>
          <w:szCs w:val="24"/>
        </w:rPr>
        <w:t>3</w:t>
      </w:r>
      <w:r w:rsidRPr="00CD03B8">
        <w:rPr>
          <w:rFonts w:ascii="Times New Roman" w:eastAsia="Times New Roman" w:hAnsi="Times New Roman" w:cs="Times New Roman"/>
          <w:sz w:val="24"/>
          <w:szCs w:val="24"/>
        </w:rPr>
        <w:t xml:space="preserve">) "UTM" means universal transverse mercator.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(11</w:t>
      </w:r>
      <w:r w:rsidR="00310291">
        <w:rPr>
          <w:rFonts w:ascii="Times New Roman" w:eastAsia="Times New Roman" w:hAnsi="Times New Roman" w:cs="Times New Roman"/>
          <w:sz w:val="24"/>
          <w:szCs w:val="24"/>
        </w:rPr>
        <w:t>4</w:t>
      </w:r>
      <w:r w:rsidRPr="00CD03B8">
        <w:rPr>
          <w:rFonts w:ascii="Times New Roman" w:eastAsia="Times New Roman" w:hAnsi="Times New Roman" w:cs="Times New Roman"/>
          <w:sz w:val="24"/>
          <w:szCs w:val="24"/>
        </w:rPr>
        <w:t xml:space="preserve">) "VIN" means vehicle identification number.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(11</w:t>
      </w:r>
      <w:r w:rsidR="00310291">
        <w:rPr>
          <w:rFonts w:ascii="Times New Roman" w:eastAsia="Times New Roman" w:hAnsi="Times New Roman" w:cs="Times New Roman"/>
          <w:sz w:val="24"/>
          <w:szCs w:val="24"/>
        </w:rPr>
        <w:t>5</w:t>
      </w:r>
      <w:r w:rsidRPr="00CD03B8">
        <w:rPr>
          <w:rFonts w:ascii="Times New Roman" w:eastAsia="Times New Roman" w:hAnsi="Times New Roman" w:cs="Times New Roman"/>
          <w:sz w:val="24"/>
          <w:szCs w:val="24"/>
        </w:rPr>
        <w:t xml:space="preserve">) "VMT" means vehicle miles traveled.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(11</w:t>
      </w:r>
      <w:r w:rsidR="00310291">
        <w:rPr>
          <w:rFonts w:ascii="Times New Roman" w:eastAsia="Times New Roman" w:hAnsi="Times New Roman" w:cs="Times New Roman"/>
          <w:sz w:val="24"/>
          <w:szCs w:val="24"/>
        </w:rPr>
        <w:t>6</w:t>
      </w:r>
      <w:r w:rsidRPr="00CD03B8">
        <w:rPr>
          <w:rFonts w:ascii="Times New Roman" w:eastAsia="Times New Roman" w:hAnsi="Times New Roman" w:cs="Times New Roman"/>
          <w:sz w:val="24"/>
          <w:szCs w:val="24"/>
        </w:rPr>
        <w:t xml:space="preserve">) "VOC" means volatile organic compounds. </w:t>
      </w:r>
    </w:p>
    <w:p w:rsidR="00042A50" w:rsidRDefault="00CD03B8" w:rsidP="00CE74E5">
      <w:pPr>
        <w:pStyle w:val="NormalWeb"/>
        <w:spacing w:before="0" w:beforeAutospacing="0" w:after="0" w:afterAutospacing="0"/>
      </w:pPr>
      <w:r w:rsidRPr="00CD03B8">
        <w:t>Stat. Auth.: ORS 468.020</w:t>
      </w:r>
      <w:r w:rsidRPr="00CD03B8">
        <w:br/>
        <w:t>Stats. Implemented: ORS 468A</w:t>
      </w:r>
      <w:r w:rsidRPr="00CD03B8">
        <w:br/>
        <w:t xml:space="preserve">Hist.: DEQ 6-2001, f. 6-18-01, cert. ef. 7-1-01; DEQ 3-2007, f. &amp; cert. ef. 4-12-07; DEQ 8-2007, f. &amp; cert. ef. 11-8-07 </w:t>
      </w:r>
    </w:p>
    <w:p w:rsidR="008B3488" w:rsidRPr="00CD03B8" w:rsidRDefault="008B3488" w:rsidP="00CE74E5">
      <w:pPr>
        <w:pStyle w:val="NormalWeb"/>
        <w:spacing w:before="0" w:beforeAutospacing="0" w:after="0" w:afterAutospacing="0"/>
      </w:pP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 xml:space="preserve">340-200-0040 </w:t>
      </w:r>
    </w:p>
    <w:p w:rsidR="00CD03B8" w:rsidRPr="00CD03B8" w:rsidRDefault="00CD03B8" w:rsidP="00CE74E5">
      <w:pPr>
        <w:spacing w:after="0" w:line="240" w:lineRule="auto"/>
        <w:outlineLvl w:val="0"/>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State of Oregon Clean Air Act Implementation Plan</w:t>
      </w:r>
      <w:r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(1) This implementation plan, consisting of Volumes 2 and 3 of the State of Oregon Air Quality Control Program, contains control strategies, rules and standards prepared by the Department of Environmental Quality and is adopted as the state implementation plan (SIP) of the State of Oregon pursuant to the federal Clean Air Act, </w:t>
      </w:r>
      <w:r w:rsidRPr="00CD03B8">
        <w:rPr>
          <w:rFonts w:ascii="Times New Roman" w:eastAsia="Times New Roman" w:hAnsi="Times New Roman" w:cs="Times New Roman"/>
          <w:b/>
          <w:bCs/>
          <w:sz w:val="24"/>
          <w:szCs w:val="24"/>
        </w:rPr>
        <w:t>42 U</w:t>
      </w:r>
      <w:r w:rsidRPr="00CD03B8">
        <w:rPr>
          <w:rFonts w:ascii="Times New Roman" w:eastAsia="Times New Roman" w:hAnsi="Times New Roman" w:cs="Times New Roman"/>
          <w:sz w:val="24"/>
          <w:szCs w:val="24"/>
        </w:rPr>
        <w:t>.</w:t>
      </w:r>
      <w:r w:rsidRPr="00CD03B8">
        <w:rPr>
          <w:rFonts w:ascii="Times New Roman" w:eastAsia="Times New Roman" w:hAnsi="Times New Roman" w:cs="Times New Roman"/>
          <w:b/>
          <w:bCs/>
          <w:sz w:val="24"/>
          <w:szCs w:val="24"/>
        </w:rPr>
        <w:t>S</w:t>
      </w:r>
      <w:r w:rsidRPr="00CD03B8">
        <w:rPr>
          <w:rFonts w:ascii="Times New Roman" w:eastAsia="Times New Roman" w:hAnsi="Times New Roman" w:cs="Times New Roman"/>
          <w:sz w:val="24"/>
          <w:szCs w:val="24"/>
        </w:rPr>
        <w:t>.</w:t>
      </w:r>
      <w:r w:rsidRPr="00CD03B8">
        <w:rPr>
          <w:rFonts w:ascii="Times New Roman" w:eastAsia="Times New Roman" w:hAnsi="Times New Roman" w:cs="Times New Roman"/>
          <w:b/>
          <w:bCs/>
          <w:sz w:val="24"/>
          <w:szCs w:val="24"/>
        </w:rPr>
        <w:t>C</w:t>
      </w:r>
      <w:r w:rsidRPr="00CD03B8">
        <w:rPr>
          <w:rFonts w:ascii="Times New Roman" w:eastAsia="Times New Roman" w:hAnsi="Times New Roman" w:cs="Times New Roman"/>
          <w:sz w:val="24"/>
          <w:szCs w:val="24"/>
        </w:rPr>
        <w:t>.</w:t>
      </w:r>
      <w:r w:rsidRPr="00CD03B8">
        <w:rPr>
          <w:rFonts w:ascii="Times New Roman" w:eastAsia="Times New Roman" w:hAnsi="Times New Roman" w:cs="Times New Roman"/>
          <w:b/>
          <w:bCs/>
          <w:sz w:val="24"/>
          <w:szCs w:val="24"/>
        </w:rPr>
        <w:t>A 7401 to 7671q</w:t>
      </w:r>
      <w:r w:rsidRPr="00CD03B8">
        <w:rPr>
          <w:rFonts w:ascii="Times New Roman" w:eastAsia="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r w:rsidR="009E5D5E">
        <w:rPr>
          <w:rFonts w:ascii="Times New Roman" w:eastAsia="Times New Roman" w:hAnsi="Times New Roman" w:cs="Times New Roman"/>
          <w:sz w:val="24"/>
          <w:szCs w:val="24"/>
        </w:rPr>
        <w:t xml:space="preserve">April 21, 2011.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(3) Notwithstanding any other requirement contained in the SIP, the Department may: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6F5262"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 xml:space="preserve">(b) Approve the standards submitted by a regional authority if the regional authority adopts verbatim any standard that the Commission has adopted, and submit the standards to EPA for approval as a SIP revision. </w:t>
      </w:r>
    </w:p>
    <w:p w:rsidR="00CD03B8" w:rsidRPr="00CD03B8"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b/>
          <w:bCs/>
          <w:sz w:val="24"/>
          <w:szCs w:val="24"/>
        </w:rPr>
        <w:t>NOTE</w:t>
      </w:r>
      <w:r w:rsidRPr="00CD03B8">
        <w:rPr>
          <w:rFonts w:ascii="Times New Roman" w:eastAsia="Times New Roman" w:hAnsi="Times New Roman" w:cs="Times New Roman"/>
          <w:sz w:val="24"/>
          <w:szCs w:val="24"/>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 </w:t>
      </w:r>
    </w:p>
    <w:p w:rsidR="00CD03B8" w:rsidRPr="0014164D" w:rsidRDefault="00CD03B8" w:rsidP="00CE74E5">
      <w:pPr>
        <w:spacing w:after="0" w:line="240" w:lineRule="auto"/>
        <w:rPr>
          <w:rFonts w:ascii="Times New Roman" w:eastAsia="Times New Roman" w:hAnsi="Times New Roman" w:cs="Times New Roman"/>
          <w:sz w:val="24"/>
          <w:szCs w:val="24"/>
        </w:rPr>
      </w:pPr>
      <w:r w:rsidRPr="00CD03B8">
        <w:rPr>
          <w:rFonts w:ascii="Times New Roman" w:eastAsia="Times New Roman" w:hAnsi="Times New Roman" w:cs="Times New Roman"/>
          <w:sz w:val="24"/>
          <w:szCs w:val="24"/>
        </w:rPr>
        <w:t>Stat. Auth.: ORS 468.020</w:t>
      </w:r>
      <w:r w:rsidRPr="00CD03B8">
        <w:rPr>
          <w:rFonts w:ascii="Times New Roman" w:eastAsia="Times New Roman" w:hAnsi="Times New Roman" w:cs="Times New Roman"/>
          <w:sz w:val="24"/>
          <w:szCs w:val="24"/>
        </w:rPr>
        <w:br/>
        <w:t>Stats. Implemented: ORS 468A.035</w:t>
      </w:r>
      <w:r w:rsidRPr="00CD03B8">
        <w:rPr>
          <w:rFonts w:ascii="Times New Roman" w:eastAsia="Times New Roman" w:hAnsi="Times New Roman" w:cs="Times New Roman"/>
          <w:sz w:val="24"/>
          <w:szCs w:val="24"/>
        </w:rPr>
        <w:br/>
      </w:r>
      <w:r w:rsidRPr="00CD03B8">
        <w:rPr>
          <w:rFonts w:ascii="Times New Roman" w:eastAsia="Times New Roman" w:hAnsi="Times New Roman" w:cs="Times New Roman"/>
          <w:sz w:val="24"/>
          <w:szCs w:val="24"/>
        </w:rPr>
        <w:lastRenderedPageBreak/>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w:t>
      </w:r>
      <w:r w:rsidR="0014164D" w:rsidRPr="0014164D">
        <w:rPr>
          <w:rFonts w:ascii="Times New Roman" w:eastAsia="Times New Roman" w:hAnsi="Times New Roman" w:cs="Times New Roman"/>
          <w:sz w:val="24"/>
          <w:szCs w:val="24"/>
        </w:rPr>
        <w:t xml:space="preserve">; </w:t>
      </w:r>
      <w:r w:rsidR="0014164D" w:rsidRPr="001E531D">
        <w:rPr>
          <w:rFonts w:ascii="Times New Roman" w:hAnsi="Times New Roman" w:cs="Times New Roman"/>
          <w:sz w:val="24"/>
          <w:szCs w:val="24"/>
        </w:rPr>
        <w:t>DEQ 8-2009, f. &amp; cert. ef. 12-16-09; DEQ 2-2010, f. &amp; cert. ef. 3-5-10; DEQ 5-2010, f. &amp; cert. ef. 5-21-10; DEQ 14-2010, f. &amp; cert. ef. 12-10-10</w:t>
      </w:r>
      <w:r w:rsidR="0014164D" w:rsidRPr="0014164D">
        <w:rPr>
          <w:rFonts w:ascii="Times New Roman" w:hAnsi="Times New Roman" w:cs="Times New Roman"/>
          <w:sz w:val="24"/>
          <w:szCs w:val="24"/>
        </w:rPr>
        <w:t xml:space="preserve"> </w:t>
      </w:r>
    </w:p>
    <w:p w:rsidR="00CD03B8" w:rsidRPr="00CD03B8" w:rsidRDefault="00CD03B8" w:rsidP="00CE74E5">
      <w:pPr>
        <w:spacing w:after="0" w:line="240" w:lineRule="auto"/>
        <w:rPr>
          <w:rFonts w:ascii="Times New Roman" w:eastAsia="Times New Roman" w:hAnsi="Times New Roman" w:cs="Times New Roman"/>
          <w:sz w:val="24"/>
          <w:szCs w:val="24"/>
        </w:rPr>
      </w:pPr>
    </w:p>
    <w:p w:rsidR="00CF4BFD" w:rsidRPr="00047CBB" w:rsidRDefault="00CF4BFD" w:rsidP="00F922DA">
      <w:pPr>
        <w:spacing w:after="0" w:line="240" w:lineRule="auto"/>
        <w:rPr>
          <w:rFonts w:ascii="Verdana" w:eastAsia="Times New Roman" w:hAnsi="Verdana" w:cs="Times New Roman"/>
          <w:color w:val="000000"/>
          <w:sz w:val="20"/>
          <w:szCs w:val="20"/>
        </w:rPr>
      </w:pPr>
    </w:p>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9528"/>
      </w:tblGrid>
      <w:tr w:rsidR="00CF4BFD" w:rsidRPr="00047CBB" w:rsidTr="005D7723">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FEBDE"/>
            <w:hideMark/>
          </w:tcPr>
          <w:p w:rsidR="00CF4BFD" w:rsidRDefault="00CF4BFD" w:rsidP="00AD146D">
            <w:pPr>
              <w:spacing w:after="0"/>
              <w:jc w:val="center"/>
              <w:rPr>
                <w:rFonts w:ascii="Arial" w:eastAsia="Times New Roman" w:hAnsi="Arial" w:cs="Arial"/>
                <w:b/>
                <w:bCs/>
                <w:sz w:val="20"/>
                <w:szCs w:val="20"/>
              </w:rPr>
            </w:pPr>
            <w:r w:rsidRPr="005F60A0">
              <w:rPr>
                <w:rFonts w:ascii="Arial" w:eastAsia="Times New Roman" w:hAnsi="Arial" w:cs="Arial"/>
                <w:b/>
                <w:bCs/>
                <w:sz w:val="20"/>
                <w:szCs w:val="20"/>
              </w:rPr>
              <w:t>TABLE 1</w:t>
            </w:r>
          </w:p>
          <w:p w:rsidR="00CF4BFD" w:rsidRPr="005F60A0" w:rsidRDefault="00CF4BFD" w:rsidP="00AD146D">
            <w:pPr>
              <w:spacing w:after="0"/>
              <w:jc w:val="center"/>
              <w:rPr>
                <w:rFonts w:ascii="Times New Roman" w:eastAsia="Times New Roman" w:hAnsi="Times New Roman" w:cs="Times New Roman"/>
                <w:b/>
                <w:bCs/>
                <w:sz w:val="24"/>
                <w:szCs w:val="24"/>
              </w:rPr>
            </w:pPr>
            <w:r>
              <w:rPr>
                <w:rFonts w:ascii="Arial" w:eastAsia="Times New Roman" w:hAnsi="Arial" w:cs="Arial"/>
                <w:b/>
                <w:bCs/>
                <w:sz w:val="20"/>
                <w:szCs w:val="20"/>
              </w:rPr>
              <w:t>OAR 340-200-0020</w:t>
            </w:r>
          </w:p>
          <w:p w:rsidR="00CF4BFD" w:rsidRDefault="00CF4BFD" w:rsidP="00AD146D">
            <w:pPr>
              <w:spacing w:after="0" w:line="240" w:lineRule="auto"/>
              <w:jc w:val="center"/>
              <w:rPr>
                <w:rFonts w:ascii="Verdana" w:eastAsia="Times New Roman" w:hAnsi="Verdana" w:cs="Times New Roman"/>
                <w:color w:val="000000"/>
                <w:sz w:val="20"/>
                <w:szCs w:val="20"/>
              </w:rPr>
            </w:pPr>
            <w:r w:rsidRPr="005F60A0">
              <w:rPr>
                <w:rFonts w:ascii="Arial" w:eastAsia="Times New Roman" w:hAnsi="Arial" w:cs="Arial"/>
                <w:b/>
                <w:bCs/>
                <w:sz w:val="20"/>
                <w:szCs w:val="20"/>
              </w:rPr>
              <w:t>SIGNIFICANT AIR QUALITY IMPACT</w:t>
            </w:r>
          </w:p>
          <w:p w:rsidR="00CF4BFD" w:rsidRPr="00047CBB" w:rsidRDefault="00CF4BFD" w:rsidP="00F922DA">
            <w:pPr>
              <w:spacing w:after="0" w:line="240" w:lineRule="auto"/>
              <w:jc w:val="center"/>
              <w:rPr>
                <w:rFonts w:ascii="Verdana" w:eastAsia="Times New Roman" w:hAnsi="Verdana" w:cs="Times New Roman"/>
                <w:color w:val="000000"/>
                <w:sz w:val="20"/>
                <w:szCs w:val="20"/>
              </w:rPr>
            </w:pPr>
          </w:p>
        </w:tc>
      </w:tr>
      <w:tr w:rsidR="00CF4BFD" w:rsidRPr="00047CBB" w:rsidTr="005D7723">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D1D5C6"/>
            <w:hideMark/>
          </w:tcPr>
          <w:tbl>
            <w:tblPr>
              <w:tblStyle w:val="TableGrid"/>
              <w:tblW w:w="0" w:type="auto"/>
              <w:tblLook w:val="04A0"/>
            </w:tblPr>
            <w:tblGrid>
              <w:gridCol w:w="1879"/>
              <w:gridCol w:w="1884"/>
              <w:gridCol w:w="1862"/>
              <w:gridCol w:w="1862"/>
              <w:gridCol w:w="1863"/>
            </w:tblGrid>
            <w:tr w:rsidR="00CF4BFD" w:rsidTr="00637CD3">
              <w:tc>
                <w:tcPr>
                  <w:tcW w:w="1879" w:type="dxa"/>
                  <w:vMerge w:val="restart"/>
                  <w:vAlign w:val="bottom"/>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84" w:type="dxa"/>
                  <w:vMerge w:val="restart"/>
                  <w:vAlign w:val="bottom"/>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87" w:type="dxa"/>
                  <w:gridSpan w:val="3"/>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CF4BFD" w:rsidTr="00637CD3">
              <w:tc>
                <w:tcPr>
                  <w:tcW w:w="1879" w:type="dxa"/>
                  <w:vMerge/>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p>
              </w:tc>
              <w:tc>
                <w:tcPr>
                  <w:tcW w:w="1884" w:type="dxa"/>
                  <w:vMerge/>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63"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CF4BFD" w:rsidTr="00637CD3">
              <w:tc>
                <w:tcPr>
                  <w:tcW w:w="1879" w:type="dxa"/>
                  <w:vMerge w:val="restart"/>
                </w:tcPr>
                <w:p w:rsidR="00CF4BFD" w:rsidRPr="00856645"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84"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F4BFD" w:rsidTr="00637CD3">
              <w:tc>
                <w:tcPr>
                  <w:tcW w:w="1879" w:type="dxa"/>
                  <w:vMerge/>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63"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CF4BFD" w:rsidTr="00637CD3">
              <w:tc>
                <w:tcPr>
                  <w:tcW w:w="1879" w:type="dxa"/>
                  <w:vMerge/>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63"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CF4BFD" w:rsidTr="00637CD3">
              <w:tc>
                <w:tcPr>
                  <w:tcW w:w="1879" w:type="dxa"/>
                  <w:vMerge w:val="restart"/>
                </w:tcPr>
                <w:p w:rsidR="00CF4BFD" w:rsidRPr="00856645"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63"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CF4BFD" w:rsidTr="00637CD3">
              <w:tc>
                <w:tcPr>
                  <w:tcW w:w="1879" w:type="dxa"/>
                  <w:vMerge/>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F4BFD" w:rsidTr="00637CD3">
              <w:tc>
                <w:tcPr>
                  <w:tcW w:w="1879" w:type="dxa"/>
                  <w:vMerge w:val="restart"/>
                </w:tcPr>
                <w:p w:rsidR="00CF4BFD" w:rsidRPr="00856645"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862" w:type="dxa"/>
                </w:tcPr>
                <w:p w:rsidR="00CF4BFD" w:rsidRDefault="00CF4BFD" w:rsidP="00E1382F">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63" w:type="dxa"/>
                </w:tcPr>
                <w:p w:rsidR="00CF4BFD" w:rsidRDefault="00CF4BFD" w:rsidP="00E1382F">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CF4BFD" w:rsidTr="00637CD3">
              <w:tc>
                <w:tcPr>
                  <w:tcW w:w="1879" w:type="dxa"/>
                  <w:vMerge/>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862" w:type="dxa"/>
                </w:tcPr>
                <w:p w:rsidR="00CF4BFD" w:rsidRDefault="00CF4BFD" w:rsidP="00E1382F">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63" w:type="dxa"/>
                </w:tcPr>
                <w:p w:rsidR="00CF4BFD" w:rsidRDefault="00CF4BFD" w:rsidP="00E1382F">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CF4BFD" w:rsidTr="00637CD3">
              <w:tc>
                <w:tcPr>
                  <w:tcW w:w="1879" w:type="dxa"/>
                </w:tcPr>
                <w:p w:rsidR="00CF4BFD" w:rsidRPr="00856645"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84"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63"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CF4BFD" w:rsidTr="00637CD3">
              <w:tc>
                <w:tcPr>
                  <w:tcW w:w="1879" w:type="dxa"/>
                  <w:vMerge w:val="restart"/>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84"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63"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CF4BFD" w:rsidTr="00637CD3">
              <w:tc>
                <w:tcPr>
                  <w:tcW w:w="1879" w:type="dxa"/>
                  <w:vMerge/>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62"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63" w:type="dxa"/>
                </w:tcPr>
                <w:p w:rsidR="00CF4BFD" w:rsidRDefault="00CF4BFD" w:rsidP="005D7723">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CF4BFD" w:rsidTr="00775946">
              <w:tc>
                <w:tcPr>
                  <w:tcW w:w="9350" w:type="dxa"/>
                  <w:gridSpan w:val="5"/>
                </w:tcPr>
                <w:p w:rsidR="00CF4BFD" w:rsidRDefault="00CF4BFD" w:rsidP="00637CD3">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CF4BFD" w:rsidRPr="00637CD3" w:rsidRDefault="00CF4BFD" w:rsidP="00637CD3">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CF4BFD" w:rsidRPr="00047CBB" w:rsidRDefault="00CF4BFD" w:rsidP="005D7723">
            <w:pPr>
              <w:spacing w:after="0" w:line="240" w:lineRule="auto"/>
              <w:jc w:val="center"/>
              <w:rPr>
                <w:rFonts w:ascii="Verdana" w:eastAsia="Times New Roman" w:hAnsi="Verdana" w:cs="Times New Roman"/>
                <w:b/>
                <w:bCs/>
                <w:color w:val="000000"/>
                <w:sz w:val="20"/>
                <w:szCs w:val="20"/>
              </w:rPr>
            </w:pPr>
          </w:p>
        </w:tc>
      </w:tr>
    </w:tbl>
    <w:p w:rsidR="00CF4BFD" w:rsidRDefault="00CF4BF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485"/>
        <w:gridCol w:w="2175"/>
      </w:tblGrid>
      <w:tr w:rsidR="00CF4BFD" w:rsidRPr="005F60A0" w:rsidTr="00AD146D">
        <w:trPr>
          <w:trHeight w:val="897"/>
          <w:tblCellSpacing w:w="15" w:type="dxa"/>
          <w:jc w:val="center"/>
        </w:trPr>
        <w:tc>
          <w:tcPr>
            <w:tcW w:w="4969"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F4BFD" w:rsidRDefault="00CF4BFD" w:rsidP="00AD146D">
            <w:pPr>
              <w:spacing w:after="0" w:line="240" w:lineRule="auto"/>
              <w:jc w:val="center"/>
              <w:rPr>
                <w:rFonts w:ascii="Arial" w:eastAsia="Times New Roman" w:hAnsi="Arial" w:cs="Arial"/>
                <w:b/>
                <w:bCs/>
                <w:iCs/>
                <w:sz w:val="20"/>
                <w:szCs w:val="20"/>
              </w:rPr>
            </w:pPr>
            <w:r>
              <w:rPr>
                <w:rFonts w:ascii="Arial" w:eastAsia="Times New Roman" w:hAnsi="Arial" w:cs="Arial"/>
                <w:b/>
                <w:bCs/>
                <w:iCs/>
                <w:sz w:val="20"/>
                <w:szCs w:val="20"/>
              </w:rPr>
              <w:lastRenderedPageBreak/>
              <w:t>Table 2</w:t>
            </w:r>
          </w:p>
          <w:p w:rsidR="00CF4BFD" w:rsidRDefault="00CF4BFD" w:rsidP="00AD146D">
            <w:pPr>
              <w:spacing w:after="0" w:line="240" w:lineRule="auto"/>
              <w:jc w:val="center"/>
              <w:rPr>
                <w:rFonts w:ascii="Arial" w:eastAsia="Times New Roman" w:hAnsi="Arial" w:cs="Arial"/>
                <w:b/>
                <w:bCs/>
                <w:iCs/>
                <w:sz w:val="20"/>
                <w:szCs w:val="20"/>
              </w:rPr>
            </w:pPr>
            <w:r>
              <w:rPr>
                <w:rFonts w:ascii="Arial" w:eastAsia="Times New Roman" w:hAnsi="Arial" w:cs="Arial"/>
                <w:b/>
                <w:bCs/>
                <w:iCs/>
                <w:sz w:val="20"/>
                <w:szCs w:val="20"/>
              </w:rPr>
              <w:t>OAR 340-200-0020</w:t>
            </w:r>
          </w:p>
          <w:p w:rsidR="00CF4BFD" w:rsidRDefault="00CF4BFD" w:rsidP="00AD146D">
            <w:pPr>
              <w:pStyle w:val="NormalWeb"/>
              <w:spacing w:before="0" w:beforeAutospacing="0" w:after="0" w:afterAutospacing="0"/>
            </w:pPr>
            <w:r>
              <w:rPr>
                <w:rFonts w:ascii="Arial" w:hAnsi="Arial" w:cs="Arial"/>
                <w:b/>
                <w:bCs/>
                <w:sz w:val="20"/>
                <w:szCs w:val="20"/>
              </w:rPr>
              <w:t>SIGNIFICANT EMISSION RATES</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i/>
                <w:iCs/>
                <w:sz w:val="20"/>
                <w:szCs w:val="20"/>
              </w:rPr>
              <w:t>Pollutant</w:t>
            </w:r>
          </w:p>
        </w:tc>
        <w:tc>
          <w:tcPr>
            <w:tcW w:w="1091"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i/>
                <w:iCs/>
                <w:sz w:val="20"/>
                <w:szCs w:val="20"/>
              </w:rPr>
              <w:t>Emission Rate</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6758D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Greenhouse Gases (CO</w:t>
            </w:r>
            <w:r w:rsidRPr="00041CDD">
              <w:rPr>
                <w:rFonts w:ascii="Arial" w:eastAsia="Times New Roman" w:hAnsi="Arial" w:cs="Arial"/>
                <w:sz w:val="20"/>
                <w:szCs w:val="20"/>
                <w:vertAlign w:val="subscript"/>
              </w:rPr>
              <w:t>2</w:t>
            </w:r>
            <w:r>
              <w:rPr>
                <w:rFonts w:ascii="Arial" w:eastAsia="Times New Roman" w:hAnsi="Arial" w:cs="Arial"/>
                <w:sz w:val="20"/>
                <w:szCs w:val="20"/>
              </w:rPr>
              <w:t>e)</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75,000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Carbon Monoxide</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Nitrogen Oxides (NO</w:t>
            </w:r>
            <w:r w:rsidRPr="005F60A0">
              <w:rPr>
                <w:rFonts w:ascii="Arial" w:eastAsia="Times New Roman" w:hAnsi="Arial" w:cs="Arial"/>
                <w:sz w:val="20"/>
                <w:szCs w:val="20"/>
                <w:vertAlign w:val="subscript"/>
              </w:rPr>
              <w:t>X</w:t>
            </w:r>
            <w:r w:rsidRPr="005F60A0">
              <w:rPr>
                <w:rFonts w:ascii="Arial" w:eastAsia="Times New Roman" w:hAnsi="Arial" w:cs="Arial"/>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Particulate Matter</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25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15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450A38" w:rsidRDefault="00CF4BFD" w:rsidP="00B3775E">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Direct PM</w:t>
            </w:r>
            <w:r>
              <w:rPr>
                <w:rFonts w:ascii="Arial" w:eastAsia="Times New Roman" w:hAnsi="Arial" w:cs="Arial"/>
                <w:sz w:val="20"/>
                <w:szCs w:val="20"/>
                <w:vertAlign w:val="subscript"/>
              </w:rPr>
              <w:t>2.5</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10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450A38" w:rsidRDefault="00CF4BFD" w:rsidP="00450A38">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PM</w:t>
            </w:r>
            <w:r>
              <w:rPr>
                <w:rFonts w:ascii="Arial" w:eastAsia="Times New Roman" w:hAnsi="Arial" w:cs="Arial"/>
                <w:sz w:val="20"/>
                <w:szCs w:val="20"/>
                <w:vertAlign w:val="subscript"/>
              </w:rPr>
              <w:t>2.5</w:t>
            </w:r>
            <w:r>
              <w:rPr>
                <w:rFonts w:ascii="Arial" w:eastAsia="Times New Roman" w:hAnsi="Arial" w:cs="Arial"/>
                <w:sz w:val="20"/>
                <w:szCs w:val="20"/>
              </w:rPr>
              <w:t xml:space="preserve"> precursors (SO</w:t>
            </w:r>
            <w:r>
              <w:rPr>
                <w:rFonts w:ascii="Arial" w:eastAsia="Times New Roman" w:hAnsi="Arial" w:cs="Arial"/>
                <w:sz w:val="20"/>
                <w:szCs w:val="20"/>
                <w:vertAlign w:val="subscript"/>
              </w:rPr>
              <w:t>2</w:t>
            </w:r>
            <w:r>
              <w:rPr>
                <w:rFonts w:ascii="Arial" w:eastAsia="Times New Roman" w:hAnsi="Arial" w:cs="Arial"/>
                <w:sz w:val="20"/>
                <w:szCs w:val="20"/>
              </w:rPr>
              <w:t xml:space="preserve"> or NO</w:t>
            </w:r>
            <w:r>
              <w:rPr>
                <w:rFonts w:ascii="Arial" w:eastAsia="Times New Roman" w:hAnsi="Arial" w:cs="Arial"/>
                <w:sz w:val="20"/>
                <w:szCs w:val="20"/>
                <w:vertAlign w:val="subscript"/>
              </w:rPr>
              <w:t>x</w:t>
            </w:r>
            <w:r>
              <w:rPr>
                <w:rFonts w:ascii="Arial" w:eastAsia="Times New Roman" w:hAnsi="Arial" w:cs="Arial"/>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40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450A38"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 Dioxide</w:t>
            </w:r>
            <w:r>
              <w:rPr>
                <w:rFonts w:ascii="Arial" w:eastAsia="Times New Roman" w:hAnsi="Arial" w:cs="Arial"/>
                <w:sz w:val="20"/>
                <w:szCs w:val="20"/>
              </w:rPr>
              <w:t xml:space="preserve"> (SO</w:t>
            </w:r>
            <w:r>
              <w:rPr>
                <w:rFonts w:ascii="Arial" w:eastAsia="Times New Roman" w:hAnsi="Arial" w:cs="Arial"/>
                <w:sz w:val="20"/>
                <w:szCs w:val="20"/>
                <w:vertAlign w:val="subscript"/>
              </w:rPr>
              <w:t>2</w:t>
            </w:r>
            <w:r>
              <w:rPr>
                <w:rFonts w:ascii="Arial" w:eastAsia="Times New Roman" w:hAnsi="Arial" w:cs="Arial"/>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Volatile Organic Compounds (VOC)</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6B2CB4" w:rsidRDefault="00CF4BFD" w:rsidP="006B2CB4">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Ozone precursors (VOC or NO</w:t>
            </w:r>
            <w:r>
              <w:rPr>
                <w:rFonts w:ascii="Arial" w:eastAsia="Times New Roman" w:hAnsi="Arial" w:cs="Arial"/>
                <w:sz w:val="20"/>
                <w:szCs w:val="20"/>
                <w:vertAlign w:val="subscript"/>
              </w:rPr>
              <w:t>x</w:t>
            </w:r>
            <w:r>
              <w:rPr>
                <w:rFonts w:ascii="Arial" w:eastAsia="Times New Roman" w:hAnsi="Arial" w:cs="Arial"/>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40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0.6 ton/year</w:t>
            </w:r>
          </w:p>
        </w:tc>
      </w:tr>
      <w:tr w:rsidR="00CF4BFD" w:rsidRPr="005F60A0" w:rsidTr="006B2CB4">
        <w:trPr>
          <w:trHeight w:val="387"/>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7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 compounds (including hydrogen sulfide)</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(measured as total tetra- through octa- chlorinated dibenzo-p-dioxins and dibenzofurans)</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0.0000035 ton/year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 (measured as particulate matter)</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15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 (measured as sulfur dioxide and hydrogen chloride)</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40 tons/year</w:t>
            </w:r>
          </w:p>
        </w:tc>
      </w:tr>
      <w:tr w:rsidR="00CF4BFD" w:rsidRPr="005F60A0" w:rsidTr="00B3775E">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emissions (measured as nonmethane organic compounds)</w:t>
            </w:r>
            <w:r w:rsidRPr="005F60A0">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50 tons/year</w:t>
            </w:r>
          </w:p>
        </w:tc>
      </w:tr>
    </w:tbl>
    <w:p w:rsidR="00CF4BFD" w:rsidRPr="005F60A0" w:rsidRDefault="00CF4BFD" w:rsidP="005F60A0">
      <w:pPr>
        <w:spacing w:before="100" w:beforeAutospacing="1" w:after="100" w:afterAutospacing="1" w:line="240" w:lineRule="auto"/>
        <w:rPr>
          <w:rFonts w:ascii="Times" w:eastAsia="Times New Roman" w:hAnsi="Times" w:cs="Times"/>
          <w:sz w:val="20"/>
          <w:szCs w:val="20"/>
        </w:rPr>
      </w:pPr>
      <w:r w:rsidRPr="005F60A0">
        <w:rPr>
          <w:rFonts w:ascii="Times" w:eastAsia="Times New Roman" w:hAnsi="Times" w:cs="Times"/>
          <w:sz w:val="20"/>
          <w:szCs w:val="20"/>
        </w:rPr>
        <w:lastRenderedPageBreak/>
        <w:t> </w:t>
      </w:r>
    </w:p>
    <w:tbl>
      <w:tblPr>
        <w:tblW w:w="885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27"/>
        <w:gridCol w:w="2213"/>
        <w:gridCol w:w="4410"/>
      </w:tblGrid>
      <w:tr w:rsidR="00CF4BFD" w:rsidRPr="005F60A0">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CF4BFD" w:rsidRPr="005F60A0" w:rsidRDefault="00CF4BFD" w:rsidP="00AD146D">
            <w:pPr>
              <w:spacing w:after="0" w:line="240" w:lineRule="auto"/>
              <w:jc w:val="center"/>
              <w:rPr>
                <w:rFonts w:ascii="Times New Roman" w:eastAsia="Times New Roman" w:hAnsi="Times New Roman" w:cs="Times New Roman"/>
                <w:b/>
                <w:bCs/>
                <w:sz w:val="20"/>
                <w:szCs w:val="20"/>
              </w:rPr>
            </w:pPr>
            <w:bookmarkStart w:id="0" w:name="table3"/>
            <w:r w:rsidRPr="005F60A0">
              <w:rPr>
                <w:rFonts w:ascii="Arial" w:eastAsia="Times New Roman" w:hAnsi="Arial" w:cs="Arial"/>
                <w:b/>
                <w:bCs/>
                <w:sz w:val="20"/>
                <w:szCs w:val="20"/>
              </w:rPr>
              <w:t>Table 3</w:t>
            </w:r>
            <w:bookmarkEnd w:id="0"/>
          </w:p>
          <w:p w:rsidR="00CF4BFD" w:rsidRPr="005F60A0" w:rsidRDefault="00CF4BFD" w:rsidP="00AD146D">
            <w:pPr>
              <w:spacing w:after="0" w:line="240" w:lineRule="auto"/>
              <w:jc w:val="center"/>
              <w:rPr>
                <w:rFonts w:ascii="Times New Roman" w:eastAsia="Times New Roman" w:hAnsi="Times New Roman" w:cs="Times New Roman"/>
                <w:b/>
                <w:bCs/>
                <w:sz w:val="20"/>
                <w:szCs w:val="20"/>
              </w:rPr>
            </w:pPr>
            <w:r w:rsidRPr="005F60A0">
              <w:rPr>
                <w:rFonts w:ascii="Arial" w:eastAsia="Times New Roman" w:hAnsi="Arial" w:cs="Arial"/>
                <w:b/>
                <w:bCs/>
                <w:sz w:val="20"/>
                <w:szCs w:val="20"/>
              </w:rPr>
              <w:t>OAR 340-200-0020</w:t>
            </w:r>
          </w:p>
          <w:p w:rsidR="00CF4BFD" w:rsidRPr="005F60A0" w:rsidRDefault="00CF4BFD" w:rsidP="00AD146D">
            <w:pPr>
              <w:spacing w:after="0" w:line="240" w:lineRule="auto"/>
              <w:jc w:val="center"/>
              <w:rPr>
                <w:rFonts w:ascii="Times New Roman" w:eastAsia="Times New Roman" w:hAnsi="Times New Roman" w:cs="Times New Roman"/>
                <w:sz w:val="24"/>
                <w:szCs w:val="24"/>
              </w:rPr>
            </w:pPr>
            <w:r w:rsidRPr="005F60A0">
              <w:rPr>
                <w:rFonts w:ascii="Arial" w:eastAsia="Times New Roman" w:hAnsi="Arial" w:cs="Arial"/>
                <w:b/>
                <w:bCs/>
                <w:sz w:val="20"/>
                <w:szCs w:val="20"/>
              </w:rPr>
              <w:t>SIGNIFICANT EMISSION RATES FOR THE MEDFORD-ASHLAND AIR QUALITY MAINTENANCE AREA</w:t>
            </w:r>
          </w:p>
        </w:tc>
      </w:tr>
      <w:tr w:rsidR="00CF4BFD" w:rsidRPr="005F60A0">
        <w:trPr>
          <w:tblCellSpacing w:w="15"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5F60A0" w:rsidRDefault="00CF4BFD" w:rsidP="005F60A0">
            <w:pPr>
              <w:spacing w:before="100" w:beforeAutospacing="1" w:after="100" w:afterAutospacing="1" w:line="240" w:lineRule="auto"/>
              <w:jc w:val="center"/>
              <w:rPr>
                <w:rFonts w:ascii="Times New Roman" w:eastAsia="Times New Roman" w:hAnsi="Times New Roman" w:cs="Times New Roman"/>
                <w:sz w:val="24"/>
                <w:szCs w:val="24"/>
              </w:rPr>
            </w:pPr>
            <w:r w:rsidRPr="005F60A0">
              <w:rPr>
                <w:rFonts w:ascii="Arial" w:eastAsia="Times New Roman" w:hAnsi="Arial" w:cs="Arial"/>
                <w:i/>
                <w:iCs/>
                <w:sz w:val="20"/>
                <w:szCs w:val="20"/>
              </w:rPr>
              <w:t>Air Contaminant</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F4BFD" w:rsidRPr="005F60A0" w:rsidRDefault="00CF4BFD" w:rsidP="005F60A0">
            <w:pPr>
              <w:spacing w:before="100" w:beforeAutospacing="1" w:after="100" w:afterAutospacing="1" w:line="240" w:lineRule="auto"/>
              <w:jc w:val="center"/>
              <w:rPr>
                <w:rFonts w:ascii="Times New Roman" w:eastAsia="Times New Roman" w:hAnsi="Times New Roman" w:cs="Times New Roman"/>
                <w:sz w:val="24"/>
                <w:szCs w:val="24"/>
              </w:rPr>
            </w:pPr>
            <w:r w:rsidRPr="005F60A0">
              <w:rPr>
                <w:rFonts w:ascii="Arial" w:eastAsia="Times New Roman" w:hAnsi="Arial" w:cs="Arial"/>
                <w:i/>
                <w:iCs/>
                <w:sz w:val="20"/>
                <w:szCs w:val="20"/>
              </w:rPr>
              <w:t>Emission Rate</w:t>
            </w:r>
          </w:p>
        </w:tc>
      </w:tr>
      <w:tr w:rsidR="00CF4BFD" w:rsidRPr="005F60A0">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after="0" w:line="240" w:lineRule="auto"/>
              <w:rPr>
                <w:rFonts w:ascii="Times New Roman" w:eastAsia="Times New Roman" w:hAnsi="Times New Roman" w:cs="Times New Roman"/>
                <w:sz w:val="24"/>
                <w:szCs w:val="24"/>
              </w:rPr>
            </w:pPr>
            <w:r w:rsidRPr="005F60A0">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i/>
                <w:iCs/>
                <w:sz w:val="20"/>
                <w:szCs w:val="20"/>
              </w:rPr>
              <w:t>Annual</w:t>
            </w:r>
          </w:p>
        </w:tc>
        <w:tc>
          <w:tcPr>
            <w:tcW w:w="2500"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i/>
                <w:iCs/>
                <w:sz w:val="20"/>
                <w:szCs w:val="20"/>
              </w:rPr>
              <w:t>Day</w:t>
            </w:r>
          </w:p>
        </w:tc>
      </w:tr>
      <w:tr w:rsidR="00CF4BFD" w:rsidRPr="005F60A0">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CF4BFD" w:rsidRPr="00834360" w:rsidRDefault="00CF4BFD" w:rsidP="00363D4E">
            <w:pPr>
              <w:spacing w:before="100" w:beforeAutospacing="1" w:after="100" w:afterAutospacing="1" w:line="240" w:lineRule="auto"/>
              <w:rPr>
                <w:rFonts w:ascii="Times New Roman" w:eastAsia="Times New Roman" w:hAnsi="Times New Roman" w:cs="Times New Roman"/>
                <w:sz w:val="24"/>
                <w:szCs w:val="24"/>
                <w:vertAlign w:val="subscript"/>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p>
        </w:tc>
        <w:tc>
          <w:tcPr>
            <w:tcW w:w="1250" w:type="pct"/>
            <w:tcBorders>
              <w:top w:val="outset" w:sz="6" w:space="0" w:color="auto"/>
              <w:left w:val="outset" w:sz="6" w:space="0" w:color="auto"/>
              <w:bottom w:val="outset" w:sz="6" w:space="0" w:color="auto"/>
              <w:right w:val="outset" w:sz="6" w:space="0" w:color="auto"/>
            </w:tcBorders>
            <w:hideMark/>
          </w:tcPr>
          <w:p w:rsidR="00CF4BFD" w:rsidRPr="005F60A0" w:rsidRDefault="00CF4BFD" w:rsidP="00DD3C0E">
            <w:pPr>
              <w:spacing w:before="100" w:beforeAutospacing="1" w:after="100" w:afterAutospacing="1" w:line="240" w:lineRule="auto"/>
              <w:rPr>
                <w:rFonts w:ascii="Times New Roman" w:eastAsia="Times New Roman" w:hAnsi="Times New Roman" w:cs="Times New Roman"/>
                <w:sz w:val="24"/>
                <w:szCs w:val="24"/>
              </w:rPr>
            </w:pPr>
            <w:r w:rsidRPr="005F60A0" w:rsidDel="00DD3C0E">
              <w:rPr>
                <w:rFonts w:ascii="Arial" w:eastAsia="Times New Roman" w:hAnsi="Arial" w:cs="Arial"/>
                <w:sz w:val="20"/>
                <w:szCs w:val="20"/>
              </w:rPr>
              <w:t xml:space="preserve"> </w:t>
            </w:r>
            <w:r w:rsidRPr="005F60A0">
              <w:rPr>
                <w:rFonts w:ascii="Arial" w:eastAsia="Times New Roman" w:hAnsi="Arial" w:cs="Arial"/>
                <w:sz w:val="20"/>
                <w:szCs w:val="20"/>
              </w:rPr>
              <w:t>(5.0 tons)</w:t>
            </w:r>
            <w:r w:rsidRPr="005F60A0">
              <w:rPr>
                <w:rFonts w:ascii="Times New Roman" w:eastAsia="Times New Roman" w:hAnsi="Times New Roman" w:cs="Times New Roman"/>
                <w:sz w:val="20"/>
                <w:szCs w:val="20"/>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CF4BFD" w:rsidRPr="005F60A0" w:rsidRDefault="00CF4BFD" w:rsidP="00DD3C0E">
            <w:pPr>
              <w:spacing w:before="100" w:beforeAutospacing="1" w:after="100" w:afterAutospacing="1" w:line="240" w:lineRule="auto"/>
              <w:rPr>
                <w:rFonts w:ascii="Times New Roman" w:eastAsia="Times New Roman" w:hAnsi="Times New Roman" w:cs="Times New Roman"/>
                <w:sz w:val="24"/>
                <w:szCs w:val="24"/>
              </w:rPr>
            </w:pPr>
            <w:r w:rsidRPr="005F60A0" w:rsidDel="00DD3C0E">
              <w:rPr>
                <w:rFonts w:ascii="Arial" w:eastAsia="Times New Roman" w:hAnsi="Arial" w:cs="Arial"/>
                <w:sz w:val="20"/>
                <w:szCs w:val="20"/>
              </w:rPr>
              <w:t xml:space="preserve"> </w:t>
            </w:r>
            <w:r w:rsidRPr="005F60A0">
              <w:rPr>
                <w:rFonts w:ascii="Arial" w:eastAsia="Times New Roman" w:hAnsi="Arial" w:cs="Arial"/>
                <w:sz w:val="20"/>
                <w:szCs w:val="20"/>
              </w:rPr>
              <w:t>(50.0 lbs.)</w:t>
            </w:r>
            <w:r w:rsidRPr="005F60A0">
              <w:rPr>
                <w:rFonts w:ascii="Times New Roman" w:eastAsia="Times New Roman" w:hAnsi="Times New Roman" w:cs="Times New Roman"/>
                <w:sz w:val="20"/>
                <w:szCs w:val="20"/>
              </w:rPr>
              <w:t xml:space="preserve"> </w:t>
            </w:r>
          </w:p>
        </w:tc>
      </w:tr>
    </w:tbl>
    <w:p w:rsidR="00CF4BFD" w:rsidRDefault="00CF4BFD" w:rsidP="005F60A0">
      <w:pPr>
        <w:spacing w:before="100" w:beforeAutospacing="1" w:after="100" w:afterAutospacing="1" w:line="240" w:lineRule="auto"/>
        <w:rPr>
          <w:rFonts w:ascii="Times New Roman" w:eastAsia="Times New Roman" w:hAnsi="Times New Roman" w:cs="Times New Roman"/>
          <w:b/>
          <w:bCs/>
          <w:sz w:val="24"/>
          <w:szCs w:val="24"/>
        </w:rPr>
      </w:pPr>
    </w:p>
    <w:p w:rsidR="00CF4BFD" w:rsidRDefault="00CF4BF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W w:w="792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69"/>
        <w:gridCol w:w="2551"/>
      </w:tblGrid>
      <w:tr w:rsidR="00CF4BFD" w:rsidRPr="005F60A0" w:rsidTr="00FF6C9D">
        <w:trPr>
          <w:trHeight w:val="870"/>
          <w:tblCellSpacing w:w="7" w:type="dxa"/>
          <w:jc w:val="center"/>
        </w:trPr>
        <w:tc>
          <w:tcPr>
            <w:tcW w:w="4982" w:type="pct"/>
            <w:gridSpan w:val="2"/>
            <w:tcBorders>
              <w:top w:val="outset" w:sz="6" w:space="0" w:color="auto"/>
              <w:left w:val="outset" w:sz="6" w:space="0" w:color="auto"/>
              <w:bottom w:val="outset" w:sz="6" w:space="0" w:color="auto"/>
              <w:right w:val="outset" w:sz="6" w:space="0" w:color="auto"/>
            </w:tcBorders>
            <w:hideMark/>
          </w:tcPr>
          <w:p w:rsidR="00CF4BFD" w:rsidRDefault="00CF4BFD"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TABLE 4</w:t>
            </w:r>
          </w:p>
          <w:p w:rsidR="00CF4BFD" w:rsidRDefault="00CF4BFD"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OAR 340-200-0020(31)</w:t>
            </w:r>
          </w:p>
          <w:p w:rsidR="00CF4BFD" w:rsidRPr="005F60A0" w:rsidRDefault="00CF4BFD"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De Minimis Emission Levels</w:t>
            </w:r>
          </w:p>
        </w:tc>
      </w:tr>
      <w:tr w:rsidR="00CF4BFD" w:rsidRPr="005F60A0" w:rsidTr="00AD146D">
        <w:trPr>
          <w:trHeight w:val="530"/>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Pollutant</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De minimis (tons/year, except as noted)</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6758D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Greenhouse Gases (CO2e)</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7C3A41">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2,756</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NO</w:t>
            </w:r>
            <w:r w:rsidRPr="005F60A0">
              <w:rPr>
                <w:rFonts w:ascii="Arial" w:eastAsia="Times New Roman" w:hAnsi="Arial" w:cs="Arial"/>
                <w:sz w:val="20"/>
                <w:szCs w:val="20"/>
                <w:vertAlign w:val="subscript"/>
              </w:rPr>
              <w:t>x</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SO</w:t>
            </w:r>
            <w:r w:rsidRPr="005F60A0">
              <w:rPr>
                <w:rFonts w:ascii="Arial" w:eastAsia="Times New Roman" w:hAnsi="Arial" w:cs="Arial"/>
                <w:sz w:val="20"/>
                <w:szCs w:val="20"/>
                <w:vertAlign w:val="subscript"/>
              </w:rPr>
              <w:t>2</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VOC</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Pr="005F60A0">
              <w:rPr>
                <w:rFonts w:ascii="Arial" w:eastAsia="Times New Roman" w:hAnsi="Arial" w:cs="Arial"/>
                <w:sz w:val="20"/>
                <w:szCs w:val="20"/>
              </w:rPr>
              <w:t xml:space="preserve"> (except Medford AQMA)</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Pr>
                <w:rFonts w:ascii="Arial" w:eastAsia="Times New Roman" w:hAnsi="Arial" w:cs="Arial"/>
                <w:sz w:val="20"/>
                <w:szCs w:val="20"/>
              </w:rPr>
              <w:t>/PM</w:t>
            </w:r>
            <w:r>
              <w:rPr>
                <w:rFonts w:ascii="Arial" w:eastAsia="Times New Roman" w:hAnsi="Arial" w:cs="Arial"/>
                <w:sz w:val="20"/>
                <w:szCs w:val="20"/>
                <w:vertAlign w:val="subscript"/>
              </w:rPr>
              <w:t>2.5</w:t>
            </w:r>
            <w:r w:rsidRPr="005F60A0">
              <w:rPr>
                <w:rFonts w:ascii="Arial" w:eastAsia="Times New Roman" w:hAnsi="Arial" w:cs="Arial"/>
                <w:sz w:val="20"/>
                <w:szCs w:val="20"/>
              </w:rPr>
              <w:t xml:space="preserve"> (Medford AQMA)</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0.5 [5.0 lbs/day]</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63D4E" w:rsidRDefault="00CF4BFD"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Direct PM</w:t>
            </w:r>
            <w:r>
              <w:rPr>
                <w:rFonts w:ascii="Arial" w:eastAsia="Times New Roman" w:hAnsi="Arial" w:cs="Arial"/>
                <w:sz w:val="20"/>
                <w:szCs w:val="20"/>
                <w:vertAlign w:val="subscript"/>
              </w:rPr>
              <w:t>2.5</w:t>
            </w:r>
            <w:r>
              <w:rPr>
                <w:rFonts w:ascii="Arial" w:eastAsia="Times New Roman" w:hAnsi="Arial" w:cs="Arial"/>
                <w:sz w:val="20"/>
                <w:szCs w:val="20"/>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r w:rsidRPr="005F60A0">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0.3</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0.7</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(Dioxin and furans)</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0.0000005</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gases</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Single HAP</w:t>
            </w:r>
            <w:r w:rsidRPr="005F60A0">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r w:rsidR="00CF4BFD" w:rsidRPr="005F60A0" w:rsidTr="00FF6C9D">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Combined HAP (aggregate)</w:t>
            </w:r>
          </w:p>
        </w:tc>
        <w:tc>
          <w:tcPr>
            <w:tcW w:w="1592"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w:t>
            </w:r>
          </w:p>
        </w:tc>
      </w:tr>
    </w:tbl>
    <w:p w:rsidR="00CF4BFD" w:rsidRDefault="00CF4BF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W w:w="81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10"/>
        <w:gridCol w:w="2690"/>
      </w:tblGrid>
      <w:tr w:rsidR="00CF4BFD" w:rsidRPr="005F60A0" w:rsidTr="002D560E">
        <w:trPr>
          <w:tblCellSpacing w:w="7" w:type="dxa"/>
          <w:jc w:val="center"/>
        </w:trPr>
        <w:tc>
          <w:tcPr>
            <w:tcW w:w="4983" w:type="pct"/>
            <w:gridSpan w:val="2"/>
            <w:tcBorders>
              <w:top w:val="outset" w:sz="6" w:space="0" w:color="auto"/>
              <w:left w:val="outset" w:sz="6" w:space="0" w:color="auto"/>
              <w:bottom w:val="outset" w:sz="6" w:space="0" w:color="auto"/>
              <w:right w:val="outset" w:sz="6" w:space="0" w:color="auto"/>
            </w:tcBorders>
            <w:hideMark/>
          </w:tcPr>
          <w:p w:rsidR="00CF4BFD" w:rsidRDefault="00CF4BFD"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lastRenderedPageBreak/>
              <w:t>TABLE 5</w:t>
            </w:r>
          </w:p>
          <w:p w:rsidR="00CF4BFD" w:rsidRDefault="00CF4BFD"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OAR 340-200-0020(56)</w:t>
            </w:r>
          </w:p>
          <w:p w:rsidR="00CF4BFD" w:rsidRPr="005F60A0" w:rsidRDefault="00CF4BFD" w:rsidP="00AD146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Generic PSELs</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Pollutant</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b/>
                <w:bCs/>
                <w:sz w:val="20"/>
                <w:szCs w:val="20"/>
              </w:rPr>
              <w:t>Generic PSEL (tons/year, except as noted)</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6758D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GreenhouseGases (CO2e)</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74,000</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NO</w:t>
            </w:r>
            <w:r w:rsidRPr="005F60A0">
              <w:rPr>
                <w:rFonts w:ascii="Arial" w:eastAsia="Times New Roman" w:hAnsi="Arial" w:cs="Arial"/>
                <w:sz w:val="20"/>
                <w:szCs w:val="20"/>
                <w:vertAlign w:val="subscript"/>
              </w:rPr>
              <w:t>x</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SO</w:t>
            </w:r>
            <w:r w:rsidRPr="005F60A0">
              <w:rPr>
                <w:rFonts w:ascii="Arial" w:eastAsia="Times New Roman" w:hAnsi="Arial" w:cs="Arial"/>
                <w:sz w:val="20"/>
                <w:szCs w:val="20"/>
                <w:vertAlign w:val="subscript"/>
              </w:rPr>
              <w:t>2</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VOC</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24</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sidRPr="005F60A0">
              <w:rPr>
                <w:rFonts w:ascii="Arial" w:eastAsia="Times New Roman" w:hAnsi="Arial" w:cs="Arial"/>
                <w:sz w:val="20"/>
                <w:szCs w:val="20"/>
              </w:rPr>
              <w:t xml:space="preserve"> (except Medford AQMA)</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14</w:t>
            </w:r>
            <w:r w:rsidRPr="005F60A0">
              <w:rPr>
                <w:rFonts w:ascii="Times New Roman" w:eastAsia="Times New Roman" w:hAnsi="Times New Roman" w:cs="Times New Roman"/>
                <w:sz w:val="24"/>
                <w:szCs w:val="24"/>
              </w:rPr>
              <w:t xml:space="preserve"> </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PM</w:t>
            </w:r>
            <w:r w:rsidRPr="005F60A0">
              <w:rPr>
                <w:rFonts w:ascii="Arial" w:eastAsia="Times New Roman" w:hAnsi="Arial" w:cs="Arial"/>
                <w:sz w:val="20"/>
                <w:szCs w:val="20"/>
                <w:vertAlign w:val="subscript"/>
              </w:rPr>
              <w:t>10</w:t>
            </w:r>
            <w:r>
              <w:rPr>
                <w:rFonts w:ascii="Arial" w:eastAsia="Times New Roman" w:hAnsi="Arial" w:cs="Arial"/>
                <w:sz w:val="20"/>
                <w:szCs w:val="20"/>
              </w:rPr>
              <w:t>/PM</w:t>
            </w:r>
            <w:r>
              <w:rPr>
                <w:rFonts w:ascii="Arial" w:eastAsia="Times New Roman" w:hAnsi="Arial" w:cs="Arial"/>
                <w:sz w:val="20"/>
                <w:szCs w:val="20"/>
                <w:vertAlign w:val="subscript"/>
              </w:rPr>
              <w:t>2.5</w:t>
            </w:r>
            <w:r w:rsidRPr="005F60A0">
              <w:rPr>
                <w:rFonts w:ascii="Arial" w:eastAsia="Times New Roman" w:hAnsi="Arial" w:cs="Arial"/>
                <w:sz w:val="20"/>
                <w:szCs w:val="20"/>
              </w:rPr>
              <w:t xml:space="preserve"> (Medford AQMA)</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4.5 [49 lbs/day]</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63D4E" w:rsidRDefault="00CF4BFD"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Direct PM</w:t>
            </w:r>
            <w:r>
              <w:rPr>
                <w:rFonts w:ascii="Arial" w:eastAsia="Times New Roman" w:hAnsi="Arial" w:cs="Arial"/>
                <w:sz w:val="20"/>
                <w:szCs w:val="20"/>
                <w:vertAlign w:val="subscript"/>
              </w:rPr>
              <w:t>2.5</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Lead</w:t>
            </w:r>
            <w:r w:rsidRPr="005F60A0">
              <w:rPr>
                <w:rFonts w:ascii="Times New Roman" w:eastAsia="Times New Roman" w:hAnsi="Times New Roman" w:cs="Times New Roman"/>
                <w:sz w:val="24"/>
                <w:szCs w:val="24"/>
              </w:rPr>
              <w:t xml:space="preserve"> </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0.5</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Fluorides</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Sulfuric Acid Mist</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6</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Hydrogen Sulfide</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Total Reduced Sulfur (including hydrogen sulfide)</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Reduced Sulfur</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organics (Dioxin and furans)</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0.0000030</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metals</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14</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waste combustor acid gases</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39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Municipal solid waste landfill gases</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49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Single HAP</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9</w:t>
            </w:r>
          </w:p>
        </w:tc>
      </w:tr>
      <w:tr w:rsidR="00CF4BFD" w:rsidRPr="005F60A0" w:rsidTr="002D560E">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Combined HAPs (aggregate)</w:t>
            </w:r>
          </w:p>
        </w:tc>
        <w:tc>
          <w:tcPr>
            <w:tcW w:w="1641" w:type="pct"/>
            <w:tcBorders>
              <w:top w:val="outset" w:sz="6" w:space="0" w:color="auto"/>
              <w:left w:val="outset" w:sz="6" w:space="0" w:color="auto"/>
              <w:bottom w:val="outset" w:sz="6" w:space="0" w:color="auto"/>
              <w:right w:val="outset" w:sz="6" w:space="0" w:color="auto"/>
            </w:tcBorders>
            <w:hideMark/>
          </w:tcPr>
          <w:p w:rsidR="00CF4BFD" w:rsidRPr="005F60A0" w:rsidRDefault="00CF4BFD" w:rsidP="005F60A0">
            <w:pPr>
              <w:spacing w:before="100" w:beforeAutospacing="1" w:after="100" w:afterAutospacing="1" w:line="240" w:lineRule="auto"/>
              <w:rPr>
                <w:rFonts w:ascii="Times New Roman" w:eastAsia="Times New Roman" w:hAnsi="Times New Roman" w:cs="Times New Roman"/>
                <w:sz w:val="24"/>
                <w:szCs w:val="24"/>
              </w:rPr>
            </w:pPr>
            <w:r w:rsidRPr="005F60A0">
              <w:rPr>
                <w:rFonts w:ascii="Arial" w:eastAsia="Times New Roman" w:hAnsi="Arial" w:cs="Arial"/>
                <w:sz w:val="20"/>
                <w:szCs w:val="20"/>
              </w:rPr>
              <w:t>24</w:t>
            </w:r>
          </w:p>
        </w:tc>
      </w:tr>
    </w:tbl>
    <w:p w:rsidR="00CF4BFD" w:rsidRDefault="00CF4BFD"/>
    <w:p w:rsidR="00CF4BFD" w:rsidRPr="002D4251" w:rsidRDefault="00CF4BFD" w:rsidP="002D4251">
      <w:pPr>
        <w:spacing w:before="100" w:beforeAutospacing="1" w:after="100" w:afterAutospacing="1" w:line="240" w:lineRule="auto"/>
        <w:jc w:val="center"/>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DIVISION 202</w:t>
      </w:r>
    </w:p>
    <w:p w:rsidR="00CF4BFD" w:rsidRPr="002D4251" w:rsidRDefault="00CF4BFD" w:rsidP="002D4251">
      <w:pPr>
        <w:spacing w:before="100" w:beforeAutospacing="1" w:after="100" w:afterAutospacing="1" w:line="240" w:lineRule="auto"/>
        <w:jc w:val="center"/>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lastRenderedPageBreak/>
        <w:t>AMBIENT AIR QUALITY STANDARDS AND PSD</w:t>
      </w:r>
      <w:r w:rsidRPr="002D4251">
        <w:rPr>
          <w:rFonts w:ascii="Times New Roman" w:eastAsia="Times New Roman" w:hAnsi="Times New Roman" w:cs="Times New Roman"/>
          <w:b/>
          <w:bCs/>
          <w:sz w:val="24"/>
          <w:szCs w:val="24"/>
        </w:rPr>
        <w:br/>
        <w:t>INCREMENTS</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 </w:t>
      </w:r>
      <w:r w:rsidRPr="002D4251">
        <w:rPr>
          <w:rFonts w:ascii="Times New Roman" w:eastAsia="Times New Roman" w:hAnsi="Times New Roman" w:cs="Times New Roman"/>
          <w:b/>
          <w:bCs/>
          <w:sz w:val="24"/>
          <w:szCs w:val="24"/>
        </w:rPr>
        <w:t xml:space="preserve">340-202-0010 </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Definitions</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The definitions in OAR 340-200-0020 and this rule apply to this division. If the same term is defined in this rule and OAR 340-200-0020, the definition in this rule applies to this division.</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w:t>
      </w:r>
      <w:r w:rsidRPr="002D4251" w:rsidDel="007E52E6">
        <w:rPr>
          <w:rFonts w:ascii="Times New Roman" w:eastAsia="Times New Roman" w:hAnsi="Times New Roman" w:cs="Times New Roman"/>
          <w:sz w:val="24"/>
          <w:szCs w:val="24"/>
        </w:rPr>
        <w:t xml:space="preserve"> </w:t>
      </w:r>
      <w:r w:rsidRPr="002D4251">
        <w:rPr>
          <w:rFonts w:ascii="Times New Roman" w:eastAsia="Times New Roman" w:hAnsi="Times New Roman" w:cs="Times New Roman"/>
          <w:sz w:val="24"/>
          <w:szCs w:val="24"/>
        </w:rPr>
        <w:t>1) "Ambient Air" means that portion of the atmosphere external to buildings, to which the general public has access.</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 xml:space="preserve">(2) "Ambient Air Monitoring Site Criteria" means the general probe siting specifications as set forth in </w:t>
      </w:r>
      <w:r w:rsidRPr="002D4251">
        <w:rPr>
          <w:rFonts w:ascii="Times New Roman" w:eastAsia="Times New Roman" w:hAnsi="Times New Roman" w:cs="Times New Roman"/>
          <w:b/>
          <w:bCs/>
          <w:sz w:val="24"/>
          <w:szCs w:val="24"/>
        </w:rPr>
        <w:t>Appendix E</w:t>
      </w:r>
      <w:r w:rsidRPr="002D4251">
        <w:rPr>
          <w:rFonts w:ascii="Times New Roman" w:eastAsia="Times New Roman" w:hAnsi="Times New Roman" w:cs="Times New Roman"/>
          <w:sz w:val="24"/>
          <w:szCs w:val="24"/>
        </w:rPr>
        <w:t xml:space="preserve"> of </w:t>
      </w:r>
      <w:r w:rsidRPr="002D4251">
        <w:rPr>
          <w:rFonts w:ascii="Times New Roman" w:eastAsia="Times New Roman" w:hAnsi="Times New Roman" w:cs="Times New Roman"/>
          <w:b/>
          <w:bCs/>
          <w:sz w:val="24"/>
          <w:szCs w:val="24"/>
        </w:rPr>
        <w:t>40 CFR 58</w:t>
      </w:r>
      <w:r w:rsidRPr="002D4251">
        <w:rPr>
          <w:rFonts w:ascii="Times New Roman" w:eastAsia="Times New Roman" w:hAnsi="Times New Roman" w:cs="Times New Roman"/>
          <w:sz w:val="24"/>
          <w:szCs w:val="24"/>
        </w:rPr>
        <w:t>.</w:t>
      </w:r>
    </w:p>
    <w:p w:rsidR="00CF4BFD"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 xml:space="preserve">(3) "Approved Method" means an analytical method for measuring air contaminant concentrations described or referenced in </w:t>
      </w:r>
      <w:r w:rsidRPr="002D4251">
        <w:rPr>
          <w:rFonts w:ascii="Times New Roman" w:eastAsia="Times New Roman" w:hAnsi="Times New Roman" w:cs="Times New Roman"/>
          <w:b/>
          <w:bCs/>
          <w:sz w:val="24"/>
          <w:szCs w:val="24"/>
        </w:rPr>
        <w:t>40 CFR 50</w:t>
      </w:r>
      <w:r w:rsidRPr="002D4251">
        <w:rPr>
          <w:rFonts w:ascii="Times New Roman" w:eastAsia="Times New Roman" w:hAnsi="Times New Roman" w:cs="Times New Roman"/>
          <w:sz w:val="24"/>
          <w:szCs w:val="24"/>
        </w:rPr>
        <w:t xml:space="preserve"> and Appendices. These methods are approved by the Department of Environmental Quality.</w:t>
      </w:r>
    </w:p>
    <w:p w:rsidR="00CF4BFD" w:rsidRPr="00B37A1E" w:rsidRDefault="00CF4BFD" w:rsidP="00B9745D">
      <w:pPr>
        <w:spacing w:before="100" w:beforeAutospacing="1" w:after="100" w:afterAutospacing="1" w:line="240" w:lineRule="auto"/>
        <w:rPr>
          <w:rFonts w:ascii="Times New Roman" w:eastAsia="Times New Roman" w:hAnsi="Times New Roman" w:cs="Times New Roman"/>
          <w:sz w:val="24"/>
          <w:szCs w:val="24"/>
        </w:rPr>
      </w:pPr>
      <w:r w:rsidRPr="00B37A1E">
        <w:rPr>
          <w:rFonts w:ascii="Times New Roman" w:eastAsia="Times New Roman" w:hAnsi="Times New Roman" w:cs="Times New Roman"/>
          <w:sz w:val="24"/>
          <w:szCs w:val="24"/>
        </w:rPr>
        <w:t>(4) "Baseline Concentration" means:</w:t>
      </w:r>
    </w:p>
    <w:p w:rsidR="00CF4BFD" w:rsidRPr="00B37A1E" w:rsidRDefault="00CF4BFD" w:rsidP="00B9745D">
      <w:pPr>
        <w:spacing w:before="100" w:beforeAutospacing="1" w:after="100" w:afterAutospacing="1" w:line="240" w:lineRule="auto"/>
        <w:rPr>
          <w:rFonts w:ascii="Times New Roman" w:eastAsia="Times New Roman" w:hAnsi="Times New Roman" w:cs="Times New Roman"/>
          <w:sz w:val="24"/>
          <w:szCs w:val="24"/>
        </w:rPr>
      </w:pPr>
      <w:r w:rsidRPr="00B37A1E">
        <w:rPr>
          <w:rFonts w:ascii="Times New Roman" w:eastAsia="Times New Roman" w:hAnsi="Times New Roman" w:cs="Times New Roman"/>
          <w:sz w:val="24"/>
          <w:szCs w:val="24"/>
        </w:rPr>
        <w:t>(a) Except as provided in subsection (c), the ambient concentration level for sulfur dioxide and PM</w:t>
      </w:r>
      <w:r w:rsidRPr="00B37A1E">
        <w:rPr>
          <w:rFonts w:ascii="Times New Roman" w:eastAsia="Times New Roman" w:hAnsi="Times New Roman" w:cs="Times New Roman"/>
          <w:sz w:val="24"/>
          <w:szCs w:val="24"/>
          <w:vertAlign w:val="subscript"/>
        </w:rPr>
        <w:t>10</w:t>
      </w:r>
      <w:r w:rsidRPr="00B37A1E">
        <w:rPr>
          <w:rFonts w:ascii="Times New Roman" w:eastAsia="Times New Roman" w:hAnsi="Times New Roman" w:cs="Times New Roman"/>
          <w:sz w:val="24"/>
          <w:szCs w:val="24"/>
        </w:rPr>
        <w:t xml:space="preserve">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t>
      </w:r>
    </w:p>
    <w:p w:rsidR="00CF4BFD" w:rsidRDefault="00CF4BFD" w:rsidP="00B9745D">
      <w:pPr>
        <w:spacing w:before="100" w:beforeAutospacing="1" w:after="100" w:afterAutospacing="1" w:line="240" w:lineRule="auto"/>
        <w:rPr>
          <w:rFonts w:ascii="Times New Roman" w:eastAsia="Times New Roman" w:hAnsi="Times New Roman" w:cs="Times New Roman"/>
          <w:sz w:val="24"/>
          <w:szCs w:val="24"/>
        </w:rPr>
      </w:pPr>
      <w:r w:rsidRPr="00B37A1E">
        <w:rPr>
          <w:rFonts w:ascii="Times New Roman" w:eastAsia="Times New Roman" w:hAnsi="Times New Roman" w:cs="Times New Roman"/>
          <w:sz w:val="24"/>
          <w:szCs w:val="24"/>
        </w:rPr>
        <w:t>(b) The ambient concentration level for nitrogen oxides that existed in an area during the calendar year 1988.</w:t>
      </w:r>
    </w:p>
    <w:p w:rsidR="00CF4BFD" w:rsidRDefault="00CF4BFD" w:rsidP="00B9745D">
      <w:pPr>
        <w:spacing w:before="100" w:beforeAutospacing="1" w:after="100" w:afterAutospacing="1" w:line="240" w:lineRule="auto"/>
        <w:rPr>
          <w:rFonts w:ascii="Times New Roman" w:eastAsia="Times New Roman" w:hAnsi="Times New Roman" w:cs="Times New Roman"/>
          <w:sz w:val="24"/>
          <w:szCs w:val="24"/>
        </w:rPr>
      </w:pPr>
      <w:r w:rsidRPr="00B37A1E">
        <w:rPr>
          <w:rFonts w:ascii="Times New Roman" w:eastAsia="Times New Roman" w:hAnsi="Times New Roman" w:cs="Times New Roman"/>
          <w:sz w:val="24"/>
          <w:szCs w:val="24"/>
        </w:rPr>
        <w:t>(c) For the area of northeastern Oregon within the boundaries of the Umatilla, Wallowa-Whitman, Ochoco, and Malheur National Forests, the ambient concentration level for PM</w:t>
      </w:r>
      <w:r w:rsidRPr="00B37A1E">
        <w:rPr>
          <w:rFonts w:ascii="Times New Roman" w:eastAsia="Times New Roman" w:hAnsi="Times New Roman" w:cs="Times New Roman"/>
          <w:sz w:val="24"/>
          <w:szCs w:val="24"/>
          <w:vertAlign w:val="subscript"/>
        </w:rPr>
        <w:t>10</w:t>
      </w:r>
      <w:r w:rsidRPr="00B37A1E">
        <w:rPr>
          <w:rFonts w:ascii="Times New Roman" w:eastAsia="Times New Roman" w:hAnsi="Times New Roman" w:cs="Times New Roman"/>
          <w:sz w:val="24"/>
          <w:szCs w:val="24"/>
        </w:rPr>
        <w:t xml:space="preserve"> that existed during the calendar year 1993. The Department allows the use of a prior time period if the Department determines that it is more representative of normal emissions.</w:t>
      </w:r>
    </w:p>
    <w:p w:rsidR="00CF4BFD" w:rsidRDefault="00CF4BFD" w:rsidP="00675633">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 For PM10 in the Medford-Ashland AQMA: the ambient PM10 concentration levels that existed during the year that EPA redesignates the AQMA to attainment for PM10. </w:t>
      </w:r>
    </w:p>
    <w:p w:rsidR="00CF4BFD" w:rsidRPr="00B04DFD" w:rsidRDefault="00CF4BFD" w:rsidP="0067563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The ambient concentration level for PM2.5 that existed in an area during the calendar year 2007.</w:t>
      </w:r>
    </w:p>
    <w:p w:rsidR="00CF4BFD" w:rsidRPr="00B04DFD" w:rsidRDefault="00CF4BFD" w:rsidP="0067563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Pr="00B04DFD">
        <w:rPr>
          <w:rFonts w:ascii="Times New Roman" w:eastAsia="Times New Roman" w:hAnsi="Times New Roman" w:cs="Times New Roman"/>
          <w:sz w:val="24"/>
          <w:szCs w:val="24"/>
        </w:rPr>
        <w:t xml:space="preserve">If no ambient air quality data is available in an area, the baseline concentration may be estimated using modeling based on actual emissions for </w:t>
      </w:r>
      <w:r>
        <w:rPr>
          <w:rFonts w:ascii="Times New Roman" w:eastAsia="Times New Roman" w:hAnsi="Times New Roman" w:cs="Times New Roman"/>
          <w:sz w:val="24"/>
          <w:szCs w:val="24"/>
        </w:rPr>
        <w:t>the years specified in subsections (a) through (e) of this section</w:t>
      </w:r>
      <w:r w:rsidRPr="00B04DFD">
        <w:rPr>
          <w:rFonts w:ascii="Times New Roman" w:eastAsia="Times New Roman" w:hAnsi="Times New Roman" w:cs="Times New Roman"/>
          <w:sz w:val="24"/>
          <w:szCs w:val="24"/>
        </w:rPr>
        <w:t xml:space="preserve">. </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(5</w:t>
      </w:r>
      <w:r w:rsidRPr="002D4251">
        <w:rPr>
          <w:rFonts w:ascii="Times New Roman" w:eastAsia="Times New Roman" w:hAnsi="Times New Roman" w:cs="Times New Roman"/>
          <w:sz w:val="24"/>
          <w:szCs w:val="24"/>
        </w:rPr>
        <w:t>) "Indian Governing Body" means the governing body of any tribe, band, or group of Indians subject to the jurisdiction of the United States and recognized by the United States as possessing power of self-government.</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2D4251">
        <w:rPr>
          <w:rFonts w:ascii="Times New Roman" w:eastAsia="Times New Roman" w:hAnsi="Times New Roman" w:cs="Times New Roman"/>
          <w:sz w:val="24"/>
          <w:szCs w:val="24"/>
        </w:rPr>
        <w:t>) "Indian Reservation" means any federally recognized reservation established by Treaty, Agreement, Executive Order, or Act of Congress.</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D4251">
        <w:rPr>
          <w:rFonts w:ascii="Times New Roman" w:eastAsia="Times New Roman" w:hAnsi="Times New Roman" w:cs="Times New Roman"/>
          <w:sz w:val="24"/>
          <w:szCs w:val="24"/>
        </w:rPr>
        <w:t>) "Oregon Standard Method" means any method of sampling and analyzing for an air contaminant approved by the Department. Oregon standard methods are kept on file by the Department.</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2D4251">
        <w:rPr>
          <w:rFonts w:ascii="Times New Roman" w:eastAsia="Times New Roman" w:hAnsi="Times New Roman" w:cs="Times New Roman"/>
          <w:sz w:val="24"/>
          <w:szCs w:val="24"/>
        </w:rPr>
        <w:t>) "PPM" means parts per million by volume. It is a dimensionless unit of measurement for gases that expresses the ratio of the volume of one component gas to the volume of the entire sample mixture of gases.</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w:t>
      </w:r>
      <w:r w:rsidRPr="002D4251">
        <w:rPr>
          <w:rFonts w:ascii="Times New Roman" w:eastAsia="Times New Roman" w:hAnsi="Times New Roman" w:cs="Times New Roman"/>
          <w:b/>
          <w:bCs/>
          <w:sz w:val="24"/>
          <w:szCs w:val="24"/>
        </w:rPr>
        <w:t>NOTE:</w:t>
      </w:r>
      <w:r w:rsidRPr="002D425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[Publications: The publications referenced in this rule are available from the agency.]</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Stat. Auth.: ORS 468A</w:t>
      </w:r>
      <w:r w:rsidRPr="002D4251">
        <w:rPr>
          <w:rFonts w:ascii="Times New Roman" w:eastAsia="Times New Roman" w:hAnsi="Times New Roman" w:cs="Times New Roman"/>
          <w:sz w:val="24"/>
          <w:szCs w:val="24"/>
        </w:rPr>
        <w:br/>
        <w:t>Stats. Implemented: ORS 468A.025</w:t>
      </w:r>
      <w:r w:rsidRPr="002D4251">
        <w:rPr>
          <w:rFonts w:ascii="Times New Roman" w:eastAsia="Times New Roman" w:hAnsi="Times New Roman" w:cs="Times New Roman"/>
          <w:sz w:val="24"/>
          <w:szCs w:val="24"/>
        </w:rPr>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w:t>
      </w:r>
    </w:p>
    <w:p w:rsidR="00CF4BFD" w:rsidRPr="002D4251" w:rsidRDefault="00CF4BFD" w:rsidP="002D4251">
      <w:pPr>
        <w:spacing w:after="0" w:line="240" w:lineRule="auto"/>
        <w:jc w:val="center"/>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Ambient Air Quality Standards</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 xml:space="preserve">340-202-0060 </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Suspended Particulate Matter</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Concentrations of the fraction of suspended particulate that is equal to or less than ten microns in aerodynamic diameter in ambient air as measured by an approved method must not exceed:</w:t>
      </w:r>
    </w:p>
    <w:p w:rsidR="00CF4BFD"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sidDel="007E52E6">
        <w:rPr>
          <w:rFonts w:ascii="Times New Roman" w:eastAsia="Times New Roman" w:hAnsi="Times New Roman" w:cs="Times New Roman"/>
          <w:sz w:val="24"/>
          <w:szCs w:val="24"/>
        </w:rPr>
        <w:t xml:space="preserve"> </w:t>
      </w:r>
      <w:r w:rsidRPr="002D42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2D4251">
        <w:rPr>
          <w:rFonts w:ascii="Times New Roman" w:eastAsia="Times New Roman" w:hAnsi="Times New Roman" w:cs="Times New Roman"/>
          <w:sz w:val="24"/>
          <w:szCs w:val="24"/>
        </w:rPr>
        <w:t>) 150 micrograms of PM</w:t>
      </w:r>
      <w:r w:rsidRPr="002D4251">
        <w:rPr>
          <w:rFonts w:ascii="Times New Roman" w:eastAsia="Times New Roman" w:hAnsi="Times New Roman" w:cs="Times New Roman"/>
          <w:sz w:val="24"/>
          <w:szCs w:val="24"/>
          <w:vertAlign w:val="subscript"/>
        </w:rPr>
        <w:t>10</w:t>
      </w:r>
      <w:r w:rsidRPr="002D4251">
        <w:rPr>
          <w:rFonts w:ascii="Times New Roman" w:eastAsia="Times New Roman" w:hAnsi="Times New Roman" w:cs="Times New Roman"/>
          <w:sz w:val="24"/>
          <w:szCs w:val="24"/>
        </w:rPr>
        <w:t xml:space="preserve">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2D4251">
        <w:rPr>
          <w:rFonts w:ascii="Times New Roman" w:eastAsia="Times New Roman" w:hAnsi="Times New Roman" w:cs="Times New Roman"/>
          <w:b/>
          <w:bCs/>
          <w:sz w:val="24"/>
          <w:szCs w:val="24"/>
        </w:rPr>
        <w:t>Appendix K of 40 CFR 50</w:t>
      </w:r>
      <w:r w:rsidRPr="002D4251">
        <w:rPr>
          <w:rFonts w:ascii="Times New Roman" w:eastAsia="Times New Roman" w:hAnsi="Times New Roman" w:cs="Times New Roman"/>
          <w:sz w:val="24"/>
          <w:szCs w:val="24"/>
        </w:rPr>
        <w:t xml:space="preserve"> is equal to or less than one at any site.</w:t>
      </w:r>
    </w:p>
    <w:p w:rsidR="00CF4BFD" w:rsidRPr="00621710" w:rsidRDefault="00CF4BFD" w:rsidP="00935985">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w:t>
      </w:r>
      <w:r w:rsidRPr="00621710">
        <w:rPr>
          <w:rFonts w:ascii="Times New Roman" w:hAnsi="Times New Roman" w:cs="Times New Roman"/>
          <w:sz w:val="24"/>
          <w:szCs w:val="24"/>
        </w:rPr>
        <w:t>oncentrations of the fraction of suspended particulate that is equal to or less than 2.5 microns in aerodynamic diameter in ambient air as measured by an approved method must not exceed:</w:t>
      </w:r>
    </w:p>
    <w:p w:rsidR="00CF4BFD" w:rsidRPr="00555DA9" w:rsidRDefault="00CF4BFD" w:rsidP="007E52E6">
      <w:pPr>
        <w:spacing w:before="100" w:beforeAutospacing="1" w:after="100" w:afterAutospacing="1" w:line="240" w:lineRule="auto"/>
        <w:rPr>
          <w:rFonts w:ascii="Times New Roman" w:hAnsi="Times New Roman" w:cs="Times New Roman"/>
          <w:sz w:val="24"/>
          <w:szCs w:val="24"/>
        </w:rPr>
      </w:pPr>
      <w:r w:rsidRPr="00555DA9">
        <w:rPr>
          <w:rFonts w:ascii="Times New Roman" w:hAnsi="Times New Roman" w:cs="Times New Roman"/>
          <w:sz w:val="24"/>
          <w:szCs w:val="24"/>
        </w:rPr>
        <w:lastRenderedPageBreak/>
        <w:t>(</w:t>
      </w:r>
      <w:r>
        <w:rPr>
          <w:rFonts w:ascii="Times New Roman" w:hAnsi="Times New Roman" w:cs="Times New Roman"/>
          <w:sz w:val="24"/>
          <w:szCs w:val="24"/>
        </w:rPr>
        <w:t>2</w:t>
      </w:r>
      <w:r w:rsidRPr="00555DA9">
        <w:rPr>
          <w:rFonts w:ascii="Times New Roman" w:hAnsi="Times New Roman" w:cs="Times New Roman"/>
          <w:sz w:val="24"/>
          <w:szCs w:val="24"/>
        </w:rPr>
        <w:t>) 35 micrograms of PM</w:t>
      </w:r>
      <w:r w:rsidRPr="00555DA9">
        <w:rPr>
          <w:rFonts w:ascii="Times New Roman" w:hAnsi="Times New Roman" w:cs="Times New Roman"/>
          <w:sz w:val="24"/>
          <w:szCs w:val="24"/>
          <w:vertAlign w:val="subscript"/>
        </w:rPr>
        <w:t>2.5</w:t>
      </w:r>
      <w:r w:rsidRPr="00555DA9">
        <w:rPr>
          <w:rFonts w:ascii="Times New Roman" w:hAnsi="Times New Roman" w:cs="Times New Roman"/>
          <w:sz w:val="24"/>
          <w:szCs w:val="24"/>
        </w:rPr>
        <w:t xml:space="preserve"> per cubic meter of air as a 3-year average of annual 98th percentile 24-hour average values recorded at each monitoring site. This standard is attained when the 3-year average of annual 98</w:t>
      </w:r>
      <w:r w:rsidRPr="00555DA9">
        <w:rPr>
          <w:rFonts w:ascii="Times New Roman" w:hAnsi="Times New Roman" w:cs="Times New Roman"/>
          <w:sz w:val="24"/>
          <w:szCs w:val="24"/>
          <w:vertAlign w:val="superscript"/>
        </w:rPr>
        <w:t>th</w:t>
      </w:r>
      <w:r w:rsidRPr="00555DA9">
        <w:rPr>
          <w:rFonts w:ascii="Times New Roman" w:hAnsi="Times New Roman" w:cs="Times New Roman"/>
          <w:sz w:val="24"/>
          <w:szCs w:val="24"/>
        </w:rPr>
        <w:t xml:space="preserve"> percentile 24-hour average concentrations is equal to or less than 35 micrograms per cubic meter as determined in accordance with </w:t>
      </w:r>
      <w:r w:rsidRPr="00555DA9">
        <w:rPr>
          <w:rFonts w:ascii="Times New Roman" w:hAnsi="Times New Roman" w:cs="Times New Roman"/>
          <w:b/>
          <w:bCs/>
          <w:sz w:val="24"/>
          <w:szCs w:val="24"/>
        </w:rPr>
        <w:t>Appendix N of 40 CFR 50</w:t>
      </w:r>
      <w:r w:rsidRPr="00555DA9">
        <w:rPr>
          <w:rFonts w:ascii="Times New Roman" w:hAnsi="Times New Roman" w:cs="Times New Roman"/>
          <w:sz w:val="24"/>
          <w:szCs w:val="24"/>
        </w:rPr>
        <w:t>.</w:t>
      </w:r>
    </w:p>
    <w:p w:rsidR="00CF4BFD" w:rsidRPr="00CB67B5" w:rsidRDefault="00CF4BFD" w:rsidP="007E52E6">
      <w:pPr>
        <w:spacing w:before="100" w:beforeAutospacing="1" w:after="100" w:afterAutospacing="1" w:line="240" w:lineRule="auto"/>
        <w:rPr>
          <w:rFonts w:ascii="Times New Roman" w:hAnsi="Times New Roman" w:cs="Times New Roman"/>
          <w:sz w:val="24"/>
          <w:szCs w:val="24"/>
        </w:rPr>
      </w:pPr>
      <w:r w:rsidRPr="00555DA9">
        <w:rPr>
          <w:rFonts w:ascii="Times New Roman" w:hAnsi="Times New Roman" w:cs="Times New Roman"/>
          <w:sz w:val="24"/>
          <w:szCs w:val="24"/>
        </w:rPr>
        <w:t>(</w:t>
      </w:r>
      <w:r>
        <w:rPr>
          <w:rFonts w:ascii="Times New Roman" w:hAnsi="Times New Roman" w:cs="Times New Roman"/>
          <w:sz w:val="24"/>
          <w:szCs w:val="24"/>
        </w:rPr>
        <w:t>3</w:t>
      </w:r>
      <w:r w:rsidRPr="00555DA9">
        <w:rPr>
          <w:rFonts w:ascii="Times New Roman" w:hAnsi="Times New Roman" w:cs="Times New Roman"/>
          <w:sz w:val="24"/>
          <w:szCs w:val="24"/>
        </w:rPr>
        <w:t>) 15 micrograms of PM</w:t>
      </w:r>
      <w:r w:rsidRPr="00555DA9">
        <w:rPr>
          <w:rFonts w:ascii="Times New Roman" w:hAnsi="Times New Roman" w:cs="Times New Roman"/>
          <w:sz w:val="24"/>
          <w:szCs w:val="24"/>
          <w:vertAlign w:val="subscript"/>
        </w:rPr>
        <w:t xml:space="preserve">2.5 </w:t>
      </w:r>
      <w:r w:rsidRPr="00555DA9">
        <w:rPr>
          <w:rFonts w:ascii="Times New Roman" w:hAnsi="Times New Roman" w:cs="Times New Roman"/>
          <w:sz w:val="24"/>
          <w:szCs w:val="24"/>
        </w:rPr>
        <w:t xml:space="preserve"> per cubic meter of air as a 3-year average of the annual arithmetic mean. This standard is attained when the annual arithmetic mean concentration</w:t>
      </w:r>
      <w:r>
        <w:rPr>
          <w:rFonts w:ascii="Times New Roman" w:hAnsi="Times New Roman" w:cs="Times New Roman"/>
          <w:sz w:val="24"/>
          <w:szCs w:val="24"/>
        </w:rPr>
        <w:t xml:space="preserve"> is equal to or less than 15 micrograms per cubic meter</w:t>
      </w:r>
      <w:r w:rsidRPr="00555DA9">
        <w:rPr>
          <w:rFonts w:ascii="Times New Roman" w:hAnsi="Times New Roman" w:cs="Times New Roman"/>
          <w:sz w:val="24"/>
          <w:szCs w:val="24"/>
        </w:rPr>
        <w:t xml:space="preserve"> as determined in accordance with </w:t>
      </w:r>
      <w:r w:rsidRPr="00555DA9">
        <w:rPr>
          <w:rFonts w:ascii="Times New Roman" w:hAnsi="Times New Roman" w:cs="Times New Roman"/>
          <w:b/>
          <w:bCs/>
          <w:sz w:val="24"/>
          <w:szCs w:val="24"/>
        </w:rPr>
        <w:t>Appendix N of 40 CFR 50</w:t>
      </w:r>
      <w:r w:rsidRPr="00555DA9">
        <w:rPr>
          <w:rFonts w:ascii="Times New Roman" w:hAnsi="Times New Roman" w:cs="Times New Roman"/>
          <w:sz w:val="24"/>
          <w:szCs w:val="24"/>
        </w:rPr>
        <w:t>.</w:t>
      </w:r>
      <w:r>
        <w:rPr>
          <w:rFonts w:ascii="Times New Roman" w:hAnsi="Times New Roman" w:cs="Times New Roman"/>
          <w:sz w:val="24"/>
          <w:szCs w:val="24"/>
        </w:rPr>
        <w:t xml:space="preserve">  </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w:t>
      </w:r>
      <w:r w:rsidRPr="002D4251">
        <w:rPr>
          <w:rFonts w:ascii="Times New Roman" w:eastAsia="Times New Roman" w:hAnsi="Times New Roman" w:cs="Times New Roman"/>
          <w:b/>
          <w:bCs/>
          <w:sz w:val="24"/>
          <w:szCs w:val="24"/>
        </w:rPr>
        <w:t>NOTE:</w:t>
      </w:r>
      <w:r w:rsidRPr="002D425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[Publications: The publication(s) referenced in this rule is available from the agency.]</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Stat. Auth.: ORS 468 &amp; ORS 468A</w:t>
      </w:r>
      <w:r w:rsidRPr="002D4251">
        <w:rPr>
          <w:rFonts w:ascii="Times New Roman" w:eastAsia="Times New Roman" w:hAnsi="Times New Roman" w:cs="Times New Roman"/>
          <w:sz w:val="24"/>
          <w:szCs w:val="24"/>
        </w:rPr>
        <w:br/>
        <w:t>Stats. Implemented: ORS 468A.025</w:t>
      </w:r>
      <w:r w:rsidRPr="002D4251">
        <w:rPr>
          <w:rFonts w:ascii="Times New Roman" w:eastAsia="Times New Roman" w:hAnsi="Times New Roman" w:cs="Times New Roman"/>
          <w:sz w:val="24"/>
          <w:szCs w:val="24"/>
        </w:rPr>
        <w:br/>
        <w:t>Hist.: DEQ 37, f. 2-15-72, ef. 3-1-72; DEQ 8-1988, f. &amp; cert. ef. 5-19-88 (corrected 9-30-88); DEQ 24-1991, f. &amp; cert. ef. 11-13-91; DEQ 4-1993, f. &amp; cert. ef. 3-10-93; DEQ 14-1999, f. &amp; cert. ef. 10-14-99, Renumbered from 340-031-0015; DEQ 6-2001, f. 6-18-01, cert. ef. 7-1-01</w:t>
      </w:r>
    </w:p>
    <w:p w:rsidR="00CF4BFD" w:rsidRPr="002D4251" w:rsidRDefault="00CF4BFD" w:rsidP="002D4251">
      <w:pPr>
        <w:spacing w:after="0" w:line="240" w:lineRule="auto"/>
        <w:jc w:val="center"/>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Prevention of Significant Deterioration Increments</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 xml:space="preserve">340-202-0210 </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b/>
          <w:bCs/>
          <w:sz w:val="24"/>
          <w:szCs w:val="24"/>
        </w:rPr>
        <w:t>Ambient Air Increments</w:t>
      </w:r>
    </w:p>
    <w:p w:rsidR="00CF4BFD" w:rsidRPr="00C5641B" w:rsidRDefault="00CF4BFD" w:rsidP="00C5641B">
      <w:pPr>
        <w:spacing w:before="100" w:beforeAutospacing="1" w:after="100" w:afterAutospacing="1" w:line="240" w:lineRule="auto"/>
        <w:rPr>
          <w:rFonts w:ascii="Times New Roman" w:eastAsia="Times New Roman" w:hAnsi="Times New Roman" w:cs="Times New Roman"/>
          <w:sz w:val="24"/>
          <w:szCs w:val="24"/>
        </w:rPr>
      </w:pPr>
      <w:r w:rsidRPr="00C5641B">
        <w:rPr>
          <w:rFonts w:ascii="Times New Roman" w:eastAsia="Times New Roman" w:hAnsi="Times New Roman" w:cs="Times New Roman"/>
          <w:sz w:val="24"/>
          <w:szCs w:val="24"/>
        </w:rPr>
        <w:t xml:space="preserve">(1) This rule defines significant deterioration. In areas designated as Class I, II or III, emissions from new or modified sources must be limited such that increases in pollutant concentration over the baseline concentration must be limited to those set out in </w:t>
      </w:r>
      <w:r w:rsidRPr="00C5641B">
        <w:rPr>
          <w:rFonts w:ascii="Times New Roman" w:eastAsia="Times New Roman" w:hAnsi="Times New Roman" w:cs="Times New Roman"/>
          <w:b/>
          <w:bCs/>
          <w:sz w:val="24"/>
          <w:szCs w:val="24"/>
        </w:rPr>
        <w:t>Table 1</w:t>
      </w:r>
      <w:r w:rsidRPr="00C5641B">
        <w:rPr>
          <w:rFonts w:ascii="Times New Roman" w:eastAsia="Times New Roman" w:hAnsi="Times New Roman" w:cs="Times New Roman"/>
          <w:sz w:val="24"/>
          <w:szCs w:val="24"/>
        </w:rPr>
        <w:t xml:space="preserve">.  </w:t>
      </w:r>
    </w:p>
    <w:tbl>
      <w:tblPr>
        <w:tblW w:w="5000" w:type="pct"/>
        <w:tblCellSpacing w:w="0" w:type="dxa"/>
        <w:tblCellMar>
          <w:top w:w="40" w:type="dxa"/>
          <w:left w:w="40" w:type="dxa"/>
          <w:bottom w:w="40" w:type="dxa"/>
          <w:right w:w="40" w:type="dxa"/>
        </w:tblCellMar>
        <w:tblLook w:val="04A0"/>
      </w:tblPr>
      <w:tblGrid>
        <w:gridCol w:w="9494"/>
      </w:tblGrid>
      <w:tr w:rsidR="00CF4BFD" w:rsidRPr="00111EB4" w:rsidTr="00D41CD3">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5046"/>
              <w:gridCol w:w="4304"/>
            </w:tblGrid>
            <w:tr w:rsidR="00CF4BFD" w:rsidRPr="00111EB4" w:rsidTr="00D41CD3">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EFEBDE"/>
                  <w:hideMark/>
                </w:tcPr>
                <w:p w:rsidR="00CF4BFD" w:rsidRDefault="00CF4BFD" w:rsidP="00D41CD3">
                  <w:pPr>
                    <w:spacing w:after="0"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OAR 340-202-0210 </w:t>
                  </w:r>
                </w:p>
                <w:p w:rsidR="00CF4BFD" w:rsidRPr="00111EB4" w:rsidRDefault="00CF4BFD" w:rsidP="00D41CD3">
                  <w:pPr>
                    <w:spacing w:after="0"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Table 1</w:t>
                  </w:r>
                  <w:r w:rsidRPr="00111EB4">
                    <w:rPr>
                      <w:rFonts w:ascii="Verdana" w:eastAsia="Times New Roman" w:hAnsi="Verdana" w:cs="Times New Roman"/>
                      <w:color w:val="000000"/>
                      <w:sz w:val="20"/>
                      <w:szCs w:val="20"/>
                    </w:rPr>
                    <w:br/>
                    <w:t>MAXIMUM ALLOWABLE INCREASE</w:t>
                  </w:r>
                  <w:r w:rsidRPr="00111EB4">
                    <w:rPr>
                      <w:rFonts w:ascii="Verdana" w:eastAsia="Times New Roman" w:hAnsi="Verdana" w:cs="Times New Roman"/>
                      <w:color w:val="000000"/>
                      <w:sz w:val="20"/>
                      <w:szCs w:val="20"/>
                    </w:rPr>
                    <w:br/>
                    <w:t>Micrograms per cubic meter</w:t>
                  </w:r>
                </w:p>
              </w:tc>
            </w:tr>
            <w:tr w:rsidR="00CF4BFD" w:rsidRPr="00111EB4" w:rsidTr="00D41CD3">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111EB4" w:rsidRDefault="00CF4BFD" w:rsidP="00D41CD3">
                  <w:pPr>
                    <w:spacing w:after="0" w:line="240" w:lineRule="auto"/>
                    <w:jc w:val="center"/>
                    <w:rPr>
                      <w:rFonts w:ascii="Verdana" w:eastAsia="Times New Roman" w:hAnsi="Verdana" w:cs="Times New Roman"/>
                      <w:b/>
                      <w:bCs/>
                      <w:color w:val="000000"/>
                      <w:sz w:val="20"/>
                      <w:szCs w:val="20"/>
                    </w:rPr>
                  </w:pPr>
                  <w:r w:rsidRPr="00111EB4">
                    <w:rPr>
                      <w:rFonts w:ascii="Verdana" w:eastAsia="Times New Roman" w:hAnsi="Verdana" w:cs="Times New Roman"/>
                      <w:b/>
                      <w:bCs/>
                      <w:color w:val="000000"/>
                      <w:sz w:val="20"/>
                      <w:szCs w:val="20"/>
                    </w:rPr>
                    <w:t>CLASS I</w:t>
                  </w:r>
                </w:p>
              </w:tc>
            </w:tr>
            <w:tr w:rsidR="00CF4BFD" w:rsidRPr="00111EB4" w:rsidTr="00D41CD3">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RDefault="00CF4BFD" w:rsidP="00D41CD3">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i/>
                      <w:iCs/>
                      <w:color w:val="000000"/>
                      <w:sz w:val="20"/>
                      <w:szCs w:val="20"/>
                    </w:rPr>
                    <w:t>Pollutant</w:t>
                  </w:r>
                </w:p>
              </w:tc>
              <w:tc>
                <w:tcPr>
                  <w:tcW w:w="0" w:type="auto"/>
                  <w:tcBorders>
                    <w:top w:val="nil"/>
                    <w:left w:val="single" w:sz="4" w:space="0" w:color="auto"/>
                    <w:bottom w:val="single" w:sz="4" w:space="0" w:color="auto"/>
                    <w:right w:val="single" w:sz="4" w:space="0" w:color="auto"/>
                  </w:tcBorders>
                  <w:shd w:val="clear" w:color="auto" w:fill="E2E2E2"/>
                  <w:hideMark/>
                </w:tcPr>
                <w:p w:rsidR="00CF4BFD" w:rsidRPr="00111EB4" w:rsidRDefault="00CF4BFD" w:rsidP="00D41CD3">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i/>
                      <w:iCs/>
                      <w:color w:val="000000"/>
                      <w:sz w:val="20"/>
                      <w:szCs w:val="20"/>
                    </w:rPr>
                    <w:t>Micrograms per cubic meter</w:t>
                  </w:r>
                  <w:r w:rsidRPr="00111EB4">
                    <w:rPr>
                      <w:rFonts w:ascii="Verdana" w:eastAsia="Times New Roman" w:hAnsi="Verdana" w:cs="Times New Roman"/>
                      <w:color w:val="000000"/>
                      <w:sz w:val="20"/>
                      <w:szCs w:val="20"/>
                    </w:rPr>
                    <w:t xml:space="preserve"> </w:t>
                  </w:r>
                </w:p>
              </w:tc>
            </w:tr>
            <w:tr w:rsidR="00CF4BFD" w:rsidRPr="00111EB4" w:rsidTr="00D41CD3">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before="100" w:beforeAutospacing="1" w:after="100" w:afterAutospacing="1"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Particulate matter:</w:t>
                  </w:r>
                </w:p>
                <w:p w:rsidR="00CF4BFD"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Pr>
                      <w:rStyle w:val="FootnoteReference"/>
                      <w:rFonts w:ascii="Verdana" w:eastAsia="Times New Roman" w:hAnsi="Verdana" w:cs="Times New Roman"/>
                      <w:color w:val="000000"/>
                      <w:sz w:val="20"/>
                      <w:szCs w:val="20"/>
                    </w:rPr>
                    <w:footnoteReference w:id="1"/>
                  </w:r>
                  <w:r w:rsidRPr="00111EB4">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PM2.5, Annual arithmetic mean</w:t>
                  </w:r>
                </w:p>
                <w:p w:rsidR="00CF4BFD"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vertAlign w:val="superscript"/>
                    </w:rPr>
                    <w:t>1</w:t>
                  </w:r>
                  <w:r>
                    <w:rPr>
                      <w:rFonts w:ascii="Verdana" w:eastAsia="Times New Roman" w:hAnsi="Verdana" w:cs="Times New Roman"/>
                      <w:color w:val="000000"/>
                      <w:sz w:val="20"/>
                      <w:szCs w:val="20"/>
                    </w:rPr>
                    <w:t>PM2.5, 24-hour maximum</w:t>
                  </w:r>
                  <w:r w:rsidRPr="00111EB4" w:rsidDel="00B65D4A">
                    <w:rPr>
                      <w:rFonts w:ascii="Verdana" w:eastAsia="Times New Roman" w:hAnsi="Verdana" w:cs="Times New Roman"/>
                      <w:color w:val="000000"/>
                      <w:sz w:val="20"/>
                      <w:szCs w:val="20"/>
                    </w:rPr>
                    <w:t xml:space="preserve"> </w:t>
                  </w:r>
                </w:p>
                <w:p w:rsidR="00CF4BFD"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lastRenderedPageBreak/>
                    <w:t xml:space="preserve">PM10, Annual arithmetic mean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PM10, 24-hour maximum</w:t>
                  </w:r>
                </w:p>
                <w:p w:rsidR="00CF4BFD" w:rsidRPr="00111EB4"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p>
                <w:p w:rsidR="00CF4BFD"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1</w:t>
                  </w:r>
                </w:p>
                <w:p w:rsidR="00CF4BFD"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2</w:t>
                  </w:r>
                </w:p>
                <w:p w:rsidR="00CF4BFD"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lastRenderedPageBreak/>
                    <w:t>4</w:t>
                  </w: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8</w:t>
                  </w:r>
                </w:p>
              </w:tc>
            </w:tr>
            <w:tr w:rsidR="00CF4BFD" w:rsidRPr="00111EB4" w:rsidTr="00D41CD3">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before="100" w:beforeAutospacing="1" w:after="100" w:afterAutospacing="1"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lastRenderedPageBreak/>
                    <w:t>Sulfur dioxide:</w:t>
                  </w:r>
                </w:p>
                <w:p w:rsidR="00CF4BFD" w:rsidRPr="00111EB4"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Annual arithmetic mean</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24-hour maximum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3-hour maximum </w:t>
                  </w:r>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2</w:t>
                  </w: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5 </w:t>
                  </w: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25 </w:t>
                  </w:r>
                </w:p>
              </w:tc>
            </w:tr>
            <w:tr w:rsidR="00CF4BFD" w:rsidRPr="00111EB4" w:rsidTr="00D41CD3">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before="100" w:beforeAutospacing="1" w:after="100" w:afterAutospacing="1"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Nitrogen dioxide:</w:t>
                  </w:r>
                </w:p>
                <w:p w:rsidR="00CF4BFD" w:rsidRPr="00111EB4"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Annual arithmetic mean </w:t>
                  </w:r>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w:t>
                  </w: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2.5</w:t>
                  </w:r>
                </w:p>
              </w:tc>
            </w:tr>
            <w:tr w:rsidR="00CF4BFD" w:rsidRPr="00111EB4" w:rsidTr="00D41CD3">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111EB4" w:rsidRDefault="00CF4BFD" w:rsidP="00D41CD3">
                  <w:pPr>
                    <w:spacing w:after="0" w:line="240" w:lineRule="auto"/>
                    <w:jc w:val="center"/>
                    <w:rPr>
                      <w:rFonts w:ascii="Verdana" w:eastAsia="Times New Roman" w:hAnsi="Verdana" w:cs="Times New Roman"/>
                      <w:b/>
                      <w:bCs/>
                      <w:color w:val="000000"/>
                      <w:sz w:val="20"/>
                      <w:szCs w:val="20"/>
                    </w:rPr>
                  </w:pPr>
                  <w:r w:rsidRPr="00111EB4">
                    <w:rPr>
                      <w:rFonts w:ascii="Verdana" w:eastAsia="Times New Roman" w:hAnsi="Verdana" w:cs="Times New Roman"/>
                      <w:b/>
                      <w:bCs/>
                      <w:color w:val="000000"/>
                      <w:sz w:val="20"/>
                      <w:szCs w:val="20"/>
                    </w:rPr>
                    <w:t>Class II</w:t>
                  </w:r>
                </w:p>
              </w:tc>
            </w:tr>
            <w:tr w:rsidR="00CF4BFD" w:rsidRPr="00111EB4" w:rsidTr="00D41CD3">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RDefault="00CF4BFD" w:rsidP="00D41CD3">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i/>
                      <w:iCs/>
                      <w:color w:val="000000"/>
                      <w:sz w:val="20"/>
                      <w:szCs w:val="20"/>
                    </w:rPr>
                    <w:t>Pollutant</w:t>
                  </w:r>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RDefault="00CF4BFD" w:rsidP="00D41CD3">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i/>
                      <w:iCs/>
                      <w:color w:val="000000"/>
                      <w:sz w:val="20"/>
                      <w:szCs w:val="20"/>
                    </w:rPr>
                    <w:t>Micrograms per cubic meter</w:t>
                  </w:r>
                </w:p>
              </w:tc>
            </w:tr>
            <w:tr w:rsidR="00CF4BFD" w:rsidRPr="00111EB4" w:rsidTr="00D41CD3">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Particulate matter: </w:t>
                  </w:r>
                </w:p>
                <w:p w:rsidR="00CF4BFD"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vertAlign w:val="superscript"/>
                    </w:rPr>
                    <w:t>1</w:t>
                  </w:r>
                  <w:r>
                    <w:rPr>
                      <w:rFonts w:ascii="Verdana" w:eastAsia="Times New Roman" w:hAnsi="Verdana" w:cs="Times New Roman"/>
                      <w:color w:val="000000"/>
                      <w:sz w:val="20"/>
                      <w:szCs w:val="20"/>
                    </w:rPr>
                    <w:t>PM2.5, Annual arithmetic mean</w:t>
                  </w:r>
                </w:p>
                <w:p w:rsidR="00CF4BFD"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vertAlign w:val="superscript"/>
                    </w:rPr>
                    <w:t>1</w:t>
                  </w:r>
                  <w:r>
                    <w:rPr>
                      <w:rFonts w:ascii="Verdana" w:eastAsia="Times New Roman" w:hAnsi="Verdana" w:cs="Times New Roman"/>
                      <w:color w:val="000000"/>
                      <w:sz w:val="20"/>
                      <w:szCs w:val="20"/>
                    </w:rPr>
                    <w:t>PM2.5, 24-hour maximum</w:t>
                  </w:r>
                  <w:r w:rsidRPr="00111EB4" w:rsidDel="00B65D4A">
                    <w:rPr>
                      <w:rFonts w:ascii="Verdana" w:eastAsia="Times New Roman" w:hAnsi="Verdana" w:cs="Times New Roman"/>
                      <w:color w:val="000000"/>
                      <w:sz w:val="20"/>
                      <w:szCs w:val="20"/>
                    </w:rPr>
                    <w:t xml:space="preserve"> </w:t>
                  </w:r>
                </w:p>
                <w:p w:rsidR="00CF4BFD"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PM10, Annual arithmetic mean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PM10, 24-hour maximum</w:t>
                  </w:r>
                </w:p>
                <w:p w:rsidR="00CF4BFD" w:rsidRPr="00111EB4"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p>
                <w:p w:rsidR="00CF4BFD"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4</w:t>
                  </w:r>
                </w:p>
                <w:p w:rsidR="00CF4BFD"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9</w:t>
                  </w: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17</w:t>
                  </w: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30</w:t>
                  </w:r>
                </w:p>
              </w:tc>
            </w:tr>
            <w:tr w:rsidR="00CF4BFD" w:rsidRPr="00111EB4" w:rsidTr="00D41CD3">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Sulfur dioxide: </w:t>
                  </w:r>
                </w:p>
                <w:p w:rsidR="00CF4BFD" w:rsidRPr="00111EB4"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Annual arithmetic mean</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24-hour maximum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3-hour maximum </w:t>
                  </w:r>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20 </w:t>
                  </w: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91</w:t>
                  </w: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512 </w:t>
                  </w:r>
                </w:p>
              </w:tc>
            </w:tr>
            <w:tr w:rsidR="00CF4BFD" w:rsidRPr="00111EB4" w:rsidTr="00D41CD3">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Nitrogen dioxide: </w:t>
                  </w:r>
                </w:p>
                <w:p w:rsidR="00CF4BFD" w:rsidRPr="00111EB4"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Annual arithmetic mean </w:t>
                  </w:r>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25 </w:t>
                  </w:r>
                </w:p>
              </w:tc>
            </w:tr>
            <w:tr w:rsidR="00CF4BFD" w:rsidRPr="00111EB4" w:rsidTr="00D41CD3">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111EB4" w:rsidRDefault="00CF4BFD" w:rsidP="00D41CD3">
                  <w:pPr>
                    <w:spacing w:after="0" w:line="240" w:lineRule="auto"/>
                    <w:jc w:val="center"/>
                    <w:rPr>
                      <w:rFonts w:ascii="Verdana" w:eastAsia="Times New Roman" w:hAnsi="Verdana" w:cs="Times New Roman"/>
                      <w:b/>
                      <w:bCs/>
                      <w:color w:val="000000"/>
                      <w:sz w:val="20"/>
                      <w:szCs w:val="20"/>
                    </w:rPr>
                  </w:pPr>
                  <w:r w:rsidRPr="00111EB4">
                    <w:rPr>
                      <w:rFonts w:ascii="Verdana" w:eastAsia="Times New Roman" w:hAnsi="Verdana" w:cs="Times New Roman"/>
                      <w:b/>
                      <w:bCs/>
                      <w:color w:val="000000"/>
                      <w:sz w:val="20"/>
                      <w:szCs w:val="20"/>
                    </w:rPr>
                    <w:t>Class III</w:t>
                  </w:r>
                </w:p>
              </w:tc>
            </w:tr>
            <w:tr w:rsidR="00CF4BFD" w:rsidRPr="00111EB4" w:rsidTr="00D41CD3">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RDefault="00CF4BFD" w:rsidP="00D41CD3">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i/>
                      <w:iCs/>
                      <w:color w:val="000000"/>
                      <w:sz w:val="20"/>
                      <w:szCs w:val="20"/>
                    </w:rPr>
                    <w:t>Pollutant</w:t>
                  </w:r>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111EB4" w:rsidRDefault="00CF4BFD" w:rsidP="00D41CD3">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i/>
                      <w:iCs/>
                      <w:color w:val="000000"/>
                      <w:sz w:val="20"/>
                      <w:szCs w:val="20"/>
                    </w:rPr>
                    <w:t>Micrograms per cubic meter</w:t>
                  </w:r>
                </w:p>
              </w:tc>
            </w:tr>
            <w:tr w:rsidR="00CF4BFD" w:rsidRPr="00111EB4" w:rsidTr="00D41CD3">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Particulate matter: </w:t>
                  </w:r>
                </w:p>
                <w:p w:rsidR="00CF4BFD"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vertAlign w:val="superscript"/>
                    </w:rPr>
                    <w:t>1</w:t>
                  </w:r>
                  <w:r>
                    <w:rPr>
                      <w:rFonts w:ascii="Verdana" w:eastAsia="Times New Roman" w:hAnsi="Verdana" w:cs="Times New Roman"/>
                      <w:color w:val="000000"/>
                      <w:sz w:val="20"/>
                      <w:szCs w:val="20"/>
                    </w:rPr>
                    <w:t>PM2.5, Annual arithmetic mean</w:t>
                  </w:r>
                </w:p>
                <w:p w:rsidR="00CF4BFD"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Pr>
                      <w:rFonts w:ascii="Verdana" w:eastAsia="Times New Roman" w:hAnsi="Verdana" w:cs="Times New Roman"/>
                      <w:color w:val="000000"/>
                      <w:sz w:val="20"/>
                      <w:szCs w:val="20"/>
                      <w:vertAlign w:val="superscript"/>
                    </w:rPr>
                    <w:lastRenderedPageBreak/>
                    <w:t>1</w:t>
                  </w:r>
                  <w:r>
                    <w:rPr>
                      <w:rFonts w:ascii="Verdana" w:eastAsia="Times New Roman" w:hAnsi="Verdana" w:cs="Times New Roman"/>
                      <w:color w:val="000000"/>
                      <w:sz w:val="20"/>
                      <w:szCs w:val="20"/>
                    </w:rPr>
                    <w:t>PM2.5, 24-hour maximum</w:t>
                  </w:r>
                  <w:r w:rsidRPr="00111EB4" w:rsidDel="00B65D4A">
                    <w:rPr>
                      <w:rFonts w:ascii="Verdana" w:eastAsia="Times New Roman" w:hAnsi="Verdana" w:cs="Times New Roman"/>
                      <w:color w:val="000000"/>
                      <w:sz w:val="20"/>
                      <w:szCs w:val="20"/>
                    </w:rPr>
                    <w:t xml:space="preserve"> </w:t>
                  </w:r>
                </w:p>
                <w:p w:rsidR="00CF4BFD"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PM10, Annual arithmetic mean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PM10, 24-hour maximum</w:t>
                  </w:r>
                </w:p>
                <w:p w:rsidR="00CF4BFD" w:rsidRPr="00111EB4"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p>
                <w:p w:rsidR="00CF4BFD"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8</w:t>
                  </w:r>
                </w:p>
                <w:p w:rsidR="00CF4BFD"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18</w:t>
                  </w: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34</w:t>
                  </w: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60</w:t>
                  </w:r>
                </w:p>
              </w:tc>
            </w:tr>
            <w:tr w:rsidR="00CF4BFD" w:rsidRPr="00111EB4" w:rsidTr="00D41CD3">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lastRenderedPageBreak/>
                    <w:t xml:space="preserve">Sulfur dioxide: </w:t>
                  </w:r>
                </w:p>
                <w:p w:rsidR="00CF4BFD" w:rsidRPr="00111EB4"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Annual arithmetic mean</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24-hour maximum </w:t>
                  </w:r>
                  <w:r w:rsidRPr="00111EB4">
                    <w:rPr>
                      <w:rFonts w:ascii="Verdana" w:eastAsia="Times New Roman" w:hAnsi="Verdana" w:cs="Times New Roman"/>
                      <w:color w:val="000000"/>
                      <w:sz w:val="20"/>
                      <w:szCs w:val="20"/>
                    </w:rPr>
                    <w:br/>
                  </w:r>
                  <w:r w:rsidRPr="00111EB4">
                    <w:rPr>
                      <w:rFonts w:ascii="Verdana" w:eastAsia="Times New Roman" w:hAnsi="Verdana" w:cs="Times New Roman"/>
                      <w:color w:val="000000"/>
                      <w:sz w:val="20"/>
                      <w:szCs w:val="20"/>
                    </w:rPr>
                    <w:br/>
                    <w:t xml:space="preserve">3-hour maximum </w:t>
                  </w:r>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40</w:t>
                  </w: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182</w:t>
                  </w: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700 </w:t>
                  </w:r>
                </w:p>
              </w:tc>
            </w:tr>
            <w:tr w:rsidR="00CF4BFD" w:rsidRPr="00111EB4" w:rsidTr="00D41CD3">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Nitrogen dioxide: </w:t>
                  </w:r>
                </w:p>
                <w:p w:rsidR="00CF4BFD" w:rsidRPr="00111EB4" w:rsidRDefault="00CF4BFD" w:rsidP="00D41CD3">
                  <w:pPr>
                    <w:spacing w:before="100" w:beforeAutospacing="1" w:after="100" w:afterAutospacing="1" w:line="240" w:lineRule="auto"/>
                    <w:jc w:val="right"/>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 xml:space="preserve">Annual arithmetic mean </w:t>
                  </w:r>
                </w:p>
              </w:tc>
              <w:tc>
                <w:tcPr>
                  <w:tcW w:w="0" w:type="auto"/>
                  <w:tcBorders>
                    <w:top w:val="single" w:sz="4" w:space="0" w:color="auto"/>
                    <w:left w:val="single" w:sz="4" w:space="0" w:color="auto"/>
                    <w:bottom w:val="single" w:sz="4" w:space="0" w:color="auto"/>
                    <w:right w:val="single" w:sz="4" w:space="0" w:color="auto"/>
                  </w:tcBorders>
                  <w:hideMark/>
                </w:tcPr>
                <w:p w:rsidR="00CF4BFD" w:rsidRPr="00111EB4" w:rsidRDefault="00CF4BFD" w:rsidP="00D41CD3">
                  <w:pPr>
                    <w:spacing w:after="0" w:line="240" w:lineRule="auto"/>
                    <w:rPr>
                      <w:rFonts w:ascii="Verdana" w:eastAsia="Times New Roman" w:hAnsi="Verdana" w:cs="Times New Roman"/>
                      <w:color w:val="000000"/>
                      <w:sz w:val="20"/>
                      <w:szCs w:val="20"/>
                    </w:rPr>
                  </w:pPr>
                </w:p>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r w:rsidRPr="00111EB4">
                    <w:rPr>
                      <w:rFonts w:ascii="Verdana" w:eastAsia="Times New Roman" w:hAnsi="Verdana" w:cs="Times New Roman"/>
                      <w:color w:val="000000"/>
                      <w:sz w:val="20"/>
                      <w:szCs w:val="20"/>
                    </w:rPr>
                    <w:t>50</w:t>
                  </w:r>
                </w:p>
              </w:tc>
            </w:tr>
          </w:tbl>
          <w:p w:rsidR="00CF4BFD" w:rsidRPr="00111EB4" w:rsidRDefault="00CF4BFD" w:rsidP="00D41CD3">
            <w:pPr>
              <w:spacing w:before="100" w:beforeAutospacing="1" w:after="100" w:afterAutospacing="1" w:line="240" w:lineRule="auto"/>
              <w:jc w:val="center"/>
              <w:rPr>
                <w:rFonts w:ascii="Verdana" w:eastAsia="Times New Roman" w:hAnsi="Verdana" w:cs="Times New Roman"/>
                <w:color w:val="000000"/>
                <w:sz w:val="20"/>
                <w:szCs w:val="20"/>
              </w:rPr>
            </w:pPr>
          </w:p>
        </w:tc>
      </w:tr>
      <w:tr w:rsidR="00CF4BFD" w:rsidRPr="00111EB4" w:rsidTr="00D41CD3">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p w:rsidR="00CF4BFD" w:rsidRPr="00111EB4" w:rsidRDefault="00CF4BFD" w:rsidP="00D41CD3">
            <w:pPr>
              <w:spacing w:before="100" w:beforeAutospacing="1" w:after="100" w:afterAutospacing="1" w:line="240" w:lineRule="auto"/>
              <w:rPr>
                <w:rFonts w:ascii="Verdana" w:eastAsia="Times New Roman" w:hAnsi="Verdana" w:cs="Times New Roman"/>
                <w:color w:val="000000"/>
                <w:sz w:val="16"/>
                <w:szCs w:val="16"/>
              </w:rPr>
            </w:pPr>
            <w:r w:rsidRPr="00111EB4">
              <w:rPr>
                <w:rFonts w:ascii="Verdana" w:eastAsia="Times New Roman" w:hAnsi="Verdana" w:cs="Times New Roman"/>
                <w:color w:val="000000"/>
                <w:sz w:val="16"/>
                <w:szCs w:val="16"/>
              </w:rPr>
              <w:lastRenderedPageBreak/>
              <w:t xml:space="preserve"> </w:t>
            </w:r>
          </w:p>
        </w:tc>
      </w:tr>
    </w:tbl>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C5641B" w:rsidDel="00C5641B">
        <w:rPr>
          <w:rFonts w:ascii="Times New Roman" w:eastAsia="Times New Roman" w:hAnsi="Times New Roman" w:cs="Times New Roman"/>
          <w:sz w:val="24"/>
          <w:szCs w:val="24"/>
        </w:rPr>
        <w:t xml:space="preserve"> </w:t>
      </w:r>
      <w:r w:rsidRPr="002D4251">
        <w:rPr>
          <w:rFonts w:ascii="Times New Roman" w:eastAsia="Times New Roman" w:hAnsi="Times New Roman" w:cs="Times New Roman"/>
          <w:sz w:val="24"/>
          <w:szCs w:val="24"/>
        </w:rPr>
        <w:t>(2) For any period other than an annual period, the applicable maximum allowable increase may be exceeded during one such period per year at any one location.</w:t>
      </w:r>
    </w:p>
    <w:p w:rsidR="00CF4BFD" w:rsidRPr="002D4251" w:rsidRDefault="00CF4BFD" w:rsidP="002D4251">
      <w:pPr>
        <w:spacing w:before="100" w:beforeAutospacing="1" w:after="100" w:afterAutospacing="1" w:line="240" w:lineRule="auto"/>
        <w:rPr>
          <w:rFonts w:ascii="Times New Roman" w:eastAsia="Times New Roman" w:hAnsi="Times New Roman" w:cs="Times New Roman"/>
          <w:sz w:val="24"/>
          <w:szCs w:val="24"/>
        </w:rPr>
      </w:pPr>
      <w:r w:rsidRPr="002D4251">
        <w:rPr>
          <w:rFonts w:ascii="Times New Roman" w:eastAsia="Times New Roman" w:hAnsi="Times New Roman" w:cs="Times New Roman"/>
          <w:sz w:val="24"/>
          <w:szCs w:val="24"/>
        </w:rPr>
        <w:t>[</w:t>
      </w:r>
      <w:r w:rsidRPr="002D4251">
        <w:rPr>
          <w:rFonts w:ascii="Times New Roman" w:eastAsia="Times New Roman" w:hAnsi="Times New Roman" w:cs="Times New Roman"/>
          <w:b/>
          <w:bCs/>
          <w:sz w:val="24"/>
          <w:szCs w:val="24"/>
        </w:rPr>
        <w:t>NOTE:</w:t>
      </w:r>
      <w:r w:rsidRPr="002D425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Default="00CF4BFD">
      <w:r w:rsidRPr="002D4251">
        <w:rPr>
          <w:rFonts w:ascii="Times New Roman" w:eastAsia="Times New Roman" w:hAnsi="Times New Roman" w:cs="Times New Roman"/>
          <w:sz w:val="24"/>
          <w:szCs w:val="24"/>
        </w:rPr>
        <w:t>Stat. Auth.: ORS 468 &amp; ORS 468A</w:t>
      </w:r>
      <w:r w:rsidRPr="002D4251">
        <w:rPr>
          <w:rFonts w:ascii="Times New Roman" w:eastAsia="Times New Roman" w:hAnsi="Times New Roman" w:cs="Times New Roman"/>
          <w:sz w:val="24"/>
          <w:szCs w:val="24"/>
        </w:rPr>
        <w:br/>
        <w:t>Stats. Implemented: ORS 468A.025</w:t>
      </w:r>
      <w:r w:rsidRPr="002D4251">
        <w:rPr>
          <w:rFonts w:ascii="Times New Roman" w:eastAsia="Times New Roman" w:hAnsi="Times New Roman" w:cs="Times New Roman"/>
          <w:sz w:val="24"/>
          <w:szCs w:val="24"/>
        </w:rPr>
        <w:br/>
        <w:t>Hist.: DEQ 18-1979, f. &amp; ef. 6-22-79; DEQ 8-1988, f. &amp; cert. ef. 5-19-88 (corrected 9-30-88); DEQ 7-1992, f. &amp; cert. ef. 3-30-92; DEQ 17-1995, f. &amp; cert. ef. 7-12-95; DEQ 14-1999, f. &amp; cert. ef. 10-14-99, Renumbered from 340-031-0110; DEQ 6-2001, f. 6-18-01, cert. ef. 7-1-01</w:t>
      </w:r>
    </w:p>
    <w:tbl>
      <w:tblPr>
        <w:tblW w:w="5000" w:type="pct"/>
        <w:tblCellSpacing w:w="0" w:type="dxa"/>
        <w:tblCellMar>
          <w:top w:w="40" w:type="dxa"/>
          <w:left w:w="40" w:type="dxa"/>
          <w:bottom w:w="40" w:type="dxa"/>
          <w:right w:w="40" w:type="dxa"/>
        </w:tblCellMar>
        <w:tblLook w:val="04A0"/>
      </w:tblPr>
      <w:tblGrid>
        <w:gridCol w:w="9494"/>
      </w:tblGrid>
      <w:tr w:rsidR="00CF4BFD" w:rsidRPr="00111EB4">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p w:rsidR="00CF4BFD" w:rsidRPr="00111EB4" w:rsidRDefault="00CF4BFD" w:rsidP="00111EB4">
            <w:pPr>
              <w:spacing w:before="100" w:beforeAutospacing="1" w:after="100" w:afterAutospacing="1" w:line="240" w:lineRule="auto"/>
              <w:jc w:val="center"/>
              <w:rPr>
                <w:rFonts w:ascii="Verdana" w:eastAsia="Times New Roman" w:hAnsi="Verdana" w:cs="Times New Roman"/>
                <w:color w:val="000000"/>
                <w:sz w:val="20"/>
                <w:szCs w:val="20"/>
              </w:rPr>
            </w:pPr>
          </w:p>
        </w:tc>
      </w:tr>
      <w:tr w:rsidR="00CF4BFD" w:rsidRPr="00111EB4">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p w:rsidR="00CF4BFD" w:rsidRPr="00111EB4" w:rsidRDefault="00CF4BFD" w:rsidP="00111EB4">
            <w:pPr>
              <w:spacing w:before="100" w:beforeAutospacing="1" w:after="100" w:afterAutospacing="1" w:line="240" w:lineRule="auto"/>
              <w:rPr>
                <w:rFonts w:ascii="Verdana" w:eastAsia="Times New Roman" w:hAnsi="Verdana" w:cs="Times New Roman"/>
                <w:color w:val="000000"/>
                <w:sz w:val="16"/>
                <w:szCs w:val="16"/>
              </w:rPr>
            </w:pPr>
          </w:p>
        </w:tc>
      </w:tr>
    </w:tbl>
    <w:p w:rsidR="00CF4BFD" w:rsidRDefault="00CF4BFD"/>
    <w:p w:rsidR="00CF4BFD" w:rsidRDefault="00CF4BFD" w:rsidP="00017EB2">
      <w:pPr>
        <w:pStyle w:val="NormalWeb"/>
        <w:jc w:val="center"/>
      </w:pPr>
      <w:r>
        <w:rPr>
          <w:b/>
          <w:bCs/>
        </w:rPr>
        <w:t xml:space="preserve">DIVISION 215 </w:t>
      </w:r>
    </w:p>
    <w:p w:rsidR="00CF4BFD" w:rsidRDefault="00CF4BFD" w:rsidP="00017EB2">
      <w:pPr>
        <w:pStyle w:val="NormalWeb"/>
        <w:jc w:val="center"/>
      </w:pPr>
      <w:r>
        <w:rPr>
          <w:b/>
          <w:bCs/>
        </w:rPr>
        <w:t>GREENHOUSE GAS REPORTING REQUIREMENTS</w:t>
      </w:r>
      <w:r>
        <w:t xml:space="preserve"> </w:t>
      </w:r>
    </w:p>
    <w:p w:rsidR="00CF4BFD" w:rsidRDefault="00CF4BFD" w:rsidP="00017EB2">
      <w:pPr>
        <w:pStyle w:val="NormalWeb"/>
      </w:pPr>
      <w:r>
        <w:rPr>
          <w:b/>
          <w:bCs/>
        </w:rPr>
        <w:t xml:space="preserve">340-215-0050 </w:t>
      </w:r>
    </w:p>
    <w:p w:rsidR="00CF4BFD" w:rsidRDefault="00CF4BFD" w:rsidP="00017EB2">
      <w:pPr>
        <w:pStyle w:val="NormalWeb"/>
      </w:pPr>
      <w:r>
        <w:rPr>
          <w:b/>
          <w:bCs/>
        </w:rPr>
        <w:t>Greenhouse Gas Reporting Fees</w:t>
      </w:r>
      <w:r>
        <w:t xml:space="preserve"> </w:t>
      </w:r>
    </w:p>
    <w:p w:rsidR="00CF4BFD" w:rsidRDefault="00CF4BFD" w:rsidP="00017EB2">
      <w:pPr>
        <w:pStyle w:val="NormalWeb"/>
      </w:pPr>
      <w:r>
        <w:t xml:space="preserve">(1) Any person required to register and report under OAR 340-215-0030(1)(a) must submit greenhouse gas reporting fees to the Department as specified in OAR 340-220-0050(4). The fees must be received by the Department within 30 days after the Department mails the fee invoice. </w:t>
      </w:r>
    </w:p>
    <w:p w:rsidR="00CF4BFD" w:rsidRDefault="00CF4BFD" w:rsidP="00017EB2">
      <w:pPr>
        <w:pStyle w:val="NormalWeb"/>
      </w:pPr>
      <w:r>
        <w:lastRenderedPageBreak/>
        <w:t xml:space="preserve">(2) Any person required to register and report under OAR 340-215-0030(1)(b)–(c) must submit greenhouse gas reporting fees to the Department as specified in OAR Chapter 340, Division 216, Table 2, Part 3. The fees must be received by the Department within 30 days after the Department mails the fee invoice. </w:t>
      </w:r>
    </w:p>
    <w:p w:rsidR="00CF4BFD" w:rsidRDefault="00CF4BFD" w:rsidP="00017EB2">
      <w:pPr>
        <w:pStyle w:val="NormalWeb"/>
      </w:pPr>
      <w:r>
        <w:t>Stat. Auth.: 468A.050</w:t>
      </w:r>
      <w:r>
        <w:br/>
        <w:t>Stats. Implemented: ORS 468 &amp; 468A</w:t>
      </w:r>
      <w:r>
        <w:br/>
        <w:t xml:space="preserve">Hist.: DEQ 9-2009(Temp), f. 12-24-09, cert. ef. 1-1-10 thru 6-30-10 </w:t>
      </w:r>
    </w:p>
    <w:p w:rsidR="00CF4BFD" w:rsidRDefault="00CF4BFD"/>
    <w:p w:rsidR="00CF4BFD" w:rsidRPr="00D97846" w:rsidRDefault="00CF4BFD" w:rsidP="00D97846">
      <w:pPr>
        <w:spacing w:before="100" w:beforeAutospacing="1" w:after="100" w:afterAutospacing="1" w:line="240" w:lineRule="auto"/>
        <w:jc w:val="center"/>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DIVISION 216</w:t>
      </w:r>
    </w:p>
    <w:p w:rsidR="00CF4BFD" w:rsidRDefault="00CF4BFD" w:rsidP="00D97846">
      <w:pPr>
        <w:spacing w:before="100" w:beforeAutospacing="1" w:after="100" w:afterAutospacing="1" w:line="240" w:lineRule="auto"/>
        <w:jc w:val="center"/>
        <w:rPr>
          <w:rFonts w:ascii="Times New Roman" w:eastAsia="Times New Roman" w:hAnsi="Times New Roman" w:cs="Times New Roman"/>
          <w:b/>
          <w:bCs/>
          <w:sz w:val="24"/>
          <w:szCs w:val="24"/>
        </w:rPr>
      </w:pPr>
      <w:r w:rsidRPr="00D97846">
        <w:rPr>
          <w:rFonts w:ascii="Times New Roman" w:eastAsia="Times New Roman" w:hAnsi="Times New Roman" w:cs="Times New Roman"/>
          <w:b/>
          <w:bCs/>
          <w:sz w:val="24"/>
          <w:szCs w:val="24"/>
        </w:rPr>
        <w:t>AIR CONTAMINANT DISCHARGE PERMITS</w:t>
      </w:r>
    </w:p>
    <w:p w:rsidR="00CF4BFD" w:rsidRDefault="00CF4BFD" w:rsidP="00780229">
      <w:pPr>
        <w:pStyle w:val="NormalWeb"/>
        <w:spacing w:before="0" w:beforeAutospacing="0" w:after="0" w:afterAutospacing="0"/>
      </w:pPr>
      <w:r>
        <w:rPr>
          <w:b/>
          <w:bCs/>
        </w:rPr>
        <w:t xml:space="preserve">340-216-0020 </w:t>
      </w:r>
    </w:p>
    <w:p w:rsidR="00CF4BFD" w:rsidRDefault="00CF4BFD" w:rsidP="00780229">
      <w:pPr>
        <w:pStyle w:val="NormalWeb"/>
        <w:spacing w:before="0" w:beforeAutospacing="0" w:after="0" w:afterAutospacing="0"/>
      </w:pPr>
      <w:r>
        <w:rPr>
          <w:b/>
          <w:bCs/>
        </w:rPr>
        <w:t>Applicability</w:t>
      </w:r>
      <w:r>
        <w:t xml:space="preserve"> </w:t>
      </w:r>
    </w:p>
    <w:p w:rsidR="00CF4BFD" w:rsidRDefault="00CF4BFD" w:rsidP="00780229">
      <w:pPr>
        <w:pStyle w:val="NormalWeb"/>
        <w:spacing w:before="0" w:beforeAutospacing="0" w:after="0" w:afterAutospacing="0"/>
      </w:pPr>
      <w:r>
        <w:t xml:space="preserve">This division applies to all sources referred to in Table 1. This division also applies to Oregon Title V Operating Permit program sources when an ACDP is required by OAR 340-218-0020 or 340-224-0010. Sources referred to in Table 1 are subject to fees as set forth in </w:t>
      </w:r>
      <w:r>
        <w:rPr>
          <w:b/>
          <w:bCs/>
        </w:rPr>
        <w:t>Table 2</w:t>
      </w:r>
      <w:r>
        <w:t xml:space="preserve">. </w:t>
      </w:r>
    </w:p>
    <w:p w:rsidR="00CF4BFD" w:rsidRDefault="00CF4BFD" w:rsidP="00780229">
      <w:pPr>
        <w:pStyle w:val="NormalWeb"/>
        <w:spacing w:before="0" w:beforeAutospacing="0" w:after="0" w:afterAutospacing="0"/>
      </w:pPr>
      <w:r>
        <w:t xml:space="preserve">(1) No person may construct, install, establish, develop or operate any air contaminant source which is referred to in Table 1 without first obtaining an Air Contaminant Discharge Permit (ACDP) from the Department or Regional Authority, unless otherwise deferred from the requirement to obtain an ACDP in subsection (1)(c) or (d) of this rule. No person may continue to operate an air contaminant source if the ACDP expires, or is terminated or revoked; except as provided in OAR 340-216-0082. </w:t>
      </w:r>
    </w:p>
    <w:p w:rsidR="00CF4BFD" w:rsidRDefault="00CF4BFD" w:rsidP="00780229">
      <w:pPr>
        <w:pStyle w:val="NormalWeb"/>
        <w:spacing w:before="0" w:beforeAutospacing="0" w:after="0" w:afterAutospacing="0"/>
      </w:pPr>
      <w:r>
        <w:t xml:space="preserve">(a) For portable sources, a single permit may be issued for operating at any area of the state if the permit includes the requirements from both the Department and Regional Authorities. </w:t>
      </w:r>
    </w:p>
    <w:p w:rsidR="00CF4BFD" w:rsidRDefault="00CF4BFD" w:rsidP="00780229">
      <w:pPr>
        <w:pStyle w:val="NormalWeb"/>
        <w:spacing w:before="0" w:beforeAutospacing="0" w:after="0" w:afterAutospacing="0"/>
      </w:pPr>
      <w:r>
        <w:t xml:space="preserve">(b) The Department or Regional Authority where the portable source's Corporate offices are located will be responsible for issuing the permit. If the corporate office of a portable source is located outside of the state, the Department will be responsible for issuing the permit. </w:t>
      </w:r>
    </w:p>
    <w:p w:rsidR="00CF4BFD" w:rsidRDefault="00CF4BFD" w:rsidP="00780229">
      <w:pPr>
        <w:pStyle w:val="NormalWeb"/>
        <w:spacing w:before="0" w:beforeAutospacing="0" w:after="0" w:afterAutospacing="0"/>
      </w:pPr>
      <w: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the Department may defer the requirement to submit an application for, or to obtain an ACDP or ACDP Attachment, or both, for up to an additional twelve months. </w:t>
      </w:r>
    </w:p>
    <w:p w:rsidR="00CF4BFD" w:rsidRDefault="00CF4BFD" w:rsidP="00780229">
      <w:pPr>
        <w:pStyle w:val="NormalWeb"/>
        <w:spacing w:before="0" w:beforeAutospacing="0" w:after="0" w:afterAutospacing="0"/>
      </w:pPr>
      <w:r>
        <w:t xml:space="preserve">(d) Gasoline dispensing facilities are not required to submit an application for an ACDP or ACDP Attachment until May 1, 2010 or obtain an ACDP or ACDP attachment until June 1, 2010. The Department may defer the requirement to submit an application for, or to obtain an ACDP or ACDP Attachment, or both, for up to an additional six months. </w:t>
      </w:r>
    </w:p>
    <w:p w:rsidR="00CF4BFD" w:rsidRDefault="00CF4BFD" w:rsidP="00780229">
      <w:pPr>
        <w:pStyle w:val="NormalWeb"/>
        <w:spacing w:before="0" w:beforeAutospacing="0" w:after="0" w:afterAutospacing="0"/>
      </w:pPr>
      <w:r>
        <w:t xml:space="preserve">(e) Deferrals of Oregon permitting requirements do not relieve an air contaminant source from the responsibility of complying with federal NESHAP or NSPS requirements. </w:t>
      </w:r>
    </w:p>
    <w:p w:rsidR="00CF4BFD" w:rsidRDefault="00CF4BFD" w:rsidP="00780229">
      <w:pPr>
        <w:pStyle w:val="NormalWeb"/>
        <w:spacing w:before="0" w:beforeAutospacing="0" w:after="0" w:afterAutospacing="0"/>
      </w:pPr>
      <w:r>
        <w:lastRenderedPageBreak/>
        <w:t xml:space="preserve">(2) No person may construct, install, establish, or develop any source that will be subject to the Oregon Title V Operating Permit program without first obtaining an ACDP from the Department or Regional Authority. </w:t>
      </w:r>
    </w:p>
    <w:p w:rsidR="00CF4BFD" w:rsidRDefault="00CF4BFD" w:rsidP="00780229">
      <w:pPr>
        <w:pStyle w:val="NormalWeb"/>
        <w:spacing w:before="0" w:beforeAutospacing="0" w:after="0" w:afterAutospacing="0"/>
      </w:pPr>
      <w:r>
        <w:t xml:space="preserve">(3) No person may modify any source that has been issued an ACDP without first complying with the requirements of OAR 340-210-0205 through 340-210-0250. </w:t>
      </w:r>
    </w:p>
    <w:p w:rsidR="00CF4BFD" w:rsidRDefault="00CF4BFD" w:rsidP="00780229">
      <w:pPr>
        <w:pStyle w:val="NormalWeb"/>
        <w:spacing w:before="0" w:beforeAutospacing="0" w:after="0" w:afterAutospacing="0"/>
      </w:pPr>
      <w:r>
        <w:t xml:space="preserve">(4) No person may modify any source required to have an ACDP such that the source becomes subject to the Oregon Title V Operating Permit program without complying with the requirements of OAR 340-210-0205 through 340-210-0250. </w:t>
      </w:r>
    </w:p>
    <w:p w:rsidR="00CF4BFD" w:rsidRDefault="00CF4BFD" w:rsidP="00780229">
      <w:pPr>
        <w:pStyle w:val="NormalWeb"/>
        <w:spacing w:before="0" w:beforeAutospacing="0" w:after="0" w:afterAutospacing="0"/>
      </w:pPr>
      <w:r>
        <w:t xml:space="preserve">(5) No person may increase emissions above the PSEL by more than the de minimis levels specified in OAR 340-200-0020 without first applying for and obtaining a modified ACDP. </w:t>
      </w:r>
    </w:p>
    <w:p w:rsidR="00CF4BFD" w:rsidRPr="001064D6" w:rsidRDefault="00CF4BFD" w:rsidP="00780229">
      <w:pPr>
        <w:pStyle w:val="PlainText"/>
        <w:rPr>
          <w:rFonts w:ascii="Times New Roman" w:hAnsi="Times New Roman" w:cs="Times New Roman"/>
          <w:sz w:val="24"/>
          <w:szCs w:val="24"/>
        </w:rPr>
      </w:pPr>
      <w:r w:rsidRPr="003C29BA">
        <w:rPr>
          <w:rFonts w:ascii="Times New Roman" w:hAnsi="Times New Roman" w:cs="Times New Roman"/>
          <w:sz w:val="24"/>
          <w:szCs w:val="24"/>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CF4BFD" w:rsidRDefault="00CF4BFD" w:rsidP="00780229">
      <w:pPr>
        <w:pStyle w:val="NormalWeb"/>
        <w:spacing w:before="0" w:beforeAutospacing="0" w:after="0" w:afterAutospacing="0"/>
      </w:pPr>
      <w:r>
        <w:rPr>
          <w:b/>
          <w:bCs/>
        </w:rPr>
        <w:t xml:space="preserve">NOTE: </w:t>
      </w:r>
      <w:r>
        <w:t xml:space="preserve">This rule is included in the State of Oregon Clean Air Act Implementation Plan as adopted by the EQC under OAR 340-211-0040. </w:t>
      </w:r>
    </w:p>
    <w:p w:rsidR="00CF4BFD" w:rsidRDefault="00CF4BFD" w:rsidP="00780229">
      <w:pPr>
        <w:pStyle w:val="NormalWeb"/>
        <w:spacing w:before="0" w:beforeAutospacing="0" w:after="0" w:afterAutospacing="0"/>
      </w:pPr>
      <w:r>
        <w:t xml:space="preserve">[ED. NOTE: The tables referenced in this rule are not included in the rule text. </w:t>
      </w:r>
      <w:hyperlink r:id="rId11" w:history="1">
        <w:r>
          <w:rPr>
            <w:rStyle w:val="Hyperlink"/>
          </w:rPr>
          <w:t>Click here for a PDF copy of the tables</w:t>
        </w:r>
      </w:hyperlink>
      <w:r>
        <w:t>.]</w:t>
      </w:r>
    </w:p>
    <w:p w:rsidR="00CF4BFD" w:rsidRDefault="00CF4BFD" w:rsidP="00780229">
      <w:pPr>
        <w:pStyle w:val="NormalWeb"/>
        <w:spacing w:before="0" w:beforeAutospacing="0" w:after="0" w:afterAutospacing="0"/>
      </w:pPr>
      <w:r>
        <w:t>Stat. Auth.: ORS 468.020</w:t>
      </w:r>
      <w:r>
        <w:br/>
        <w:t>Stats. Implemented: ORS 468A</w:t>
      </w:r>
      <w:r>
        <w:br/>
        <w:t xml:space="preserve">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w:t>
      </w:r>
    </w:p>
    <w:p w:rsidR="00CF4BFD" w:rsidRDefault="00CF4BFD" w:rsidP="00780229">
      <w:pPr>
        <w:pStyle w:val="NormalWeb"/>
        <w:spacing w:before="0" w:beforeAutospacing="0" w:after="0" w:afterAutospacing="0"/>
      </w:pPr>
    </w:p>
    <w:p w:rsidR="00CF4BFD" w:rsidRDefault="00CF4BFD" w:rsidP="00780229">
      <w:pPr>
        <w:pStyle w:val="NormalWeb"/>
        <w:spacing w:before="0" w:beforeAutospacing="0" w:after="0" w:afterAutospacing="0"/>
      </w:pPr>
      <w:r>
        <w:rPr>
          <w:b/>
          <w:bCs/>
        </w:rPr>
        <w:t>340-216-0025</w:t>
      </w:r>
    </w:p>
    <w:p w:rsidR="00CF4BFD" w:rsidRDefault="00CF4BFD" w:rsidP="00780229">
      <w:pPr>
        <w:pStyle w:val="NormalWeb"/>
        <w:spacing w:before="0" w:beforeAutospacing="0" w:after="0" w:afterAutospacing="0"/>
      </w:pPr>
      <w:r>
        <w:rPr>
          <w:b/>
          <w:bCs/>
        </w:rPr>
        <w:t>Types of Permits</w:t>
      </w:r>
    </w:p>
    <w:p w:rsidR="00CF4BFD" w:rsidRDefault="00CF4BFD" w:rsidP="00780229">
      <w:pPr>
        <w:pStyle w:val="NormalWeb"/>
        <w:spacing w:before="0" w:beforeAutospacing="0" w:after="0" w:afterAutospacing="0"/>
      </w:pPr>
      <w:r>
        <w:t xml:space="preserve">(1) </w:t>
      </w:r>
      <w:r>
        <w:rPr>
          <w:b/>
          <w:bCs/>
        </w:rPr>
        <w:t>Construction ACDP</w:t>
      </w:r>
      <w:r>
        <w:t xml:space="preserve">: </w:t>
      </w:r>
    </w:p>
    <w:p w:rsidR="00CF4BFD" w:rsidRDefault="00CF4BFD" w:rsidP="00780229">
      <w:pPr>
        <w:pStyle w:val="NormalWeb"/>
        <w:spacing w:before="0" w:beforeAutospacing="0" w:after="0" w:afterAutospacing="0"/>
      </w:pPr>
      <w:r>
        <w:t>(a) A Construction ACDP may be used for approval of Type 3 changes specified in OAR 340-210-0220 at a source subject to the ACDP permit requirements in this division.</w:t>
      </w:r>
    </w:p>
    <w:p w:rsidR="00CF4BFD" w:rsidRDefault="00CF4BFD" w:rsidP="00780229">
      <w:pPr>
        <w:pStyle w:val="NormalWeb"/>
        <w:spacing w:before="0" w:beforeAutospacing="0" w:after="0" w:afterAutospacing="0"/>
      </w:pPr>
      <w:r>
        <w:t>(b) A Construction ACDP is required for Type 3 changes specified in OAR 340-210-0225 at sources subject to the Oregon Title V Operating Permit requirements.</w:t>
      </w:r>
    </w:p>
    <w:p w:rsidR="00CF4BFD" w:rsidRDefault="00CF4BFD" w:rsidP="00780229">
      <w:pPr>
        <w:pStyle w:val="NormalWeb"/>
        <w:spacing w:before="0" w:beforeAutospacing="0" w:after="0" w:afterAutospacing="0"/>
      </w:pPr>
      <w:r>
        <w:t xml:space="preserve">(2) </w:t>
      </w:r>
      <w:r>
        <w:rPr>
          <w:b/>
          <w:bCs/>
        </w:rPr>
        <w:t>General ACDP</w:t>
      </w:r>
      <w:r>
        <w:t xml:space="preserve">. A General ACDP is for a category of sources for which individual permits are unnecessary in order to protect the environment. An owner or operator of a source may be </w:t>
      </w:r>
      <w:r>
        <w:lastRenderedPageBreak/>
        <w:t>assigned to a General ACDP if the Department has issued a General ACDP for the source category:</w:t>
      </w:r>
    </w:p>
    <w:p w:rsidR="00CF4BFD" w:rsidRDefault="00CF4BFD" w:rsidP="00780229">
      <w:pPr>
        <w:pStyle w:val="NormalWeb"/>
        <w:spacing w:before="0" w:beforeAutospacing="0" w:after="0" w:afterAutospacing="0"/>
      </w:pPr>
      <w:r>
        <w:t xml:space="preserve">(a) The source meets the qualifications specified in the General ACDP; </w:t>
      </w:r>
    </w:p>
    <w:p w:rsidR="00CF4BFD" w:rsidRDefault="00CF4BFD" w:rsidP="00780229">
      <w:pPr>
        <w:pStyle w:val="NormalWeb"/>
        <w:spacing w:before="0" w:beforeAutospacing="0" w:after="0" w:afterAutospacing="0"/>
      </w:pPr>
      <w:r>
        <w:t xml:space="preserve">(b) The Department determines that the source has not had ongoing, reoccurring, or serious compliance problems; and </w:t>
      </w:r>
    </w:p>
    <w:p w:rsidR="00CF4BFD" w:rsidRDefault="00CF4BFD" w:rsidP="00780229">
      <w:pPr>
        <w:pStyle w:val="NormalWeb"/>
        <w:spacing w:before="0" w:beforeAutospacing="0" w:after="0" w:afterAutospacing="0"/>
      </w:pPr>
      <w:r>
        <w:t xml:space="preserve">(c) The Department determines that a General ACDP would appropriately regulate the source. </w:t>
      </w:r>
    </w:p>
    <w:p w:rsidR="00CF4BFD" w:rsidRDefault="00CF4BFD" w:rsidP="00780229">
      <w:pPr>
        <w:pStyle w:val="NormalWeb"/>
        <w:spacing w:before="0" w:beforeAutospacing="0" w:after="0" w:afterAutospacing="0"/>
      </w:pPr>
      <w:r>
        <w:t xml:space="preserve">(3) </w:t>
      </w:r>
      <w:r>
        <w:rPr>
          <w:b/>
          <w:bCs/>
        </w:rPr>
        <w:t>Short Term Activity ACDP</w:t>
      </w:r>
      <w:r>
        <w:t xml:space="preserve">.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 </w:t>
      </w:r>
    </w:p>
    <w:p w:rsidR="00CF4BFD" w:rsidRDefault="00CF4BFD" w:rsidP="00780229">
      <w:pPr>
        <w:pStyle w:val="NormalWeb"/>
        <w:spacing w:before="0" w:beforeAutospacing="0" w:after="0" w:afterAutospacing="0"/>
      </w:pPr>
      <w:r>
        <w:t xml:space="preserve">(4) </w:t>
      </w:r>
      <w:r>
        <w:rPr>
          <w:b/>
          <w:bCs/>
        </w:rPr>
        <w:t>Basic ACDP</w:t>
      </w:r>
      <w:r>
        <w:t xml:space="preserve">. A Basic ACDP is a permit that authorizes the regulated source to operate in conformance with the rules contained in OAR 340 divisions 200 to 268. </w:t>
      </w:r>
    </w:p>
    <w:p w:rsidR="00CF4BFD" w:rsidRDefault="00CF4BFD" w:rsidP="00780229">
      <w:pPr>
        <w:pStyle w:val="NormalWeb"/>
        <w:spacing w:before="0" w:beforeAutospacing="0" w:after="0" w:afterAutospacing="0"/>
      </w:pPr>
      <w:r>
        <w:t xml:space="preserve">(a) Owners and operators of sources and activities listed in Table 1, Part A of OAR 340-216-0020 must at a minimum obtain a Basic ACDP. </w:t>
      </w:r>
    </w:p>
    <w:p w:rsidR="00CF4BFD" w:rsidRDefault="00CF4BFD" w:rsidP="00780229">
      <w:pPr>
        <w:pStyle w:val="NormalWeb"/>
        <w:spacing w:before="0" w:beforeAutospacing="0" w:after="0" w:afterAutospacing="0"/>
      </w:pPr>
      <w:r>
        <w:t xml:space="preserve">(b) Any owner or operator of a source required to obtain a Basic ACDP may obtain either a Simple or Standard ACDP. </w:t>
      </w:r>
    </w:p>
    <w:p w:rsidR="00CF4BFD" w:rsidRDefault="00CF4BFD" w:rsidP="00780229">
      <w:pPr>
        <w:pStyle w:val="NormalWeb"/>
        <w:spacing w:before="0" w:beforeAutospacing="0" w:after="0" w:afterAutospacing="0"/>
      </w:pPr>
      <w:r>
        <w:t xml:space="preserve">(5) </w:t>
      </w:r>
      <w:r>
        <w:rPr>
          <w:b/>
          <w:bCs/>
        </w:rPr>
        <w:t>Simple ACDP</w:t>
      </w:r>
      <w:r>
        <w:t xml:space="preserve">. A Simple ACDP is a permit that contains: </w:t>
      </w:r>
    </w:p>
    <w:p w:rsidR="00CF4BFD" w:rsidRDefault="00CF4BFD" w:rsidP="00780229">
      <w:pPr>
        <w:pStyle w:val="NormalWeb"/>
        <w:spacing w:before="0" w:beforeAutospacing="0" w:after="0" w:afterAutospacing="0"/>
      </w:pPr>
      <w:r>
        <w:t xml:space="preserve">(a) All relevant applicable requirements for source operation, including general ACDP conditions for incorporating generally applicable requirements; </w:t>
      </w:r>
    </w:p>
    <w:p w:rsidR="00CF4BFD" w:rsidRDefault="00CF4BFD" w:rsidP="00780229">
      <w:pPr>
        <w:pStyle w:val="NormalWeb"/>
        <w:spacing w:before="0" w:beforeAutospacing="0" w:after="0" w:afterAutospacing="0"/>
      </w:pPr>
      <w:r>
        <w:t xml:space="preserve">(b) Generic PSELs for all pollutants emitted at more than the deminimis level in accordance with OAR 340 division 222; </w:t>
      </w:r>
    </w:p>
    <w:p w:rsidR="00CF4BFD" w:rsidRDefault="00CF4BFD" w:rsidP="00780229">
      <w:pPr>
        <w:pStyle w:val="NormalWeb"/>
        <w:spacing w:before="0" w:beforeAutospacing="0" w:after="0" w:afterAutospacing="0"/>
      </w:pPr>
      <w:r>
        <w:t xml:space="preserve">(c) Testing, monitoring, recordkeeping, and reporting requirements sufficient to determine compliance with the PSEL and other emission limits and standards, as necessary; and </w:t>
      </w:r>
    </w:p>
    <w:p w:rsidR="00CF4BFD" w:rsidRDefault="00CF4BFD" w:rsidP="00780229">
      <w:pPr>
        <w:pStyle w:val="NormalWeb"/>
        <w:spacing w:before="0" w:beforeAutospacing="0" w:after="0" w:afterAutospacing="0"/>
      </w:pPr>
      <w:r>
        <w:t xml:space="preserve">(d) A permit duration not to exceed 5 years. </w:t>
      </w:r>
    </w:p>
    <w:p w:rsidR="00CF4BFD" w:rsidRDefault="00CF4BFD" w:rsidP="00780229">
      <w:pPr>
        <w:pStyle w:val="NormalWeb"/>
        <w:spacing w:before="0" w:beforeAutospacing="0" w:after="0" w:afterAutospacing="0"/>
      </w:pPr>
      <w:r>
        <w:t xml:space="preserve">(6) </w:t>
      </w:r>
      <w:r>
        <w:rPr>
          <w:b/>
          <w:bCs/>
        </w:rPr>
        <w:t>Standard ACDP</w:t>
      </w:r>
      <w:r>
        <w:t>:</w:t>
      </w:r>
    </w:p>
    <w:p w:rsidR="00CF4BFD" w:rsidRDefault="00CF4BFD" w:rsidP="00780229">
      <w:pPr>
        <w:pStyle w:val="NormalWeb"/>
        <w:spacing w:before="0" w:beforeAutospacing="0" w:after="0" w:afterAutospacing="0"/>
      </w:pPr>
      <w:r>
        <w:t xml:space="preserve">(a) A Standard ACDP is a permit that contains: </w:t>
      </w:r>
    </w:p>
    <w:p w:rsidR="00CF4BFD" w:rsidRDefault="00CF4BFD" w:rsidP="00780229">
      <w:pPr>
        <w:pStyle w:val="NormalWeb"/>
        <w:spacing w:before="0" w:beforeAutospacing="0" w:after="0" w:afterAutospacing="0"/>
      </w:pPr>
      <w:r>
        <w:t xml:space="preserve">(A) All applicable requirements, including general ACDP conditions for incorporating generally applicable requirements; </w:t>
      </w:r>
    </w:p>
    <w:p w:rsidR="00CF4BFD" w:rsidRDefault="00CF4BFD" w:rsidP="00780229">
      <w:pPr>
        <w:pStyle w:val="NormalWeb"/>
        <w:spacing w:before="0" w:beforeAutospacing="0" w:after="0" w:afterAutospacing="0"/>
      </w:pPr>
      <w:r>
        <w:t xml:space="preserve">(B) Source specific PSELs or Generic PSELs, whichever are applicable, as specified in OAR 340 division 222; </w:t>
      </w:r>
    </w:p>
    <w:p w:rsidR="00CF4BFD" w:rsidRDefault="00CF4BFD" w:rsidP="00780229">
      <w:pPr>
        <w:pStyle w:val="NormalWeb"/>
        <w:spacing w:before="0" w:beforeAutospacing="0" w:after="0" w:afterAutospacing="0"/>
      </w:pPr>
      <w:r>
        <w:t xml:space="preserve">(C) Testing, monitoring, recordkeeping, and reporting requirements sufficient to determine compliance with the PSEL and other emission limits and standards, as necessary; and </w:t>
      </w:r>
    </w:p>
    <w:p w:rsidR="00CF4BFD" w:rsidRDefault="00CF4BFD" w:rsidP="00780229">
      <w:pPr>
        <w:pStyle w:val="NormalWeb"/>
        <w:spacing w:before="0" w:beforeAutospacing="0" w:after="0" w:afterAutospacing="0"/>
      </w:pPr>
      <w:r>
        <w:t xml:space="preserve">(D) A permit duration not to exceed 5 years. </w:t>
      </w:r>
    </w:p>
    <w:p w:rsidR="00CF4BFD" w:rsidRDefault="00CF4BFD" w:rsidP="00780229">
      <w:pPr>
        <w:pStyle w:val="NormalWeb"/>
        <w:spacing w:before="0" w:beforeAutospacing="0" w:after="0" w:afterAutospacing="0"/>
      </w:pPr>
      <w:r>
        <w:t xml:space="preserve">(b) All owners and operators of sources and activities listed in Table 1, Part C of OAR 340-216-0020 must obtain a Standard ACDP. </w:t>
      </w:r>
    </w:p>
    <w:p w:rsidR="00CF4BFD" w:rsidRDefault="00CF4BFD" w:rsidP="00780229">
      <w:pPr>
        <w:pStyle w:val="NormalWeb"/>
        <w:spacing w:before="0" w:beforeAutospacing="0" w:after="0" w:afterAutospacing="0"/>
      </w:pPr>
      <w:r>
        <w:t xml:space="preserve">(c) Owners or operators of sources and activities listed in Table 1, Part B of OAR 340-216-0020 which do not qualify for a General ACDP or Simple ACDP must obtain a Standard ACDP. </w:t>
      </w:r>
    </w:p>
    <w:p w:rsidR="00CF4BFD" w:rsidRDefault="00CF4BFD" w:rsidP="00780229">
      <w:pPr>
        <w:pStyle w:val="NormalWeb"/>
        <w:spacing w:before="0" w:beforeAutospacing="0" w:after="0" w:afterAutospacing="0"/>
      </w:pPr>
      <w:r>
        <w:t xml:space="preserve">(d) Any owner or operator of a source not required to obtain a Standard ACDP may obtain a Standard ACDP. </w:t>
      </w:r>
    </w:p>
    <w:p w:rsidR="00CF4BFD" w:rsidRDefault="00CF4BFD" w:rsidP="00780229">
      <w:pPr>
        <w:pStyle w:val="NormalWeb"/>
        <w:spacing w:before="0" w:beforeAutospacing="0" w:after="0" w:afterAutospacing="0"/>
      </w:pPr>
      <w:r>
        <w:rPr>
          <w:b/>
          <w:bCs/>
        </w:rPr>
        <w:t>NOTE:</w:t>
      </w:r>
      <w:r>
        <w:t xml:space="preserve"> This rule is included in the State of Oregon Clean Air Act Implementation Plan as adopted by the EQC under OAR 340-211-0040. </w:t>
      </w:r>
    </w:p>
    <w:p w:rsidR="00CF4BFD" w:rsidRDefault="00CF4BFD" w:rsidP="00780229">
      <w:pPr>
        <w:pStyle w:val="NormalWeb"/>
        <w:spacing w:before="0" w:beforeAutospacing="0" w:after="0" w:afterAutospacing="0"/>
      </w:pPr>
      <w:r>
        <w:t xml:space="preserve">[ED. NOTE: The tables referenced in this rule are not included in the rule text. </w:t>
      </w:r>
      <w:hyperlink r:id="rId12" w:history="1">
        <w:r>
          <w:rPr>
            <w:rStyle w:val="Hyperlink"/>
          </w:rPr>
          <w:t>Click here for a PDF copy of the tables</w:t>
        </w:r>
      </w:hyperlink>
      <w:r>
        <w:t>.]</w:t>
      </w:r>
    </w:p>
    <w:p w:rsidR="00CF4BFD" w:rsidRDefault="00CF4BFD" w:rsidP="00780229">
      <w:pPr>
        <w:pStyle w:val="NormalWeb"/>
        <w:spacing w:before="0" w:beforeAutospacing="0" w:after="0" w:afterAutospacing="0"/>
      </w:pPr>
      <w:r>
        <w:t>Stat. Auth.: ORS 468 &amp; ORS 468A</w:t>
      </w:r>
      <w:r>
        <w:br/>
        <w:t>Stats. Implemented: ORS 468.020 &amp; ORS 468A.025</w:t>
      </w:r>
      <w:r>
        <w:br/>
        <w:t>Hist.: DEQ 47, f. 8-31-72, ef. 9-15-72; DEQ 63, f. 12-20-73, ef. 1-11-74; DEQ 107, f. &amp; ef. 1-6-</w:t>
      </w:r>
      <w:r>
        <w:lastRenderedPageBreak/>
        <w:t>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DEQ14-1999, f. &amp; cert. ef. 10-14-99, Renumbered from 340-028-1720; DEQ 6-2001, f. 6-18-01, cert. ef. 7-1-01; DEQ 4-2002, f. &amp; cert. ef. 3-14-02</w:t>
      </w:r>
    </w:p>
    <w:p w:rsidR="00CF4BFD" w:rsidRDefault="00CF4BFD" w:rsidP="00780229">
      <w:pPr>
        <w:pStyle w:val="NormalWeb"/>
        <w:spacing w:before="0" w:beforeAutospacing="0" w:after="0" w:afterAutospacing="0"/>
      </w:pP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 xml:space="preserve">340-216-0040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Application Requirements</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 New Permits. Except for Short Term Activity ACDPs, any person required to obtain a new ACDP must provide the following general information, as applicable, using forms provided by the Department in addition to any other information required for a specific permit type:</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(a) Identifying information, including the name of the company, the mailing address, the facility address, and the nature of business (Standard Industrial Classification (SIC) code);</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The name and phone number of a local person responsible for compliance with the permit;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(c) The name of a person authorized to receive requests for data and information;</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(d) A description of the production processes and related flow chart;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(e) A plot plan showing the location and height of air contaminant sources. The plot plan must also indicate the nearest residential or commercial property;</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(f) The type and quantity of fuels used;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(g) An estimate of the amount and type of each air contaminant emitted by the source in terms of hourly, daily, or monthly and yearly rates, showing calculation procedures;</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(h) Any information on pollution prevention measures and cross-media impacts the applicant wants the Department to consider in determining applicable control requirements and evaluating compliance methods;</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(i) Estimated efficiency of air pollution control equipment under present or anticipated operating conditions;</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(k) A Land Use Compatibility Statement signed by a local (city or county) planner either approving or disapproving construction or modification of the source, if required by the local planning agency; and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(l) Any other information requested by the Department.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(2) Renewal Permits. Except for Short Term Activity ACDPs, any person required to renew an existing permit must submit the information identified in section (1) using forms provided by the Department, unless there are no significant changes to the permit. If there are significant changes, the applicant must provided the information identified in section (1) only for those changes. Where there are no significant changes to the permit , the applicant may use a streamlined permit renewal application process by providing the following information:</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(a) Identifying information, including the name of the company, the mailing address, the facility address, and the nature of business (Standard Industrial Classification (SIC) code) using a form provided by the Department; and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lastRenderedPageBreak/>
        <w:t>(b) A marked up copy of the previous permit indicating minor changes along with an explanation for each requested change.</w:t>
      </w:r>
    </w:p>
    <w:p w:rsidR="00CF4BFD"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(3) Permit Modifications. For Simple and Standard ACDP modifications, the applicant must provided the information in section (1) relevant to the requested changes to the permit and a list of any new requirements applicable to those changes.</w:t>
      </w:r>
    </w:p>
    <w:p w:rsidR="00CF4BFD" w:rsidRPr="00FA4C5C" w:rsidRDefault="00CF4BFD" w:rsidP="00780229">
      <w:pPr>
        <w:pStyle w:val="NormalWeb"/>
        <w:spacing w:before="0" w:beforeAutospacing="0" w:after="0" w:afterAutospacing="0"/>
      </w:pPr>
      <w:r w:rsidRPr="00FA4C5C">
        <w:t xml:space="preserve">(4) Any owner or operator who fails to submit any relevant facts or who has submitted incorrect information in a permit application must, upon becoming aware of such failure or incorrect submittal, promptly submit such supplementary facts or corrected information.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D97846">
        <w:rPr>
          <w:rFonts w:ascii="Times New Roman" w:eastAsia="Times New Roman" w:hAnsi="Times New Roman" w:cs="Times New Roman"/>
          <w:sz w:val="24"/>
          <w:szCs w:val="24"/>
        </w:rPr>
        <w:t>) The department must receive the application at least 60 days before a permit or modified permit is needed.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D97846">
        <w:rPr>
          <w:rFonts w:ascii="Times New Roman" w:eastAsia="Times New Roman" w:hAnsi="Times New Roman" w:cs="Times New Roman"/>
          <w:sz w:val="24"/>
          <w:szCs w:val="24"/>
        </w:rPr>
        <w:t>) The application must be completed in full and signed by the applicant or the applicant's legally authorized representative.</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D97846">
        <w:rPr>
          <w:rFonts w:ascii="Times New Roman" w:eastAsia="Times New Roman" w:hAnsi="Times New Roman" w:cs="Times New Roman"/>
          <w:sz w:val="24"/>
          <w:szCs w:val="24"/>
        </w:rPr>
        <w:t>) Two copies of the application are required, unless otherwise requested by the Department. At least one of the copies must be a paper copy, but the others may be in any other format, including electronic copies, upon approval by the Department.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D97846">
        <w:rPr>
          <w:rFonts w:ascii="Times New Roman" w:eastAsia="Times New Roman" w:hAnsi="Times New Roman" w:cs="Times New Roman"/>
          <w:sz w:val="24"/>
          <w:szCs w:val="24"/>
        </w:rPr>
        <w:t>) A copy of NSR permit applications and supplemental information must also be submitted directly to the EPA.</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D97846">
        <w:rPr>
          <w:rFonts w:ascii="Times New Roman" w:eastAsia="Times New Roman" w:hAnsi="Times New Roman" w:cs="Times New Roman"/>
          <w:sz w:val="24"/>
          <w:szCs w:val="24"/>
        </w:rPr>
        <w:t>) The name of the applicant must be the legal name of the facility or the owner's agent or the lessee responsible for the operation and maintenance of the facility. The legal name must be registered with the Secretary of State Corporations Division.</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D97846">
        <w:rPr>
          <w:rFonts w:ascii="Times New Roman" w:eastAsia="Times New Roman" w:hAnsi="Times New Roman" w:cs="Times New Roman"/>
          <w:sz w:val="24"/>
          <w:szCs w:val="24"/>
        </w:rPr>
        <w:t>) All applications must include the appropriate fees as specified in Table 2 of OAR 340-216-0020.</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D97846">
        <w:rPr>
          <w:rFonts w:ascii="Times New Roman" w:eastAsia="Times New Roman" w:hAnsi="Times New Roman" w:cs="Times New Roman"/>
          <w:sz w:val="24"/>
          <w:szCs w:val="24"/>
        </w:rPr>
        <w:t>) Applications that are obviously incomplete, unsigned, improperly signed, or lacking the required exhibits or fees will be rejected by the Department and returned to the applicant for completion.</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D97846">
        <w:rPr>
          <w:rFonts w:ascii="Times New Roman" w:eastAsia="Times New Roman" w:hAnsi="Times New Roman" w:cs="Times New Roman"/>
          <w:sz w:val="24"/>
          <w:szCs w:val="24"/>
        </w:rPr>
        <w:t>) Within 15 days after receiving the application, the Department will preliminarily review the application to determine the adequacy of the information submitted: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the Department will so notify the applicant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D97846">
        <w:rPr>
          <w:rFonts w:ascii="Times New Roman" w:eastAsia="Times New Roman" w:hAnsi="Times New Roman" w:cs="Times New Roman"/>
          <w:sz w:val="24"/>
          <w:szCs w:val="24"/>
        </w:rPr>
        <w:t>) If at any time while processing the application,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D97846">
        <w:rPr>
          <w:rFonts w:ascii="Times New Roman" w:eastAsia="Times New Roman" w:hAnsi="Times New Roman" w:cs="Times New Roman"/>
          <w:sz w:val="24"/>
          <w:szCs w:val="24"/>
        </w:rPr>
        <w:t>) If, upon review of an application, the Department determines that a permit is not required, the Department will so notify the applicant in writing. Such notification is a final action by the Department on the application.</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lastRenderedPageBreak/>
        <w:t>[</w:t>
      </w:r>
      <w:r w:rsidRPr="00D97846">
        <w:rPr>
          <w:rFonts w:ascii="Times New Roman" w:eastAsia="Times New Roman" w:hAnsi="Times New Roman" w:cs="Times New Roman"/>
          <w:b/>
          <w:bCs/>
          <w:sz w:val="24"/>
          <w:szCs w:val="24"/>
        </w:rPr>
        <w:t>NOTE:</w:t>
      </w:r>
      <w:r w:rsidRPr="00D97846">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[ED. NOTE: The </w:t>
      </w:r>
      <w:r>
        <w:rPr>
          <w:rFonts w:ascii="Times New Roman" w:eastAsia="Times New Roman" w:hAnsi="Times New Roman" w:cs="Times New Roman"/>
          <w:sz w:val="24"/>
          <w:szCs w:val="24"/>
        </w:rPr>
        <w:t>t</w:t>
      </w:r>
      <w:r w:rsidRPr="00D97846">
        <w:rPr>
          <w:rFonts w:ascii="Times New Roman" w:eastAsia="Times New Roman" w:hAnsi="Times New Roman" w:cs="Times New Roman"/>
          <w:sz w:val="24"/>
          <w:szCs w:val="24"/>
        </w:rPr>
        <w:t xml:space="preserve">ables referenced in this rule </w:t>
      </w:r>
      <w:r>
        <w:rPr>
          <w:rFonts w:ascii="Times New Roman" w:eastAsia="Times New Roman" w:hAnsi="Times New Roman" w:cs="Times New Roman"/>
          <w:sz w:val="24"/>
          <w:szCs w:val="24"/>
        </w:rPr>
        <w:t xml:space="preserve">are </w:t>
      </w:r>
      <w:r w:rsidRPr="009556CE">
        <w:rPr>
          <w:rFonts w:ascii="Times New Roman" w:hAnsi="Times New Roman" w:cs="Times New Roman"/>
          <w:sz w:val="24"/>
          <w:szCs w:val="24"/>
        </w:rPr>
        <w:t xml:space="preserve">not included in </w:t>
      </w:r>
      <w:r>
        <w:rPr>
          <w:rFonts w:ascii="Times New Roman" w:hAnsi="Times New Roman" w:cs="Times New Roman"/>
          <w:sz w:val="24"/>
          <w:szCs w:val="24"/>
        </w:rPr>
        <w:t xml:space="preserve">the </w:t>
      </w:r>
      <w:r w:rsidRPr="009556CE">
        <w:rPr>
          <w:rFonts w:ascii="Times New Roman" w:hAnsi="Times New Roman" w:cs="Times New Roman"/>
          <w:sz w:val="24"/>
          <w:szCs w:val="24"/>
        </w:rPr>
        <w:t xml:space="preserve">rule text. </w:t>
      </w:r>
      <w:hyperlink r:id="rId13" w:history="1">
        <w:r w:rsidRPr="009556CE">
          <w:rPr>
            <w:rStyle w:val="Hyperlink"/>
            <w:rFonts w:ascii="Times New Roman" w:hAnsi="Times New Roman" w:cs="Times New Roman"/>
            <w:sz w:val="24"/>
            <w:szCs w:val="24"/>
          </w:rPr>
          <w:t xml:space="preserve">Click here for </w:t>
        </w:r>
        <w:r>
          <w:rPr>
            <w:rStyle w:val="Hyperlink"/>
            <w:rFonts w:ascii="Times New Roman" w:hAnsi="Times New Roman" w:cs="Times New Roman"/>
            <w:sz w:val="24"/>
            <w:szCs w:val="24"/>
          </w:rPr>
          <w:t xml:space="preserve">a </w:t>
        </w:r>
        <w:r w:rsidRPr="009556CE">
          <w:rPr>
            <w:rStyle w:val="Hyperlink"/>
            <w:rFonts w:ascii="Times New Roman" w:hAnsi="Times New Roman" w:cs="Times New Roman"/>
            <w:sz w:val="24"/>
            <w:szCs w:val="24"/>
          </w:rPr>
          <w:t xml:space="preserve">PDF copy of </w:t>
        </w:r>
        <w:r>
          <w:rPr>
            <w:rStyle w:val="Hyperlink"/>
            <w:rFonts w:ascii="Times New Roman" w:hAnsi="Times New Roman" w:cs="Times New Roman"/>
            <w:sz w:val="24"/>
            <w:szCs w:val="24"/>
          </w:rPr>
          <w:t xml:space="preserve">the </w:t>
        </w:r>
        <w:r w:rsidRPr="009556CE">
          <w:rPr>
            <w:rStyle w:val="Hyperlink"/>
            <w:rFonts w:ascii="Times New Roman" w:hAnsi="Times New Roman" w:cs="Times New Roman"/>
            <w:sz w:val="24"/>
            <w:szCs w:val="24"/>
          </w:rPr>
          <w:t>tables</w:t>
        </w:r>
      </w:hyperlink>
      <w:r w:rsidRPr="00D97846">
        <w:rPr>
          <w:rFonts w:ascii="Times New Roman" w:eastAsia="Times New Roman" w:hAnsi="Times New Roman" w:cs="Times New Roman"/>
          <w:sz w:val="24"/>
          <w:szCs w:val="24"/>
        </w:rPr>
        <w:t>.]</w:t>
      </w:r>
    </w:p>
    <w:p w:rsidR="00CF4BFD"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Stat. Auth.: ORS 468 &amp; ORS 468A</w:t>
      </w:r>
      <w:r w:rsidRPr="00D97846">
        <w:rPr>
          <w:rFonts w:ascii="Times New Roman" w:eastAsia="Times New Roman" w:hAnsi="Times New Roman" w:cs="Times New Roman"/>
          <w:sz w:val="24"/>
          <w:szCs w:val="24"/>
        </w:rPr>
        <w:br/>
        <w:t>Stats. Implemented: ORS 468 &amp; ORS 468A</w:t>
      </w:r>
      <w:r w:rsidRPr="00D97846">
        <w:rPr>
          <w:rFonts w:ascii="Times New Roman" w:eastAsia="Times New Roman" w:hAnsi="Times New Roman" w:cs="Times New Roman"/>
          <w:sz w:val="24"/>
          <w:szCs w:val="24"/>
        </w:rPr>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w:t>
      </w:r>
    </w:p>
    <w:p w:rsidR="00CF4BFD" w:rsidRDefault="00CF4BFD" w:rsidP="00780229">
      <w:pPr>
        <w:spacing w:after="0" w:line="240" w:lineRule="auto"/>
        <w:rPr>
          <w:rFonts w:ascii="Times New Roman" w:eastAsia="Times New Roman" w:hAnsi="Times New Roman" w:cs="Times New Roman"/>
          <w:sz w:val="24"/>
          <w:szCs w:val="24"/>
        </w:rPr>
      </w:pPr>
    </w:p>
    <w:p w:rsidR="00CF4BFD" w:rsidRDefault="00CF4BFD" w:rsidP="00780229">
      <w:pPr>
        <w:pStyle w:val="NormalWeb"/>
        <w:spacing w:before="0" w:beforeAutospacing="0" w:after="0" w:afterAutospacing="0"/>
      </w:pPr>
      <w:r>
        <w:rPr>
          <w:b/>
          <w:bCs/>
        </w:rPr>
        <w:t>340-216-0052</w:t>
      </w:r>
    </w:p>
    <w:p w:rsidR="00CF4BFD" w:rsidRDefault="00CF4BFD" w:rsidP="00780229">
      <w:pPr>
        <w:pStyle w:val="NormalWeb"/>
        <w:spacing w:before="0" w:beforeAutospacing="0" w:after="0" w:afterAutospacing="0"/>
      </w:pPr>
      <w:r>
        <w:rPr>
          <w:b/>
          <w:bCs/>
        </w:rPr>
        <w:t>Construction ACDP</w:t>
      </w:r>
    </w:p>
    <w:p w:rsidR="00CF4BFD" w:rsidRDefault="00CF4BFD" w:rsidP="00780229">
      <w:pPr>
        <w:pStyle w:val="NormalWeb"/>
        <w:spacing w:before="0" w:beforeAutospacing="0" w:after="0" w:afterAutospacing="0"/>
      </w:pPr>
      <w:r>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CF4BFD" w:rsidRDefault="00CF4BFD" w:rsidP="00780229">
      <w:pPr>
        <w:pStyle w:val="NormalWeb"/>
        <w:spacing w:before="0" w:beforeAutospacing="0" w:after="0" w:afterAutospacing="0"/>
      </w:pPr>
      <w:r>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CF4BFD" w:rsidRDefault="00CF4BFD" w:rsidP="00780229">
      <w:pPr>
        <w:pStyle w:val="NormalWeb"/>
        <w:spacing w:before="0" w:beforeAutospacing="0" w:after="0" w:afterAutospacing="0"/>
      </w:pPr>
      <w:r>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CF4BFD" w:rsidRDefault="00CF4BFD" w:rsidP="00780229">
      <w:pPr>
        <w:pStyle w:val="NormalWeb"/>
        <w:spacing w:before="0" w:beforeAutospacing="0" w:after="0" w:afterAutospacing="0"/>
      </w:pPr>
      <w:r>
        <w:t>(2) Application requirements. Any person requesting a Construction ACDP must:</w:t>
      </w:r>
    </w:p>
    <w:p w:rsidR="00CF4BFD" w:rsidRDefault="00CF4BFD" w:rsidP="00780229">
      <w:pPr>
        <w:pStyle w:val="NormalWeb"/>
        <w:spacing w:before="0" w:beforeAutospacing="0" w:after="0" w:afterAutospacing="0"/>
      </w:pPr>
      <w:r>
        <w:t>(a) Submit an application in accordance with OAR 340-216-0040 and provide the information specified in 340-216-0040(1) as it relates to the proposed new construction or modification; and</w:t>
      </w:r>
    </w:p>
    <w:p w:rsidR="00CF4BFD" w:rsidRDefault="00CF4BFD" w:rsidP="00780229">
      <w:pPr>
        <w:pStyle w:val="NormalWeb"/>
        <w:spacing w:before="0" w:beforeAutospacing="0" w:after="0" w:afterAutospacing="0"/>
      </w:pPr>
      <w:r>
        <w:t>(b) Provide a list of any applicable requirements related to the new construction or modification.</w:t>
      </w:r>
    </w:p>
    <w:p w:rsidR="00CF4BFD" w:rsidRDefault="00CF4BFD" w:rsidP="00780229">
      <w:pPr>
        <w:pStyle w:val="NormalWeb"/>
        <w:spacing w:before="0" w:beforeAutospacing="0" w:after="0" w:afterAutospacing="0"/>
      </w:pPr>
      <w:r>
        <w:t>(3) Fees. Applicants for a Construction ACDP must pay the fees set forth in Table 2 of OAR 340-216-0020.</w:t>
      </w:r>
    </w:p>
    <w:p w:rsidR="00CF4BFD" w:rsidRDefault="00CF4BFD" w:rsidP="00780229">
      <w:pPr>
        <w:pStyle w:val="NormalWeb"/>
        <w:spacing w:before="0" w:beforeAutospacing="0" w:after="0" w:afterAutospacing="0"/>
      </w:pPr>
      <w:r>
        <w:t>(4) Permit content. A Construction ACDP must include at least the following:</w:t>
      </w:r>
    </w:p>
    <w:p w:rsidR="00CF4BFD" w:rsidRDefault="00CF4BFD" w:rsidP="00780229">
      <w:pPr>
        <w:pStyle w:val="NormalWeb"/>
        <w:spacing w:before="0" w:beforeAutospacing="0" w:after="0" w:afterAutospacing="0"/>
      </w:pPr>
      <w:r>
        <w:t>(a) A requirement that construction must commence within 18 months after the permit is issued;</w:t>
      </w:r>
    </w:p>
    <w:p w:rsidR="00CF4BFD" w:rsidRDefault="00CF4BFD" w:rsidP="00780229">
      <w:pPr>
        <w:pStyle w:val="NormalWeb"/>
        <w:spacing w:before="0" w:beforeAutospacing="0" w:after="0" w:afterAutospacing="0"/>
      </w:pPr>
      <w:r>
        <w:t>(b) A requirement to construct in accordance with approved plans;</w:t>
      </w:r>
    </w:p>
    <w:p w:rsidR="00CF4BFD" w:rsidRDefault="00CF4BFD" w:rsidP="00780229">
      <w:pPr>
        <w:pStyle w:val="NormalWeb"/>
        <w:spacing w:before="0" w:beforeAutospacing="0" w:after="0" w:afterAutospacing="0"/>
      </w:pPr>
      <w:r>
        <w:t>(c) A requirement to comply with all applicable requirements;</w:t>
      </w:r>
    </w:p>
    <w:p w:rsidR="00CF4BFD" w:rsidRDefault="00CF4BFD" w:rsidP="00780229">
      <w:pPr>
        <w:pStyle w:val="NormalWeb"/>
        <w:spacing w:before="0" w:beforeAutospacing="0" w:after="0" w:afterAutospacing="0"/>
      </w:pPr>
      <w:r>
        <w:t>(d) Emission limits for affected stationary sources;</w:t>
      </w:r>
    </w:p>
    <w:p w:rsidR="00CF4BFD" w:rsidRDefault="00CF4BFD" w:rsidP="00780229">
      <w:pPr>
        <w:pStyle w:val="NormalWeb"/>
        <w:spacing w:before="0" w:beforeAutospacing="0" w:after="0" w:afterAutospacing="0"/>
      </w:pPr>
      <w:r>
        <w:t>(e) Performance standards for affected stationary sources and air pollution control equipment;</w:t>
      </w:r>
    </w:p>
    <w:p w:rsidR="00CF4BFD" w:rsidRDefault="00CF4BFD" w:rsidP="00780229">
      <w:pPr>
        <w:pStyle w:val="NormalWeb"/>
        <w:spacing w:before="0" w:beforeAutospacing="0" w:after="0" w:afterAutospacing="0"/>
      </w:pPr>
      <w:r>
        <w:t>(f) Performance test requirements;</w:t>
      </w:r>
    </w:p>
    <w:p w:rsidR="00CF4BFD" w:rsidRDefault="00CF4BFD" w:rsidP="00780229">
      <w:pPr>
        <w:pStyle w:val="NormalWeb"/>
        <w:spacing w:before="0" w:beforeAutospacing="0" w:after="0" w:afterAutospacing="0"/>
      </w:pPr>
      <w:r>
        <w:lastRenderedPageBreak/>
        <w:t>(g) Monitoring requirements, if specialized equipment is required (e.g., continuous monitoring systems);</w:t>
      </w:r>
    </w:p>
    <w:p w:rsidR="00CF4BFD" w:rsidRDefault="00CF4BFD" w:rsidP="00780229">
      <w:pPr>
        <w:pStyle w:val="NormalWeb"/>
        <w:spacing w:before="0" w:beforeAutospacing="0" w:after="0" w:afterAutospacing="0"/>
      </w:pPr>
      <w:r>
        <w:t>(h) Notification and reporting requirements (construction status reports, startup dates, source test plans, CEMS performance specification testing plans, etc.);</w:t>
      </w:r>
    </w:p>
    <w:p w:rsidR="00CF4BFD" w:rsidRDefault="00CF4BFD" w:rsidP="00780229">
      <w:pPr>
        <w:pStyle w:val="NormalWeb"/>
        <w:spacing w:before="0" w:beforeAutospacing="0" w:after="0" w:afterAutospacing="0"/>
      </w:pPr>
      <w:r>
        <w:t>(i) General ACDP conditions for incorporating generally applicable requirements;</w:t>
      </w:r>
    </w:p>
    <w:p w:rsidR="00CF4BFD" w:rsidRDefault="00CF4BFD" w:rsidP="00780229">
      <w:pPr>
        <w:pStyle w:val="NormalWeb"/>
        <w:spacing w:before="0" w:beforeAutospacing="0" w:after="0" w:afterAutospacing="0"/>
      </w:pPr>
      <w:r>
        <w:t>(j) A requirement to modify the operating permit before commencing operation of the new construction or modification;</w:t>
      </w:r>
    </w:p>
    <w:p w:rsidR="00CF4BFD" w:rsidRDefault="00CF4BFD" w:rsidP="00780229">
      <w:pPr>
        <w:pStyle w:val="NormalWeb"/>
        <w:spacing w:before="0" w:beforeAutospacing="0" w:after="0" w:afterAutospacing="0"/>
      </w:pPr>
      <w:r>
        <w:t>(k) A permit expiration date of no more than 5 years; and</w:t>
      </w:r>
    </w:p>
    <w:p w:rsidR="00CF4BFD" w:rsidRDefault="00CF4BFD" w:rsidP="00780229">
      <w:pPr>
        <w:pStyle w:val="NormalWeb"/>
        <w:spacing w:before="0" w:beforeAutospacing="0" w:after="0" w:afterAutospacing="0"/>
      </w:pPr>
      <w:r>
        <w:t>(l) Oregon Title V Permit requirements as specified in OAR 340-218-0050, if the applicant requests the external review procedures in OAR 340-218-0210 and 340-218-0230.</w:t>
      </w:r>
    </w:p>
    <w:p w:rsidR="00CF4BFD" w:rsidRDefault="00CF4BFD" w:rsidP="00780229">
      <w:pPr>
        <w:pStyle w:val="NormalWeb"/>
        <w:spacing w:before="0" w:beforeAutospacing="0" w:after="0" w:afterAutospacing="0"/>
      </w:pPr>
      <w:r>
        <w:t>(5) Permit issuance procedures:</w:t>
      </w:r>
    </w:p>
    <w:p w:rsidR="00CF4BFD" w:rsidRDefault="00CF4BFD" w:rsidP="00780229">
      <w:pPr>
        <w:pStyle w:val="NormalWeb"/>
        <w:spacing w:before="0" w:beforeAutospacing="0" w:after="0" w:afterAutospacing="0"/>
      </w:pPr>
      <w:r>
        <w:t>(a) A Construction ACDP requires public notice in accordance with OAR 340 division 209 for Category III permit actions.</w:t>
      </w:r>
    </w:p>
    <w:p w:rsidR="00CF4BFD" w:rsidRDefault="00CF4BFD" w:rsidP="00780229">
      <w:pPr>
        <w:pStyle w:val="NormalWeb"/>
        <w:spacing w:before="0" w:beforeAutospacing="0" w:after="0" w:afterAutospacing="0"/>
      </w:pPr>
      <w:r>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CF4BFD" w:rsidRDefault="00CF4BFD" w:rsidP="00780229">
      <w:pPr>
        <w:pStyle w:val="NormalWeb"/>
        <w:spacing w:before="0" w:beforeAutospacing="0" w:after="0" w:afterAutospacing="0"/>
      </w:pPr>
      <w:r>
        <w:t>(c) Issuance of a modified Construction ACDP requires one of the following, as applicable:</w:t>
      </w:r>
    </w:p>
    <w:p w:rsidR="00CF4BFD" w:rsidRDefault="00CF4BFD" w:rsidP="00780229">
      <w:pPr>
        <w:pStyle w:val="NormalWeb"/>
        <w:spacing w:before="0" w:beforeAutospacing="0" w:after="0" w:afterAutospacing="0"/>
      </w:pPr>
      <w:r>
        <w:t>(A) Non-technical modifications and non-NSR Basic and Simple technical modifications require public notice in accordance with OAR 340 division 209 for Category I permit actions.</w:t>
      </w:r>
    </w:p>
    <w:p w:rsidR="00CF4BFD" w:rsidRDefault="00CF4BFD" w:rsidP="00780229">
      <w:pPr>
        <w:pStyle w:val="NormalWeb"/>
        <w:spacing w:before="0" w:beforeAutospacing="0" w:after="0" w:afterAutospacing="0"/>
      </w:pPr>
      <w:r>
        <w:t>(B) Non-NSR/PSD Moderate and Complex technical modifications require public notice in accordance with OAR 340 division 209 for Category II permit actions.</w:t>
      </w:r>
    </w:p>
    <w:p w:rsidR="00CF4BFD" w:rsidRDefault="00CF4BFD" w:rsidP="00780229">
      <w:pPr>
        <w:pStyle w:val="NormalWeb"/>
        <w:spacing w:before="0" w:beforeAutospacing="0" w:after="0" w:afterAutospacing="0"/>
      </w:pPr>
      <w:r>
        <w:t xml:space="preserve">[ED. NOTE: The tables referenced in this rule are not included in the rule text. </w:t>
      </w:r>
      <w:hyperlink r:id="rId14" w:history="1">
        <w:r>
          <w:rPr>
            <w:rStyle w:val="Hyperlink"/>
          </w:rPr>
          <w:t>Click here for a PDF copy of the tables</w:t>
        </w:r>
      </w:hyperlink>
      <w:r>
        <w:t>.]</w:t>
      </w:r>
    </w:p>
    <w:p w:rsidR="00CF4BFD" w:rsidRDefault="00CF4BFD" w:rsidP="00780229">
      <w:pPr>
        <w:pStyle w:val="NormalWeb"/>
        <w:spacing w:before="0" w:beforeAutospacing="0" w:after="0" w:afterAutospacing="0"/>
      </w:pPr>
      <w:r>
        <w:t>Stat. Auth.: ORS 468.020</w:t>
      </w:r>
      <w:r>
        <w:br/>
        <w:t>Stats. Implemented: ORS 468A</w:t>
      </w:r>
      <w:r>
        <w:br/>
        <w:t>Hist.: DEQ 6-2001, f. 6-18-01, cert. ef. 7-1-01</w:t>
      </w:r>
    </w:p>
    <w:p w:rsidR="00CF4BFD" w:rsidRDefault="00CF4BFD" w:rsidP="00780229">
      <w:pPr>
        <w:pStyle w:val="NormalWeb"/>
        <w:spacing w:before="0" w:beforeAutospacing="0" w:after="0" w:afterAutospacing="0"/>
      </w:pPr>
    </w:p>
    <w:p w:rsidR="00CF4BFD" w:rsidRDefault="00CF4BFD" w:rsidP="00780229">
      <w:pPr>
        <w:pStyle w:val="NormalWeb"/>
        <w:spacing w:before="0" w:beforeAutospacing="0" w:after="0" w:afterAutospacing="0"/>
      </w:pPr>
      <w:r>
        <w:rPr>
          <w:b/>
          <w:bCs/>
        </w:rPr>
        <w:t>340-216-0054</w:t>
      </w:r>
    </w:p>
    <w:p w:rsidR="00CF4BFD" w:rsidRDefault="00CF4BFD" w:rsidP="00780229">
      <w:pPr>
        <w:pStyle w:val="NormalWeb"/>
        <w:spacing w:before="0" w:beforeAutospacing="0" w:after="0" w:afterAutospacing="0"/>
      </w:pPr>
      <w:r>
        <w:rPr>
          <w:b/>
          <w:bCs/>
        </w:rPr>
        <w:t>Short Term Activity ACDPs</w:t>
      </w:r>
    </w:p>
    <w:p w:rsidR="00CF4BFD" w:rsidRDefault="00CF4BFD" w:rsidP="00780229">
      <w:pPr>
        <w:pStyle w:val="NormalWeb"/>
        <w:spacing w:before="0" w:beforeAutospacing="0" w:after="0" w:afterAutospacing="0"/>
      </w:pPr>
      <w:r>
        <w:t>(1) Application requirements. Any person requesting a Short Term Activity ACDP must apply in writing, fully describing the emergency and the proposed activities, operations, and emissions. The application must include the fees specified in section (2) of this rule.</w:t>
      </w:r>
    </w:p>
    <w:p w:rsidR="00CF4BFD" w:rsidRDefault="00CF4BFD" w:rsidP="00780229">
      <w:pPr>
        <w:pStyle w:val="NormalWeb"/>
        <w:spacing w:before="0" w:beforeAutospacing="0" w:after="0" w:afterAutospacing="0"/>
      </w:pPr>
      <w:r>
        <w:t>(2) Fees. Applicants for a Short Term Activity ACDP must pay the fees set forth in Table 2 of 340-216-0020.</w:t>
      </w:r>
    </w:p>
    <w:p w:rsidR="00CF4BFD" w:rsidRDefault="00CF4BFD" w:rsidP="00780229">
      <w:pPr>
        <w:pStyle w:val="NormalWeb"/>
        <w:spacing w:before="0" w:beforeAutospacing="0" w:after="0" w:afterAutospacing="0"/>
      </w:pPr>
      <w:r>
        <w:t>(3) Permit content.</w:t>
      </w:r>
    </w:p>
    <w:p w:rsidR="00CF4BFD" w:rsidRDefault="00CF4BFD" w:rsidP="00780229">
      <w:pPr>
        <w:pStyle w:val="NormalWeb"/>
        <w:spacing w:before="0" w:beforeAutospacing="0" w:after="0" w:afterAutospacing="0"/>
      </w:pPr>
      <w:r>
        <w:t>(a) This permit includes conditions that ensure adequate protection of property and preservation of public health, welfare, and resources.</w:t>
      </w:r>
    </w:p>
    <w:p w:rsidR="00CF4BFD" w:rsidRDefault="00CF4BFD" w:rsidP="00780229">
      <w:pPr>
        <w:pStyle w:val="NormalWeb"/>
        <w:spacing w:before="0" w:beforeAutospacing="0" w:after="0" w:afterAutospacing="0"/>
      </w:pPr>
      <w:r>
        <w:t>(b) A Short Term Activity ACDP does not include a PSEL for any air contaminants discharged as a result of the permitted activity.</w:t>
      </w:r>
    </w:p>
    <w:p w:rsidR="00CF4BFD" w:rsidRDefault="00CF4BFD" w:rsidP="00780229">
      <w:pPr>
        <w:pStyle w:val="NormalWeb"/>
        <w:spacing w:before="0" w:beforeAutospacing="0" w:after="0" w:afterAutospacing="0"/>
      </w:pPr>
      <w:r>
        <w:t>(c) A Short Term Activity ACDP automatically terminates 60 days from the date of issuance and may not be renewed.</w:t>
      </w:r>
    </w:p>
    <w:p w:rsidR="00CF4BFD" w:rsidRDefault="00CF4BFD" w:rsidP="00780229">
      <w:pPr>
        <w:pStyle w:val="NormalWeb"/>
        <w:spacing w:before="0" w:beforeAutospacing="0" w:after="0" w:afterAutospacing="0"/>
      </w:pPr>
      <w:r>
        <w:t>(d) A Short Term Activity ACDPs will be properly conditioned to ensure adequate protection of property and preservation of public health, welfare and resources.</w:t>
      </w:r>
    </w:p>
    <w:p w:rsidR="00CF4BFD" w:rsidRDefault="00CF4BFD" w:rsidP="00780229">
      <w:pPr>
        <w:pStyle w:val="NormalWeb"/>
        <w:spacing w:before="0" w:beforeAutospacing="0" w:after="0" w:afterAutospacing="0"/>
      </w:pPr>
      <w:r>
        <w:lastRenderedPageBreak/>
        <w:t>(4) Permit issuance procedures. A Short Term Activity ACDP requires public notice in accordance with OAR 340 division 209 for Category I permit actions.</w:t>
      </w:r>
    </w:p>
    <w:p w:rsidR="00CF4BFD" w:rsidRDefault="00CF4BFD" w:rsidP="00780229">
      <w:pPr>
        <w:pStyle w:val="NormalWeb"/>
        <w:spacing w:before="0" w:beforeAutospacing="0" w:after="0" w:afterAutospacing="0"/>
      </w:pPr>
      <w:r>
        <w:t xml:space="preserve">[ED. NOTE: The tables referenced in this rule are not included in the rule text. </w:t>
      </w:r>
      <w:r w:rsidRPr="001064D6">
        <w:rPr>
          <w:color w:val="0070C0"/>
          <w:u w:val="single"/>
        </w:rPr>
        <w:t>Click here for a PDF copy of the tables.</w:t>
      </w:r>
      <w:r>
        <w:t>]</w:t>
      </w:r>
    </w:p>
    <w:p w:rsidR="00CF4BFD" w:rsidRDefault="00CF4BFD" w:rsidP="00780229">
      <w:pPr>
        <w:pStyle w:val="NormalWeb"/>
        <w:spacing w:before="0" w:beforeAutospacing="0" w:after="0" w:afterAutospacing="0"/>
      </w:pPr>
      <w:r>
        <w:t>Stat. Auth.: ORS 468.020</w:t>
      </w:r>
      <w:r>
        <w:br/>
        <w:t>Stats. Implemented: ORS 468A</w:t>
      </w:r>
      <w:r>
        <w:br/>
        <w:t>Hist.: DEQ 42, f. 4-5-72, ef. 4-15-72; DEQ 4-1993, f. &amp; cert. ef. 3-10-93; DEQ 22-1996, f. &amp; cert. ef. 10-22-96; DEQ 6-2001, f. 6-18-01, cert. ef. 7-1-01, Renumbered from 340-014-0050</w:t>
      </w:r>
    </w:p>
    <w:p w:rsidR="00CF4BFD" w:rsidRDefault="00CF4BFD" w:rsidP="00780229">
      <w:pPr>
        <w:pStyle w:val="NormalWeb"/>
        <w:spacing w:before="0" w:beforeAutospacing="0" w:after="0" w:afterAutospacing="0"/>
      </w:pPr>
    </w:p>
    <w:p w:rsidR="00CF4BFD" w:rsidRDefault="00CF4BFD" w:rsidP="00780229">
      <w:pPr>
        <w:pStyle w:val="NormalWeb"/>
        <w:spacing w:before="0" w:beforeAutospacing="0" w:after="0" w:afterAutospacing="0"/>
      </w:pPr>
      <w:r>
        <w:rPr>
          <w:b/>
          <w:bCs/>
        </w:rPr>
        <w:t xml:space="preserve">340-216-0056 </w:t>
      </w:r>
    </w:p>
    <w:p w:rsidR="00CF4BFD" w:rsidRDefault="00CF4BFD" w:rsidP="00780229">
      <w:pPr>
        <w:pStyle w:val="NormalWeb"/>
        <w:spacing w:before="0" w:beforeAutospacing="0" w:after="0" w:afterAutospacing="0"/>
      </w:pPr>
      <w:r>
        <w:rPr>
          <w:b/>
          <w:bCs/>
        </w:rPr>
        <w:t xml:space="preserve">Basic ACDPs </w:t>
      </w:r>
    </w:p>
    <w:p w:rsidR="00CF4BFD" w:rsidRDefault="00CF4BFD" w:rsidP="00780229">
      <w:pPr>
        <w:pStyle w:val="NormalWeb"/>
        <w:spacing w:before="0" w:beforeAutospacing="0" w:after="0" w:afterAutospacing="0"/>
      </w:pPr>
      <w:r>
        <w:t xml:space="preserve">(1) Application requirements. Any person requesting a Basic ACDP must submit an application in accordance with OAR 340-216-0040 and provide the information specified in OAR 340-216-0040(1). </w:t>
      </w:r>
    </w:p>
    <w:p w:rsidR="00CF4BFD" w:rsidRDefault="00CF4BFD" w:rsidP="00780229">
      <w:pPr>
        <w:pStyle w:val="NormalWeb"/>
        <w:spacing w:before="0" w:beforeAutospacing="0" w:after="0" w:afterAutospacing="0"/>
      </w:pPr>
      <w:r>
        <w:t xml:space="preserve">(2) Fees. Applicants for a new Basic ACDP must pay the fees set forth in </w:t>
      </w:r>
      <w:r>
        <w:rPr>
          <w:b/>
          <w:bCs/>
        </w:rPr>
        <w:t>Table 2</w:t>
      </w:r>
      <w:r>
        <w:t xml:space="preserve"> of 340-216-0020. </w:t>
      </w:r>
    </w:p>
    <w:p w:rsidR="00CF4BFD" w:rsidRDefault="00CF4BFD" w:rsidP="00780229">
      <w:pPr>
        <w:pStyle w:val="NormalWeb"/>
        <w:spacing w:before="0" w:beforeAutospacing="0" w:after="0" w:afterAutospacing="0"/>
      </w:pPr>
      <w:r>
        <w:t xml:space="preserve">(3) Permit content: </w:t>
      </w:r>
    </w:p>
    <w:p w:rsidR="00CF4BFD" w:rsidRDefault="00CF4BFD" w:rsidP="00780229">
      <w:pPr>
        <w:pStyle w:val="NormalWeb"/>
        <w:spacing w:before="0" w:beforeAutospacing="0" w:after="0" w:afterAutospacing="0"/>
      </w:pPr>
      <w:r>
        <w:t xml:space="preserve">(a) A Basic ACDP contains only the most significant and relevant rules applicable to the source; </w:t>
      </w:r>
    </w:p>
    <w:p w:rsidR="00CF4BFD" w:rsidRDefault="00CF4BFD" w:rsidP="00780229">
      <w:pPr>
        <w:pStyle w:val="NormalWeb"/>
        <w:spacing w:before="0" w:beforeAutospacing="0" w:after="0" w:afterAutospacing="0"/>
      </w:pPr>
      <w:r>
        <w:t>(b) A Basic ACDP does not contain a PSEL;</w:t>
      </w:r>
    </w:p>
    <w:p w:rsidR="00CF4BFD" w:rsidRDefault="00CF4BFD" w:rsidP="00780229">
      <w:pPr>
        <w:pStyle w:val="NormalWeb"/>
        <w:spacing w:before="0" w:beforeAutospacing="0" w:after="0" w:afterAutospacing="0"/>
      </w:pPr>
      <w:r>
        <w:t xml:space="preserve">(c) A Basic ACDP requires a simplified annual report be submitted to the Department; and </w:t>
      </w:r>
    </w:p>
    <w:p w:rsidR="00CF4BFD" w:rsidRDefault="00CF4BFD" w:rsidP="00780229">
      <w:pPr>
        <w:pStyle w:val="NormalWeb"/>
        <w:spacing w:before="0" w:beforeAutospacing="0" w:after="0" w:afterAutospacing="0"/>
      </w:pPr>
      <w:r>
        <w:t xml:space="preserve">(d) A Basic ACDP may be issued for a period not to exceed ten years. </w:t>
      </w:r>
    </w:p>
    <w:p w:rsidR="00CF4BFD" w:rsidRDefault="00CF4BFD" w:rsidP="00780229">
      <w:pPr>
        <w:pStyle w:val="NormalWeb"/>
        <w:spacing w:before="0" w:beforeAutospacing="0" w:after="0" w:afterAutospacing="0"/>
      </w:pPr>
      <w:r>
        <w:t xml:space="preserve">(4) Permit issuance procedures. A Basic ACDP requires public notice in accordance with OAR 340 division 209 for Category I permit actions. </w:t>
      </w:r>
    </w:p>
    <w:p w:rsidR="00CF4BFD" w:rsidRDefault="00CF4BFD" w:rsidP="00780229">
      <w:pPr>
        <w:pStyle w:val="NormalWeb"/>
        <w:spacing w:before="0" w:beforeAutospacing="0" w:after="0" w:afterAutospacing="0"/>
      </w:pPr>
      <w:r>
        <w:t xml:space="preserve">[ED. NOTE: The tables referenced in this rule are not included in the rule text. </w:t>
      </w:r>
      <w:hyperlink r:id="rId15" w:history="1">
        <w:r>
          <w:rPr>
            <w:rStyle w:val="Hyperlink"/>
          </w:rPr>
          <w:t>Click here for a PDF copy of the tables</w:t>
        </w:r>
      </w:hyperlink>
      <w:r>
        <w:t xml:space="preserve">.] </w:t>
      </w:r>
    </w:p>
    <w:p w:rsidR="00CF4BFD" w:rsidRDefault="00CF4BFD" w:rsidP="00780229">
      <w:pPr>
        <w:pStyle w:val="NormalWeb"/>
        <w:spacing w:before="0" w:beforeAutospacing="0" w:after="0" w:afterAutospacing="0"/>
      </w:pPr>
      <w:r>
        <w:t xml:space="preserve">Stat. Auth.: ORS 468.020 </w:t>
      </w:r>
      <w:r>
        <w:br/>
        <w:t xml:space="preserve">Stats. Implemented: ORS 468A </w:t>
      </w:r>
      <w:r>
        <w:br/>
        <w:t xml:space="preserve">Hist.: DEQ 6-2001, f. 6-18-01, cert. ef. 7-1-01; DEQ 8-2007, f. &amp; cert. ef. 11-8-07 </w:t>
      </w:r>
    </w:p>
    <w:p w:rsidR="00CF4BFD" w:rsidRDefault="00CF4BFD" w:rsidP="00780229">
      <w:pPr>
        <w:pStyle w:val="NormalWeb"/>
        <w:spacing w:before="0" w:beforeAutospacing="0" w:after="0" w:afterAutospacing="0"/>
      </w:pPr>
    </w:p>
    <w:p w:rsidR="00CF4BFD" w:rsidRDefault="00CF4BFD" w:rsidP="00780229">
      <w:pPr>
        <w:pStyle w:val="NormalWeb"/>
        <w:spacing w:before="0" w:beforeAutospacing="0" w:after="0" w:afterAutospacing="0"/>
      </w:pPr>
      <w:r>
        <w:rPr>
          <w:rStyle w:val="Strong"/>
          <w:color w:val="000000"/>
        </w:rPr>
        <w:t>340-216-0060</w:t>
      </w:r>
    </w:p>
    <w:p w:rsidR="00CF4BFD" w:rsidRDefault="00CF4BFD" w:rsidP="00780229">
      <w:pPr>
        <w:pStyle w:val="NormalWeb"/>
        <w:spacing w:before="0" w:beforeAutospacing="0" w:after="0" w:afterAutospacing="0"/>
      </w:pPr>
      <w:r>
        <w:rPr>
          <w:b/>
          <w:bCs/>
        </w:rPr>
        <w:t>General Air Contaminant Discharge Permits</w:t>
      </w:r>
    </w:p>
    <w:p w:rsidR="00CF4BFD" w:rsidRDefault="00CF4BFD" w:rsidP="00780229">
      <w:pPr>
        <w:pStyle w:val="NormalWeb"/>
        <w:spacing w:before="0" w:beforeAutospacing="0" w:after="0" w:afterAutospacing="0"/>
      </w:pPr>
      <w:r>
        <w:t xml:space="preserve">(1) Applicability. </w:t>
      </w:r>
    </w:p>
    <w:p w:rsidR="00CF4BFD" w:rsidRDefault="00CF4BFD" w:rsidP="00780229">
      <w:pPr>
        <w:pStyle w:val="NormalWeb"/>
        <w:spacing w:before="0" w:beforeAutospacing="0" w:after="0" w:afterAutospacing="0"/>
      </w:pPr>
      <w:r>
        <w:t xml:space="preserve">(a) The Department may issue a General ACDP under the following circumstances: </w:t>
      </w:r>
    </w:p>
    <w:p w:rsidR="00CF4BFD" w:rsidRDefault="00CF4BFD" w:rsidP="00780229">
      <w:pPr>
        <w:pStyle w:val="NormalWeb"/>
        <w:spacing w:before="0" w:beforeAutospacing="0" w:after="0" w:afterAutospacing="0"/>
      </w:pPr>
      <w:r>
        <w:t xml:space="preserve">(A) There are several sources that involve the same or substantially similar types of operations; </w:t>
      </w:r>
    </w:p>
    <w:p w:rsidR="00CF4BFD" w:rsidRDefault="00CF4BFD" w:rsidP="00780229">
      <w:pPr>
        <w:pStyle w:val="NormalWeb"/>
        <w:spacing w:before="0" w:beforeAutospacing="0" w:after="0" w:afterAutospacing="0"/>
      </w:pPr>
      <w:r>
        <w:t xml:space="preserve">(B) All requirements applicable to the covered operations can be contained in a General ACDP; </w:t>
      </w:r>
    </w:p>
    <w:p w:rsidR="00CF4BFD" w:rsidRDefault="00CF4BFD" w:rsidP="00780229">
      <w:pPr>
        <w:pStyle w:val="NormalWeb"/>
        <w:spacing w:before="0" w:beforeAutospacing="0" w:after="0" w:afterAutospacing="0"/>
      </w:pPr>
      <w:r>
        <w:t xml:space="preserve">(C) The emission limitations, monitoring, recordkeeping, reporting and other enforceable conditions are the same for all operations covered by the General ACDP; and </w:t>
      </w:r>
    </w:p>
    <w:p w:rsidR="00CF4BFD" w:rsidRDefault="00CF4BFD" w:rsidP="00780229">
      <w:pPr>
        <w:pStyle w:val="NormalWeb"/>
        <w:spacing w:before="0" w:beforeAutospacing="0" w:after="0" w:afterAutospacing="0"/>
      </w:pPr>
      <w:r>
        <w:t xml:space="preserve">(D) The pollutants emitted are of the same type for all covered operations. </w:t>
      </w:r>
    </w:p>
    <w:p w:rsidR="00CF4BFD" w:rsidRDefault="00CF4BFD" w:rsidP="00780229">
      <w:pPr>
        <w:pStyle w:val="NormalWeb"/>
        <w:spacing w:before="0" w:beforeAutospacing="0" w:after="0" w:afterAutospacing="0"/>
      </w:pPr>
      <w:r>
        <w:t xml:space="preserve">(b) Permit content. Each General ACDP must include the following: </w:t>
      </w:r>
    </w:p>
    <w:p w:rsidR="00CF4BFD" w:rsidRDefault="00CF4BFD" w:rsidP="00780229">
      <w:pPr>
        <w:pStyle w:val="NormalWeb"/>
        <w:spacing w:before="0" w:beforeAutospacing="0" w:after="0" w:afterAutospacing="0"/>
      </w:pPr>
      <w:r>
        <w:t xml:space="preserve">(A) All relevant requirements for the operations covered by the General ACDP; </w:t>
      </w:r>
    </w:p>
    <w:p w:rsidR="00CF4BFD" w:rsidRDefault="00CF4BFD" w:rsidP="00780229">
      <w:pPr>
        <w:pStyle w:val="NormalWeb"/>
        <w:spacing w:before="0" w:beforeAutospacing="0" w:after="0" w:afterAutospacing="0"/>
      </w:pPr>
      <w:r>
        <w:t xml:space="preserve">(B) Generic PSELs for all pollutants emitted at more than the deminimis level in accordance with OAR 340, division 222; </w:t>
      </w:r>
    </w:p>
    <w:p w:rsidR="00CF4BFD" w:rsidRDefault="00CF4BFD" w:rsidP="00780229">
      <w:pPr>
        <w:pStyle w:val="NormalWeb"/>
        <w:spacing w:before="0" w:beforeAutospacing="0" w:after="0" w:afterAutospacing="0"/>
      </w:pPr>
      <w:r>
        <w:t xml:space="preserve">(C) Testing, monitoring, recordkeeping, and reporting requirements necessary to ensure compliance with the PSEL and other applicable emissions limits and standards; and </w:t>
      </w:r>
    </w:p>
    <w:p w:rsidR="00CF4BFD" w:rsidRDefault="00CF4BFD" w:rsidP="00780229">
      <w:pPr>
        <w:pStyle w:val="NormalWeb"/>
        <w:spacing w:before="0" w:beforeAutospacing="0" w:after="0" w:afterAutospacing="0"/>
      </w:pPr>
      <w:r>
        <w:t xml:space="preserve">(D) A permit expiration date not to exceed 10 years from the date of issuance. </w:t>
      </w:r>
    </w:p>
    <w:p w:rsidR="00CF4BFD" w:rsidRDefault="00CF4BFD" w:rsidP="00780229">
      <w:pPr>
        <w:pStyle w:val="NormalWeb"/>
        <w:spacing w:before="0" w:beforeAutospacing="0" w:after="0" w:afterAutospacing="0"/>
      </w:pPr>
      <w:r>
        <w:lastRenderedPageBreak/>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the Department's headquarters. </w:t>
      </w:r>
    </w:p>
    <w:p w:rsidR="00CF4BFD" w:rsidRDefault="00CF4BFD" w:rsidP="00780229">
      <w:pPr>
        <w:pStyle w:val="NormalWeb"/>
        <w:spacing w:before="0" w:beforeAutospacing="0" w:after="0" w:afterAutospacing="0"/>
      </w:pPr>
      <w:r>
        <w:t xml:space="preserve">(2) Source assignment: </w:t>
      </w:r>
    </w:p>
    <w:p w:rsidR="00CF4BFD" w:rsidRDefault="00CF4BFD" w:rsidP="00780229">
      <w:pPr>
        <w:pStyle w:val="NormalWeb"/>
        <w:spacing w:before="0" w:beforeAutospacing="0" w:after="0" w:afterAutospacing="0"/>
      </w:pPr>
      <w:r>
        <w:t xml:space="preserve">(a)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 </w:t>
      </w:r>
    </w:p>
    <w:p w:rsidR="00CF4BFD" w:rsidRDefault="00CF4BFD" w:rsidP="00780229">
      <w:pPr>
        <w:pStyle w:val="NormalWeb"/>
        <w:spacing w:before="0" w:beforeAutospacing="0" w:after="0" w:afterAutospacing="0"/>
      </w:pPr>
      <w:r>
        <w:t xml:space="preserve">(b) Fees. Applicants must pay the fees set forth in Table 2 of OAR 340-216-0020. The fee class for each General ACDP is as follows: </w:t>
      </w:r>
    </w:p>
    <w:p w:rsidR="00CF4BFD" w:rsidRDefault="00CF4BFD" w:rsidP="00780229">
      <w:pPr>
        <w:pStyle w:val="NormalWeb"/>
        <w:spacing w:before="0" w:beforeAutospacing="0" w:after="0" w:afterAutospacing="0"/>
      </w:pPr>
      <w:r>
        <w:t xml:space="preserve">(A) Hard chrome platers -- Fee Class Three; </w:t>
      </w:r>
    </w:p>
    <w:p w:rsidR="00CF4BFD" w:rsidRDefault="00CF4BFD" w:rsidP="00780229">
      <w:pPr>
        <w:pStyle w:val="NormalWeb"/>
        <w:spacing w:before="0" w:beforeAutospacing="0" w:after="0" w:afterAutospacing="0"/>
      </w:pPr>
      <w:r>
        <w:t xml:space="preserve">(B) Decorative chrome platers -- Fee Class Two; </w:t>
      </w:r>
    </w:p>
    <w:p w:rsidR="00CF4BFD" w:rsidRDefault="00CF4BFD" w:rsidP="00780229">
      <w:pPr>
        <w:pStyle w:val="NormalWeb"/>
        <w:spacing w:before="0" w:beforeAutospacing="0" w:after="0" w:afterAutospacing="0"/>
      </w:pPr>
      <w:r>
        <w:t xml:space="preserve">(C) Halogenated solvent degreasers -- batch cold -- Fee Class Two; </w:t>
      </w:r>
    </w:p>
    <w:p w:rsidR="00CF4BFD" w:rsidRDefault="00CF4BFD" w:rsidP="00780229">
      <w:pPr>
        <w:pStyle w:val="NormalWeb"/>
        <w:spacing w:before="0" w:beforeAutospacing="0" w:after="0" w:afterAutospacing="0"/>
      </w:pPr>
      <w:r>
        <w:t xml:space="preserve">(D) Halogenated solvent degreasers -- batch vapor and in-line -- Fee Class Two; </w:t>
      </w:r>
    </w:p>
    <w:p w:rsidR="00CF4BFD" w:rsidRDefault="00CF4BFD" w:rsidP="00780229">
      <w:pPr>
        <w:pStyle w:val="NormalWeb"/>
        <w:spacing w:before="0" w:beforeAutospacing="0" w:after="0" w:afterAutospacing="0"/>
      </w:pPr>
      <w:r>
        <w:t xml:space="preserve">(E) Halogenated solvent degreasers -- batch cold, batch vapor, and in-line -- Fee Class Two; </w:t>
      </w:r>
    </w:p>
    <w:p w:rsidR="00CF4BFD" w:rsidRDefault="00CF4BFD" w:rsidP="00780229">
      <w:pPr>
        <w:pStyle w:val="NormalWeb"/>
        <w:spacing w:before="0" w:beforeAutospacing="0" w:after="0" w:afterAutospacing="0"/>
      </w:pPr>
      <w:r>
        <w:t xml:space="preserve">(F) Perchloroethylene dry cleaners -- Fee Class Six; </w:t>
      </w:r>
    </w:p>
    <w:p w:rsidR="00CF4BFD" w:rsidRDefault="00CF4BFD" w:rsidP="00780229">
      <w:pPr>
        <w:pStyle w:val="NormalWeb"/>
        <w:spacing w:before="0" w:beforeAutospacing="0" w:after="0" w:afterAutospacing="0"/>
      </w:pPr>
      <w:r>
        <w:t xml:space="preserve">(G) Asphalt plants -- Fee Class Three; </w:t>
      </w:r>
    </w:p>
    <w:p w:rsidR="00CF4BFD" w:rsidRDefault="00CF4BFD" w:rsidP="00780229">
      <w:pPr>
        <w:pStyle w:val="NormalWeb"/>
        <w:spacing w:before="0" w:beforeAutospacing="0" w:after="0" w:afterAutospacing="0"/>
      </w:pPr>
      <w:r>
        <w:t xml:space="preserve">(H) Rock crushers -- Fee Class Two; </w:t>
      </w:r>
    </w:p>
    <w:p w:rsidR="00CF4BFD" w:rsidRDefault="00CF4BFD" w:rsidP="00780229">
      <w:pPr>
        <w:pStyle w:val="NormalWeb"/>
        <w:spacing w:before="0" w:beforeAutospacing="0" w:after="0" w:afterAutospacing="0"/>
      </w:pPr>
      <w:r>
        <w:t xml:space="preserve">(I) Ready-mix concrete -- Fee Class One; </w:t>
      </w:r>
    </w:p>
    <w:p w:rsidR="00CF4BFD" w:rsidRDefault="00CF4BFD" w:rsidP="00780229">
      <w:pPr>
        <w:pStyle w:val="NormalWeb"/>
        <w:spacing w:before="0" w:beforeAutospacing="0" w:after="0" w:afterAutospacing="0"/>
      </w:pPr>
      <w:r>
        <w:t xml:space="preserve">(J) Sawmills, planing mills, millwork, plywood manufacturing and veneer drying -- Fee Class Three; </w:t>
      </w:r>
    </w:p>
    <w:p w:rsidR="00CF4BFD" w:rsidRDefault="00CF4BFD" w:rsidP="00780229">
      <w:pPr>
        <w:pStyle w:val="NormalWeb"/>
        <w:spacing w:before="0" w:beforeAutospacing="0" w:after="0" w:afterAutospacing="0"/>
      </w:pPr>
      <w:r>
        <w:t xml:space="preserve">(K) Boilers -- Fee Class Two; </w:t>
      </w:r>
    </w:p>
    <w:p w:rsidR="00CF4BFD" w:rsidRDefault="00CF4BFD" w:rsidP="00780229">
      <w:pPr>
        <w:pStyle w:val="NormalWeb"/>
        <w:spacing w:before="0" w:beforeAutospacing="0" w:after="0" w:afterAutospacing="0"/>
      </w:pPr>
      <w:r>
        <w:t xml:space="preserve">(L) Crematories -- Fee Class Two; </w:t>
      </w:r>
    </w:p>
    <w:p w:rsidR="00CF4BFD" w:rsidRDefault="00CF4BFD" w:rsidP="00780229">
      <w:pPr>
        <w:pStyle w:val="NormalWeb"/>
        <w:spacing w:before="0" w:beforeAutospacing="0" w:after="0" w:afterAutospacing="0"/>
      </w:pPr>
      <w:r>
        <w:t xml:space="preserve">(M) Grain elevators -- Fee Class One; </w:t>
      </w:r>
    </w:p>
    <w:p w:rsidR="00CF4BFD" w:rsidRDefault="00CF4BFD" w:rsidP="00780229">
      <w:pPr>
        <w:pStyle w:val="NormalWeb"/>
        <w:spacing w:before="0" w:beforeAutospacing="0" w:after="0" w:afterAutospacing="0"/>
      </w:pPr>
      <w:r>
        <w:t xml:space="preserve">(N) Prepared feeds, flour, and cereal -- Fee Class One; </w:t>
      </w:r>
    </w:p>
    <w:p w:rsidR="00CF4BFD" w:rsidRDefault="00CF4BFD" w:rsidP="00780229">
      <w:pPr>
        <w:pStyle w:val="NormalWeb"/>
        <w:spacing w:before="0" w:beforeAutospacing="0" w:after="0" w:afterAutospacing="0"/>
      </w:pPr>
      <w:r>
        <w:t xml:space="preserve">(O) Seed cleaning -- Fee Class One; </w:t>
      </w:r>
    </w:p>
    <w:p w:rsidR="00CF4BFD" w:rsidRDefault="00CF4BFD" w:rsidP="00780229">
      <w:pPr>
        <w:pStyle w:val="NormalWeb"/>
        <w:spacing w:before="0" w:beforeAutospacing="0" w:after="0" w:afterAutospacing="0"/>
      </w:pPr>
      <w:r>
        <w:t xml:space="preserve">(P) Coffee roasters -- Fee Class One; </w:t>
      </w:r>
    </w:p>
    <w:p w:rsidR="00CF4BFD" w:rsidRDefault="00CF4BFD" w:rsidP="00780229">
      <w:pPr>
        <w:pStyle w:val="NormalWeb"/>
        <w:spacing w:before="0" w:beforeAutospacing="0" w:after="0" w:afterAutospacing="0"/>
      </w:pPr>
      <w:r>
        <w:t xml:space="preserve">(Q) Bulk gasoline plants -- Fee Class One; </w:t>
      </w:r>
    </w:p>
    <w:p w:rsidR="00CF4BFD" w:rsidRDefault="00CF4BFD" w:rsidP="00780229">
      <w:pPr>
        <w:pStyle w:val="NormalWeb"/>
        <w:spacing w:before="0" w:beforeAutospacing="0" w:after="0" w:afterAutospacing="0"/>
      </w:pPr>
      <w:r>
        <w:t xml:space="preserve">(R) Electric power generators -- Fee Class Two; </w:t>
      </w:r>
    </w:p>
    <w:p w:rsidR="00CF4BFD" w:rsidRDefault="00CF4BFD" w:rsidP="00780229">
      <w:pPr>
        <w:pStyle w:val="NormalWeb"/>
        <w:spacing w:before="0" w:beforeAutospacing="0" w:after="0" w:afterAutospacing="0"/>
      </w:pPr>
      <w:r>
        <w:t xml:space="preserve">(S) Clay ceramics -- Fee Class One; </w:t>
      </w:r>
    </w:p>
    <w:p w:rsidR="00CF4BFD" w:rsidRDefault="00CF4BFD" w:rsidP="00780229">
      <w:pPr>
        <w:pStyle w:val="NormalWeb"/>
        <w:spacing w:before="0" w:beforeAutospacing="0" w:after="0" w:afterAutospacing="0"/>
      </w:pPr>
      <w:r>
        <w:t xml:space="preserve">(T) Hospital sterilizers -- Fee Class Four; </w:t>
      </w:r>
    </w:p>
    <w:p w:rsidR="00CF4BFD" w:rsidRDefault="00CF4BFD" w:rsidP="00780229">
      <w:pPr>
        <w:pStyle w:val="NormalWeb"/>
        <w:spacing w:before="0" w:beforeAutospacing="0" w:after="0" w:afterAutospacing="0"/>
      </w:pPr>
      <w:r>
        <w:t xml:space="preserve">(U) Secondary nonferrous metals -- Fee Class One; </w:t>
      </w:r>
    </w:p>
    <w:p w:rsidR="00CF4BFD" w:rsidRDefault="00CF4BFD" w:rsidP="00780229">
      <w:pPr>
        <w:pStyle w:val="NormalWeb"/>
        <w:spacing w:before="0" w:beforeAutospacing="0" w:after="0" w:afterAutospacing="0"/>
      </w:pPr>
      <w:r>
        <w:t xml:space="preserve">(V) Gasoline dispensing facilities -- stage I -- Fee Class Five; </w:t>
      </w:r>
    </w:p>
    <w:p w:rsidR="00CF4BFD" w:rsidRDefault="00CF4BFD" w:rsidP="00780229">
      <w:pPr>
        <w:pStyle w:val="NormalWeb"/>
        <w:spacing w:before="0" w:beforeAutospacing="0" w:after="0" w:afterAutospacing="0"/>
      </w:pPr>
      <w:r>
        <w:t xml:space="preserve">(W) Gasoline dispensing facilities -- stage II -- Fee Class Four; </w:t>
      </w:r>
    </w:p>
    <w:p w:rsidR="00CF4BFD" w:rsidRDefault="00CF4BFD" w:rsidP="00780229">
      <w:pPr>
        <w:pStyle w:val="NormalWeb"/>
        <w:spacing w:before="0" w:beforeAutospacing="0" w:after="0" w:afterAutospacing="0"/>
      </w:pPr>
      <w:r>
        <w:t xml:space="preserve">(X) Wood preserving -- Fee Class Four; </w:t>
      </w:r>
    </w:p>
    <w:p w:rsidR="00CF4BFD" w:rsidRDefault="00CF4BFD" w:rsidP="00780229">
      <w:pPr>
        <w:pStyle w:val="NormalWeb"/>
        <w:spacing w:before="0" w:beforeAutospacing="0" w:after="0" w:afterAutospacing="0"/>
      </w:pPr>
      <w:r>
        <w:t>(Y) Metal fabrication and finishing -- with two or more of the following operations -- Fee Class Two;</w:t>
      </w:r>
    </w:p>
    <w:p w:rsidR="00CF4BFD" w:rsidRPr="00F8760D" w:rsidRDefault="00CF4BFD" w:rsidP="00780229">
      <w:pPr>
        <w:pStyle w:val="NormalWeb"/>
        <w:spacing w:before="0" w:beforeAutospacing="0" w:after="0" w:afterAutospacing="0"/>
        <w:rPr>
          <w:color w:val="000000"/>
        </w:rPr>
      </w:pPr>
      <w:r w:rsidRPr="00A109B4">
        <w:rPr>
          <w:color w:val="000000"/>
        </w:rPr>
        <w:t>(i) Dry abrasive blasting performed in a vented enclosure or of objects greater than 8 feet (2.4 meters)</w:t>
      </w:r>
      <w:r>
        <w:rPr>
          <w:color w:val="000000"/>
        </w:rPr>
        <w:t xml:space="preserve"> </w:t>
      </w:r>
      <w:r w:rsidRPr="00A109B4">
        <w:rPr>
          <w:color w:val="000000"/>
        </w:rPr>
        <w:t>in any one dimension</w:t>
      </w:r>
      <w:r>
        <w:rPr>
          <w:color w:val="000000"/>
        </w:rPr>
        <w:t xml:space="preserve"> </w:t>
      </w:r>
      <w:r w:rsidRPr="00A109B4">
        <w:rPr>
          <w:color w:val="000000"/>
        </w:rPr>
        <w:t xml:space="preserve">that </w:t>
      </w:r>
      <w:r w:rsidRPr="00FE18B0">
        <w:rPr>
          <w:color w:val="000000"/>
        </w:rPr>
        <w:t>use</w:t>
      </w:r>
      <w:r>
        <w:rPr>
          <w:color w:val="000000"/>
        </w:rPr>
        <w:t xml:space="preserve">s </w:t>
      </w:r>
      <w:r w:rsidRPr="00FE18B0">
        <w:rPr>
          <w:color w:val="000000"/>
        </w:rPr>
        <w:t xml:space="preserve">materials </w:t>
      </w:r>
      <w:r>
        <w:rPr>
          <w:color w:val="000000"/>
        </w:rPr>
        <w:t xml:space="preserve">that contain </w:t>
      </w:r>
      <w:r w:rsidRPr="00A109B4">
        <w:rPr>
          <w:color w:val="000000"/>
        </w:rPr>
        <w:t xml:space="preserve">MFHAP </w:t>
      </w:r>
      <w:r>
        <w:rPr>
          <w:color w:val="000000"/>
        </w:rPr>
        <w:t>or has the potential to emit MFHAP;</w:t>
      </w:r>
    </w:p>
    <w:p w:rsidR="00CF4BFD" w:rsidRDefault="00CF4BFD" w:rsidP="00780229">
      <w:pPr>
        <w:pStyle w:val="NormalWeb"/>
        <w:spacing w:before="0" w:beforeAutospacing="0" w:after="0" w:afterAutospacing="0"/>
      </w:pPr>
      <w:r>
        <w:t>(ii) Spray-applied painting operation using MFHAP containing paints;</w:t>
      </w:r>
    </w:p>
    <w:p w:rsidR="00CF4BFD" w:rsidRDefault="00CF4BFD" w:rsidP="00780229">
      <w:pPr>
        <w:pStyle w:val="NormalWeb"/>
        <w:spacing w:before="0" w:beforeAutospacing="0" w:after="0" w:afterAutospacing="0"/>
      </w:pPr>
      <w:r>
        <w:t>(iii) W</w:t>
      </w:r>
      <w:r w:rsidRPr="00FE18B0">
        <w:rPr>
          <w:color w:val="000000"/>
        </w:rPr>
        <w:t>elding</w:t>
      </w:r>
      <w:r>
        <w:rPr>
          <w:color w:val="000000"/>
        </w:rPr>
        <w:t xml:space="preserve"> </w:t>
      </w:r>
      <w:r w:rsidRPr="00FE18B0">
        <w:rPr>
          <w:color w:val="000000"/>
        </w:rPr>
        <w:t>operation that uses materials that</w:t>
      </w:r>
      <w:r>
        <w:rPr>
          <w:color w:val="000000"/>
        </w:rPr>
        <w:t xml:space="preserve"> </w:t>
      </w:r>
      <w:r w:rsidRPr="00FE18B0">
        <w:rPr>
          <w:color w:val="000000"/>
        </w:rPr>
        <w:t>contain MFHAP or has the potential to</w:t>
      </w:r>
      <w:r>
        <w:rPr>
          <w:color w:val="000000"/>
        </w:rPr>
        <w:t xml:space="preserve"> </w:t>
      </w:r>
      <w:r w:rsidRPr="00FE18B0">
        <w:rPr>
          <w:color w:val="000000"/>
        </w:rPr>
        <w:t>emit MFHAP</w:t>
      </w:r>
      <w:r>
        <w:rPr>
          <w:color w:val="000000"/>
        </w:rPr>
        <w:t xml:space="preserve"> and </w:t>
      </w:r>
      <w:r w:rsidRPr="00FE18B0">
        <w:rPr>
          <w:color w:val="000000"/>
        </w:rPr>
        <w:t>uses 2,000 pounds or more per</w:t>
      </w:r>
      <w:r>
        <w:rPr>
          <w:color w:val="000000"/>
        </w:rPr>
        <w:t xml:space="preserve"> </w:t>
      </w:r>
      <w:r w:rsidRPr="00FE18B0">
        <w:rPr>
          <w:color w:val="000000"/>
        </w:rPr>
        <w:t xml:space="preserve">year of </w:t>
      </w:r>
      <w:r>
        <w:rPr>
          <w:color w:val="000000"/>
        </w:rPr>
        <w:t xml:space="preserve">MFHAP containing </w:t>
      </w:r>
      <w:r w:rsidRPr="00FE18B0">
        <w:rPr>
          <w:color w:val="000000"/>
        </w:rPr>
        <w:t xml:space="preserve">welding </w:t>
      </w:r>
      <w:r>
        <w:rPr>
          <w:color w:val="000000"/>
        </w:rPr>
        <w:t xml:space="preserve">wire and </w:t>
      </w:r>
      <w:r w:rsidRPr="00FE18B0">
        <w:rPr>
          <w:color w:val="000000"/>
        </w:rPr>
        <w:t>rod (calculated on a rolling</w:t>
      </w:r>
      <w:r>
        <w:rPr>
          <w:color w:val="000000"/>
        </w:rPr>
        <w:t xml:space="preserve"> </w:t>
      </w:r>
      <w:r w:rsidRPr="00FE18B0">
        <w:rPr>
          <w:color w:val="000000"/>
        </w:rPr>
        <w:t>12-month basis)</w:t>
      </w:r>
      <w:r>
        <w:rPr>
          <w:color w:val="000000"/>
        </w:rPr>
        <w:t>;</w:t>
      </w:r>
    </w:p>
    <w:p w:rsidR="00CF4BFD" w:rsidRDefault="00CF4BFD" w:rsidP="00780229">
      <w:pPr>
        <w:pStyle w:val="NormalWeb"/>
        <w:spacing w:before="0" w:beforeAutospacing="0" w:after="0" w:afterAutospacing="0"/>
      </w:pPr>
      <w:r>
        <w:lastRenderedPageBreak/>
        <w:t xml:space="preserve">(Z)  Metal fabrication and finishing -- with only one of the operations listed in subparagraphs (2)(b)(Y)(i) through (iii) of this rule-- Fee Class One: </w:t>
      </w:r>
    </w:p>
    <w:p w:rsidR="00CF4BFD" w:rsidRDefault="00CF4BFD" w:rsidP="00780229">
      <w:pPr>
        <w:pStyle w:val="NormalWeb"/>
        <w:spacing w:before="0" w:beforeAutospacing="0" w:after="0" w:afterAutospacing="0"/>
      </w:pPr>
      <w:r>
        <w:t>(AA) Metal fabrication and finishing -- with none of the operations listed in subparagraphs (2)(b)(Y)(i) through (iii) of this rule -- Fee Class Four;</w:t>
      </w:r>
    </w:p>
    <w:p w:rsidR="00CF4BFD" w:rsidRDefault="00CF4BFD" w:rsidP="00780229">
      <w:pPr>
        <w:pStyle w:val="NormalWeb"/>
        <w:spacing w:before="0" w:beforeAutospacing="0" w:after="0" w:afterAutospacing="0"/>
      </w:pPr>
      <w:r>
        <w:t xml:space="preserve">(BB) Plating and polishing -- Fee Class One; </w:t>
      </w:r>
    </w:p>
    <w:p w:rsidR="00CF4BFD" w:rsidRDefault="00CF4BFD" w:rsidP="00780229">
      <w:pPr>
        <w:pStyle w:val="NormalWeb"/>
        <w:spacing w:before="0" w:beforeAutospacing="0" w:after="0" w:afterAutospacing="0"/>
      </w:pPr>
      <w:r>
        <w:t xml:space="preserve">(CC) Surface coating operations -- Fee Class One; </w:t>
      </w:r>
    </w:p>
    <w:p w:rsidR="00CF4BFD" w:rsidRDefault="00CF4BFD" w:rsidP="00780229">
      <w:pPr>
        <w:pStyle w:val="NormalWeb"/>
        <w:spacing w:before="0" w:beforeAutospacing="0" w:after="0" w:afterAutospacing="0"/>
      </w:pPr>
      <w:r>
        <w:t xml:space="preserve">(DD) Paint stripping -- Fee Class One; </w:t>
      </w:r>
    </w:p>
    <w:p w:rsidR="00CF4BFD" w:rsidRDefault="00CF4BFD" w:rsidP="00780229">
      <w:pPr>
        <w:pStyle w:val="NormalWeb"/>
        <w:spacing w:before="0" w:beforeAutospacing="0" w:after="0" w:afterAutospacing="0"/>
      </w:pPr>
      <w:r>
        <w:t>(EE) Aluminum, copper, and nonferrous foundries -- Fee Class Two;</w:t>
      </w:r>
    </w:p>
    <w:p w:rsidR="00CF4BFD" w:rsidRDefault="00CF4BFD" w:rsidP="00780229">
      <w:pPr>
        <w:pStyle w:val="NormalWeb"/>
        <w:spacing w:before="0" w:beforeAutospacing="0" w:after="0" w:afterAutospacing="0"/>
      </w:pPr>
      <w:r>
        <w:t>(FF) Paints and allied products manufacturing -- Fee Class Two;</w:t>
      </w:r>
    </w:p>
    <w:p w:rsidR="00CF4BFD" w:rsidRDefault="00CF4BFD" w:rsidP="00780229">
      <w:pPr>
        <w:pStyle w:val="NormalWeb"/>
        <w:spacing w:before="0" w:beforeAutospacing="0" w:after="0" w:afterAutospacing="0"/>
      </w:pPr>
      <w:r>
        <w:t xml:space="preserve">(GG) Any General ACDP not listed above -- Fee Class One. </w:t>
      </w:r>
    </w:p>
    <w:p w:rsidR="00CF4BFD" w:rsidRDefault="00CF4BFD" w:rsidP="00780229">
      <w:pPr>
        <w:pStyle w:val="NormalWeb"/>
        <w:spacing w:before="0" w:beforeAutospacing="0" w:after="0" w:afterAutospacing="0"/>
      </w:pPr>
      <w:r>
        <w:t xml:space="preserve">(c) Source assignment procedures: </w:t>
      </w:r>
    </w:p>
    <w:p w:rsidR="00CF4BFD" w:rsidRDefault="00CF4BFD" w:rsidP="00780229">
      <w:pPr>
        <w:pStyle w:val="NormalWeb"/>
        <w:spacing w:before="0" w:beforeAutospacing="0" w:after="0" w:afterAutospacing="0"/>
      </w:pPr>
      <w:r>
        <w:t xml:space="preserve">(A) Assignment of a source to a General ACDP is a Category I permit action and is subject to the Category I public notice requirements in accordance with OAR 340, division 209. </w:t>
      </w:r>
    </w:p>
    <w:p w:rsidR="00CF4BFD" w:rsidRDefault="00CF4BFD" w:rsidP="00780229">
      <w:pPr>
        <w:pStyle w:val="NormalWeb"/>
        <w:spacing w:before="0" w:beforeAutospacing="0" w:after="0" w:afterAutospacing="0"/>
      </w:pPr>
      <w:r>
        <w:t xml:space="preserve">(B) A person is not a permittee under the General ACDP until the Department assigns the General ACDP to the person. </w:t>
      </w:r>
    </w:p>
    <w:p w:rsidR="00CF4BFD" w:rsidRDefault="00CF4BFD" w:rsidP="00780229">
      <w:pPr>
        <w:pStyle w:val="NormalWeb"/>
        <w:spacing w:before="0" w:beforeAutospacing="0" w:after="0" w:afterAutospacing="0"/>
      </w:pPr>
      <w:r>
        <w:t xml:space="preserve">(C) Assignments to General ACDPs and attachment(s) terminate when the General ACDP or attachment expires or is modified, terminated or revoked. </w:t>
      </w:r>
    </w:p>
    <w:p w:rsidR="00CF4BFD" w:rsidRDefault="00CF4BFD" w:rsidP="00780229">
      <w:pPr>
        <w:pStyle w:val="NormalWeb"/>
        <w:spacing w:before="0" w:beforeAutospacing="0" w:after="0" w:afterAutospacing="0"/>
      </w:pPr>
      <w:r>
        <w:t xml:space="preserve">(D) Once a source has been assigned to a General ACDP, if the assigned General ACDP does not cover all requirements applicable to the source, the other applicable requirements must be covered by assignment to one or more General ACDP Attachments in accordance with OAR 340-216-0062, otherwise the source must obtain a Simple or Standard ACDP. </w:t>
      </w:r>
    </w:p>
    <w:p w:rsidR="00CF4BFD" w:rsidRDefault="00CF4BFD" w:rsidP="00780229">
      <w:pPr>
        <w:pStyle w:val="NormalWeb"/>
        <w:spacing w:before="0" w:beforeAutospacing="0" w:after="0" w:afterAutospacing="0"/>
      </w:pPr>
      <w:r>
        <w:t xml:space="preserve">(E)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 </w:t>
      </w:r>
    </w:p>
    <w:p w:rsidR="00CF4BFD" w:rsidRDefault="00CF4BFD" w:rsidP="00780229">
      <w:pPr>
        <w:pStyle w:val="NormalWeb"/>
        <w:spacing w:before="0" w:beforeAutospacing="0" w:after="0" w:afterAutospacing="0"/>
      </w:pPr>
      <w:r>
        <w:t xml:space="preserve">(3) Department Initiated Modification. If the Department determines that the conditions have changed such that a General ACDP for a category needs to be modified, the Department may issue a new General ACDP for that category and assign all existing General ACDP permit holders to the new General ACDP. </w:t>
      </w:r>
    </w:p>
    <w:p w:rsidR="00CF4BFD" w:rsidRDefault="00CF4BFD" w:rsidP="00780229">
      <w:pPr>
        <w:pStyle w:val="NormalWeb"/>
        <w:spacing w:before="0" w:beforeAutospacing="0" w:after="0" w:afterAutospacing="0"/>
      </w:pPr>
      <w:r>
        <w:t xml:space="preserve">(4) Rescission. In addition to OAR 340-216-0082 (Termination or Revocation of an ACDP), the Department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the Department will place the source on a Simple or Standard ACDP. The Department may also revoke a General ACDP or attachment or both if conditions, standards or rules have changed so the permit or attachment no longer meets the requirements of this rule. </w:t>
      </w:r>
    </w:p>
    <w:p w:rsidR="00CF4BFD" w:rsidRDefault="00CF4BFD" w:rsidP="00780229">
      <w:pPr>
        <w:pStyle w:val="NormalWeb"/>
        <w:spacing w:before="0" w:beforeAutospacing="0" w:after="0" w:afterAutospacing="0"/>
      </w:pPr>
      <w:r>
        <w:rPr>
          <w:b/>
          <w:bCs/>
        </w:rPr>
        <w:t xml:space="preserve">NOTE: </w:t>
      </w:r>
      <w:r>
        <w:t xml:space="preserve">This rule is included in the State of Oregon Clean Air Act Implementation Plan as adopted by the EQC under OAR 340-200-0040. </w:t>
      </w:r>
    </w:p>
    <w:p w:rsidR="00CF4BFD" w:rsidRDefault="00CF4BFD" w:rsidP="00780229">
      <w:pPr>
        <w:pStyle w:val="NormalWeb"/>
        <w:spacing w:before="0" w:beforeAutospacing="0" w:after="0" w:afterAutospacing="0"/>
      </w:pPr>
      <w:r>
        <w:t xml:space="preserve">[ED. NOTE: The tables referenced in this rule are not included in the rule text. </w:t>
      </w:r>
      <w:hyperlink r:id="rId16" w:history="1">
        <w:r>
          <w:rPr>
            <w:rStyle w:val="Hyperlink"/>
          </w:rPr>
          <w:t>Click here for a PDF copy of the tables</w:t>
        </w:r>
      </w:hyperlink>
      <w:r>
        <w:t xml:space="preserve">.] </w:t>
      </w:r>
    </w:p>
    <w:p w:rsidR="00CF4BFD" w:rsidRDefault="00CF4BFD" w:rsidP="00780229">
      <w:pPr>
        <w:pStyle w:val="NormalWeb"/>
        <w:spacing w:before="0" w:beforeAutospacing="0" w:after="0" w:afterAutospacing="0"/>
      </w:pPr>
      <w:r>
        <w:t>Stat. Auth.: ORS 468 &amp; 468A</w:t>
      </w:r>
      <w:r>
        <w:br/>
        <w:t>Stats. Implemented: ORS 468.020 &amp; 468A.025</w:t>
      </w:r>
      <w:r>
        <w:br/>
        <w:t>Hist.: DEQ 14-1998, f. &amp; cert. ef. 9-14-98; DEQ 14-1999, f. &amp; cert. ef. 10-14-99, Renumbered from 340-028-1725; DEQ 6-2001, f. 6-18-01, cert. ef. 7-1-01; DEQ 10-2001, f. &amp; cert. ef. 8-30-</w:t>
      </w:r>
      <w:r>
        <w:lastRenderedPageBreak/>
        <w:t xml:space="preserve">01; DEQ 4-2002, f. &amp; cert. ef. 3-14-02; DEQ 2-2006, f. &amp; cert. ef. 3-14-06; DEQ 8-2007, f. &amp; cert. ef. 11-8-07; DEQ 15-2008, f. &amp; cert. ef 12-31-08; DEQ 8-2009, f. &amp; cert. ef. 12-16-09 </w:t>
      </w:r>
    </w:p>
    <w:p w:rsidR="00CF4BFD" w:rsidRDefault="00CF4BFD" w:rsidP="00780229">
      <w:pPr>
        <w:pStyle w:val="NormalWeb"/>
        <w:spacing w:before="0" w:beforeAutospacing="0" w:after="0" w:afterAutospacing="0"/>
      </w:pP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340-216-0064</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b/>
          <w:bCs/>
          <w:sz w:val="24"/>
          <w:szCs w:val="24"/>
        </w:rPr>
        <w:t>Simple ACDP</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(1) Applicability.</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(a) Sources and activities listed in Table 1, Part B of OAR 340-216-0020 that do not qualify for a General ACDP and are not required to obtain a Standard ACDP must, at a minimum, obtain a Simple ACDP.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(b) Any source required to obtain a Simple ACDP may obtain a Standard ACDP.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(c) The Department may determine that a source is ineligible for a Simple ACDP and must obtain a Standard ACDP based upon, but not limited to, the following considerations: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(A) The nature, extent, and toxicity of the source's emissions;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(B) The complexity of the source and the rules applicable to that source;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(C) The complexity of the emission controls and potential threat to human health and the environment if the emission controls fail;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(D) The location of the source; and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(E) The compliance history of the source.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(2) Application Requirements. Any person requesting a new, modified, or renewed Simple ACDP must submit an application in accordance with OAR 340-216-0040.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(3) Fees. Applicants for a new</w:t>
      </w:r>
      <w:r>
        <w:rPr>
          <w:rFonts w:ascii="Times New Roman" w:eastAsia="Times New Roman" w:hAnsi="Times New Roman" w:cs="Times New Roman"/>
          <w:sz w:val="24"/>
          <w:szCs w:val="24"/>
        </w:rPr>
        <w:t xml:space="preserve"> or</w:t>
      </w:r>
      <w:r w:rsidRPr="00D97846">
        <w:rPr>
          <w:rFonts w:ascii="Times New Roman" w:eastAsia="Times New Roman" w:hAnsi="Times New Roman" w:cs="Times New Roman"/>
          <w:sz w:val="24"/>
          <w:szCs w:val="24"/>
        </w:rPr>
        <w:t xml:space="preserve"> modified Simple ACDP must pay the fees set forth in Table 2 of 340-216-0020. Annual fees for Simple ACDPs will be assessed based on the following:</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(a) Low Fee -- A Source may qualify for the Low Fee if:</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(A) the source is, or will be, permitted under only one of the following categories from OAR 340-216-0020 Table 1, Part B (category 25. Electric Power Generation, may be included with any category listed below):</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(i) Category </w:t>
      </w:r>
      <w:r>
        <w:rPr>
          <w:rFonts w:ascii="Times New Roman" w:eastAsia="Times New Roman" w:hAnsi="Times New Roman" w:cs="Times New Roman"/>
          <w:sz w:val="24"/>
          <w:szCs w:val="24"/>
        </w:rPr>
        <w:t>7</w:t>
      </w:r>
      <w:r w:rsidRPr="00D97846">
        <w:rPr>
          <w:rFonts w:ascii="Times New Roman" w:eastAsia="Times New Roman" w:hAnsi="Times New Roman" w:cs="Times New Roman"/>
          <w:sz w:val="24"/>
          <w:szCs w:val="24"/>
        </w:rPr>
        <w:t>. Asphalt felt and coatings;</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(ii) Category 1</w:t>
      </w:r>
      <w:r>
        <w:rPr>
          <w:rFonts w:ascii="Times New Roman" w:eastAsia="Times New Roman" w:hAnsi="Times New Roman" w:cs="Times New Roman"/>
          <w:sz w:val="24"/>
          <w:szCs w:val="24"/>
        </w:rPr>
        <w:t>3</w:t>
      </w:r>
      <w:r w:rsidRPr="00D97846">
        <w:rPr>
          <w:rFonts w:ascii="Times New Roman" w:eastAsia="Times New Roman" w:hAnsi="Times New Roman" w:cs="Times New Roman"/>
          <w:sz w:val="24"/>
          <w:szCs w:val="24"/>
        </w:rPr>
        <w:t>. Boilers and other fuel burning equipment;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(iii) Category 3</w:t>
      </w:r>
      <w:r>
        <w:rPr>
          <w:rFonts w:ascii="Times New Roman" w:eastAsia="Times New Roman" w:hAnsi="Times New Roman" w:cs="Times New Roman"/>
          <w:sz w:val="24"/>
          <w:szCs w:val="24"/>
        </w:rPr>
        <w:t>3</w:t>
      </w:r>
      <w:r w:rsidRPr="00D97846">
        <w:rPr>
          <w:rFonts w:ascii="Times New Roman" w:eastAsia="Times New Roman" w:hAnsi="Times New Roman" w:cs="Times New Roman"/>
          <w:sz w:val="24"/>
          <w:szCs w:val="24"/>
        </w:rPr>
        <w:t>. Galvanizing &amp; Pipe coating;</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(iv) Category 3</w:t>
      </w:r>
      <w:r>
        <w:rPr>
          <w:rFonts w:ascii="Times New Roman" w:eastAsia="Times New Roman" w:hAnsi="Times New Roman" w:cs="Times New Roman"/>
          <w:sz w:val="24"/>
          <w:szCs w:val="24"/>
        </w:rPr>
        <w:t>9</w:t>
      </w:r>
      <w:r w:rsidRPr="00D97846">
        <w:rPr>
          <w:rFonts w:ascii="Times New Roman" w:eastAsia="Times New Roman" w:hAnsi="Times New Roman" w:cs="Times New Roman"/>
          <w:sz w:val="24"/>
          <w:szCs w:val="24"/>
        </w:rPr>
        <w:t>. Gray iron and steel foundries, malleable iron foundries, steel investment foundries, steel foundries 100 or more tons/yr. metal charged (not elsewhere identified);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(v) Category </w:t>
      </w:r>
      <w:r>
        <w:rPr>
          <w:rFonts w:ascii="Times New Roman" w:eastAsia="Times New Roman" w:hAnsi="Times New Roman" w:cs="Times New Roman"/>
          <w:sz w:val="24"/>
          <w:szCs w:val="24"/>
        </w:rPr>
        <w:t>40</w:t>
      </w:r>
      <w:r w:rsidRPr="00D97846">
        <w:rPr>
          <w:rFonts w:ascii="Times New Roman" w:eastAsia="Times New Roman" w:hAnsi="Times New Roman" w:cs="Times New Roman"/>
          <w:sz w:val="24"/>
          <w:szCs w:val="24"/>
        </w:rPr>
        <w:t>. Gypsum products;</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(vi) Category </w:t>
      </w:r>
      <w:r>
        <w:rPr>
          <w:rFonts w:ascii="Times New Roman" w:eastAsia="Times New Roman" w:hAnsi="Times New Roman" w:cs="Times New Roman"/>
          <w:sz w:val="24"/>
          <w:szCs w:val="24"/>
        </w:rPr>
        <w:t>45</w:t>
      </w:r>
      <w:r w:rsidRPr="00D97846">
        <w:rPr>
          <w:rFonts w:ascii="Times New Roman" w:eastAsia="Times New Roman" w:hAnsi="Times New Roman" w:cs="Times New Roman"/>
          <w:sz w:val="24"/>
          <w:szCs w:val="24"/>
        </w:rPr>
        <w:t xml:space="preserve">. Liquid Storage Tanks subject to OAR </w:t>
      </w:r>
      <w:r>
        <w:rPr>
          <w:rFonts w:ascii="Times New Roman" w:eastAsia="Times New Roman" w:hAnsi="Times New Roman" w:cs="Times New Roman"/>
          <w:sz w:val="24"/>
          <w:szCs w:val="24"/>
        </w:rPr>
        <w:t>d</w:t>
      </w:r>
      <w:r w:rsidRPr="00D97846">
        <w:rPr>
          <w:rFonts w:ascii="Times New Roman" w:eastAsia="Times New Roman" w:hAnsi="Times New Roman" w:cs="Times New Roman"/>
          <w:sz w:val="24"/>
          <w:szCs w:val="24"/>
        </w:rPr>
        <w:t>ivision 232;</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(vii) Category </w:t>
      </w:r>
      <w:r>
        <w:rPr>
          <w:rFonts w:ascii="Times New Roman" w:eastAsia="Times New Roman" w:hAnsi="Times New Roman" w:cs="Times New Roman"/>
          <w:sz w:val="24"/>
          <w:szCs w:val="24"/>
        </w:rPr>
        <w:t>56</w:t>
      </w:r>
      <w:r w:rsidRPr="00D97846">
        <w:rPr>
          <w:rFonts w:ascii="Times New Roman" w:eastAsia="Times New Roman" w:hAnsi="Times New Roman" w:cs="Times New Roman"/>
          <w:sz w:val="24"/>
          <w:szCs w:val="24"/>
        </w:rPr>
        <w:t>. Non-Ferrous Metal Foundries 100 or more tons/yr. of metal charged;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(viii) Category 5</w:t>
      </w:r>
      <w:r>
        <w:rPr>
          <w:rFonts w:ascii="Times New Roman" w:eastAsia="Times New Roman" w:hAnsi="Times New Roman" w:cs="Times New Roman"/>
          <w:sz w:val="24"/>
          <w:szCs w:val="24"/>
        </w:rPr>
        <w:t>7</w:t>
      </w:r>
      <w:r w:rsidRPr="00D97846">
        <w:rPr>
          <w:rFonts w:ascii="Times New Roman" w:eastAsia="Times New Roman" w:hAnsi="Times New Roman" w:cs="Times New Roman"/>
          <w:sz w:val="24"/>
          <w:szCs w:val="24"/>
        </w:rPr>
        <w:t>. Organic or Inorganic Industrial Chemical Manufacturing;</w:t>
      </w:r>
    </w:p>
    <w:p w:rsidR="00CF4BFD" w:rsidRDefault="00CF4BFD" w:rsidP="00780229">
      <w:pPr>
        <w:pStyle w:val="NormalWeb"/>
        <w:spacing w:before="0" w:beforeAutospacing="0" w:after="0" w:afterAutospacing="0"/>
      </w:pPr>
      <w:r>
        <w:t xml:space="preserve">(ix) Category 62. Perchloroethylene Dry Cleaning; </w:t>
      </w:r>
    </w:p>
    <w:p w:rsidR="00CF4BFD" w:rsidRDefault="00CF4BFD" w:rsidP="00780229">
      <w:pPr>
        <w:pStyle w:val="NormalWeb"/>
        <w:spacing w:before="0" w:beforeAutospacing="0" w:after="0" w:afterAutospacing="0"/>
      </w:pPr>
      <w:r>
        <w:t xml:space="preserve">(x) Category 73. Secondary Smelting and/or Refining of Ferrous and Non-Ferrous Metals; or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(x</w:t>
      </w:r>
      <w:r>
        <w:rPr>
          <w:rFonts w:ascii="Times New Roman" w:eastAsia="Times New Roman" w:hAnsi="Times New Roman" w:cs="Times New Roman"/>
          <w:sz w:val="24"/>
          <w:szCs w:val="24"/>
        </w:rPr>
        <w:t>i</w:t>
      </w:r>
      <w:r w:rsidRPr="00D97846">
        <w:rPr>
          <w:rFonts w:ascii="Times New Roman" w:eastAsia="Times New Roman" w:hAnsi="Times New Roman" w:cs="Times New Roman"/>
          <w:sz w:val="24"/>
          <w:szCs w:val="24"/>
        </w:rPr>
        <w:t xml:space="preserve">) Category </w:t>
      </w:r>
      <w:r>
        <w:rPr>
          <w:rFonts w:ascii="Times New Roman" w:eastAsia="Times New Roman" w:hAnsi="Times New Roman" w:cs="Times New Roman"/>
          <w:sz w:val="24"/>
          <w:szCs w:val="24"/>
        </w:rPr>
        <w:t>85</w:t>
      </w:r>
      <w:r w:rsidRPr="00D97846">
        <w:rPr>
          <w:rFonts w:ascii="Times New Roman" w:eastAsia="Times New Roman" w:hAnsi="Times New Roman" w:cs="Times New Roman"/>
          <w:sz w:val="24"/>
          <w:szCs w:val="24"/>
        </w:rPr>
        <w:t>. All Other Sources not listed in Table 1 which would have actual emissions, if the source were to operate uncontroll</w:t>
      </w:r>
      <w:r>
        <w:rPr>
          <w:rFonts w:ascii="Times New Roman" w:eastAsia="Times New Roman" w:hAnsi="Times New Roman" w:cs="Times New Roman"/>
          <w:sz w:val="24"/>
          <w:szCs w:val="24"/>
        </w:rPr>
        <w:t xml:space="preserve">ed, of 5 or more tons a year of direct PM2.5 or </w:t>
      </w:r>
      <w:r w:rsidRPr="00D97846">
        <w:rPr>
          <w:rFonts w:ascii="Times New Roman" w:eastAsia="Times New Roman" w:hAnsi="Times New Roman" w:cs="Times New Roman"/>
          <w:sz w:val="24"/>
          <w:szCs w:val="24"/>
        </w:rPr>
        <w:t>PM</w:t>
      </w:r>
      <w:r w:rsidRPr="00D97846">
        <w:rPr>
          <w:rFonts w:ascii="Times New Roman" w:eastAsia="Times New Roman" w:hAnsi="Times New Roman" w:cs="Times New Roman"/>
          <w:sz w:val="24"/>
          <w:szCs w:val="24"/>
          <w:vertAlign w:val="subscript"/>
        </w:rPr>
        <w:t>10</w:t>
      </w:r>
      <w:r w:rsidRPr="00D97846">
        <w:rPr>
          <w:rFonts w:ascii="Times New Roman" w:eastAsia="Times New Roman" w:hAnsi="Times New Roman" w:cs="Times New Roman"/>
          <w:sz w:val="24"/>
          <w:szCs w:val="24"/>
        </w:rPr>
        <w:t xml:space="preserve"> if located in a </w:t>
      </w:r>
      <w:r>
        <w:rPr>
          <w:rFonts w:ascii="Times New Roman" w:eastAsia="Times New Roman" w:hAnsi="Times New Roman" w:cs="Times New Roman"/>
          <w:sz w:val="24"/>
          <w:szCs w:val="24"/>
        </w:rPr>
        <w:t xml:space="preserve">PM2.5 or </w:t>
      </w:r>
      <w:r w:rsidRPr="00D97846">
        <w:rPr>
          <w:rFonts w:ascii="Times New Roman" w:eastAsia="Times New Roman" w:hAnsi="Times New Roman" w:cs="Times New Roman"/>
          <w:sz w:val="24"/>
          <w:szCs w:val="24"/>
        </w:rPr>
        <w:t>PM</w:t>
      </w:r>
      <w:r w:rsidRPr="00D97846">
        <w:rPr>
          <w:rFonts w:ascii="Times New Roman" w:eastAsia="Times New Roman" w:hAnsi="Times New Roman" w:cs="Times New Roman"/>
          <w:sz w:val="24"/>
          <w:szCs w:val="24"/>
          <w:vertAlign w:val="subscript"/>
        </w:rPr>
        <w:t>10</w:t>
      </w:r>
      <w:r w:rsidRPr="00D97846">
        <w:rPr>
          <w:rFonts w:ascii="Times New Roman" w:eastAsia="Times New Roman" w:hAnsi="Times New Roman" w:cs="Times New Roman"/>
          <w:sz w:val="24"/>
          <w:szCs w:val="24"/>
        </w:rPr>
        <w:t xml:space="preserve"> non-attainment or maintenance area, or 10 or more tons of any single criteria pollutant in any part of the state; and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The actual emissions from the 12 months immediately preceding the invoice date, and future projected emissions are less than 5 tons/yr. PM</w:t>
      </w:r>
      <w:r w:rsidRPr="00D97846">
        <w:rPr>
          <w:rFonts w:ascii="Times New Roman" w:eastAsia="Times New Roman" w:hAnsi="Times New Roman" w:cs="Times New Roman"/>
          <w:sz w:val="24"/>
          <w:szCs w:val="24"/>
          <w:vertAlign w:val="subscript"/>
        </w:rPr>
        <w:t>10</w:t>
      </w:r>
      <w:r w:rsidRPr="00D97846">
        <w:rPr>
          <w:rFonts w:ascii="Times New Roman" w:eastAsia="Times New Roman" w:hAnsi="Times New Roman" w:cs="Times New Roman"/>
          <w:sz w:val="24"/>
          <w:szCs w:val="24"/>
        </w:rPr>
        <w:t xml:space="preserve"> in a PM</w:t>
      </w:r>
      <w:r w:rsidRPr="00D97846">
        <w:rPr>
          <w:rFonts w:ascii="Times New Roman" w:eastAsia="Times New Roman" w:hAnsi="Times New Roman" w:cs="Times New Roman"/>
          <w:sz w:val="24"/>
          <w:szCs w:val="24"/>
          <w:vertAlign w:val="subscript"/>
        </w:rPr>
        <w:t>10</w:t>
      </w:r>
      <w:r w:rsidRPr="00D97846">
        <w:rPr>
          <w:rFonts w:ascii="Times New Roman" w:eastAsia="Times New Roman" w:hAnsi="Times New Roman" w:cs="Times New Roman"/>
          <w:sz w:val="24"/>
          <w:szCs w:val="24"/>
        </w:rPr>
        <w:t xml:space="preserve"> nonattainment or maintenance area, and less than 10 tons/yr. for each criteria pollutant; and</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(C) The source is not considered an air quality problem or nuisance source by the Department.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lastRenderedPageBreak/>
        <w:t>(b) High Fee -- Any source required to have a Simple ACDP (OAR 340-216-0020 Table 1 Part B) that does not qualify for the Low Fee will be assessed the High Fee.</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(c) If the Department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the Department will issue a new invoice specifying applicable fees.</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(4) Permit Content.</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(a) All relevant applicable requirements for source operation, including general ACDP conditions for incorporating generally applicable requirements;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(b) Generic PSELs for all pollutants emitted at more than the deminimis level in accordance with OAR 340 division 222;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(c) Testing, monitoring, recordkeeping, and reporting requirements sufficient to determine compliance with the PSEL and other emission limits and standards, as necessary; and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(d) A permit duration not to exceed 5 years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(5) Permit issuance procedures: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(a) Issuance of a new or renewed Simple ACDP requires public notice in accordance with OAR 340 division 209 for Category II permit actions.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(b) Issuance of a modification to a Simple ACDP requires one of the following procedures, as applicable: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 xml:space="preserve">(A) Non-technical and non-NSR/PSD Basic and Simple technical modifications require public notice in accordance with OAR 340, division 209 for Category I permit actions; or </w:t>
      </w:r>
    </w:p>
    <w:p w:rsidR="00CF4BFD" w:rsidRPr="00D97846"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(B) Issuance of non-NSR/PSD Moderate and Complex technical modifications require public notice in accordance with OAR 340 division 209 for Category II permit actions.</w:t>
      </w:r>
    </w:p>
    <w:p w:rsidR="00CF4BFD" w:rsidRDefault="00CF4BFD" w:rsidP="00780229">
      <w:pPr>
        <w:pStyle w:val="NormalWeb"/>
        <w:spacing w:before="0" w:beforeAutospacing="0" w:after="0" w:afterAutospacing="0"/>
      </w:pPr>
      <w:r w:rsidRPr="00D97846">
        <w:t xml:space="preserve">[ED. NOTE: </w:t>
      </w:r>
      <w:r>
        <w:t>The t</w:t>
      </w:r>
      <w:r w:rsidRPr="00D97846">
        <w:t xml:space="preserve">ables referenced in this rule are </w:t>
      </w:r>
      <w:r>
        <w:t xml:space="preserve">not included in the rule text. </w:t>
      </w:r>
      <w:hyperlink r:id="rId17" w:history="1">
        <w:r>
          <w:rPr>
            <w:rStyle w:val="Hyperlink"/>
          </w:rPr>
          <w:t>Click here for a PDF copy of the tables</w:t>
        </w:r>
      </w:hyperlink>
      <w:r w:rsidRPr="00D97846">
        <w:t>.]</w:t>
      </w:r>
      <w:r w:rsidRPr="006669FB">
        <w:t xml:space="preserve"> </w:t>
      </w:r>
    </w:p>
    <w:p w:rsidR="00CF4BFD" w:rsidRDefault="00CF4BFD" w:rsidP="00780229">
      <w:pPr>
        <w:pStyle w:val="NormalWeb"/>
        <w:spacing w:before="0" w:beforeAutospacing="0" w:after="0" w:afterAutospacing="0"/>
      </w:pPr>
    </w:p>
    <w:p w:rsidR="00CF4BFD" w:rsidRDefault="00CF4BFD" w:rsidP="00780229">
      <w:pPr>
        <w:pStyle w:val="NormalWeb"/>
        <w:spacing w:before="0" w:beforeAutospacing="0" w:after="0" w:afterAutospacing="0"/>
      </w:pPr>
      <w:r>
        <w:rPr>
          <w:b/>
          <w:bCs/>
        </w:rPr>
        <w:t>340-216-0066</w:t>
      </w:r>
    </w:p>
    <w:p w:rsidR="00CF4BFD" w:rsidRDefault="00CF4BFD" w:rsidP="00780229">
      <w:pPr>
        <w:pStyle w:val="NormalWeb"/>
        <w:spacing w:before="0" w:beforeAutospacing="0" w:after="0" w:afterAutospacing="0"/>
      </w:pPr>
      <w:r>
        <w:rPr>
          <w:b/>
          <w:bCs/>
        </w:rPr>
        <w:t>Standard ACDPs</w:t>
      </w:r>
    </w:p>
    <w:p w:rsidR="00CF4BFD" w:rsidRDefault="00CF4BFD" w:rsidP="00780229">
      <w:pPr>
        <w:pStyle w:val="NormalWeb"/>
        <w:spacing w:before="0" w:beforeAutospacing="0" w:after="0" w:afterAutospacing="0"/>
      </w:pPr>
      <w:r>
        <w:t xml:space="preserve">(1) Application requirements. Any person requesting a new, modified, or renewed Standard ACDP must submit an application in accordance with OAR 340-216-0040 and include the following additional information as applicable: </w:t>
      </w:r>
    </w:p>
    <w:p w:rsidR="00CF4BFD" w:rsidRDefault="00CF4BFD" w:rsidP="00780229">
      <w:pPr>
        <w:pStyle w:val="NormalWeb"/>
        <w:spacing w:before="0" w:beforeAutospacing="0" w:after="0" w:afterAutospacing="0"/>
      </w:pPr>
      <w:r>
        <w:t xml:space="preserve">(a)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 </w:t>
      </w:r>
    </w:p>
    <w:p w:rsidR="00CF4BFD" w:rsidRDefault="00CF4BFD" w:rsidP="00780229">
      <w:pPr>
        <w:pStyle w:val="NormalWeb"/>
        <w:spacing w:before="0" w:beforeAutospacing="0" w:after="0" w:afterAutospacing="0"/>
      </w:pPr>
      <w:r>
        <w:t xml:space="preserve">(b) For new or modified Standard ACDPs that are subject to NSR (OAR 340 division 224), the application must include the following additional information as applicable: </w:t>
      </w:r>
    </w:p>
    <w:p w:rsidR="00CF4BFD" w:rsidRDefault="00CF4BFD" w:rsidP="00780229">
      <w:pPr>
        <w:pStyle w:val="NormalWeb"/>
        <w:spacing w:before="0" w:beforeAutospacing="0" w:after="0" w:afterAutospacing="0"/>
      </w:pPr>
      <w:r>
        <w:t xml:space="preserve">(A) A detailed description of the air pollution control equipment and emission reductions processes which are planned for the source or modification, and any other information necessary to determine that BACT or LAER technology, whichever is applicable, would be applied; </w:t>
      </w:r>
    </w:p>
    <w:p w:rsidR="00CF4BFD" w:rsidRDefault="00CF4BFD" w:rsidP="00780229">
      <w:pPr>
        <w:pStyle w:val="NormalWeb"/>
        <w:spacing w:before="0" w:beforeAutospacing="0" w:after="0" w:afterAutospacing="0"/>
      </w:pPr>
      <w:r>
        <w:t xml:space="preserve">(B) An analysis of the air quality and visibility (federal major sources only) impact of the source or modification, including meteorological and topographical data, specific details of models used, and other information necessary to estimate air quality impacts; and </w:t>
      </w:r>
    </w:p>
    <w:p w:rsidR="00CF4BFD" w:rsidRDefault="00CF4BFD" w:rsidP="00780229">
      <w:pPr>
        <w:pStyle w:val="NormalWeb"/>
        <w:spacing w:before="0" w:beforeAutospacing="0" w:after="0" w:afterAutospacing="0"/>
      </w:pPr>
      <w:r>
        <w:lastRenderedPageBreak/>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CF4BFD" w:rsidRDefault="00CF4BFD" w:rsidP="00780229">
      <w:pPr>
        <w:pStyle w:val="NormalWeb"/>
        <w:spacing w:before="0" w:beforeAutospacing="0" w:after="0" w:afterAutospacing="0"/>
      </w:pPr>
      <w:r>
        <w:t>(2) Fees. Applicants for a Standard ACDP must pay the fees set forth in Table 2 of 340-216-0020.</w:t>
      </w:r>
    </w:p>
    <w:p w:rsidR="00CF4BFD" w:rsidRDefault="00CF4BFD" w:rsidP="00780229">
      <w:pPr>
        <w:pStyle w:val="NormalWeb"/>
        <w:spacing w:before="0" w:beforeAutospacing="0" w:after="0" w:afterAutospacing="0"/>
      </w:pPr>
      <w:r>
        <w:t xml:space="preserve">(3) Permit content. A Standard ACDP is a permit that contains: </w:t>
      </w:r>
    </w:p>
    <w:p w:rsidR="00CF4BFD" w:rsidRDefault="00CF4BFD" w:rsidP="00780229">
      <w:pPr>
        <w:pStyle w:val="NormalWeb"/>
        <w:spacing w:before="0" w:beforeAutospacing="0" w:after="0" w:afterAutospacing="0"/>
      </w:pPr>
      <w:r>
        <w:t xml:space="preserve">(a) all applicable requirements, including general ACDP conditions for incorporating generally applicable requirements; </w:t>
      </w:r>
    </w:p>
    <w:p w:rsidR="00CF4BFD" w:rsidRDefault="00CF4BFD" w:rsidP="00780229">
      <w:pPr>
        <w:pStyle w:val="NormalWeb"/>
        <w:spacing w:before="0" w:beforeAutospacing="0" w:after="0" w:afterAutospacing="0"/>
      </w:pPr>
      <w:r>
        <w:t xml:space="preserve">(b) Source specific PSELs or Generic PSELs, whichever are applicable, as specified in OAR 340, division 222; </w:t>
      </w:r>
    </w:p>
    <w:p w:rsidR="00CF4BFD" w:rsidRDefault="00CF4BFD" w:rsidP="00780229">
      <w:pPr>
        <w:pStyle w:val="NormalWeb"/>
        <w:spacing w:before="0" w:beforeAutospacing="0" w:after="0" w:afterAutospacing="0"/>
      </w:pPr>
      <w:r>
        <w:t xml:space="preserve">(c) Testing, monitoring, recordkeeping, and reporting requirements sufficient to determine compliance with the PSEL and other emission limits and standards, as necessary; and </w:t>
      </w:r>
    </w:p>
    <w:p w:rsidR="00CF4BFD" w:rsidRDefault="00CF4BFD" w:rsidP="00780229">
      <w:pPr>
        <w:pStyle w:val="NormalWeb"/>
        <w:spacing w:before="0" w:beforeAutospacing="0" w:after="0" w:afterAutospacing="0"/>
      </w:pPr>
      <w:r>
        <w:t xml:space="preserve">(d) A permit duration not to exceed 5 years. </w:t>
      </w:r>
    </w:p>
    <w:p w:rsidR="00CF4BFD" w:rsidRDefault="00CF4BFD" w:rsidP="00780229">
      <w:pPr>
        <w:pStyle w:val="NormalWeb"/>
        <w:spacing w:before="0" w:beforeAutospacing="0" w:after="0" w:afterAutospacing="0"/>
      </w:pPr>
      <w:r>
        <w:t xml:space="preserve">(4) Permit issuance procedures. </w:t>
      </w:r>
    </w:p>
    <w:p w:rsidR="00CF4BFD" w:rsidRDefault="00CF4BFD" w:rsidP="00780229">
      <w:pPr>
        <w:pStyle w:val="NormalWeb"/>
        <w:spacing w:before="0" w:beforeAutospacing="0" w:after="0" w:afterAutospacing="0"/>
      </w:pPr>
      <w:r>
        <w:t xml:space="preserve">(a) Issuance of a new or renewed Standard ACDP requires public notice as follows: </w:t>
      </w:r>
    </w:p>
    <w:p w:rsidR="00CF4BFD" w:rsidRDefault="00CF4BFD" w:rsidP="00780229">
      <w:pPr>
        <w:pStyle w:val="NormalWeb"/>
        <w:spacing w:before="0" w:beforeAutospacing="0" w:after="0" w:afterAutospacing="0"/>
      </w:pPr>
      <w:r>
        <w:t xml:space="preserve">(A) For non-NSR permit actions, issuance of a new or renewed Standard ACDP requires public notice in accordance with OAR 340 division 209 for Category III permit actions for any increase in allowed emissions, or Category II permit actions if no emissions increase is allowed. </w:t>
      </w:r>
    </w:p>
    <w:p w:rsidR="00CF4BFD" w:rsidRDefault="00CF4BFD" w:rsidP="00780229">
      <w:pPr>
        <w:pStyle w:val="NormalWeb"/>
        <w:spacing w:before="0" w:beforeAutospacing="0" w:after="0" w:afterAutospacing="0"/>
      </w:pPr>
      <w:r>
        <w:t xml:space="preserve">(B) For NSR permit actions, issuance of a new Standard ACDP requires public notice in accordance with OAR 340 division 209 for Category IV permit actions. </w:t>
      </w:r>
    </w:p>
    <w:p w:rsidR="00CF4BFD" w:rsidRDefault="00CF4BFD" w:rsidP="00780229">
      <w:pPr>
        <w:pStyle w:val="NormalWeb"/>
        <w:spacing w:before="0" w:beforeAutospacing="0" w:after="0" w:afterAutospacing="0"/>
      </w:pPr>
      <w:r>
        <w:t>(b) Issuance of a modified Standard ACDP requires one of the following, as applicable:</w:t>
      </w:r>
    </w:p>
    <w:p w:rsidR="00CF4BFD" w:rsidRDefault="00CF4BFD" w:rsidP="00780229">
      <w:pPr>
        <w:pStyle w:val="NormalWeb"/>
        <w:spacing w:before="0" w:beforeAutospacing="0" w:after="0" w:afterAutospacing="0"/>
      </w:pPr>
      <w:r>
        <w:t xml:space="preserve">(A) Non-technical modifications and non-NSR Basic and Simple technical modifications require public notice in accordance with OAR 340 division 209 for Category I permit actions. </w:t>
      </w:r>
    </w:p>
    <w:p w:rsidR="00CF4BFD" w:rsidRDefault="00CF4BFD" w:rsidP="00780229">
      <w:pPr>
        <w:pStyle w:val="NormalWeb"/>
        <w:spacing w:before="0" w:beforeAutospacing="0" w:after="0" w:afterAutospacing="0"/>
      </w:pPr>
      <w:r>
        <w:t xml:space="preserve">(B) Non-NSR/PSD Moderate and Complex technical modifications require public notice in accordance with OAR 340 division 209 for Category II permit actions if no increase in allowed emissions, or Category III permit actions if an increase in emissions is allowed. </w:t>
      </w:r>
    </w:p>
    <w:p w:rsidR="00CF4BFD" w:rsidRDefault="00CF4BFD" w:rsidP="00780229">
      <w:pPr>
        <w:pStyle w:val="NormalWeb"/>
        <w:spacing w:before="0" w:beforeAutospacing="0" w:after="0" w:afterAutospacing="0"/>
      </w:pPr>
      <w:r>
        <w:t xml:space="preserve">(C) NSR/PSD modifications require public notice in accordance with OAR 340 division 209 for Category IV permit actions. </w:t>
      </w:r>
    </w:p>
    <w:p w:rsidR="00CF4BFD" w:rsidRDefault="00CF4BFD" w:rsidP="00780229">
      <w:pPr>
        <w:pStyle w:val="NormalWeb"/>
        <w:spacing w:before="0" w:beforeAutospacing="0" w:after="0" w:afterAutospacing="0"/>
      </w:pPr>
      <w:r>
        <w:t xml:space="preserve">[ED. NOTE: The tables referenced in this rule are not included in the rule text. </w:t>
      </w:r>
      <w:hyperlink r:id="rId18" w:history="1">
        <w:r>
          <w:rPr>
            <w:rStyle w:val="Hyperlink"/>
          </w:rPr>
          <w:t>Click here for a PDF copy of the tables</w:t>
        </w:r>
      </w:hyperlink>
      <w:r>
        <w:t>.]</w:t>
      </w:r>
    </w:p>
    <w:p w:rsidR="00CF4BFD" w:rsidRDefault="00CF4BFD" w:rsidP="00780229">
      <w:pPr>
        <w:pStyle w:val="NormalWeb"/>
        <w:spacing w:before="0" w:beforeAutospacing="0" w:after="0" w:afterAutospacing="0"/>
      </w:pPr>
      <w:r>
        <w:t>Stat. Auth.: ORS 468.020</w:t>
      </w:r>
      <w:r>
        <w:br/>
        <w:t>Stats. Implemented: ORS 468A</w:t>
      </w:r>
      <w:r>
        <w:br/>
        <w:t>Hist.: DEQ 6-2001, f. 6-18-01, cert. ef. 7-1-01; DEQ 4-2002, f. &amp; cert. ef. 3-14-02</w:t>
      </w:r>
    </w:p>
    <w:p w:rsidR="00CF4BFD" w:rsidRDefault="00CF4BFD" w:rsidP="00780229">
      <w:pPr>
        <w:spacing w:after="0" w:line="240" w:lineRule="auto"/>
        <w:rPr>
          <w:rFonts w:ascii="Times New Roman" w:eastAsia="Times New Roman" w:hAnsi="Times New Roman" w:cs="Times New Roman"/>
          <w:sz w:val="24"/>
          <w:szCs w:val="24"/>
        </w:rPr>
      </w:pPr>
      <w:r w:rsidRPr="00D97846">
        <w:rPr>
          <w:rFonts w:ascii="Times New Roman" w:eastAsia="Times New Roman" w:hAnsi="Times New Roman" w:cs="Times New Roman"/>
          <w:sz w:val="24"/>
          <w:szCs w:val="24"/>
        </w:rPr>
        <w:t>Stat. Auth.: ORS 468.020</w:t>
      </w:r>
      <w:r w:rsidRPr="00D97846">
        <w:rPr>
          <w:rFonts w:ascii="Times New Roman" w:eastAsia="Times New Roman" w:hAnsi="Times New Roman" w:cs="Times New Roman"/>
          <w:sz w:val="24"/>
          <w:szCs w:val="24"/>
        </w:rPr>
        <w:br/>
        <w:t>Stats. Implemented: ORS 468A</w:t>
      </w:r>
      <w:r w:rsidRPr="00D97846">
        <w:rPr>
          <w:rFonts w:ascii="Times New Roman" w:eastAsia="Times New Roman" w:hAnsi="Times New Roman" w:cs="Times New Roman"/>
          <w:sz w:val="24"/>
          <w:szCs w:val="24"/>
        </w:rPr>
        <w:br/>
        <w:t>Hist.: DEQ 6-2001, f. 6-18-01, cert. ef. 7-1-01; DEQ 4-2002, f. &amp; cert. ef. 3-14-02</w:t>
      </w:r>
    </w:p>
    <w:p w:rsidR="00CF4BFD" w:rsidRDefault="00CF4BFD" w:rsidP="00780229">
      <w:pPr>
        <w:spacing w:after="0" w:line="240" w:lineRule="auto"/>
        <w:rPr>
          <w:rFonts w:ascii="Times New Roman" w:eastAsia="Times New Roman" w:hAnsi="Times New Roman" w:cs="Times New Roman"/>
          <w:sz w:val="24"/>
          <w:szCs w:val="24"/>
        </w:rPr>
      </w:pPr>
    </w:p>
    <w:p w:rsidR="00CF4BFD" w:rsidRDefault="00CF4BFD" w:rsidP="00780229">
      <w:pPr>
        <w:pStyle w:val="NormalWeb"/>
        <w:spacing w:before="0" w:beforeAutospacing="0" w:after="0" w:afterAutospacing="0"/>
      </w:pPr>
      <w:r>
        <w:rPr>
          <w:b/>
          <w:bCs/>
        </w:rPr>
        <w:t xml:space="preserve">340-216-0070 </w:t>
      </w:r>
    </w:p>
    <w:p w:rsidR="00CF4BFD" w:rsidRDefault="00CF4BFD" w:rsidP="00780229">
      <w:pPr>
        <w:pStyle w:val="NormalWeb"/>
        <w:spacing w:before="0" w:beforeAutospacing="0" w:after="0" w:afterAutospacing="0"/>
      </w:pPr>
      <w:r>
        <w:rPr>
          <w:b/>
          <w:bCs/>
        </w:rPr>
        <w:t>Permitting Multiple Sources at a Single Adjacent or Contiguous Site</w:t>
      </w:r>
    </w:p>
    <w:p w:rsidR="00CF4BFD" w:rsidRDefault="00CF4BFD" w:rsidP="00780229">
      <w:pPr>
        <w:pStyle w:val="NormalWeb"/>
        <w:spacing w:before="0" w:beforeAutospacing="0" w:after="0" w:afterAutospacing="0"/>
      </w:pPr>
      <w:r>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CF4BFD" w:rsidRDefault="00CF4BFD" w:rsidP="00780229">
      <w:pPr>
        <w:pStyle w:val="NormalWeb"/>
        <w:spacing w:before="0" w:beforeAutospacing="0" w:after="0" w:afterAutospacing="0"/>
      </w:pPr>
      <w:r>
        <w:t>[</w:t>
      </w:r>
      <w:r>
        <w:rPr>
          <w:b/>
          <w:bCs/>
        </w:rPr>
        <w:t>NOTE:</w:t>
      </w:r>
      <w:r>
        <w:t xml:space="preserve"> This rule is included in the State of Oregon Clean Air Act Implementation Plan as adopted by the EQC under OAR 340-200-0040.]</w:t>
      </w:r>
    </w:p>
    <w:p w:rsidR="00CF4BFD" w:rsidRDefault="00CF4BFD" w:rsidP="00780229">
      <w:pPr>
        <w:pStyle w:val="NormalWeb"/>
        <w:spacing w:before="0" w:beforeAutospacing="0" w:after="0" w:afterAutospacing="0"/>
      </w:pPr>
      <w:r>
        <w:t xml:space="preserve">[ED. NOTE: The tables referenced in this rule are not included in the rule text. </w:t>
      </w:r>
      <w:r w:rsidRPr="001064D6">
        <w:rPr>
          <w:color w:val="0070C0"/>
          <w:u w:val="single"/>
        </w:rPr>
        <w:t>Click here for a PDF copy of the tables.</w:t>
      </w:r>
      <w:r>
        <w:t>]</w:t>
      </w:r>
    </w:p>
    <w:p w:rsidR="00CF4BFD" w:rsidRDefault="00CF4BFD" w:rsidP="00780229">
      <w:pPr>
        <w:pStyle w:val="NormalWeb"/>
        <w:spacing w:before="0" w:beforeAutospacing="0" w:after="0" w:afterAutospacing="0"/>
      </w:pPr>
      <w:r>
        <w:lastRenderedPageBreak/>
        <w:t>Stat. Auth.: ORS 468 &amp; ORS 468A</w:t>
      </w:r>
      <w:r>
        <w:br/>
        <w:t>Stats. Implemented: ORS 468 &amp; ORS 468A</w:t>
      </w:r>
      <w:r>
        <w:br/>
        <w:t>Hist.: DEQ 47, f. 8-31-72, ef. 9-15-72; DEQ 63, f. 12-20-73, ef. 1-11-74; DEQ 107, f. &amp; ef. 1-6-76; Renumbered from 340-020-0003; DEQ 4-1993, f. &amp; cert. ef. 3-10-93; DEQ 12-1993, f. &amp; cert. ef. 9-24-93; Renumbered from 340-020-0160; DEQ 19-1993, f. &amp; cert. ef. 11-4-93; DEQ 14-1999, f. &amp; cert. ef. 10-14-99, Renumbered from 340-028-1730; DEQ 6-2001, f. 6-18-01, cert. ef. 7-1-01</w:t>
      </w:r>
    </w:p>
    <w:p w:rsidR="00CF4BFD" w:rsidRDefault="00CF4BFD" w:rsidP="00780229">
      <w:pPr>
        <w:pStyle w:val="NormalWeb"/>
        <w:spacing w:before="0" w:beforeAutospacing="0" w:after="0" w:afterAutospacing="0"/>
      </w:pPr>
    </w:p>
    <w:p w:rsidR="00CF4BFD" w:rsidRDefault="00CF4BFD" w:rsidP="00780229">
      <w:pPr>
        <w:pStyle w:val="NormalWeb"/>
        <w:spacing w:before="0" w:beforeAutospacing="0" w:after="0" w:afterAutospacing="0"/>
      </w:pPr>
      <w:r>
        <w:rPr>
          <w:b/>
          <w:bCs/>
        </w:rPr>
        <w:t xml:space="preserve">340-216-0090 </w:t>
      </w:r>
    </w:p>
    <w:p w:rsidR="00CF4BFD" w:rsidRDefault="00CF4BFD" w:rsidP="00780229">
      <w:pPr>
        <w:pStyle w:val="NormalWeb"/>
        <w:spacing w:before="0" w:beforeAutospacing="0" w:after="0" w:afterAutospacing="0"/>
      </w:pPr>
      <w:r>
        <w:rPr>
          <w:b/>
          <w:bCs/>
        </w:rPr>
        <w:t>Sources Subject to ACDPs and Fees</w:t>
      </w:r>
    </w:p>
    <w:p w:rsidR="00CF4BFD" w:rsidRDefault="00CF4BFD" w:rsidP="00780229">
      <w:pPr>
        <w:pStyle w:val="NormalWeb"/>
        <w:spacing w:before="0" w:beforeAutospacing="0" w:after="0" w:afterAutospacing="0"/>
      </w:pPr>
      <w:r>
        <w:t xml:space="preserve">All air contaminant discharge sources listed in Table 1 OAR 340-216-0020 must obtain a permit from the Department and are subject to fees as set forth in </w:t>
      </w:r>
      <w:r>
        <w:rPr>
          <w:b/>
          <w:bCs/>
        </w:rPr>
        <w:t>Table 2</w:t>
      </w:r>
      <w:r>
        <w:t xml:space="preserve"> OAR 340-216-0020.</w:t>
      </w:r>
    </w:p>
    <w:p w:rsidR="00CF4BFD" w:rsidRDefault="00CF4BFD" w:rsidP="00780229">
      <w:pPr>
        <w:pStyle w:val="NormalWeb"/>
        <w:spacing w:before="0" w:beforeAutospacing="0" w:after="0" w:afterAutospacing="0"/>
      </w:pPr>
      <w:r>
        <w:t>[</w:t>
      </w:r>
      <w:r>
        <w:rPr>
          <w:b/>
          <w:bCs/>
        </w:rPr>
        <w:t>NOTE:</w:t>
      </w:r>
      <w:r>
        <w:t xml:space="preserve"> This rule is included in the State of Oregon Clean Air Act Implementation Plan as adopted by the EQC under OAR 340-200-0040.]</w:t>
      </w:r>
    </w:p>
    <w:p w:rsidR="00CF4BFD" w:rsidRDefault="00CF4BFD" w:rsidP="00780229">
      <w:pPr>
        <w:pStyle w:val="NormalWeb"/>
        <w:spacing w:before="0" w:beforeAutospacing="0" w:after="0" w:afterAutospacing="0"/>
      </w:pPr>
      <w:r>
        <w:t xml:space="preserve">[ED. NOTE: The tables referenced in this rule are not included in the rule text. </w:t>
      </w:r>
      <w:r w:rsidRPr="001064D6">
        <w:rPr>
          <w:color w:val="0070C0"/>
          <w:u w:val="single"/>
        </w:rPr>
        <w:t>Click here for a PDF copy of the tables.</w:t>
      </w:r>
      <w:r>
        <w:t>]</w:t>
      </w:r>
    </w:p>
    <w:p w:rsidR="00CF4BFD" w:rsidRPr="00CF4BFD" w:rsidRDefault="00CF4BFD">
      <w:pPr>
        <w:rPr>
          <w:rFonts w:ascii="Times New Roman" w:hAnsi="Times New Roman" w:cs="Times New Roman"/>
          <w:sz w:val="24"/>
          <w:szCs w:val="24"/>
        </w:rPr>
      </w:pPr>
      <w:r w:rsidRPr="00CF4BFD">
        <w:rPr>
          <w:rFonts w:ascii="Times New Roman" w:hAnsi="Times New Roman" w:cs="Times New Roman"/>
          <w:sz w:val="24"/>
          <w:szCs w:val="24"/>
        </w:rPr>
        <w:t>Stat. Auth.: ORS 468.020 &amp; ORS 468A.040</w:t>
      </w:r>
      <w:r w:rsidRPr="00CF4BFD">
        <w:rPr>
          <w:rFonts w:ascii="Times New Roman" w:hAnsi="Times New Roman" w:cs="Times New Roman"/>
          <w:sz w:val="24"/>
          <w:szCs w:val="24"/>
        </w:rPr>
        <w:br/>
        <w:t>Stats. Implemented: ORS 468.065</w:t>
      </w:r>
      <w:r w:rsidRPr="00CF4BFD">
        <w:rPr>
          <w:rFonts w:ascii="Times New Roman" w:hAnsi="Times New Roman" w:cs="Times New Roman"/>
          <w:sz w:val="24"/>
          <w:szCs w:val="24"/>
        </w:rPr>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w:t>
      </w:r>
    </w:p>
    <w:p w:rsidR="00CF4BFD" w:rsidRPr="00F55FEB" w:rsidRDefault="00CF4BFD" w:rsidP="00021097">
      <w:pPr>
        <w:pStyle w:val="NormalWeb"/>
        <w:jc w:val="center"/>
        <w:rPr>
          <w:b/>
          <w:bCs/>
        </w:rPr>
      </w:pPr>
      <w:r w:rsidRPr="00F55FEB">
        <w:rPr>
          <w:b/>
          <w:bCs/>
        </w:rPr>
        <w:t>DIVISION 216</w:t>
      </w:r>
    </w:p>
    <w:p w:rsidR="00CF4BFD" w:rsidRPr="00F55FEB" w:rsidRDefault="00CF4BFD" w:rsidP="00021097">
      <w:pPr>
        <w:pStyle w:val="NormalWeb"/>
        <w:jc w:val="center"/>
        <w:rPr>
          <w:b/>
          <w:bCs/>
        </w:rPr>
      </w:pPr>
      <w:r w:rsidRPr="00F55FEB">
        <w:rPr>
          <w:b/>
          <w:bCs/>
        </w:rPr>
        <w:t>OAR 340-216-0020</w:t>
      </w:r>
    </w:p>
    <w:p w:rsidR="00CF4BFD" w:rsidRPr="00F55FEB" w:rsidRDefault="00CF4BFD" w:rsidP="00021097">
      <w:pPr>
        <w:pStyle w:val="NormalWeb"/>
        <w:jc w:val="center"/>
        <w:rPr>
          <w:b/>
          <w:bCs/>
        </w:rPr>
      </w:pPr>
      <w:r w:rsidRPr="00F55FEB">
        <w:rPr>
          <w:b/>
          <w:bCs/>
        </w:rPr>
        <w:t>AIR CONTAMINANT DISCHARGE PERMITS</w:t>
      </w:r>
    </w:p>
    <w:p w:rsidR="00CF4BFD" w:rsidRPr="00091A01" w:rsidRDefault="00CF4BFD" w:rsidP="00021097">
      <w:pPr>
        <w:pStyle w:val="NormalWeb"/>
        <w:rPr>
          <w:rFonts w:ascii="Verdana" w:hAnsi="Verdana"/>
          <w:b/>
          <w:bCs/>
        </w:rPr>
      </w:pPr>
      <w:r w:rsidRPr="00091A01">
        <w:rPr>
          <w:rFonts w:ascii="Verdana" w:hAnsi="Verdana"/>
          <w:b/>
          <w:bCs/>
        </w:rPr>
        <w:t>Table 1</w:t>
      </w:r>
    </w:p>
    <w:p w:rsidR="00CF4BFD" w:rsidRDefault="00CF4BFD"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CF4BFD" w:rsidRDefault="00CF4BFD"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2. </w:t>
      </w:r>
      <w:r>
        <w:rPr>
          <w:rFonts w:ascii="Verdana" w:hAnsi="Verdana" w:cs="Verdana"/>
          <w:sz w:val="20"/>
          <w:szCs w:val="20"/>
        </w:rPr>
        <w:tab/>
        <w:t>Concrete Manufacturing including Redimix and CTB more than 5,000 but less than 25,000 cubic yards per year output.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CF4BFD" w:rsidRDefault="00CF4BFD" w:rsidP="00021097">
      <w:pPr>
        <w:autoSpaceDE w:val="0"/>
        <w:autoSpaceDN w:val="0"/>
        <w:adjustRightInd w:val="0"/>
        <w:spacing w:after="0" w:line="240" w:lineRule="auto"/>
        <w:rPr>
          <w:rFonts w:ascii="Verdana" w:hAnsi="Verdana" w:cs="Verdana"/>
          <w:b/>
          <w:bCs/>
          <w:sz w:val="20"/>
          <w:szCs w:val="20"/>
        </w:rPr>
      </w:pPr>
    </w:p>
    <w:p w:rsidR="00CF4BFD" w:rsidRDefault="00CF4BFD"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CF4BFD" w:rsidRDefault="00CF4BFD"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CF4BFD" w:rsidRPr="009B2861" w:rsidRDefault="00CF4BFD" w:rsidP="00021097">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CF4BFD" w:rsidRPr="009B2861" w:rsidRDefault="00CF4BFD" w:rsidP="00021097">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Simple ACDP under the procedures set forth in 340-216-0064; or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r>
        <w:rPr>
          <w:rFonts w:ascii="Verdana" w:hAnsi="Verdana" w:cs="Verdana"/>
          <w:sz w:val="20"/>
          <w:szCs w:val="20"/>
        </w:rPr>
        <w:t>a Standard ACDP under the procedures set forth in 340-216-0066 if the source fits one of the criteria of Part C hereof.</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14. Building paper and Buildingboard Mills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19. Charcoal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20. Chlorine and Alkalies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24. Concrete Manufacturing including Redimix and CTB 25,000 or more cubic yards per year output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27. Electrical Power Generation from combustion, excluding units used exclusively as emergency generators and units less than 500 kW</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30. *** Flatwood Coating regulated by Division 232</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36. Glass and Glass Container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340-216-0060(2)(b)(Y)(i) and (iii);</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E371D3">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E371D3">
        <w:rPr>
          <w:rFonts w:ascii="Verdana" w:hAnsi="Verdana" w:cs="Verdana"/>
          <w:sz w:val="20"/>
          <w:szCs w:val="20"/>
        </w:rPr>
        <w:t xml:space="preserve">etal </w:t>
      </w:r>
      <w:r>
        <w:rPr>
          <w:rFonts w:ascii="Verdana" w:hAnsi="Verdana" w:cs="Verdana"/>
          <w:sz w:val="20"/>
          <w:szCs w:val="20"/>
        </w:rPr>
        <w:t>f</w:t>
      </w:r>
      <w:r w:rsidRPr="00E371D3">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50. Millwork (including kitchen cabinets and structural wood members) 25,000 or more bd. ft./maximum 8 hr. input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53. Motor Vehicle and Mobile Equipment Surface Coating Operations subject to an Area Source NESHAP, excluding motor vehicle surface coating operations painting less than 10 vehicles per year or using less than 20 gallons of coating per year and motor vehicle surface coating operations registered pursuant to OAR 340-210-0100(2)</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60. *** Paper or other Substrate Coating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61. Particleboard Manufacturing (including strandboard, flakeboard, and waferboard)</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62. Perchloroethylene Dry Cleaning Operations subject to an Area Source NESHAP, excluding perchloroethylene dry cleaning operations registered pursuant to OAR 340-210-0100(2)</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67. Prepared Feeds Manufacturing for animals and fowl and associated grain elevators 10,000 or more tons per year throughput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71. Sawmills and/or Planing Mills 25,000 or more bd. ft./maximum 8 hr. finished product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ft./maximum 8 hr. input</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84. All Other Sources not listed herein that the Department determines an air quality concern exists or one which would emit significant malodorous emissions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85. 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p>
    <w:p w:rsidR="00CF4BFD" w:rsidRDefault="00CF4BFD" w:rsidP="00021097">
      <w:pPr>
        <w:autoSpaceDE w:val="0"/>
        <w:autoSpaceDN w:val="0"/>
        <w:adjustRightInd w:val="0"/>
        <w:spacing w:after="0" w:line="240" w:lineRule="auto"/>
        <w:rPr>
          <w:rFonts w:ascii="Verdana" w:hAnsi="Verdana" w:cs="Verdana"/>
          <w:b/>
          <w:bCs/>
          <w:sz w:val="20"/>
          <w:szCs w:val="20"/>
        </w:rPr>
      </w:pPr>
    </w:p>
    <w:p w:rsidR="00CF4BFD" w:rsidRDefault="00CF4BFD"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CF4BFD" w:rsidRDefault="00CF4BFD"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CF4BFD" w:rsidRDefault="00CF4BFD"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All Sources that the Department determines have emissions that constitute a nuisance</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 State MACT, or other significant Air Quality regulation(s), except:</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 or a NESHAP adopted in OAR 340-244-0220 which qualify for a Simple ACDP.</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lastRenderedPageBreak/>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Motor vehicle surface coating operations painting less than 10 vehicles per year or using less than 20 gallons of coating per year.</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g.</w:t>
      </w:r>
      <w:r>
        <w:rPr>
          <w:rFonts w:ascii="Verdana" w:hAnsi="Verdana" w:cs="Verdana"/>
          <w:sz w:val="20"/>
          <w:szCs w:val="20"/>
        </w:rPr>
        <w:tab/>
        <w:t>Commercial ethylene oxide sterilization operations using less than 1 ton of ethylene oxide within all consecutive 12-month periods after December 6, 1996.</w:t>
      </w:r>
    </w:p>
    <w:p w:rsidR="00CF4BFD" w:rsidRDefault="00CF4BFD" w:rsidP="00021097">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h. </w:t>
      </w:r>
      <w:r>
        <w:rPr>
          <w:rFonts w:ascii="Verdana" w:hAnsi="Verdana" w:cs="Verdana"/>
          <w:sz w:val="20"/>
          <w:szCs w:val="20"/>
        </w:rPr>
        <w:tab/>
        <w:t>Metal fabrication and finishing operations that meet all the following:</w:t>
      </w:r>
    </w:p>
    <w:p w:rsidR="00CF4BFD" w:rsidRDefault="00CF4BFD" w:rsidP="00021097">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340-216-0060(2)(b)(Y)(i) and (iii);</w:t>
      </w:r>
    </w:p>
    <w:p w:rsidR="00CF4BFD" w:rsidRDefault="00CF4BFD" w:rsidP="00021097">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F4BFD" w:rsidRDefault="00CF4BFD" w:rsidP="00021097">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p>
    <w:p w:rsidR="00CF4BFD" w:rsidRDefault="00CF4BFD" w:rsidP="00021097">
      <w:pPr>
        <w:autoSpaceDE w:val="0"/>
        <w:autoSpaceDN w:val="0"/>
        <w:adjustRightInd w:val="0"/>
        <w:spacing w:after="0" w:line="240" w:lineRule="auto"/>
        <w:ind w:left="360"/>
        <w:rPr>
          <w:rFonts w:ascii="Verdana" w:hAnsi="Verdana"/>
          <w:color w:val="000000"/>
          <w:sz w:val="20"/>
          <w:szCs w:val="20"/>
        </w:rPr>
      </w:pPr>
      <w:r w:rsidRPr="00345BAB">
        <w:rPr>
          <w:rFonts w:ascii="Verdana" w:hAnsi="Verdana"/>
          <w:color w:val="000000"/>
          <w:sz w:val="20"/>
          <w:szCs w:val="20"/>
        </w:rPr>
        <w:t>5. All sources having the potential to emit more than 100,000</w:t>
      </w:r>
      <w:r>
        <w:rPr>
          <w:rFonts w:ascii="Verdana" w:hAnsi="Verdana"/>
          <w:color w:val="000000"/>
          <w:sz w:val="20"/>
          <w:szCs w:val="20"/>
        </w:rPr>
        <w:t xml:space="preserve"> </w:t>
      </w:r>
      <w:r w:rsidRPr="00345BAB">
        <w:rPr>
          <w:rFonts w:ascii="Verdana" w:hAnsi="Verdana"/>
          <w:color w:val="000000"/>
          <w:sz w:val="20"/>
          <w:szCs w:val="20"/>
        </w:rPr>
        <w:t xml:space="preserve">tons </w:t>
      </w:r>
      <w:r>
        <w:rPr>
          <w:rFonts w:ascii="Verdana" w:hAnsi="Verdana"/>
          <w:color w:val="000000"/>
          <w:sz w:val="20"/>
          <w:szCs w:val="20"/>
        </w:rPr>
        <w:t>CO</w:t>
      </w:r>
      <w:r>
        <w:rPr>
          <w:rFonts w:ascii="Verdana" w:hAnsi="Verdana"/>
          <w:color w:val="000000"/>
          <w:sz w:val="20"/>
          <w:szCs w:val="20"/>
          <w:vertAlign w:val="subscript"/>
        </w:rPr>
        <w:t>2</w:t>
      </w:r>
      <w:r>
        <w:rPr>
          <w:rFonts w:ascii="Verdana" w:hAnsi="Verdana"/>
          <w:color w:val="000000"/>
          <w:sz w:val="20"/>
          <w:szCs w:val="20"/>
        </w:rPr>
        <w:t xml:space="preserve">e </w:t>
      </w:r>
      <w:r w:rsidRPr="00345BAB">
        <w:rPr>
          <w:rFonts w:ascii="Verdana" w:hAnsi="Verdana"/>
          <w:color w:val="000000"/>
          <w:sz w:val="20"/>
          <w:szCs w:val="20"/>
        </w:rPr>
        <w:t>of GHG emissions in a year.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All Sources having the Potential to Emit more than 100 tons of any regulated air contaminant in a year, other than GHGs and HAPs</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All Sources having the Potential to Emit more than 10 tons of a single hazardous air pollutant in a year</w:t>
      </w:r>
    </w:p>
    <w:p w:rsidR="00CF4BFD" w:rsidRDefault="00CF4BFD" w:rsidP="00021097">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All Sources having the Potential to Emit more than 25 tons of all hazardous air pollutants combined in a year</w:t>
      </w:r>
    </w:p>
    <w:p w:rsidR="00CF4BFD" w:rsidRDefault="00CF4BFD" w:rsidP="00021097">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CF4BFD" w:rsidRDefault="00CF4BFD"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CF4BFD" w:rsidRDefault="00CF4BFD"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CF4BFD" w:rsidRDefault="00CF4BFD" w:rsidP="00021097">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CF4BFD" w:rsidRDefault="00CF4BFD" w:rsidP="00021097">
      <w:pPr>
        <w:spacing w:after="0" w:line="240" w:lineRule="auto"/>
        <w:rPr>
          <w:rFonts w:eastAsia="Times New Roman"/>
          <w:b/>
          <w:bCs/>
          <w:szCs w:val="24"/>
        </w:rPr>
      </w:pPr>
      <w:r>
        <w:rPr>
          <w:rFonts w:ascii="Verdana" w:hAnsi="Verdana" w:cs="Verdana"/>
          <w:sz w:val="20"/>
          <w:szCs w:val="20"/>
        </w:rPr>
        <w:t>**** “back-up” means less than 10,000 gallons of fuel per year</w:t>
      </w:r>
    </w:p>
    <w:p w:rsidR="00CF4BFD" w:rsidRDefault="00CF4BFD" w:rsidP="00021097">
      <w:pPr>
        <w:spacing w:after="0" w:line="240" w:lineRule="auto"/>
        <w:jc w:val="center"/>
        <w:rPr>
          <w:rFonts w:eastAsia="Calibri"/>
          <w:b/>
          <w:bCs/>
          <w:szCs w:val="24"/>
        </w:rPr>
      </w:pPr>
    </w:p>
    <w:p w:rsidR="00CF4BFD" w:rsidRPr="00091A01" w:rsidRDefault="00CF4BFD" w:rsidP="00021097">
      <w:pPr>
        <w:keepNext/>
        <w:spacing w:before="240" w:after="60" w:line="240" w:lineRule="auto"/>
        <w:outlineLvl w:val="0"/>
        <w:rPr>
          <w:rFonts w:ascii="Verdana" w:eastAsia="Times New Roman" w:hAnsi="Verdana"/>
          <w:b/>
          <w:bCs/>
          <w:color w:val="000000"/>
          <w:kern w:val="32"/>
          <w:szCs w:val="24"/>
        </w:rPr>
      </w:pPr>
      <w:r w:rsidRPr="00091A01">
        <w:rPr>
          <w:rFonts w:ascii="Verdana" w:eastAsia="Times New Roman" w:hAnsi="Verdana"/>
          <w:b/>
          <w:bCs/>
          <w:kern w:val="32"/>
          <w:szCs w:val="24"/>
        </w:rPr>
        <w:t xml:space="preserve">Table 2 </w:t>
      </w:r>
    </w:p>
    <w:p w:rsidR="00CF4BFD" w:rsidRPr="00091A01" w:rsidRDefault="00CF4BFD" w:rsidP="00021097">
      <w:pPr>
        <w:keepNext/>
        <w:spacing w:before="240" w:after="60" w:line="240" w:lineRule="auto"/>
        <w:outlineLvl w:val="2"/>
        <w:rPr>
          <w:rFonts w:ascii="Verdana" w:eastAsia="Times New Roman" w:hAnsi="Verdana" w:cs="Arial"/>
          <w:b/>
          <w:bCs/>
          <w:sz w:val="20"/>
          <w:szCs w:val="20"/>
        </w:rPr>
      </w:pPr>
      <w:r w:rsidRPr="00091A01">
        <w:rPr>
          <w:rFonts w:ascii="Verdana" w:eastAsia="Times New Roman" w:hAnsi="Verdana" w:cs="Arial"/>
          <w:b/>
          <w:bCs/>
          <w:sz w:val="20"/>
          <w:szCs w:val="20"/>
        </w:rPr>
        <w:t>Part 1. Initial Permitting Application Fees: (in addition to first annual fee)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749"/>
        <w:gridCol w:w="2701"/>
      </w:tblGrid>
      <w:tr w:rsidR="00CF4BFD" w:rsidRPr="005F5797" w:rsidTr="00F93F5C">
        <w:trPr>
          <w:tblCellSpacing w:w="15" w:type="dxa"/>
        </w:trPr>
        <w:tc>
          <w:tcPr>
            <w:tcW w:w="0" w:type="auto"/>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Short Term Activity ACDP</w:t>
            </w:r>
          </w:p>
        </w:tc>
        <w:tc>
          <w:tcPr>
            <w:tcW w:w="0" w:type="auto"/>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$3,000.00</w:t>
            </w:r>
          </w:p>
        </w:tc>
      </w:tr>
      <w:tr w:rsidR="00CF4BFD" w:rsidRPr="005F5797" w:rsidTr="00F93F5C">
        <w:trPr>
          <w:tblCellSpacing w:w="15" w:type="dxa"/>
        </w:trPr>
        <w:tc>
          <w:tcPr>
            <w:tcW w:w="0" w:type="auto"/>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Basic ACDP</w:t>
            </w:r>
          </w:p>
        </w:tc>
        <w:tc>
          <w:tcPr>
            <w:tcW w:w="0" w:type="auto"/>
            <w:tcBorders>
              <w:top w:val="nil"/>
              <w:left w:val="nil"/>
              <w:bottom w:val="nil"/>
              <w:right w:val="nil"/>
            </w:tcBorders>
            <w:shd w:val="clear" w:color="auto" w:fill="auto"/>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w:t>
            </w:r>
          </w:p>
        </w:tc>
      </w:tr>
      <w:tr w:rsidR="00CF4BFD" w:rsidRPr="005F5797" w:rsidTr="00F93F5C">
        <w:trPr>
          <w:tblCellSpacing w:w="15" w:type="dxa"/>
        </w:trPr>
        <w:tc>
          <w:tcPr>
            <w:tcW w:w="0" w:type="auto"/>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Assignment to General ACDP</w:t>
            </w:r>
          </w:p>
        </w:tc>
        <w:tc>
          <w:tcPr>
            <w:tcW w:w="0" w:type="auto"/>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$1,200.00</w:t>
            </w:r>
            <w:r w:rsidRPr="00E371D3">
              <w:rPr>
                <w:rFonts w:ascii="Verdana" w:eastAsia="Times New Roman" w:hAnsi="Verdana"/>
                <w:color w:val="000000"/>
                <w:sz w:val="20"/>
                <w:szCs w:val="20"/>
                <w:highlight w:val="lightGray"/>
              </w:rPr>
              <w:t>*</w:t>
            </w:r>
          </w:p>
        </w:tc>
      </w:tr>
      <w:tr w:rsidR="00CF4BFD" w:rsidRPr="005F5797" w:rsidTr="00F93F5C">
        <w:trPr>
          <w:tblCellSpacing w:w="15" w:type="dxa"/>
        </w:trPr>
        <w:tc>
          <w:tcPr>
            <w:tcW w:w="0" w:type="auto"/>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Simple ACDP</w:t>
            </w:r>
          </w:p>
        </w:tc>
        <w:tc>
          <w:tcPr>
            <w:tcW w:w="0" w:type="auto"/>
            <w:tcBorders>
              <w:top w:val="nil"/>
              <w:left w:val="nil"/>
              <w:bottom w:val="nil"/>
              <w:right w:val="nil"/>
            </w:tcBorders>
            <w:shd w:val="clear" w:color="auto" w:fill="auto"/>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$6,000.00</w:t>
            </w:r>
          </w:p>
        </w:tc>
      </w:tr>
      <w:tr w:rsidR="00CF4BFD" w:rsidRPr="005F5797" w:rsidTr="00F93F5C">
        <w:trPr>
          <w:tblCellSpacing w:w="15" w:type="dxa"/>
        </w:trPr>
        <w:tc>
          <w:tcPr>
            <w:tcW w:w="0" w:type="auto"/>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e. Construction ACDP</w:t>
            </w:r>
          </w:p>
        </w:tc>
        <w:tc>
          <w:tcPr>
            <w:tcW w:w="0" w:type="auto"/>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$9,600.00</w:t>
            </w:r>
          </w:p>
        </w:tc>
      </w:tr>
      <w:tr w:rsidR="00CF4BFD" w:rsidRPr="005F5797" w:rsidTr="00F93F5C">
        <w:trPr>
          <w:tblCellSpacing w:w="15" w:type="dxa"/>
        </w:trPr>
        <w:tc>
          <w:tcPr>
            <w:tcW w:w="0" w:type="auto"/>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f. Standard ACDP</w:t>
            </w:r>
          </w:p>
        </w:tc>
        <w:tc>
          <w:tcPr>
            <w:tcW w:w="0" w:type="auto"/>
            <w:tcBorders>
              <w:top w:val="nil"/>
              <w:left w:val="nil"/>
              <w:bottom w:val="nil"/>
              <w:right w:val="nil"/>
            </w:tcBorders>
            <w:shd w:val="clear" w:color="auto" w:fill="auto"/>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$12,000.00</w:t>
            </w:r>
          </w:p>
        </w:tc>
      </w:tr>
      <w:tr w:rsidR="00CF4BFD" w:rsidRPr="005F5797" w:rsidTr="00F93F5C">
        <w:trPr>
          <w:tblCellSpacing w:w="15" w:type="dxa"/>
        </w:trPr>
        <w:tc>
          <w:tcPr>
            <w:tcW w:w="0" w:type="auto"/>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g. Standard ACDP (PSD/NSR)</w:t>
            </w:r>
          </w:p>
        </w:tc>
        <w:tc>
          <w:tcPr>
            <w:tcW w:w="0" w:type="auto"/>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$42,000.00  </w:t>
            </w:r>
          </w:p>
        </w:tc>
      </w:tr>
    </w:tbl>
    <w:p w:rsidR="00CF4BFD" w:rsidRDefault="00CF4BFD" w:rsidP="00021097">
      <w:pPr>
        <w:keepNext/>
        <w:spacing w:before="60" w:after="60" w:line="240" w:lineRule="auto"/>
        <w:outlineLvl w:val="2"/>
        <w:rPr>
          <w:rFonts w:ascii="Verdana" w:hAnsi="Verdana"/>
          <w:sz w:val="20"/>
          <w:szCs w:val="20"/>
        </w:rPr>
      </w:pPr>
      <w:r w:rsidRPr="00E371D3">
        <w:rPr>
          <w:rFonts w:ascii="Verdana" w:hAnsi="Verdana"/>
          <w:sz w:val="20"/>
          <w:szCs w:val="20"/>
        </w:rPr>
        <w:t>*</w:t>
      </w:r>
      <w:r>
        <w:rPr>
          <w:rFonts w:ascii="Verdana" w:hAnsi="Verdana"/>
          <w:sz w:val="20"/>
          <w:szCs w:val="20"/>
        </w:rPr>
        <w:t>DEQ may waive the assignment fee for a</w:t>
      </w:r>
      <w:r w:rsidRPr="00E371D3">
        <w:rPr>
          <w:rFonts w:ascii="Verdana" w:hAnsi="Verdana"/>
          <w:sz w:val="20"/>
          <w:szCs w:val="20"/>
        </w:rPr>
        <w:t>n</w:t>
      </w:r>
      <w:r>
        <w:rPr>
          <w:rFonts w:ascii="Verdana" w:hAnsi="Verdana"/>
          <w:sz w:val="20"/>
          <w:szCs w:val="20"/>
        </w:rPr>
        <w:t xml:space="preserve"> </w:t>
      </w:r>
      <w:r w:rsidRPr="00E371D3">
        <w:rPr>
          <w:rFonts w:ascii="Verdana" w:hAnsi="Verdana"/>
          <w:sz w:val="20"/>
          <w:szCs w:val="20"/>
        </w:rPr>
        <w:t xml:space="preserve">existing </w:t>
      </w:r>
      <w:r>
        <w:rPr>
          <w:rFonts w:ascii="Verdana" w:hAnsi="Verdana"/>
          <w:sz w:val="20"/>
          <w:szCs w:val="20"/>
        </w:rPr>
        <w:t>s</w:t>
      </w:r>
      <w:r w:rsidRPr="00E371D3">
        <w:rPr>
          <w:rFonts w:ascii="Verdana" w:hAnsi="Verdana"/>
          <w:sz w:val="20"/>
          <w:szCs w:val="20"/>
        </w:rPr>
        <w:t xml:space="preserve">ource </w:t>
      </w:r>
      <w:r>
        <w:rPr>
          <w:rFonts w:ascii="Verdana" w:hAnsi="Verdana"/>
          <w:sz w:val="20"/>
          <w:szCs w:val="20"/>
        </w:rPr>
        <w:t xml:space="preserve">requesting to be assigned to a General ACDP because the source is subject to a </w:t>
      </w:r>
      <w:r w:rsidRPr="00E371D3">
        <w:rPr>
          <w:rFonts w:ascii="Verdana" w:hAnsi="Verdana"/>
          <w:sz w:val="20"/>
          <w:szCs w:val="20"/>
        </w:rPr>
        <w:t xml:space="preserve">newly adopted </w:t>
      </w:r>
      <w:r>
        <w:rPr>
          <w:rFonts w:ascii="Verdana" w:hAnsi="Verdana"/>
          <w:sz w:val="20"/>
          <w:szCs w:val="20"/>
        </w:rPr>
        <w:t xml:space="preserve">area source NESHAP as long as the </w:t>
      </w:r>
      <w:r w:rsidRPr="00E371D3">
        <w:rPr>
          <w:rFonts w:ascii="Verdana" w:hAnsi="Verdana"/>
          <w:sz w:val="20"/>
          <w:szCs w:val="20"/>
        </w:rPr>
        <w:t xml:space="preserve">existing </w:t>
      </w:r>
      <w:r>
        <w:rPr>
          <w:rFonts w:ascii="Verdana" w:hAnsi="Verdana"/>
          <w:sz w:val="20"/>
          <w:szCs w:val="20"/>
        </w:rPr>
        <w:t xml:space="preserve">source requests assignment within 90 days of notification by DEQ. </w:t>
      </w:r>
    </w:p>
    <w:p w:rsidR="00CF4BFD" w:rsidRPr="00091A01" w:rsidRDefault="00CF4BFD" w:rsidP="00021097">
      <w:pPr>
        <w:keepNext/>
        <w:spacing w:before="240" w:after="60" w:line="240" w:lineRule="auto"/>
        <w:outlineLvl w:val="2"/>
        <w:rPr>
          <w:rFonts w:ascii="Verdana" w:eastAsia="Times New Roman" w:hAnsi="Verdana" w:cs="Arial"/>
          <w:b/>
          <w:bCs/>
          <w:color w:val="663300"/>
          <w:sz w:val="20"/>
          <w:szCs w:val="20"/>
        </w:rPr>
      </w:pPr>
      <w:r w:rsidRPr="00091A01">
        <w:rPr>
          <w:rFonts w:ascii="Verdana" w:eastAsia="Times New Roman" w:hAnsi="Verdana" w:cs="Arial"/>
          <w:b/>
          <w:bCs/>
          <w:sz w:val="20"/>
          <w:szCs w:val="20"/>
        </w:rPr>
        <w:t xml:space="preserve">Part 2. Annual Fees: (Due </w:t>
      </w:r>
      <w:r>
        <w:rPr>
          <w:rFonts w:ascii="Verdana" w:eastAsia="Times New Roman" w:hAnsi="Verdana" w:cs="Arial"/>
          <w:b/>
          <w:bCs/>
          <w:sz w:val="20"/>
          <w:szCs w:val="20"/>
        </w:rPr>
        <w:t xml:space="preserve">date </w:t>
      </w:r>
      <w:r w:rsidRPr="00091A01">
        <w:rPr>
          <w:rFonts w:ascii="Verdana" w:eastAsia="Times New Roman" w:hAnsi="Verdana" w:cs="Arial"/>
          <w:b/>
          <w:bCs/>
          <w:sz w:val="20"/>
          <w:szCs w:val="20"/>
        </w:rPr>
        <w:t>12/1* for 1/1 to 12/31 of the following year)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969"/>
        <w:gridCol w:w="4264"/>
        <w:gridCol w:w="2217"/>
      </w:tblGrid>
      <w:tr w:rsidR="00CF4BFD" w:rsidRPr="005F5797" w:rsidTr="00F93F5C">
        <w:trPr>
          <w:tblCellSpacing w:w="15" w:type="dxa"/>
        </w:trPr>
        <w:tc>
          <w:tcPr>
            <w:tcW w:w="1549"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Short Term Activity ACDP</w:t>
            </w:r>
          </w:p>
        </w:tc>
        <w:tc>
          <w:tcPr>
            <w:tcW w:w="2242"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w:t>
            </w:r>
          </w:p>
        </w:tc>
        <w:tc>
          <w:tcPr>
            <w:tcW w:w="1150" w:type="pct"/>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$NA</w:t>
            </w:r>
          </w:p>
        </w:tc>
      </w:tr>
      <w:tr w:rsidR="00CF4BFD" w:rsidRPr="005F5797" w:rsidTr="00F93F5C">
        <w:trPr>
          <w:tblCellSpacing w:w="15" w:type="dxa"/>
        </w:trPr>
        <w:tc>
          <w:tcPr>
            <w:tcW w:w="1549"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Basic ACDP</w:t>
            </w:r>
          </w:p>
        </w:tc>
        <w:tc>
          <w:tcPr>
            <w:tcW w:w="2242"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w:t>
            </w:r>
          </w:p>
        </w:tc>
        <w:tc>
          <w:tcPr>
            <w:tcW w:w="1150" w:type="pct"/>
            <w:tcBorders>
              <w:top w:val="nil"/>
              <w:left w:val="nil"/>
              <w:bottom w:val="nil"/>
              <w:right w:val="nil"/>
            </w:tcBorders>
            <w:shd w:val="clear" w:color="auto" w:fill="auto"/>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$360.00 </w:t>
            </w:r>
          </w:p>
        </w:tc>
      </w:tr>
      <w:tr w:rsidR="00CF4BFD" w:rsidRPr="005F5797" w:rsidTr="00F93F5C">
        <w:trPr>
          <w:tblCellSpacing w:w="15" w:type="dxa"/>
        </w:trPr>
        <w:tc>
          <w:tcPr>
            <w:tcW w:w="1549" w:type="pct"/>
            <w:vMerge w:val="restart"/>
            <w:tcBorders>
              <w:top w:val="nil"/>
              <w:left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General ACDP</w:t>
            </w:r>
          </w:p>
        </w:tc>
        <w:tc>
          <w:tcPr>
            <w:tcW w:w="2242" w:type="pct"/>
            <w:tcBorders>
              <w:top w:val="nil"/>
              <w:left w:val="nil"/>
              <w:bottom w:val="nil"/>
              <w:right w:val="nil"/>
            </w:tcBorders>
            <w:shd w:val="clear" w:color="auto" w:fill="EFEBDE"/>
          </w:tcPr>
          <w:p w:rsidR="00CF4BFD"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Fee Class One</w:t>
            </w:r>
          </w:p>
        </w:tc>
        <w:tc>
          <w:tcPr>
            <w:tcW w:w="1150" w:type="pct"/>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$720.00 </w:t>
            </w:r>
          </w:p>
        </w:tc>
      </w:tr>
      <w:tr w:rsidR="00CF4BFD" w:rsidRPr="005F5797" w:rsidTr="00F93F5C">
        <w:trPr>
          <w:tblCellSpacing w:w="15" w:type="dxa"/>
        </w:trPr>
        <w:tc>
          <w:tcPr>
            <w:tcW w:w="1549" w:type="pct"/>
            <w:vMerge/>
            <w:tcBorders>
              <w:left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FEBDE"/>
          </w:tcPr>
          <w:p w:rsidR="00CF4BFD"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Fee Class Two</w:t>
            </w:r>
          </w:p>
        </w:tc>
        <w:tc>
          <w:tcPr>
            <w:tcW w:w="1150" w:type="pct"/>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$1,296.00</w:t>
            </w:r>
          </w:p>
        </w:tc>
      </w:tr>
      <w:tr w:rsidR="00CF4BFD" w:rsidRPr="005F5797" w:rsidTr="00F93F5C">
        <w:trPr>
          <w:tblCellSpacing w:w="15" w:type="dxa"/>
        </w:trPr>
        <w:tc>
          <w:tcPr>
            <w:tcW w:w="1549" w:type="pct"/>
            <w:vMerge/>
            <w:tcBorders>
              <w:left w:val="nil"/>
              <w:right w:val="nil"/>
            </w:tcBorders>
            <w:shd w:val="clear" w:color="auto" w:fill="auto"/>
            <w:vAlign w:val="center"/>
          </w:tcPr>
          <w:p w:rsidR="00CF4BFD" w:rsidRPr="005F5797" w:rsidRDefault="00CF4BFD"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FEBDE"/>
          </w:tcPr>
          <w:p w:rsidR="00CF4BFD"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Fee Class Three</w:t>
            </w:r>
          </w:p>
        </w:tc>
        <w:tc>
          <w:tcPr>
            <w:tcW w:w="1150" w:type="pct"/>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$1,872.00  </w:t>
            </w:r>
          </w:p>
        </w:tc>
      </w:tr>
      <w:tr w:rsidR="00CF4BFD" w:rsidRPr="005F5797" w:rsidTr="00F93F5C">
        <w:trPr>
          <w:tblCellSpacing w:w="15" w:type="dxa"/>
        </w:trPr>
        <w:tc>
          <w:tcPr>
            <w:tcW w:w="1549" w:type="pct"/>
            <w:vMerge/>
            <w:tcBorders>
              <w:left w:val="nil"/>
              <w:right w:val="nil"/>
            </w:tcBorders>
            <w:shd w:val="clear" w:color="auto" w:fill="auto"/>
            <w:vAlign w:val="center"/>
          </w:tcPr>
          <w:p w:rsidR="00CF4BFD" w:rsidRPr="005F5797" w:rsidRDefault="00CF4BFD"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Fee Class Four</w:t>
            </w:r>
          </w:p>
        </w:tc>
        <w:tc>
          <w:tcPr>
            <w:tcW w:w="1150" w:type="pct"/>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$360.00</w:t>
            </w:r>
          </w:p>
        </w:tc>
      </w:tr>
      <w:tr w:rsidR="00CF4BFD" w:rsidRPr="005F5797" w:rsidTr="00F93F5C">
        <w:trPr>
          <w:tblCellSpacing w:w="15" w:type="dxa"/>
        </w:trPr>
        <w:tc>
          <w:tcPr>
            <w:tcW w:w="1549" w:type="pct"/>
            <w:vMerge/>
            <w:tcBorders>
              <w:left w:val="nil"/>
              <w:right w:val="nil"/>
            </w:tcBorders>
            <w:shd w:val="clear" w:color="auto" w:fill="auto"/>
            <w:vAlign w:val="center"/>
          </w:tcPr>
          <w:p w:rsidR="00CF4BFD" w:rsidRPr="005F5797" w:rsidRDefault="00CF4BFD"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EECE1"/>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(E) Fee Class Five</w:t>
            </w:r>
          </w:p>
        </w:tc>
        <w:tc>
          <w:tcPr>
            <w:tcW w:w="1150" w:type="pct"/>
            <w:tcBorders>
              <w:top w:val="nil"/>
              <w:left w:val="nil"/>
              <w:bottom w:val="nil"/>
              <w:right w:val="nil"/>
            </w:tcBorders>
            <w:shd w:val="clear" w:color="auto" w:fill="EEECE1"/>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$120.00</w:t>
            </w:r>
          </w:p>
        </w:tc>
      </w:tr>
      <w:tr w:rsidR="00CF4BFD" w:rsidRPr="005F5797" w:rsidTr="00F93F5C">
        <w:trPr>
          <w:tblCellSpacing w:w="15" w:type="dxa"/>
        </w:trPr>
        <w:tc>
          <w:tcPr>
            <w:tcW w:w="1549" w:type="pct"/>
            <w:vMerge/>
            <w:tcBorders>
              <w:left w:val="nil"/>
              <w:right w:val="nil"/>
            </w:tcBorders>
            <w:shd w:val="clear" w:color="auto" w:fill="auto"/>
            <w:vAlign w:val="center"/>
          </w:tcPr>
          <w:p w:rsidR="00CF4BFD" w:rsidRPr="005F5797" w:rsidRDefault="00CF4BFD"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EEECE1"/>
          </w:tcPr>
          <w:p w:rsidR="00CF4BFD" w:rsidRPr="005F5797" w:rsidRDefault="00CF4BFD" w:rsidP="00F93F5C">
            <w:pPr>
              <w:spacing w:after="0" w:line="240" w:lineRule="auto"/>
              <w:rPr>
                <w:rFonts w:ascii="Verdana" w:eastAsia="Times New Roman" w:hAnsi="Verdana"/>
                <w:color w:val="000000"/>
                <w:sz w:val="20"/>
                <w:szCs w:val="20"/>
              </w:rPr>
            </w:pPr>
            <w:r>
              <w:rPr>
                <w:rFonts w:ascii="Verdana" w:eastAsia="Times New Roman" w:hAnsi="Verdana"/>
                <w:color w:val="000000"/>
                <w:sz w:val="20"/>
                <w:szCs w:val="20"/>
              </w:rPr>
              <w:t>(F) Fee Class Six</w:t>
            </w:r>
          </w:p>
        </w:tc>
        <w:tc>
          <w:tcPr>
            <w:tcW w:w="1150" w:type="pct"/>
            <w:tcBorders>
              <w:top w:val="nil"/>
              <w:left w:val="nil"/>
              <w:bottom w:val="nil"/>
              <w:right w:val="nil"/>
            </w:tcBorders>
            <w:shd w:val="clear" w:color="auto" w:fill="EEECE1"/>
          </w:tcPr>
          <w:p w:rsidR="00CF4BFD" w:rsidRDefault="00CF4BFD" w:rsidP="00F93F5C">
            <w:pPr>
              <w:spacing w:before="100" w:beforeAutospacing="1" w:after="100" w:afterAutospacing="1" w:line="240" w:lineRule="auto"/>
              <w:jc w:val="right"/>
              <w:rPr>
                <w:rFonts w:ascii="Verdana" w:eastAsia="Times New Roman" w:hAnsi="Verdana"/>
                <w:color w:val="000000"/>
                <w:sz w:val="20"/>
                <w:szCs w:val="20"/>
              </w:rPr>
            </w:pPr>
            <w:r>
              <w:rPr>
                <w:rFonts w:ascii="Verdana" w:eastAsia="Times New Roman" w:hAnsi="Verdana"/>
                <w:color w:val="000000"/>
                <w:sz w:val="20"/>
                <w:szCs w:val="20"/>
              </w:rPr>
              <w:t>$240.00</w:t>
            </w:r>
          </w:p>
        </w:tc>
      </w:tr>
      <w:tr w:rsidR="00CF4BFD" w:rsidRPr="005F5797" w:rsidTr="00F93F5C">
        <w:trPr>
          <w:tblCellSpacing w:w="15" w:type="dxa"/>
        </w:trPr>
        <w:tc>
          <w:tcPr>
            <w:tcW w:w="1549" w:type="pct"/>
            <w:vMerge w:val="restart"/>
            <w:tcBorders>
              <w:top w:val="nil"/>
              <w:left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Simple ACDP</w:t>
            </w:r>
          </w:p>
        </w:tc>
        <w:tc>
          <w:tcPr>
            <w:tcW w:w="2242"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(A) Low Fee</w:t>
            </w:r>
          </w:p>
        </w:tc>
        <w:tc>
          <w:tcPr>
            <w:tcW w:w="1150" w:type="pct"/>
            <w:tcBorders>
              <w:top w:val="nil"/>
              <w:left w:val="nil"/>
              <w:bottom w:val="nil"/>
              <w:right w:val="nil"/>
            </w:tcBorders>
            <w:shd w:val="clear" w:color="auto" w:fill="auto"/>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$1,920.00</w:t>
            </w:r>
          </w:p>
        </w:tc>
      </w:tr>
      <w:tr w:rsidR="00CF4BFD" w:rsidRPr="005F5797" w:rsidTr="00F93F5C">
        <w:trPr>
          <w:tblCellSpacing w:w="15" w:type="dxa"/>
        </w:trPr>
        <w:tc>
          <w:tcPr>
            <w:tcW w:w="1549" w:type="pct"/>
            <w:vMerge/>
            <w:tcBorders>
              <w:left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p>
        </w:tc>
        <w:tc>
          <w:tcPr>
            <w:tcW w:w="2242"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High Fee</w:t>
            </w:r>
          </w:p>
        </w:tc>
        <w:tc>
          <w:tcPr>
            <w:tcW w:w="1150" w:type="pct"/>
            <w:tcBorders>
              <w:top w:val="nil"/>
              <w:left w:val="nil"/>
              <w:bottom w:val="nil"/>
              <w:right w:val="nil"/>
            </w:tcBorders>
            <w:shd w:val="clear" w:color="auto" w:fill="auto"/>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$3,840.00</w:t>
            </w:r>
          </w:p>
        </w:tc>
      </w:tr>
      <w:tr w:rsidR="00CF4BFD" w:rsidRPr="005F5797" w:rsidTr="00F93F5C">
        <w:trPr>
          <w:tblCellSpacing w:w="15" w:type="dxa"/>
        </w:trPr>
        <w:tc>
          <w:tcPr>
            <w:tcW w:w="1549"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e. Standard ACDP </w:t>
            </w:r>
          </w:p>
        </w:tc>
        <w:tc>
          <w:tcPr>
            <w:tcW w:w="2242"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p>
        </w:tc>
        <w:tc>
          <w:tcPr>
            <w:tcW w:w="1150" w:type="pct"/>
            <w:tcBorders>
              <w:top w:val="nil"/>
              <w:left w:val="nil"/>
              <w:bottom w:val="nil"/>
              <w:right w:val="nil"/>
            </w:tcBorders>
            <w:shd w:val="clear" w:color="auto" w:fill="EFEBDE"/>
          </w:tcPr>
          <w:p w:rsidR="00CF4BFD" w:rsidRPr="005F5797" w:rsidRDefault="00CF4BFD" w:rsidP="00F93F5C">
            <w:pPr>
              <w:spacing w:before="100" w:beforeAutospacing="1" w:after="100" w:afterAutospacing="1"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$7,680.00</w:t>
            </w:r>
          </w:p>
        </w:tc>
      </w:tr>
    </w:tbl>
    <w:p w:rsidR="00CF4BFD" w:rsidRDefault="00CF4BFD" w:rsidP="00021097">
      <w:pPr>
        <w:keepNext/>
        <w:spacing w:before="60" w:after="60" w:line="240" w:lineRule="auto"/>
        <w:outlineLvl w:val="2"/>
        <w:rPr>
          <w:rFonts w:ascii="Verdana" w:eastAsia="Times New Roman" w:hAnsi="Verdana" w:cs="Arial"/>
          <w:b/>
          <w:bCs/>
          <w:sz w:val="20"/>
          <w:szCs w:val="20"/>
        </w:rPr>
      </w:pPr>
      <w:r w:rsidRPr="00E371D3">
        <w:rPr>
          <w:rFonts w:ascii="Verdana" w:eastAsia="Times New Roman" w:hAnsi="Verdana" w:cs="Arial"/>
          <w:b/>
          <w:bCs/>
          <w:sz w:val="20"/>
          <w:szCs w:val="20"/>
        </w:rPr>
        <w:t>*</w:t>
      </w:r>
      <w:r>
        <w:rPr>
          <w:rFonts w:ascii="Verdana" w:eastAsia="Times New Roman" w:hAnsi="Verdana" w:cs="Arial"/>
          <w:bCs/>
          <w:sz w:val="20"/>
          <w:szCs w:val="20"/>
        </w:rPr>
        <w:t xml:space="preserve">The payment due date </w:t>
      </w:r>
      <w:r w:rsidRPr="00E371D3">
        <w:rPr>
          <w:rFonts w:ascii="Verdana" w:hAnsi="Verdana"/>
          <w:sz w:val="20"/>
          <w:szCs w:val="20"/>
        </w:rPr>
        <w:t xml:space="preserve">for </w:t>
      </w:r>
      <w:r>
        <w:rPr>
          <w:rFonts w:ascii="Verdana" w:hAnsi="Verdana"/>
          <w:sz w:val="20"/>
          <w:szCs w:val="20"/>
        </w:rPr>
        <w:t>d</w:t>
      </w:r>
      <w:r w:rsidRPr="00E371D3">
        <w:rPr>
          <w:rFonts w:ascii="Verdana" w:hAnsi="Verdana"/>
          <w:sz w:val="20"/>
          <w:szCs w:val="20"/>
        </w:rPr>
        <w:t xml:space="preserve">ry </w:t>
      </w:r>
      <w:r>
        <w:rPr>
          <w:rFonts w:ascii="Verdana" w:hAnsi="Verdana"/>
          <w:sz w:val="20"/>
          <w:szCs w:val="20"/>
        </w:rPr>
        <w:t>c</w:t>
      </w:r>
      <w:r w:rsidRPr="00E371D3">
        <w:rPr>
          <w:rFonts w:ascii="Verdana" w:hAnsi="Verdana"/>
          <w:sz w:val="20"/>
          <w:szCs w:val="20"/>
        </w:rPr>
        <w:t xml:space="preserve">leaners or </w:t>
      </w:r>
      <w:r>
        <w:rPr>
          <w:rFonts w:ascii="Verdana" w:hAnsi="Verdana"/>
          <w:sz w:val="20"/>
          <w:szCs w:val="20"/>
        </w:rPr>
        <w:t>g</w:t>
      </w:r>
      <w:r w:rsidRPr="00E371D3">
        <w:rPr>
          <w:rFonts w:ascii="Verdana" w:hAnsi="Verdana"/>
          <w:sz w:val="20"/>
          <w:szCs w:val="20"/>
        </w:rPr>
        <w:t xml:space="preserve">asoline </w:t>
      </w:r>
      <w:r>
        <w:rPr>
          <w:rFonts w:ascii="Verdana" w:hAnsi="Verdana"/>
          <w:sz w:val="20"/>
          <w:szCs w:val="20"/>
        </w:rPr>
        <w:t>d</w:t>
      </w:r>
      <w:r w:rsidRPr="00E371D3">
        <w:rPr>
          <w:rFonts w:ascii="Verdana" w:hAnsi="Verdana"/>
          <w:sz w:val="20"/>
          <w:szCs w:val="20"/>
        </w:rPr>
        <w:t xml:space="preserve">ispensing </w:t>
      </w:r>
      <w:r>
        <w:rPr>
          <w:rFonts w:ascii="Verdana" w:hAnsi="Verdana"/>
          <w:sz w:val="20"/>
          <w:szCs w:val="20"/>
        </w:rPr>
        <w:t>f</w:t>
      </w:r>
      <w:r w:rsidRPr="00E371D3">
        <w:rPr>
          <w:rFonts w:ascii="Verdana" w:hAnsi="Verdana"/>
          <w:sz w:val="20"/>
          <w:szCs w:val="20"/>
        </w:rPr>
        <w:t>acilities may be extended by the Department until March 1st.</w:t>
      </w:r>
    </w:p>
    <w:p w:rsidR="00CF4BFD" w:rsidRPr="00091A01" w:rsidRDefault="00CF4BFD" w:rsidP="00021097">
      <w:pPr>
        <w:keepNext/>
        <w:spacing w:before="240" w:after="60" w:line="240" w:lineRule="auto"/>
        <w:outlineLvl w:val="2"/>
        <w:rPr>
          <w:rFonts w:ascii="Verdana" w:eastAsia="Times New Roman" w:hAnsi="Verdana" w:cs="Arial"/>
          <w:b/>
          <w:bCs/>
          <w:color w:val="663300"/>
          <w:sz w:val="20"/>
          <w:szCs w:val="20"/>
        </w:rPr>
      </w:pPr>
      <w:r w:rsidRPr="00091A01">
        <w:rPr>
          <w:rFonts w:ascii="Verdana" w:eastAsia="Times New Roman" w:hAnsi="Verdana" w:cs="Arial"/>
          <w:b/>
          <w:bCs/>
          <w:sz w:val="20"/>
          <w:szCs w:val="20"/>
        </w:rPr>
        <w:t>Part 3. Specific Activity Fees: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923"/>
        <w:gridCol w:w="2527"/>
      </w:tblGrid>
      <w:tr w:rsidR="00CF4BFD" w:rsidRPr="005F5797" w:rsidTr="00F93F5C">
        <w:trPr>
          <w:tblCellSpacing w:w="15" w:type="dxa"/>
        </w:trPr>
        <w:tc>
          <w:tcPr>
            <w:tcW w:w="3636"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a. Non-Technical Permit Modification (1) </w:t>
            </w:r>
          </w:p>
        </w:tc>
        <w:tc>
          <w:tcPr>
            <w:tcW w:w="1312" w:type="pct"/>
            <w:tcBorders>
              <w:top w:val="nil"/>
              <w:left w:val="nil"/>
              <w:bottom w:val="nil"/>
              <w:right w:val="nil"/>
            </w:tcBorders>
            <w:shd w:val="clear" w:color="auto" w:fill="EFEBDE"/>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$360.00</w:t>
            </w:r>
          </w:p>
        </w:tc>
      </w:tr>
      <w:tr w:rsidR="00CF4BFD" w:rsidRPr="005F5797" w:rsidTr="00F93F5C">
        <w:trPr>
          <w:tblCellSpacing w:w="15" w:type="dxa"/>
        </w:trPr>
        <w:tc>
          <w:tcPr>
            <w:tcW w:w="3636"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b. Non-PSD/NSR Basic Technical Permit Modification (2)</w:t>
            </w:r>
          </w:p>
        </w:tc>
        <w:tc>
          <w:tcPr>
            <w:tcW w:w="1312" w:type="pct"/>
            <w:tcBorders>
              <w:top w:val="nil"/>
              <w:left w:val="nil"/>
              <w:bottom w:val="nil"/>
              <w:right w:val="nil"/>
            </w:tcBorders>
            <w:shd w:val="clear" w:color="auto" w:fill="auto"/>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$360.00</w:t>
            </w:r>
          </w:p>
        </w:tc>
      </w:tr>
      <w:tr w:rsidR="00CF4BFD" w:rsidRPr="005F5797" w:rsidTr="00F93F5C">
        <w:trPr>
          <w:tblCellSpacing w:w="15" w:type="dxa"/>
        </w:trPr>
        <w:tc>
          <w:tcPr>
            <w:tcW w:w="3636"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c. Non-PSD/NSR Simple Technical Permit Modification(3)</w:t>
            </w:r>
          </w:p>
        </w:tc>
        <w:tc>
          <w:tcPr>
            <w:tcW w:w="1312" w:type="pct"/>
            <w:tcBorders>
              <w:top w:val="nil"/>
              <w:left w:val="nil"/>
              <w:bottom w:val="nil"/>
              <w:right w:val="nil"/>
            </w:tcBorders>
            <w:shd w:val="clear" w:color="auto" w:fill="EFEBDE"/>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$1,200.00</w:t>
            </w:r>
          </w:p>
        </w:tc>
      </w:tr>
      <w:tr w:rsidR="00CF4BFD" w:rsidRPr="005F5797" w:rsidTr="00F93F5C">
        <w:trPr>
          <w:tblCellSpacing w:w="15" w:type="dxa"/>
        </w:trPr>
        <w:tc>
          <w:tcPr>
            <w:tcW w:w="3636"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d. Non-PSD/NSR Moderate Technical Permit Modification (4)</w:t>
            </w:r>
          </w:p>
        </w:tc>
        <w:tc>
          <w:tcPr>
            <w:tcW w:w="1312" w:type="pct"/>
            <w:tcBorders>
              <w:top w:val="nil"/>
              <w:left w:val="nil"/>
              <w:bottom w:val="nil"/>
              <w:right w:val="nil"/>
            </w:tcBorders>
            <w:shd w:val="clear" w:color="auto" w:fill="auto"/>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$6,000.00</w:t>
            </w:r>
          </w:p>
        </w:tc>
      </w:tr>
      <w:tr w:rsidR="00CF4BFD" w:rsidRPr="005F5797" w:rsidTr="00F93F5C">
        <w:trPr>
          <w:tblCellSpacing w:w="15" w:type="dxa"/>
        </w:trPr>
        <w:tc>
          <w:tcPr>
            <w:tcW w:w="3636"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e. Non-PSD/NSR Complex Technical Permit Modification (5) </w:t>
            </w:r>
          </w:p>
        </w:tc>
        <w:tc>
          <w:tcPr>
            <w:tcW w:w="1312" w:type="pct"/>
            <w:tcBorders>
              <w:top w:val="nil"/>
              <w:left w:val="nil"/>
              <w:bottom w:val="nil"/>
              <w:right w:val="nil"/>
            </w:tcBorders>
            <w:shd w:val="clear" w:color="auto" w:fill="EFEBDE"/>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$12,000.00</w:t>
            </w:r>
          </w:p>
        </w:tc>
      </w:tr>
      <w:tr w:rsidR="00CF4BFD" w:rsidRPr="005F5797" w:rsidTr="00F93F5C">
        <w:trPr>
          <w:tblCellSpacing w:w="15" w:type="dxa"/>
        </w:trPr>
        <w:tc>
          <w:tcPr>
            <w:tcW w:w="3636"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f. PSD/NSR Modification </w:t>
            </w:r>
          </w:p>
        </w:tc>
        <w:tc>
          <w:tcPr>
            <w:tcW w:w="1312" w:type="pct"/>
            <w:tcBorders>
              <w:top w:val="nil"/>
              <w:left w:val="nil"/>
              <w:bottom w:val="nil"/>
              <w:right w:val="nil"/>
            </w:tcBorders>
            <w:shd w:val="clear" w:color="auto" w:fill="auto"/>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$42,000.00  </w:t>
            </w:r>
          </w:p>
        </w:tc>
      </w:tr>
      <w:tr w:rsidR="00CF4BFD" w:rsidRPr="005F5797" w:rsidTr="00F93F5C">
        <w:trPr>
          <w:tblCellSpacing w:w="15" w:type="dxa"/>
        </w:trPr>
        <w:tc>
          <w:tcPr>
            <w:tcW w:w="3636"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 xml:space="preserve">g. Modeling Review (outside PSD/NSR) </w:t>
            </w:r>
          </w:p>
        </w:tc>
        <w:tc>
          <w:tcPr>
            <w:tcW w:w="1312" w:type="pct"/>
            <w:tcBorders>
              <w:top w:val="nil"/>
              <w:left w:val="nil"/>
              <w:bottom w:val="nil"/>
              <w:right w:val="nil"/>
            </w:tcBorders>
            <w:shd w:val="clear" w:color="auto" w:fill="EFEBDE"/>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$6,000.00</w:t>
            </w:r>
          </w:p>
        </w:tc>
      </w:tr>
      <w:tr w:rsidR="00CF4BFD" w:rsidRPr="005F5797" w:rsidTr="00F93F5C">
        <w:trPr>
          <w:tblCellSpacing w:w="15" w:type="dxa"/>
        </w:trPr>
        <w:tc>
          <w:tcPr>
            <w:tcW w:w="3636"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h. Public Hearing at Source's Request</w:t>
            </w:r>
          </w:p>
        </w:tc>
        <w:tc>
          <w:tcPr>
            <w:tcW w:w="1312" w:type="pct"/>
            <w:tcBorders>
              <w:top w:val="nil"/>
              <w:left w:val="nil"/>
              <w:bottom w:val="nil"/>
              <w:right w:val="nil"/>
            </w:tcBorders>
            <w:shd w:val="clear" w:color="auto" w:fill="auto"/>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$2,400.00</w:t>
            </w:r>
          </w:p>
        </w:tc>
      </w:tr>
      <w:tr w:rsidR="00CF4BFD" w:rsidRPr="005F5797" w:rsidTr="00F93F5C">
        <w:trPr>
          <w:tblCellSpacing w:w="15" w:type="dxa"/>
        </w:trPr>
        <w:tc>
          <w:tcPr>
            <w:tcW w:w="3636" w:type="pct"/>
            <w:tcBorders>
              <w:top w:val="nil"/>
              <w:left w:val="nil"/>
              <w:bottom w:val="nil"/>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i. State MACT Determination</w:t>
            </w:r>
          </w:p>
        </w:tc>
        <w:tc>
          <w:tcPr>
            <w:tcW w:w="1312" w:type="pct"/>
            <w:tcBorders>
              <w:top w:val="nil"/>
              <w:left w:val="nil"/>
              <w:bottom w:val="nil"/>
              <w:right w:val="nil"/>
            </w:tcBorders>
            <w:shd w:val="clear" w:color="auto" w:fill="EFEBDE"/>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$6,000.00</w:t>
            </w:r>
          </w:p>
        </w:tc>
      </w:tr>
      <w:tr w:rsidR="00CF4BFD" w:rsidRPr="005F5797" w:rsidTr="00F93F5C">
        <w:trPr>
          <w:tblCellSpacing w:w="15" w:type="dxa"/>
        </w:trPr>
        <w:tc>
          <w:tcPr>
            <w:tcW w:w="3636" w:type="pct"/>
            <w:tcBorders>
              <w:top w:val="nil"/>
              <w:left w:val="nil"/>
              <w:bottom w:val="nil"/>
              <w:right w:val="nil"/>
            </w:tcBorders>
            <w:shd w:val="clear" w:color="auto" w:fill="auto"/>
          </w:tcPr>
          <w:p w:rsidR="00CF4BFD" w:rsidRPr="005F5797" w:rsidRDefault="00CF4BFD" w:rsidP="00F93F5C">
            <w:pPr>
              <w:spacing w:after="0" w:line="240" w:lineRule="auto"/>
              <w:rPr>
                <w:rFonts w:ascii="Verdana" w:eastAsia="Times New Roman" w:hAnsi="Verdana"/>
                <w:color w:val="000000"/>
                <w:sz w:val="20"/>
                <w:szCs w:val="20"/>
              </w:rPr>
            </w:pPr>
            <w:r w:rsidRPr="005F5797">
              <w:rPr>
                <w:rFonts w:ascii="Verdana" w:eastAsia="Times New Roman" w:hAnsi="Verdana"/>
                <w:color w:val="000000"/>
                <w:sz w:val="20"/>
                <w:szCs w:val="20"/>
              </w:rPr>
              <w:t>j. Compliance Order Monitoring (6)</w:t>
            </w:r>
          </w:p>
        </w:tc>
        <w:tc>
          <w:tcPr>
            <w:tcW w:w="1312" w:type="pct"/>
            <w:tcBorders>
              <w:top w:val="nil"/>
              <w:left w:val="nil"/>
              <w:bottom w:val="nil"/>
              <w:right w:val="nil"/>
            </w:tcBorders>
            <w:shd w:val="clear" w:color="auto" w:fill="auto"/>
          </w:tcPr>
          <w:p w:rsidR="00CF4BFD" w:rsidRPr="005F5797" w:rsidRDefault="00CF4BFD" w:rsidP="00F93F5C">
            <w:pPr>
              <w:spacing w:after="0" w:line="240" w:lineRule="auto"/>
              <w:jc w:val="right"/>
              <w:rPr>
                <w:rFonts w:ascii="Verdana" w:eastAsia="Times New Roman" w:hAnsi="Verdana"/>
                <w:color w:val="000000"/>
                <w:sz w:val="20"/>
                <w:szCs w:val="20"/>
              </w:rPr>
            </w:pPr>
            <w:r w:rsidRPr="005F5797">
              <w:rPr>
                <w:rFonts w:ascii="Verdana" w:eastAsia="Times New Roman" w:hAnsi="Verdana"/>
                <w:color w:val="000000"/>
                <w:sz w:val="20"/>
                <w:szCs w:val="20"/>
              </w:rPr>
              <w:t xml:space="preserve"> $120.00/month</w:t>
            </w:r>
          </w:p>
        </w:tc>
      </w:tr>
      <w:tr w:rsidR="00CF4BFD" w:rsidRPr="005F5797" w:rsidTr="00F93F5C">
        <w:trPr>
          <w:tblCellSpacing w:w="15" w:type="dxa"/>
        </w:trPr>
        <w:tc>
          <w:tcPr>
            <w:tcW w:w="3636" w:type="pct"/>
            <w:tcBorders>
              <w:top w:val="nil"/>
              <w:left w:val="nil"/>
              <w:bottom w:val="outset" w:sz="6" w:space="0" w:color="auto"/>
              <w:right w:val="nil"/>
            </w:tcBorders>
            <w:shd w:val="clear" w:color="auto" w:fill="EFEBDE"/>
          </w:tcPr>
          <w:p w:rsidR="00CF4BFD" w:rsidRPr="005F5797" w:rsidRDefault="00CF4BFD" w:rsidP="00F93F5C">
            <w:pPr>
              <w:spacing w:after="0" w:line="240" w:lineRule="auto"/>
              <w:rPr>
                <w:rFonts w:ascii="Verdana" w:eastAsia="Times New Roman" w:hAnsi="Verdana"/>
                <w:color w:val="000000"/>
                <w:sz w:val="20"/>
                <w:szCs w:val="20"/>
              </w:rPr>
            </w:pPr>
            <w:r>
              <w:rPr>
                <w:rFonts w:ascii="Verdana" w:eastAsia="Times New Roman" w:hAnsi="Verdana"/>
                <w:color w:val="000000"/>
                <w:sz w:val="20"/>
                <w:szCs w:val="20"/>
              </w:rPr>
              <w:t>k. Greenhouse Gas Reporting, as required by OAR 340-215-</w:t>
            </w:r>
          </w:p>
        </w:tc>
        <w:tc>
          <w:tcPr>
            <w:tcW w:w="1312" w:type="pct"/>
            <w:tcBorders>
              <w:top w:val="nil"/>
              <w:left w:val="nil"/>
              <w:bottom w:val="outset" w:sz="6" w:space="0" w:color="auto"/>
              <w:right w:val="nil"/>
            </w:tcBorders>
            <w:shd w:val="clear" w:color="auto" w:fill="EFEBDE"/>
          </w:tcPr>
          <w:p w:rsidR="00CF4BFD" w:rsidRPr="005F5797" w:rsidRDefault="00CF4BFD" w:rsidP="00F93F5C">
            <w:pPr>
              <w:spacing w:after="0" w:line="240" w:lineRule="auto"/>
              <w:jc w:val="right"/>
              <w:rPr>
                <w:rFonts w:ascii="Verdana" w:eastAsia="Times New Roman" w:hAnsi="Verdana"/>
                <w:color w:val="000000"/>
                <w:sz w:val="20"/>
                <w:szCs w:val="20"/>
              </w:rPr>
            </w:pPr>
            <w:r>
              <w:rPr>
                <w:rFonts w:ascii="Verdana" w:eastAsia="Times New Roman" w:hAnsi="Verdana"/>
                <w:color w:val="000000"/>
                <w:sz w:val="20"/>
                <w:szCs w:val="20"/>
              </w:rPr>
              <w:t>15% of the applicable annual fee in Part 2</w:t>
            </w:r>
          </w:p>
        </w:tc>
      </w:tr>
    </w:tbl>
    <w:p w:rsidR="00CF4BFD" w:rsidRDefault="00CF4BFD" w:rsidP="00021097">
      <w:pPr>
        <w:pStyle w:val="Heading3"/>
        <w:rPr>
          <w:rFonts w:ascii="Verdana" w:hAnsi="Verdana"/>
          <w:color w:val="663300"/>
          <w:sz w:val="20"/>
          <w:szCs w:val="20"/>
        </w:rPr>
      </w:pPr>
      <w:r>
        <w:t>Part 4. Late Fees:</w:t>
      </w:r>
    </w:p>
    <w:p w:rsidR="00CF4BFD" w:rsidRDefault="00CF4BFD" w:rsidP="00CF4BFD">
      <w:pPr>
        <w:numPr>
          <w:ilvl w:val="0"/>
          <w:numId w:val="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8-30 days late 5% </w:t>
      </w:r>
    </w:p>
    <w:p w:rsidR="00CF4BFD" w:rsidRDefault="00CF4BFD" w:rsidP="00CF4BFD">
      <w:pPr>
        <w:numPr>
          <w:ilvl w:val="0"/>
          <w:numId w:val="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31-60 days late 10% </w:t>
      </w:r>
    </w:p>
    <w:p w:rsidR="00CF4BFD" w:rsidRDefault="00CF4BFD" w:rsidP="00CF4BFD">
      <w:pPr>
        <w:numPr>
          <w:ilvl w:val="0"/>
          <w:numId w:val="2"/>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61 or more days late 20% </w:t>
      </w:r>
    </w:p>
    <w:p w:rsidR="00CF4BFD" w:rsidRDefault="00CF4BFD" w:rsidP="00CF4BFD">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Non-Technical modifications include, but are not limited to name changes, change of ownership and similar administrative changes. For gasoline dispensing facilities, a portion of these fees will be used to cover the fees required for changes of ownership in OAR 340-150-0052(4).    </w:t>
      </w:r>
    </w:p>
    <w:p w:rsidR="00CF4BFD" w:rsidRDefault="00CF4BFD" w:rsidP="00CF4BFD">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Basic Technical Modifications include, but are not limited to corrections of emission factors in compliance methods, changing source test dates for extenuating circumstances, and similar changes. </w:t>
      </w:r>
    </w:p>
    <w:p w:rsidR="00CF4BFD" w:rsidRDefault="00CF4BFD" w:rsidP="00CF4BFD">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 </w:t>
      </w:r>
    </w:p>
    <w:p w:rsidR="00CF4BFD" w:rsidRDefault="00CF4BFD" w:rsidP="00CF4BFD">
      <w:pPr>
        <w:numPr>
          <w:ilvl w:val="0"/>
          <w:numId w:val="3"/>
        </w:numPr>
        <w:spacing w:before="100" w:beforeAutospacing="1" w:after="100" w:afterAutospacing="1" w:line="240" w:lineRule="auto"/>
        <w:rPr>
          <w:rFonts w:ascii="Verdana" w:hAnsi="Verdana"/>
          <w:color w:val="000000"/>
          <w:sz w:val="20"/>
          <w:szCs w:val="20"/>
        </w:rPr>
      </w:pPr>
      <w:r>
        <w:rPr>
          <w:rFonts w:ascii="Verdana" w:hAnsi="Verdana"/>
          <w:color w:val="000000"/>
          <w:sz w:val="20"/>
          <w:szCs w:val="20"/>
        </w:rPr>
        <w:t xml:space="preserve">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w:t>
      </w:r>
      <w:r>
        <w:rPr>
          <w:rFonts w:ascii="Verdana" w:hAnsi="Verdana"/>
          <w:color w:val="000000"/>
          <w:sz w:val="20"/>
          <w:szCs w:val="20"/>
        </w:rPr>
        <w:lastRenderedPageBreak/>
        <w:t xml:space="preserve">due to a change in process or change in rules and that does not require judgment by the Department, incorporating NSPS and NESHAP requirements that do not require judgment, and similar changes. </w:t>
      </w:r>
    </w:p>
    <w:p w:rsidR="00CF4BFD" w:rsidRPr="00CA639C" w:rsidRDefault="00CF4BFD" w:rsidP="00CF4BFD">
      <w:pPr>
        <w:numPr>
          <w:ilvl w:val="0"/>
          <w:numId w:val="3"/>
        </w:numPr>
        <w:spacing w:before="100" w:beforeAutospacing="1" w:after="0" w:afterAutospacing="1" w:line="240" w:lineRule="auto"/>
        <w:rPr>
          <w:rFonts w:ascii="Verdana" w:eastAsia="Calibri" w:hAnsi="Verdana"/>
          <w:bCs/>
          <w:sz w:val="20"/>
          <w:szCs w:val="20"/>
        </w:rPr>
      </w:pPr>
      <w:r w:rsidRPr="00CA639C">
        <w:rPr>
          <w:rFonts w:ascii="Verdana" w:hAnsi="Verdana"/>
          <w:color w:val="000000"/>
          <w:sz w:val="20"/>
          <w:szCs w:val="20"/>
        </w:rPr>
        <w:t>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CF4BFD" w:rsidRPr="00CA639C" w:rsidRDefault="00CF4BFD" w:rsidP="00CF4BFD">
      <w:pPr>
        <w:numPr>
          <w:ilvl w:val="0"/>
          <w:numId w:val="3"/>
        </w:numPr>
        <w:spacing w:before="100" w:beforeAutospacing="1" w:after="0" w:afterAutospacing="1" w:line="240" w:lineRule="auto"/>
        <w:rPr>
          <w:rFonts w:ascii="Verdana" w:eastAsia="Calibri" w:hAnsi="Verdana"/>
          <w:bCs/>
          <w:sz w:val="20"/>
          <w:szCs w:val="20"/>
        </w:rPr>
      </w:pPr>
      <w:r w:rsidRPr="00CA639C">
        <w:rPr>
          <w:rFonts w:ascii="Verdana" w:hAnsi="Verdana"/>
          <w:color w:val="000000"/>
          <w:sz w:val="20"/>
          <w:szCs w:val="20"/>
        </w:rPr>
        <w:t>This is a one time fee payable when a Compliance Order is established in a Permit or a Department Order containing a compliance schedule becomes a Final Order of the Department and is based on the number of months the Department will have to oversee the Order.</w:t>
      </w:r>
    </w:p>
    <w:p w:rsidR="00CF4BFD" w:rsidRDefault="00CF4BFD" w:rsidP="00677475">
      <w:pPr>
        <w:pStyle w:val="NormalWeb"/>
        <w:spacing w:before="0" w:beforeAutospacing="0" w:after="0" w:afterAutospacing="0"/>
        <w:jc w:val="center"/>
      </w:pPr>
      <w:r>
        <w:rPr>
          <w:b/>
          <w:bCs/>
        </w:rPr>
        <w:t>DIVISION 222</w:t>
      </w:r>
      <w:r>
        <w:t xml:space="preserve"> </w:t>
      </w:r>
    </w:p>
    <w:p w:rsidR="00CF4BFD" w:rsidRDefault="00CF4BFD" w:rsidP="00677475">
      <w:pPr>
        <w:pStyle w:val="NormalWeb"/>
        <w:spacing w:before="0" w:beforeAutospacing="0" w:after="0" w:afterAutospacing="0"/>
        <w:jc w:val="center"/>
      </w:pPr>
      <w:r>
        <w:rPr>
          <w:b/>
          <w:bCs/>
        </w:rPr>
        <w:t>STATIONARY SOURCE PLANT SITE EMISSION LIMITS</w:t>
      </w:r>
      <w:r>
        <w:t xml:space="preserve"> </w:t>
      </w:r>
    </w:p>
    <w:p w:rsidR="00CF4BFD" w:rsidRDefault="00CF4BFD" w:rsidP="00677475">
      <w:pPr>
        <w:pStyle w:val="NormalWeb"/>
        <w:spacing w:before="0" w:beforeAutospacing="0" w:after="0" w:afterAutospacing="0"/>
      </w:pPr>
      <w:r>
        <w:rPr>
          <w:b/>
          <w:bCs/>
        </w:rPr>
        <w:t>340-222-0042</w:t>
      </w:r>
      <w:r>
        <w:t xml:space="preserve"> </w:t>
      </w:r>
    </w:p>
    <w:p w:rsidR="00CF4BFD" w:rsidRDefault="00CF4BFD" w:rsidP="00677475">
      <w:pPr>
        <w:pStyle w:val="NormalWeb"/>
        <w:spacing w:before="0" w:beforeAutospacing="0" w:after="0" w:afterAutospacing="0"/>
      </w:pPr>
      <w:r>
        <w:rPr>
          <w:b/>
          <w:bCs/>
        </w:rPr>
        <w:t xml:space="preserve">Short Term PSEL </w:t>
      </w:r>
    </w:p>
    <w:p w:rsidR="00CF4BFD" w:rsidRDefault="00CF4BFD" w:rsidP="00677475">
      <w:pPr>
        <w:pStyle w:val="NormalWeb"/>
        <w:spacing w:before="0" w:beforeAutospacing="0" w:after="0" w:afterAutospacing="0"/>
      </w:pPr>
      <w:r>
        <w:t xml:space="preserve">(1) For sources located in areas with 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CF4BFD" w:rsidRDefault="00CF4BFD" w:rsidP="00677475">
      <w:pPr>
        <w:pStyle w:val="NormalWeb"/>
        <w:spacing w:before="0" w:beforeAutospacing="0" w:after="0" w:afterAutospacing="0"/>
      </w:pPr>
      <w:r>
        <w:t xml:space="preserve">(a) For existing sources, the initial short term PSEL will be set as: </w:t>
      </w:r>
    </w:p>
    <w:p w:rsidR="00CF4BFD" w:rsidRDefault="00CF4BFD" w:rsidP="00677475">
      <w:pPr>
        <w:pStyle w:val="NormalWeb"/>
        <w:spacing w:before="0" w:beforeAutospacing="0" w:after="0" w:afterAutospacing="0"/>
      </w:pPr>
      <w:r>
        <w:t xml:space="preserve">(A) the lesser of the short term capacity or the current permit's short term PSEL, if each is greater than or equal to the short term SER; or </w:t>
      </w:r>
    </w:p>
    <w:p w:rsidR="00CF4BFD" w:rsidRDefault="00CF4BFD" w:rsidP="00677475">
      <w:pPr>
        <w:pStyle w:val="NormalWeb"/>
        <w:spacing w:before="0" w:beforeAutospacing="0" w:after="0" w:afterAutospacing="0"/>
      </w:pPr>
      <w:r>
        <w:t xml:space="preserve">(B) the generic PSEL, if either the short term capacity or the current short term PSEL is less than the short term SER. </w:t>
      </w:r>
    </w:p>
    <w:p w:rsidR="00CF4BFD" w:rsidRDefault="00CF4BFD" w:rsidP="00677475">
      <w:pPr>
        <w:pStyle w:val="NormalWeb"/>
        <w:spacing w:before="0" w:beforeAutospacing="0" w:after="0" w:afterAutospacing="0"/>
      </w:pPr>
      <w:r>
        <w:t xml:space="preserve">(b) For new sources, the initial short term PSEL will be zero. </w:t>
      </w:r>
    </w:p>
    <w:p w:rsidR="00CF4BFD" w:rsidRDefault="00CF4BFD" w:rsidP="00677475">
      <w:pPr>
        <w:pStyle w:val="NormalWeb"/>
        <w:spacing w:before="0" w:beforeAutospacing="0" w:after="0" w:afterAutospacing="0"/>
      </w:pPr>
      <w:r>
        <w:t xml:space="preserve">(2) If an applicant wants a short term PSEL at a rate greater than the initial short term PSEL, the applicant must: </w:t>
      </w:r>
    </w:p>
    <w:p w:rsidR="00CF4BFD" w:rsidRDefault="00CF4BFD" w:rsidP="00677475">
      <w:pPr>
        <w:pStyle w:val="NormalWeb"/>
        <w:spacing w:before="0" w:beforeAutospacing="0" w:after="0" w:afterAutospacing="0"/>
      </w:pPr>
      <w:r>
        <w:t xml:space="preserve">(a) Demonstrate that the requested increase over the initial short term PSEL is less than the significant emission rate (Note: In this case new sources would get a generic PSEL); or </w:t>
      </w:r>
    </w:p>
    <w:p w:rsidR="00CF4BFD" w:rsidRDefault="00CF4BFD" w:rsidP="00677475">
      <w:pPr>
        <w:pStyle w:val="NormalWeb"/>
        <w:spacing w:before="0" w:beforeAutospacing="0" w:after="0" w:afterAutospacing="0"/>
      </w:pPr>
      <w:r>
        <w:t xml:space="preserve">(b) For increases equal to or greater than the SER over the initial short term PSEL: </w:t>
      </w:r>
    </w:p>
    <w:p w:rsidR="00CF4BFD" w:rsidRDefault="00CF4BFD" w:rsidP="00677475">
      <w:pPr>
        <w:pStyle w:val="NormalWeb"/>
        <w:spacing w:before="0" w:beforeAutospacing="0" w:after="0" w:afterAutospacing="0"/>
      </w:pPr>
      <w:r>
        <w:t xml:space="preserve">(A) Obtain offsets and demonstrate a net air quality benefit in accordance with OAR 340-225-0090; </w:t>
      </w:r>
    </w:p>
    <w:p w:rsidR="00CF4BFD" w:rsidRDefault="00CF4BFD" w:rsidP="00677475">
      <w:pPr>
        <w:pStyle w:val="NormalWeb"/>
        <w:spacing w:before="0" w:beforeAutospacing="0" w:after="0" w:afterAutospacing="0"/>
      </w:pPr>
      <w:r>
        <w:t xml:space="preserve">(B) Obtain an allocation from an available growth allowance in accordance with the applicable maintenance plan; or </w:t>
      </w:r>
    </w:p>
    <w:p w:rsidR="00CF4BFD" w:rsidRDefault="00CF4BFD" w:rsidP="00677475">
      <w:pPr>
        <w:pStyle w:val="NormalWeb"/>
        <w:spacing w:before="0" w:beforeAutospacing="0" w:after="0" w:afterAutospacing="0"/>
      </w:pPr>
      <w:r>
        <w:t>(C) For carbon monoxide, demonstrate that the source or modification will not cause or contribute to an air quality impact equal to or greater than 0.5 mg/m</w:t>
      </w:r>
      <w:r>
        <w:rPr>
          <w:vertAlign w:val="superscript"/>
        </w:rPr>
        <w:t>3</w:t>
      </w:r>
      <w:r>
        <w:t xml:space="preserve"> (8 hour average) and 2 mg/m</w:t>
      </w:r>
      <w:r>
        <w:rPr>
          <w:vertAlign w:val="superscript"/>
        </w:rPr>
        <w:t>3</w:t>
      </w:r>
      <w:r>
        <w:t xml:space="preserve"> (1 hour average). </w:t>
      </w:r>
    </w:p>
    <w:p w:rsidR="00CF4BFD" w:rsidRDefault="00CF4BFD" w:rsidP="00677475">
      <w:pPr>
        <w:pStyle w:val="NormalWeb"/>
        <w:spacing w:before="0" w:beforeAutospacing="0" w:after="0" w:afterAutospacing="0"/>
      </w:pPr>
      <w:r>
        <w:t xml:space="preserve">(D) For federal major sources, demonstrate compliance with air quality related values (AQRV) protection in accordance with OAR 340-225-0070. </w:t>
      </w:r>
    </w:p>
    <w:p w:rsidR="00CF4BFD" w:rsidRDefault="00CF4BFD" w:rsidP="00677475">
      <w:pPr>
        <w:pStyle w:val="NormalWeb"/>
        <w:spacing w:before="0" w:beforeAutospacing="0" w:after="0" w:afterAutospacing="0"/>
      </w:pPr>
      <w:r>
        <w:t xml:space="preserve">(3) Once the short term PSEL is increased pursuant to section (2) of this rule, the increased level becomes the initial short term PSEL for future evaluations. </w:t>
      </w:r>
    </w:p>
    <w:p w:rsidR="00CF4BFD" w:rsidRDefault="00CF4BFD" w:rsidP="00677475">
      <w:pPr>
        <w:pStyle w:val="NormalWeb"/>
        <w:spacing w:before="0" w:beforeAutospacing="0" w:after="0" w:afterAutospacing="0"/>
      </w:pPr>
      <w:r>
        <w:t xml:space="preserve">[ED. NOTE: The Table(s) referenced in this rule is not printed in the OAR Compilation. Copies are available from the agency.] </w:t>
      </w:r>
    </w:p>
    <w:p w:rsidR="00CF4BFD" w:rsidRDefault="00CF4BFD" w:rsidP="00677475">
      <w:pPr>
        <w:pStyle w:val="NormalWeb"/>
        <w:spacing w:before="0" w:beforeAutospacing="0" w:after="0" w:afterAutospacing="0"/>
      </w:pPr>
      <w:r>
        <w:lastRenderedPageBreak/>
        <w:t>Stat. Auth.: ORS 468.020</w:t>
      </w:r>
      <w:r>
        <w:br/>
        <w:t>Stats. Implemented: ORS 468A</w:t>
      </w:r>
      <w:r>
        <w:br/>
        <w:t xml:space="preserve">Hist.: DEQ 6-2001, f. 6-18-01, cert. ef. 7-1-01 </w:t>
      </w:r>
    </w:p>
    <w:p w:rsidR="00677475" w:rsidRDefault="00677475" w:rsidP="00677475">
      <w:pPr>
        <w:pStyle w:val="NormalWeb"/>
        <w:spacing w:before="0" w:beforeAutospacing="0" w:after="0" w:afterAutospacing="0"/>
      </w:pPr>
    </w:p>
    <w:p w:rsidR="00CF4BFD" w:rsidRDefault="00CF4BFD" w:rsidP="00677475">
      <w:pPr>
        <w:pStyle w:val="NormalWeb"/>
        <w:spacing w:before="0" w:beforeAutospacing="0" w:after="0" w:afterAutospacing="0"/>
      </w:pPr>
      <w:r>
        <w:rPr>
          <w:b/>
          <w:bCs/>
        </w:rPr>
        <w:t>340-222-0045</w:t>
      </w:r>
      <w:r>
        <w:t xml:space="preserve"> </w:t>
      </w:r>
    </w:p>
    <w:p w:rsidR="00CF4BFD" w:rsidRDefault="00CF4BFD" w:rsidP="00677475">
      <w:pPr>
        <w:pStyle w:val="NormalWeb"/>
        <w:spacing w:before="0" w:beforeAutospacing="0" w:after="0" w:afterAutospacing="0"/>
      </w:pPr>
      <w:r>
        <w:rPr>
          <w:b/>
          <w:bCs/>
        </w:rPr>
        <w:t>Unassigned Emissions</w:t>
      </w:r>
      <w:r>
        <w:t xml:space="preserve"> </w:t>
      </w:r>
    </w:p>
    <w:p w:rsidR="00CF4BFD" w:rsidRDefault="00CF4BFD" w:rsidP="00677475">
      <w:pPr>
        <w:pStyle w:val="NormalWeb"/>
        <w:spacing w:before="0" w:beforeAutospacing="0" w:after="0" w:afterAutospacing="0"/>
      </w:pPr>
      <w:r>
        <w:t xml:space="preserve">(1) Purpose. The purpose of unassigned emissions is to track and manage the difference in the quantity of emissions between the netting basis and what the source could emit based on the facility's current physical and operational design. </w:t>
      </w:r>
    </w:p>
    <w:p w:rsidR="00CF4BFD" w:rsidRDefault="00CF4BFD" w:rsidP="00677475">
      <w:pPr>
        <w:pStyle w:val="NormalWeb"/>
        <w:spacing w:before="0" w:beforeAutospacing="0" w:after="0" w:afterAutospacing="0"/>
      </w:pPr>
      <w:r>
        <w:t xml:space="preserve">(2) Establishing unassigned emissions. </w:t>
      </w:r>
    </w:p>
    <w:p w:rsidR="00CF4BFD" w:rsidRDefault="00CF4BFD" w:rsidP="00677475">
      <w:pPr>
        <w:pStyle w:val="NormalWeb"/>
        <w:spacing w:before="0" w:beforeAutospacing="0" w:after="0" w:afterAutospacing="0"/>
      </w:pPr>
      <w:r>
        <w:t xml:space="preserve">(a) Unassigned emissions equal the netting basis minus the source's current PTE, minus any banked emission reduction credits. Unassigned emissions are zero if this result is negative. </w:t>
      </w:r>
    </w:p>
    <w:p w:rsidR="00CF4BFD" w:rsidRDefault="00CF4BFD" w:rsidP="00677475">
      <w:pPr>
        <w:pStyle w:val="NormalWeb"/>
        <w:spacing w:before="0" w:beforeAutospacing="0" w:after="0" w:afterAutospacing="0"/>
      </w:pPr>
      <w:r>
        <w:t xml:space="preserve">(b) Unused capacity created after the effective date of this rule due to reduced potential to emit that is not banked or expired emission reduction credits (OAR 340-268-0030), increase unassigned emissions on a ton for ton basis. </w:t>
      </w:r>
    </w:p>
    <w:p w:rsidR="00CF4BFD" w:rsidRDefault="00CF4BFD" w:rsidP="00677475">
      <w:pPr>
        <w:pStyle w:val="NormalWeb"/>
        <w:spacing w:before="0" w:beforeAutospacing="0" w:after="0" w:afterAutospacing="0"/>
      </w:pPr>
      <w:r>
        <w:t xml:space="preserve">(3) Maximum unassigned emissions. </w:t>
      </w:r>
    </w:p>
    <w:p w:rsidR="00CF4BFD" w:rsidRDefault="00CF4BFD" w:rsidP="00677475">
      <w:pPr>
        <w:pStyle w:val="NormalWeb"/>
        <w:spacing w:before="0" w:beforeAutospacing="0" w:after="0" w:afterAutospacing="0"/>
      </w:pPr>
      <w:r>
        <w:t xml:space="preserve">(a) Except as provided in paragraph (c) of this section, unassigned emissions will be reduced to not more than the SER (OAR 340-200-0020 Table 2) on July 1, 2007 and at each permit renewal following this date. </w:t>
      </w:r>
    </w:p>
    <w:p w:rsidR="00CF4BFD" w:rsidRDefault="00CF4BFD" w:rsidP="00677475">
      <w:pPr>
        <w:pStyle w:val="NormalWeb"/>
        <w:spacing w:before="0" w:beforeAutospacing="0" w:after="0" w:afterAutospacing="0"/>
      </w:pPr>
      <w:r>
        <w:t xml:space="preserve">(b) The netting basis is reduced by the amount that unassigned emissions are reduced. </w:t>
      </w:r>
    </w:p>
    <w:p w:rsidR="00CF4BFD" w:rsidRDefault="00CF4BFD" w:rsidP="00677475">
      <w:pPr>
        <w:pStyle w:val="NormalWeb"/>
        <w:spacing w:before="0" w:beforeAutospacing="0" w:after="0" w:afterAutospacing="0"/>
      </w:pPr>
      <w:r>
        <w:t xml:space="preserve">(c) In an AQMA where the EPA requires an attainment demonstration based on dispersion modeling, unassigned emissions are not subject to reduction under this rule. </w:t>
      </w:r>
    </w:p>
    <w:p w:rsidR="00CF4BFD" w:rsidRDefault="00CF4BFD" w:rsidP="00677475">
      <w:pPr>
        <w:pStyle w:val="NormalWeb"/>
        <w:spacing w:before="0" w:beforeAutospacing="0" w:after="0" w:afterAutospacing="0"/>
      </w:pPr>
      <w:r>
        <w:t xml:space="preserve">(4) Using unassigned emissions. </w:t>
      </w:r>
    </w:p>
    <w:p w:rsidR="00CF4BFD" w:rsidRDefault="00CF4BFD" w:rsidP="00677475">
      <w:pPr>
        <w:pStyle w:val="NormalWeb"/>
        <w:spacing w:before="0" w:beforeAutospacing="0" w:after="0" w:afterAutospacing="0"/>
      </w:pPr>
      <w:r>
        <w:t xml:space="preserve">(a) Unassigned emissions may be used for internal netting to allow an emission increase at the existing source in accordance with the permit. </w:t>
      </w:r>
    </w:p>
    <w:p w:rsidR="00CF4BFD" w:rsidRDefault="00CF4BFD" w:rsidP="00677475">
      <w:pPr>
        <w:pStyle w:val="NormalWeb"/>
        <w:spacing w:before="0" w:beforeAutospacing="0" w:after="0" w:afterAutospacing="0"/>
      </w:pPr>
      <w:r>
        <w:t xml:space="preserve">(b) Unassigned emissions may not be banked or transferred to another source. </w:t>
      </w:r>
    </w:p>
    <w:p w:rsidR="00CF4BFD" w:rsidRDefault="00CF4BFD" w:rsidP="00677475">
      <w:pPr>
        <w:pStyle w:val="NormalWeb"/>
        <w:spacing w:before="0" w:beforeAutospacing="0" w:after="0" w:afterAutospacing="0"/>
      </w:pPr>
      <w:r>
        <w:t xml:space="preserve">(c) Emissions that are removed from the netting basis are unavailable for netting in any future permit actions. </w:t>
      </w:r>
    </w:p>
    <w:p w:rsidR="00CF4BFD" w:rsidRDefault="00CF4BFD" w:rsidP="00677475">
      <w:pPr>
        <w:pStyle w:val="NormalWeb"/>
        <w:spacing w:before="0" w:beforeAutospacing="0" w:after="0" w:afterAutospacing="0"/>
      </w:pPr>
      <w: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t>
      </w:r>
    </w:p>
    <w:p w:rsidR="00CF4BFD" w:rsidRDefault="00CF4BFD" w:rsidP="00677475">
      <w:pPr>
        <w:pStyle w:val="NormalWeb"/>
        <w:spacing w:before="0" w:beforeAutospacing="0" w:after="0" w:afterAutospacing="0"/>
      </w:pPr>
      <w:r>
        <w:t>[</w:t>
      </w:r>
      <w:r>
        <w:rPr>
          <w:b/>
          <w:bCs/>
        </w:rPr>
        <w:t>NOTE:</w:t>
      </w:r>
      <w:r>
        <w:t xml:space="preserve"> This rule is included in the State of Oregon Clean Air Act Implementation Plan as adopted by the EQC under OAR 340-200-0040.] </w:t>
      </w:r>
    </w:p>
    <w:p w:rsidR="00CF4BFD" w:rsidRDefault="00CF4BFD" w:rsidP="00677475">
      <w:pPr>
        <w:pStyle w:val="NormalWeb"/>
        <w:spacing w:before="0" w:beforeAutospacing="0" w:after="0" w:afterAutospacing="0"/>
      </w:pPr>
      <w:r>
        <w:t xml:space="preserve">[ED. NOTE: The Table(s) referenced in this rule is not printed in the OAR Compilation. Copies are available from the agency.] </w:t>
      </w:r>
    </w:p>
    <w:p w:rsidR="00CF4BFD" w:rsidRDefault="00CF4BFD" w:rsidP="00677475">
      <w:pPr>
        <w:pStyle w:val="NormalWeb"/>
        <w:spacing w:before="0" w:beforeAutospacing="0" w:after="0" w:afterAutospacing="0"/>
      </w:pPr>
      <w:r>
        <w:t>Stat. Auth.: ORS 468.020 &amp; ORS 468A.310</w:t>
      </w:r>
      <w:r>
        <w:br/>
        <w:t>Stats. Implemented: ORS 468 &amp; ORS 468A</w:t>
      </w:r>
      <w:r>
        <w:br/>
        <w:t xml:space="preserve">Hist.: DEQ 6-2001, f. 6-18-01, cert. ef. 7-1-01 </w:t>
      </w:r>
    </w:p>
    <w:p w:rsidR="00CF4BFD" w:rsidRDefault="00CF4BFD"/>
    <w:p w:rsidR="00CF4BFD" w:rsidRPr="00526910" w:rsidRDefault="00CF4BFD" w:rsidP="00526910">
      <w:pPr>
        <w:spacing w:before="100" w:beforeAutospacing="1" w:after="100" w:afterAutospacing="1" w:line="240" w:lineRule="auto"/>
        <w:jc w:val="center"/>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DIVISION 224</w:t>
      </w:r>
    </w:p>
    <w:p w:rsidR="00CF4BFD" w:rsidRDefault="00CF4BFD" w:rsidP="00526910">
      <w:pPr>
        <w:spacing w:before="100" w:beforeAutospacing="1" w:after="100" w:afterAutospacing="1" w:line="240" w:lineRule="auto"/>
        <w:jc w:val="center"/>
        <w:rPr>
          <w:rFonts w:ascii="Times New Roman" w:eastAsia="Times New Roman" w:hAnsi="Times New Roman" w:cs="Times New Roman"/>
          <w:b/>
          <w:bCs/>
          <w:sz w:val="24"/>
          <w:szCs w:val="24"/>
        </w:rPr>
      </w:pPr>
      <w:r w:rsidRPr="00526910">
        <w:rPr>
          <w:rFonts w:ascii="Times New Roman" w:eastAsia="Times New Roman" w:hAnsi="Times New Roman" w:cs="Times New Roman"/>
          <w:b/>
          <w:bCs/>
          <w:sz w:val="24"/>
          <w:szCs w:val="24"/>
        </w:rPr>
        <w:t>MAJOR NEW SOURCE REVIEW</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lastRenderedPageBreak/>
        <w:t xml:space="preserve">340-224-0010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Applicability and General Prohibitions</w:t>
      </w:r>
      <w:r w:rsidRPr="00526910">
        <w:rPr>
          <w:rFonts w:ascii="Times New Roman" w:eastAsia="Times New Roman" w:hAnsi="Times New Roman" w:cs="Times New Roman"/>
          <w:sz w:val="24"/>
          <w:szCs w:val="24"/>
        </w:rPr>
        <w:t xml:space="preserve"> </w:t>
      </w:r>
    </w:p>
    <w:p w:rsidR="00CF4BFD" w:rsidRDefault="00CF4BFD" w:rsidP="00677475">
      <w:pPr>
        <w:spacing w:after="0" w:line="240" w:lineRule="auto"/>
        <w:rPr>
          <w:rFonts w:ascii="Times New Roman" w:eastAsia="Times New Roman" w:hAnsi="Times New Roman" w:cs="Times New Roman"/>
          <w:sz w:val="24"/>
          <w:szCs w:val="24"/>
        </w:rPr>
      </w:pPr>
      <w:r w:rsidRPr="005F1E59">
        <w:rPr>
          <w:rFonts w:ascii="Times New Roman" w:eastAsia="Times New Roman" w:hAnsi="Times New Roman" w:cs="Times New Roman"/>
          <w:sz w:val="24"/>
          <w:szCs w:val="24"/>
        </w:rPr>
        <w:t xml:space="preserve">(1) Within designated </w:t>
      </w:r>
      <w:r>
        <w:rPr>
          <w:rFonts w:ascii="Times New Roman" w:eastAsia="Times New Roman" w:hAnsi="Times New Roman" w:cs="Times New Roman"/>
          <w:sz w:val="24"/>
          <w:szCs w:val="24"/>
        </w:rPr>
        <w:t>n</w:t>
      </w:r>
      <w:r w:rsidRPr="005F1E59">
        <w:rPr>
          <w:rFonts w:ascii="Times New Roman" w:eastAsia="Times New Roman" w:hAnsi="Times New Roman" w:cs="Times New Roman"/>
          <w:sz w:val="24"/>
          <w:szCs w:val="24"/>
        </w:rPr>
        <w:t xml:space="preserve">onattainment and </w:t>
      </w:r>
      <w:r>
        <w:rPr>
          <w:rFonts w:ascii="Times New Roman" w:eastAsia="Times New Roman" w:hAnsi="Times New Roman" w:cs="Times New Roman"/>
          <w:sz w:val="24"/>
          <w:szCs w:val="24"/>
        </w:rPr>
        <w:t>m</w:t>
      </w:r>
      <w:r w:rsidRPr="005F1E59">
        <w:rPr>
          <w:rFonts w:ascii="Times New Roman" w:eastAsia="Times New Roman" w:hAnsi="Times New Roman" w:cs="Times New Roman"/>
          <w:sz w:val="24"/>
          <w:szCs w:val="24"/>
        </w:rPr>
        <w:t xml:space="preserve">aintenance areas, this division applies to owners and operators of proposed major sources and major modifications </w:t>
      </w:r>
      <w:r>
        <w:rPr>
          <w:rFonts w:ascii="Times New Roman" w:eastAsia="Times New Roman" w:hAnsi="Times New Roman" w:cs="Times New Roman"/>
          <w:sz w:val="24"/>
          <w:szCs w:val="24"/>
        </w:rPr>
        <w:t>for the regulated pollutant(s) for which the area is designated nonattainment or maintenance</w:t>
      </w:r>
      <w:r w:rsidRPr="005F1E59">
        <w:rPr>
          <w:rFonts w:ascii="Times New Roman" w:eastAsia="Times New Roman" w:hAnsi="Times New Roman" w:cs="Times New Roman"/>
          <w:sz w:val="24"/>
          <w:szCs w:val="24"/>
        </w:rPr>
        <w:t xml:space="preserve">. </w:t>
      </w:r>
    </w:p>
    <w:p w:rsidR="00CF4BFD" w:rsidRPr="005F1E59" w:rsidRDefault="00CF4BFD" w:rsidP="006774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5F1E59">
        <w:rPr>
          <w:rFonts w:ascii="Times New Roman" w:eastAsia="Times New Roman" w:hAnsi="Times New Roman" w:cs="Times New Roman"/>
          <w:sz w:val="24"/>
          <w:szCs w:val="24"/>
        </w:rPr>
        <w:t xml:space="preserve">Within attainment and unclassifiable areas, this division applies to owners and operators of proposed </w:t>
      </w:r>
      <w:r>
        <w:rPr>
          <w:rFonts w:ascii="Times New Roman" w:eastAsia="Times New Roman" w:hAnsi="Times New Roman" w:cs="Times New Roman"/>
          <w:sz w:val="24"/>
          <w:szCs w:val="24"/>
        </w:rPr>
        <w:t>f</w:t>
      </w:r>
      <w:r w:rsidRPr="005F1E59">
        <w:rPr>
          <w:rFonts w:ascii="Times New Roman" w:eastAsia="Times New Roman" w:hAnsi="Times New Roman" w:cs="Times New Roman"/>
          <w:sz w:val="24"/>
          <w:szCs w:val="24"/>
        </w:rPr>
        <w:t xml:space="preserve">ederal </w:t>
      </w:r>
      <w:r>
        <w:rPr>
          <w:rFonts w:ascii="Times New Roman" w:eastAsia="Times New Roman" w:hAnsi="Times New Roman" w:cs="Times New Roman"/>
          <w:sz w:val="24"/>
          <w:szCs w:val="24"/>
        </w:rPr>
        <w:t>m</w:t>
      </w:r>
      <w:r w:rsidRPr="005F1E59">
        <w:rPr>
          <w:rFonts w:ascii="Times New Roman" w:eastAsia="Times New Roman" w:hAnsi="Times New Roman" w:cs="Times New Roman"/>
          <w:sz w:val="24"/>
          <w:szCs w:val="24"/>
        </w:rPr>
        <w:t xml:space="preserve">ajor sources and major modifications at </w:t>
      </w:r>
      <w:r>
        <w:rPr>
          <w:rFonts w:ascii="Times New Roman" w:eastAsia="Times New Roman" w:hAnsi="Times New Roman" w:cs="Times New Roman"/>
          <w:sz w:val="24"/>
          <w:szCs w:val="24"/>
        </w:rPr>
        <w:t>f</w:t>
      </w:r>
      <w:r w:rsidRPr="005F1E59">
        <w:rPr>
          <w:rFonts w:ascii="Times New Roman" w:eastAsia="Times New Roman" w:hAnsi="Times New Roman" w:cs="Times New Roman"/>
          <w:sz w:val="24"/>
          <w:szCs w:val="24"/>
        </w:rPr>
        <w:t xml:space="preserve">ederal </w:t>
      </w:r>
      <w:r>
        <w:rPr>
          <w:rFonts w:ascii="Times New Roman" w:eastAsia="Times New Roman" w:hAnsi="Times New Roman" w:cs="Times New Roman"/>
          <w:sz w:val="24"/>
          <w:szCs w:val="24"/>
        </w:rPr>
        <w:t>m</w:t>
      </w:r>
      <w:r w:rsidRPr="005F1E59">
        <w:rPr>
          <w:rFonts w:ascii="Times New Roman" w:eastAsia="Times New Roman" w:hAnsi="Times New Roman" w:cs="Times New Roman"/>
          <w:sz w:val="24"/>
          <w:szCs w:val="24"/>
        </w:rPr>
        <w:t>ajor sources</w:t>
      </w:r>
      <w:r>
        <w:rPr>
          <w:rFonts w:ascii="Times New Roman" w:eastAsia="Times New Roman" w:hAnsi="Times New Roman" w:cs="Times New Roman"/>
          <w:sz w:val="24"/>
          <w:szCs w:val="24"/>
        </w:rPr>
        <w:t xml:space="preserve"> for the regulated pollutant(s) for which the area is designated attainment or unclassified</w:t>
      </w:r>
      <w:r w:rsidRPr="005F1E59">
        <w:rPr>
          <w:rFonts w:ascii="Times New Roman" w:eastAsia="Times New Roman" w:hAnsi="Times New Roman" w:cs="Times New Roman"/>
          <w:sz w:val="24"/>
          <w:szCs w:val="24"/>
        </w:rPr>
        <w:t xml:space="preserve">. </w:t>
      </w:r>
    </w:p>
    <w:p w:rsidR="00CF4BFD" w:rsidRPr="00057901" w:rsidRDefault="00CF4BFD" w:rsidP="00677475">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Owners and operators of sources that do not meet the applicability criteria of sections (1) or (2) of this rule </w:t>
      </w:r>
      <w:r w:rsidRPr="00057901">
        <w:rPr>
          <w:rFonts w:ascii="Times New Roman" w:eastAsia="Times New Roman" w:hAnsi="Times New Roman" w:cs="Times New Roman"/>
          <w:sz w:val="24"/>
          <w:szCs w:val="24"/>
        </w:rPr>
        <w:t>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w:t>
      </w:r>
    </w:p>
    <w:p w:rsidR="00CF4BFD"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526910">
        <w:rPr>
          <w:rFonts w:ascii="Times New Roman" w:eastAsia="Times New Roman" w:hAnsi="Times New Roman" w:cs="Times New Roman"/>
          <w:sz w:val="24"/>
          <w:szCs w:val="24"/>
        </w:rPr>
        <w:t xml:space="preserve">) No owner or operator </w:t>
      </w:r>
      <w:r>
        <w:rPr>
          <w:rFonts w:ascii="Times New Roman" w:eastAsia="Times New Roman" w:hAnsi="Times New Roman" w:cs="Times New Roman"/>
          <w:sz w:val="24"/>
          <w:szCs w:val="24"/>
        </w:rPr>
        <w:t xml:space="preserve">of a source that meets the applicability criteria of sections (1) or (2) of this rule </w:t>
      </w:r>
      <w:r w:rsidRPr="00526910">
        <w:rPr>
          <w:rFonts w:ascii="Times New Roman" w:eastAsia="Times New Roman" w:hAnsi="Times New Roman" w:cs="Times New Roman"/>
          <w:sz w:val="24"/>
          <w:szCs w:val="24"/>
        </w:rPr>
        <w:t>may begin construction without having received an air contaminant discharge permit (ACDP) from the Department and having satisfied the requirements of this division.</w:t>
      </w:r>
    </w:p>
    <w:p w:rsidR="00CF4BFD" w:rsidRPr="00857EBF" w:rsidRDefault="00CF4BFD" w:rsidP="00677475">
      <w:pPr>
        <w:autoSpaceDE w:val="0"/>
        <w:autoSpaceDN w:val="0"/>
        <w:adjustRightInd w:val="0"/>
        <w:spacing w:after="0" w:line="240" w:lineRule="auto"/>
        <w:rPr>
          <w:rFonts w:ascii="Times New Roman" w:hAnsi="Times New Roman" w:cs="Times New Roman"/>
          <w:sz w:val="24"/>
          <w:szCs w:val="24"/>
        </w:rPr>
      </w:pPr>
      <w:r w:rsidDel="00FF32AB">
        <w:rPr>
          <w:rStyle w:val="CommentReference"/>
        </w:rPr>
        <w:t xml:space="preserve"> </w:t>
      </w:r>
      <w:r>
        <w:rPr>
          <w:rFonts w:ascii="Times New Roman" w:hAnsi="Times New Roman" w:cs="Times New Roman"/>
          <w:sz w:val="24"/>
          <w:szCs w:val="24"/>
        </w:rPr>
        <w:t>(5</w:t>
      </w:r>
      <w:r w:rsidRPr="00857EBF">
        <w:rPr>
          <w:rFonts w:ascii="Times New Roman" w:hAnsi="Times New Roman" w:cs="Times New Roman"/>
          <w:sz w:val="24"/>
          <w:szCs w:val="24"/>
        </w:rPr>
        <w:t xml:space="preserve">) Beginning </w:t>
      </w:r>
      <w:r>
        <w:rPr>
          <w:rFonts w:ascii="Times New Roman" w:hAnsi="Times New Roman" w:cs="Times New Roman"/>
          <w:sz w:val="24"/>
          <w:szCs w:val="24"/>
        </w:rPr>
        <w:t>May</w:t>
      </w:r>
      <w:r w:rsidRPr="00857EBF">
        <w:rPr>
          <w:rFonts w:ascii="Times New Roman" w:hAnsi="Times New Roman" w:cs="Times New Roman"/>
          <w:sz w:val="24"/>
          <w:szCs w:val="24"/>
        </w:rPr>
        <w:t xml:space="preserve"> </w:t>
      </w:r>
      <w:r>
        <w:rPr>
          <w:rFonts w:ascii="Times New Roman" w:hAnsi="Times New Roman" w:cs="Times New Roman"/>
          <w:sz w:val="24"/>
          <w:szCs w:val="24"/>
        </w:rPr>
        <w:t>1</w:t>
      </w:r>
      <w:r w:rsidRPr="00857EBF">
        <w:rPr>
          <w:rFonts w:ascii="Times New Roman" w:hAnsi="Times New Roman" w:cs="Times New Roman"/>
          <w:sz w:val="24"/>
          <w:szCs w:val="24"/>
        </w:rPr>
        <w:t>, 2011, the pollutant GHGs is subject to regulation if:</w:t>
      </w:r>
    </w:p>
    <w:p w:rsidR="00CF4BFD" w:rsidRPr="00857EBF" w:rsidRDefault="00CF4BFD" w:rsidP="00677475">
      <w:pPr>
        <w:autoSpaceDE w:val="0"/>
        <w:autoSpaceDN w:val="0"/>
        <w:adjustRightInd w:val="0"/>
        <w:spacing w:after="0" w:line="240" w:lineRule="auto"/>
        <w:rPr>
          <w:rFonts w:ascii="Times New Roman" w:hAnsi="Times New Roman" w:cs="Times New Roman"/>
          <w:sz w:val="24"/>
          <w:szCs w:val="24"/>
        </w:rPr>
      </w:pPr>
      <w:r w:rsidRPr="00857EBF">
        <w:rPr>
          <w:rFonts w:ascii="Times New Roman" w:hAnsi="Times New Roman" w:cs="Times New Roman"/>
          <w:sz w:val="24"/>
          <w:szCs w:val="24"/>
        </w:rPr>
        <w:t>(</w:t>
      </w:r>
      <w:r>
        <w:rPr>
          <w:rFonts w:ascii="Times New Roman" w:hAnsi="Times New Roman" w:cs="Times New Roman"/>
          <w:sz w:val="24"/>
          <w:szCs w:val="24"/>
        </w:rPr>
        <w:t>a</w:t>
      </w:r>
      <w:r w:rsidRPr="00857EBF">
        <w:rPr>
          <w:rFonts w:ascii="Times New Roman" w:hAnsi="Times New Roman" w:cs="Times New Roman"/>
          <w:sz w:val="24"/>
          <w:szCs w:val="24"/>
        </w:rPr>
        <w:t xml:space="preserve">) The source is a new </w:t>
      </w:r>
      <w:r>
        <w:rPr>
          <w:rFonts w:ascii="Times New Roman" w:hAnsi="Times New Roman" w:cs="Times New Roman"/>
          <w:sz w:val="24"/>
          <w:szCs w:val="24"/>
        </w:rPr>
        <w:t xml:space="preserve">federal </w:t>
      </w:r>
      <w:r w:rsidRPr="00857EBF">
        <w:rPr>
          <w:rFonts w:ascii="Times New Roman" w:hAnsi="Times New Roman" w:cs="Times New Roman"/>
          <w:sz w:val="24"/>
          <w:szCs w:val="24"/>
        </w:rPr>
        <w:t xml:space="preserve">major source for a regulated pollutant that is not GHGs, and also </w:t>
      </w:r>
      <w:r>
        <w:rPr>
          <w:rFonts w:ascii="Times New Roman" w:hAnsi="Times New Roman" w:cs="Times New Roman"/>
          <w:sz w:val="24"/>
          <w:szCs w:val="24"/>
        </w:rPr>
        <w:t xml:space="preserve">emits, </w:t>
      </w:r>
      <w:r w:rsidRPr="00857EBF">
        <w:rPr>
          <w:rFonts w:ascii="Times New Roman" w:hAnsi="Times New Roman" w:cs="Times New Roman"/>
          <w:sz w:val="24"/>
          <w:szCs w:val="24"/>
        </w:rPr>
        <w:t>will emit or will have</w:t>
      </w:r>
      <w:r>
        <w:rPr>
          <w:rFonts w:ascii="Times New Roman" w:hAnsi="Times New Roman" w:cs="Times New Roman"/>
          <w:sz w:val="24"/>
          <w:szCs w:val="24"/>
        </w:rPr>
        <w:t xml:space="preserve"> the potential to emit 75,000 tons per </w:t>
      </w:r>
      <w:r w:rsidRPr="00857EBF">
        <w:rPr>
          <w:rFonts w:ascii="Times New Roman" w:hAnsi="Times New Roman" w:cs="Times New Roman"/>
          <w:sz w:val="24"/>
          <w:szCs w:val="24"/>
        </w:rPr>
        <w:t>y</w:t>
      </w:r>
      <w:r>
        <w:rPr>
          <w:rFonts w:ascii="Times New Roman" w:hAnsi="Times New Roman" w:cs="Times New Roman"/>
          <w:sz w:val="24"/>
          <w:szCs w:val="24"/>
        </w:rPr>
        <w:t>ear</w:t>
      </w:r>
      <w:r w:rsidRPr="00857EBF">
        <w:rPr>
          <w:rFonts w:ascii="Times New Roman" w:hAnsi="Times New Roman" w:cs="Times New Roman"/>
          <w:sz w:val="24"/>
          <w:szCs w:val="24"/>
        </w:rPr>
        <w:t xml:space="preserve"> </w:t>
      </w:r>
      <w:r>
        <w:rPr>
          <w:rFonts w:ascii="Times New Roman" w:hAnsi="Times New Roman" w:cs="Times New Roman"/>
          <w:sz w:val="24"/>
          <w:szCs w:val="24"/>
        </w:rPr>
        <w:t xml:space="preserve">CO2e </w:t>
      </w:r>
      <w:r w:rsidRPr="00857EBF">
        <w:rPr>
          <w:rFonts w:ascii="Times New Roman" w:hAnsi="Times New Roman" w:cs="Times New Roman"/>
          <w:sz w:val="24"/>
          <w:szCs w:val="24"/>
        </w:rPr>
        <w:t>or more; or</w:t>
      </w:r>
    </w:p>
    <w:p w:rsidR="00CF4BFD" w:rsidRDefault="00CF4BFD" w:rsidP="00677475">
      <w:pPr>
        <w:autoSpaceDE w:val="0"/>
        <w:autoSpaceDN w:val="0"/>
        <w:adjustRightInd w:val="0"/>
        <w:spacing w:after="0" w:line="240" w:lineRule="auto"/>
        <w:rPr>
          <w:rFonts w:ascii="Times New Roman" w:hAnsi="Times New Roman" w:cs="Times New Roman"/>
          <w:sz w:val="24"/>
          <w:szCs w:val="24"/>
        </w:rPr>
      </w:pPr>
      <w:r w:rsidRPr="00857EBF">
        <w:rPr>
          <w:rFonts w:ascii="Times New Roman" w:hAnsi="Times New Roman" w:cs="Times New Roman"/>
          <w:sz w:val="24"/>
          <w:szCs w:val="24"/>
        </w:rPr>
        <w:t>(</w:t>
      </w:r>
      <w:r>
        <w:rPr>
          <w:rFonts w:ascii="Times New Roman" w:hAnsi="Times New Roman" w:cs="Times New Roman"/>
          <w:sz w:val="24"/>
          <w:szCs w:val="24"/>
        </w:rPr>
        <w:t>b</w:t>
      </w:r>
      <w:r w:rsidRPr="00857EBF">
        <w:rPr>
          <w:rFonts w:ascii="Times New Roman" w:hAnsi="Times New Roman" w:cs="Times New Roman"/>
          <w:sz w:val="24"/>
          <w:szCs w:val="24"/>
        </w:rPr>
        <w:t xml:space="preserve">) The source is </w:t>
      </w:r>
      <w:r>
        <w:rPr>
          <w:rFonts w:ascii="Times New Roman" w:hAnsi="Times New Roman" w:cs="Times New Roman"/>
          <w:sz w:val="24"/>
          <w:szCs w:val="24"/>
        </w:rPr>
        <w:t xml:space="preserve">or becomes </w:t>
      </w:r>
      <w:r w:rsidRPr="00857EBF">
        <w:rPr>
          <w:rFonts w:ascii="Times New Roman" w:hAnsi="Times New Roman" w:cs="Times New Roman"/>
          <w:sz w:val="24"/>
          <w:szCs w:val="24"/>
        </w:rPr>
        <w:t xml:space="preserve">a </w:t>
      </w:r>
      <w:r>
        <w:rPr>
          <w:rFonts w:ascii="Times New Roman" w:hAnsi="Times New Roman" w:cs="Times New Roman"/>
          <w:sz w:val="24"/>
          <w:szCs w:val="24"/>
        </w:rPr>
        <w:t xml:space="preserve">federal </w:t>
      </w:r>
      <w:r w:rsidRPr="00857EBF">
        <w:rPr>
          <w:rFonts w:ascii="Times New Roman" w:hAnsi="Times New Roman" w:cs="Times New Roman"/>
          <w:sz w:val="24"/>
          <w:szCs w:val="24"/>
        </w:rPr>
        <w:t xml:space="preserve">major source </w:t>
      </w:r>
      <w:r>
        <w:rPr>
          <w:rFonts w:ascii="Times New Roman" w:hAnsi="Times New Roman" w:cs="Times New Roman"/>
          <w:sz w:val="24"/>
          <w:szCs w:val="24"/>
        </w:rPr>
        <w:t xml:space="preserve">subject to OAR 340-224-0070 as a result of a major modification </w:t>
      </w:r>
      <w:r w:rsidRPr="00857EBF">
        <w:rPr>
          <w:rFonts w:ascii="Times New Roman" w:hAnsi="Times New Roman" w:cs="Times New Roman"/>
          <w:sz w:val="24"/>
          <w:szCs w:val="24"/>
        </w:rPr>
        <w:t xml:space="preserve">for a regulated pollutant that is not GHGs, and </w:t>
      </w:r>
      <w:r>
        <w:rPr>
          <w:rFonts w:ascii="Times New Roman" w:hAnsi="Times New Roman" w:cs="Times New Roman"/>
          <w:sz w:val="24"/>
          <w:szCs w:val="24"/>
        </w:rPr>
        <w:t xml:space="preserve">will have </w:t>
      </w:r>
      <w:r w:rsidRPr="00857EBF">
        <w:rPr>
          <w:rFonts w:ascii="Times New Roman" w:hAnsi="Times New Roman" w:cs="Times New Roman"/>
          <w:sz w:val="24"/>
          <w:szCs w:val="24"/>
        </w:rPr>
        <w:t>an emissions increase of 75,000 t</w:t>
      </w:r>
      <w:r>
        <w:rPr>
          <w:rFonts w:ascii="Times New Roman" w:hAnsi="Times New Roman" w:cs="Times New Roman"/>
          <w:sz w:val="24"/>
          <w:szCs w:val="24"/>
        </w:rPr>
        <w:t xml:space="preserve">ons </w:t>
      </w:r>
      <w:r w:rsidRPr="00857EBF">
        <w:rPr>
          <w:rFonts w:ascii="Times New Roman" w:hAnsi="Times New Roman" w:cs="Times New Roman"/>
          <w:sz w:val="24"/>
          <w:szCs w:val="24"/>
        </w:rPr>
        <w:t>p</w:t>
      </w:r>
      <w:r>
        <w:rPr>
          <w:rFonts w:ascii="Times New Roman" w:hAnsi="Times New Roman" w:cs="Times New Roman"/>
          <w:sz w:val="24"/>
          <w:szCs w:val="24"/>
        </w:rPr>
        <w:t xml:space="preserve">er </w:t>
      </w:r>
      <w:r w:rsidRPr="00857EBF">
        <w:rPr>
          <w:rFonts w:ascii="Times New Roman" w:hAnsi="Times New Roman" w:cs="Times New Roman"/>
          <w:sz w:val="24"/>
          <w:szCs w:val="24"/>
        </w:rPr>
        <w:t>y</w:t>
      </w:r>
      <w:r>
        <w:rPr>
          <w:rFonts w:ascii="Times New Roman" w:hAnsi="Times New Roman" w:cs="Times New Roman"/>
          <w:sz w:val="24"/>
          <w:szCs w:val="24"/>
        </w:rPr>
        <w:t>ear</w:t>
      </w:r>
      <w:r w:rsidRPr="00857EBF">
        <w:rPr>
          <w:rFonts w:ascii="Times New Roman" w:hAnsi="Times New Roman" w:cs="Times New Roman"/>
          <w:sz w:val="24"/>
          <w:szCs w:val="24"/>
        </w:rPr>
        <w:t xml:space="preserve"> </w:t>
      </w:r>
      <w:r>
        <w:rPr>
          <w:rFonts w:ascii="Times New Roman" w:hAnsi="Times New Roman" w:cs="Times New Roman"/>
          <w:sz w:val="24"/>
          <w:szCs w:val="24"/>
        </w:rPr>
        <w:t xml:space="preserve">CO2e </w:t>
      </w:r>
      <w:r w:rsidRPr="00857EBF">
        <w:rPr>
          <w:rFonts w:ascii="Times New Roman" w:hAnsi="Times New Roman" w:cs="Times New Roman"/>
          <w:sz w:val="24"/>
          <w:szCs w:val="24"/>
        </w:rPr>
        <w:t>or more</w:t>
      </w:r>
      <w:r>
        <w:rPr>
          <w:rFonts w:ascii="Times New Roman" w:hAnsi="Times New Roman" w:cs="Times New Roman"/>
          <w:sz w:val="24"/>
          <w:szCs w:val="24"/>
        </w:rPr>
        <w:t xml:space="preserve"> over the netting basis.</w:t>
      </w:r>
    </w:p>
    <w:p w:rsidR="00CF4BFD" w:rsidRPr="00857EBF" w:rsidRDefault="00CF4BFD" w:rsidP="00677475">
      <w:pPr>
        <w:autoSpaceDE w:val="0"/>
        <w:autoSpaceDN w:val="0"/>
        <w:adjustRightInd w:val="0"/>
        <w:spacing w:after="0" w:line="240" w:lineRule="auto"/>
        <w:rPr>
          <w:rFonts w:ascii="Times New Roman" w:hAnsi="Times New Roman" w:cs="Times New Roman"/>
          <w:sz w:val="24"/>
          <w:szCs w:val="24"/>
        </w:rPr>
      </w:pPr>
    </w:p>
    <w:p w:rsidR="00CF4BFD" w:rsidRPr="00857EBF" w:rsidRDefault="00CF4BFD" w:rsidP="0067747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857EBF">
        <w:rPr>
          <w:rFonts w:ascii="Times New Roman" w:hAnsi="Times New Roman" w:cs="Times New Roman"/>
          <w:sz w:val="24"/>
          <w:szCs w:val="24"/>
        </w:rPr>
        <w:t xml:space="preserve">) Beginning July 1, 2011, in addition to the provisions in </w:t>
      </w:r>
      <w:r>
        <w:rPr>
          <w:rFonts w:ascii="Times New Roman" w:hAnsi="Times New Roman" w:cs="Times New Roman"/>
          <w:sz w:val="24"/>
          <w:szCs w:val="24"/>
        </w:rPr>
        <w:t>section (5) of this rule</w:t>
      </w:r>
      <w:r w:rsidRPr="00857EBF">
        <w:rPr>
          <w:rFonts w:ascii="Times New Roman" w:hAnsi="Times New Roman" w:cs="Times New Roman"/>
          <w:sz w:val="24"/>
          <w:szCs w:val="24"/>
        </w:rPr>
        <w:t>, the pollutant GHGs shall also be subject to regulation</w:t>
      </w:r>
      <w:r>
        <w:rPr>
          <w:rFonts w:ascii="Times New Roman" w:hAnsi="Times New Roman" w:cs="Times New Roman"/>
          <w:sz w:val="24"/>
          <w:szCs w:val="24"/>
        </w:rPr>
        <w:t xml:space="preserve"> at:</w:t>
      </w:r>
      <w:r w:rsidRPr="00857EBF">
        <w:rPr>
          <w:rFonts w:ascii="Times New Roman" w:hAnsi="Times New Roman" w:cs="Times New Roman"/>
          <w:sz w:val="24"/>
          <w:szCs w:val="24"/>
        </w:rPr>
        <w:t xml:space="preserve"> </w:t>
      </w:r>
    </w:p>
    <w:p w:rsidR="00CF4BFD" w:rsidRPr="00857EBF" w:rsidRDefault="00CF4BFD" w:rsidP="00677475">
      <w:pPr>
        <w:autoSpaceDE w:val="0"/>
        <w:autoSpaceDN w:val="0"/>
        <w:adjustRightInd w:val="0"/>
        <w:spacing w:after="0" w:line="240" w:lineRule="auto"/>
        <w:rPr>
          <w:rFonts w:ascii="Times New Roman" w:hAnsi="Times New Roman" w:cs="Times New Roman"/>
          <w:sz w:val="24"/>
          <w:szCs w:val="24"/>
        </w:rPr>
      </w:pPr>
      <w:r w:rsidRPr="00857EBF">
        <w:rPr>
          <w:rFonts w:ascii="Times New Roman" w:hAnsi="Times New Roman" w:cs="Times New Roman"/>
          <w:sz w:val="24"/>
          <w:szCs w:val="24"/>
        </w:rPr>
        <w:t>(</w:t>
      </w:r>
      <w:r>
        <w:rPr>
          <w:rFonts w:ascii="Times New Roman" w:hAnsi="Times New Roman" w:cs="Times New Roman"/>
          <w:sz w:val="24"/>
          <w:szCs w:val="24"/>
        </w:rPr>
        <w:t>a</w:t>
      </w:r>
      <w:r w:rsidRPr="00857EBF">
        <w:rPr>
          <w:rFonts w:ascii="Times New Roman" w:hAnsi="Times New Roman" w:cs="Times New Roman"/>
          <w:sz w:val="24"/>
          <w:szCs w:val="24"/>
        </w:rPr>
        <w:t xml:space="preserve">) A new </w:t>
      </w:r>
      <w:r>
        <w:rPr>
          <w:rFonts w:ascii="Times New Roman" w:hAnsi="Times New Roman" w:cs="Times New Roman"/>
          <w:sz w:val="24"/>
          <w:szCs w:val="24"/>
        </w:rPr>
        <w:t xml:space="preserve">federal major </w:t>
      </w:r>
      <w:r w:rsidRPr="00857EBF">
        <w:rPr>
          <w:rFonts w:ascii="Times New Roman" w:hAnsi="Times New Roman" w:cs="Times New Roman"/>
          <w:sz w:val="24"/>
          <w:szCs w:val="24"/>
        </w:rPr>
        <w:t>source; or</w:t>
      </w:r>
    </w:p>
    <w:p w:rsidR="00CF4BFD" w:rsidRDefault="00CF4BFD" w:rsidP="00677475">
      <w:pPr>
        <w:autoSpaceDE w:val="0"/>
        <w:autoSpaceDN w:val="0"/>
        <w:adjustRightInd w:val="0"/>
        <w:spacing w:after="0" w:line="240" w:lineRule="auto"/>
        <w:rPr>
          <w:rFonts w:ascii="Times New Roman" w:hAnsi="Times New Roman" w:cs="Times New Roman"/>
          <w:sz w:val="24"/>
          <w:szCs w:val="24"/>
        </w:rPr>
      </w:pPr>
      <w:r w:rsidRPr="00857EBF">
        <w:rPr>
          <w:rFonts w:ascii="Times New Roman" w:hAnsi="Times New Roman" w:cs="Times New Roman"/>
          <w:sz w:val="24"/>
          <w:szCs w:val="24"/>
        </w:rPr>
        <w:t>(</w:t>
      </w:r>
      <w:r>
        <w:rPr>
          <w:rFonts w:ascii="Times New Roman" w:hAnsi="Times New Roman" w:cs="Times New Roman"/>
          <w:sz w:val="24"/>
          <w:szCs w:val="24"/>
        </w:rPr>
        <w:t>b</w:t>
      </w:r>
      <w:r w:rsidRPr="00857EBF">
        <w:rPr>
          <w:rFonts w:ascii="Times New Roman" w:hAnsi="Times New Roman" w:cs="Times New Roman"/>
          <w:sz w:val="24"/>
          <w:szCs w:val="24"/>
        </w:rPr>
        <w:t>) A</w:t>
      </w:r>
      <w:r>
        <w:rPr>
          <w:rFonts w:ascii="Times New Roman" w:hAnsi="Times New Roman" w:cs="Times New Roman"/>
          <w:sz w:val="24"/>
          <w:szCs w:val="24"/>
        </w:rPr>
        <w:t xml:space="preserve"> source that is or becomes a federal major </w:t>
      </w:r>
      <w:r w:rsidRPr="00857EBF">
        <w:rPr>
          <w:rFonts w:ascii="Times New Roman" w:hAnsi="Times New Roman" w:cs="Times New Roman"/>
          <w:sz w:val="24"/>
          <w:szCs w:val="24"/>
        </w:rPr>
        <w:t xml:space="preserve">source </w:t>
      </w:r>
      <w:r>
        <w:rPr>
          <w:rFonts w:ascii="Times New Roman" w:hAnsi="Times New Roman" w:cs="Times New Roman"/>
          <w:sz w:val="24"/>
          <w:szCs w:val="24"/>
        </w:rPr>
        <w:t xml:space="preserve">when such source undertakes a major modification.  </w:t>
      </w:r>
    </w:p>
    <w:p w:rsidR="00CF4BFD" w:rsidRPr="008515E8" w:rsidRDefault="00CF4BFD" w:rsidP="00677475">
      <w:pPr>
        <w:autoSpaceDE w:val="0"/>
        <w:autoSpaceDN w:val="0"/>
        <w:adjustRightInd w:val="0"/>
        <w:spacing w:after="0" w:line="240" w:lineRule="auto"/>
        <w:rPr>
          <w:rFonts w:ascii="Times New Roman" w:hAnsi="Times New Roman" w:cs="Times New Roman"/>
          <w:sz w:val="24"/>
          <w:szCs w:val="24"/>
        </w:rPr>
      </w:pPr>
      <w:r w:rsidRPr="008515E8">
        <w:rPr>
          <w:rFonts w:ascii="Times New Roman" w:hAnsi="Times New Roman" w:cs="Times New Roman"/>
          <w:sz w:val="24"/>
          <w:szCs w:val="24"/>
        </w:rPr>
        <w:t>(7) Subject to the re</w:t>
      </w:r>
      <w:r>
        <w:rPr>
          <w:rFonts w:ascii="Times New Roman" w:hAnsi="Times New Roman" w:cs="Times New Roman"/>
          <w:sz w:val="24"/>
          <w:szCs w:val="24"/>
        </w:rPr>
        <w:t>quirements in this d</w:t>
      </w:r>
      <w:r w:rsidRPr="008515E8">
        <w:rPr>
          <w:rFonts w:ascii="Times New Roman" w:hAnsi="Times New Roman" w:cs="Times New Roman"/>
          <w:sz w:val="24"/>
          <w:szCs w:val="24"/>
        </w:rPr>
        <w:t xml:space="preserve">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w:t>
      </w:r>
      <w:r>
        <w:rPr>
          <w:rFonts w:ascii="Times New Roman" w:hAnsi="Times New Roman" w:cs="Times New Roman"/>
          <w:sz w:val="24"/>
          <w:szCs w:val="24"/>
        </w:rPr>
        <w:t>d</w:t>
      </w:r>
      <w:r w:rsidRPr="008515E8">
        <w:rPr>
          <w:rFonts w:ascii="Times New Roman" w:hAnsi="Times New Roman" w:cs="Times New Roman"/>
          <w:sz w:val="24"/>
          <w:szCs w:val="24"/>
        </w:rPr>
        <w:t>ivision pertaining to the Major New Source Review program shall be used by the Regional Agency to implement its permitting program until the Regional Agency adopts superseding rules which are at least as restrictive as state rules.</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w:t>
      </w:r>
      <w:r w:rsidRPr="00526910">
        <w:rPr>
          <w:rFonts w:ascii="Times New Roman" w:eastAsia="Times New Roman" w:hAnsi="Times New Roman" w:cs="Times New Roman"/>
          <w:b/>
          <w:bCs/>
          <w:sz w:val="24"/>
          <w:szCs w:val="24"/>
        </w:rPr>
        <w:t>NOTE:</w:t>
      </w:r>
      <w:r w:rsidRPr="00526910">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Stat. Auth.: ORS 468.020</w:t>
      </w:r>
      <w:r w:rsidRPr="00526910">
        <w:rPr>
          <w:rFonts w:ascii="Times New Roman" w:eastAsia="Times New Roman" w:hAnsi="Times New Roman" w:cs="Times New Roman"/>
          <w:sz w:val="24"/>
          <w:szCs w:val="24"/>
        </w:rPr>
        <w:br/>
        <w:t>Stats. Implemented: ORS 468A.025</w:t>
      </w:r>
      <w:r w:rsidRPr="00526910">
        <w:rPr>
          <w:rFonts w:ascii="Times New Roman" w:eastAsia="Times New Roman" w:hAnsi="Times New Roman" w:cs="Times New Roman"/>
          <w:sz w:val="24"/>
          <w:szCs w:val="24"/>
        </w:rPr>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f.&amp; cert. ef. 4-14-04</w:t>
      </w:r>
    </w:p>
    <w:p w:rsidR="00677475" w:rsidRPr="00526910" w:rsidRDefault="00677475" w:rsidP="00677475">
      <w:pPr>
        <w:spacing w:after="0" w:line="240" w:lineRule="auto"/>
        <w:rPr>
          <w:rFonts w:ascii="Times New Roman" w:eastAsia="Times New Roman" w:hAnsi="Times New Roman" w:cs="Times New Roman"/>
          <w:sz w:val="24"/>
          <w:szCs w:val="24"/>
        </w:rPr>
      </w:pP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 xml:space="preserve">340-224-0050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lastRenderedPageBreak/>
        <w:t>Requirements for Sources in Nonattainment Areas</w:t>
      </w:r>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sidRPr="00D707E6">
        <w:rPr>
          <w:rFonts w:ascii="Times New Roman" w:eastAsia="Times New Roman" w:hAnsi="Times New Roman" w:cs="Times New Roman"/>
          <w:sz w:val="24"/>
          <w:szCs w:val="24"/>
        </w:rPr>
        <w:t xml:space="preserve">Within a designated nonattainment area, proposed major sources and major modifications </w:t>
      </w:r>
      <w:r>
        <w:rPr>
          <w:rFonts w:ascii="Times New Roman" w:eastAsia="Times New Roman" w:hAnsi="Times New Roman" w:cs="Times New Roman"/>
          <w:sz w:val="24"/>
          <w:szCs w:val="24"/>
        </w:rPr>
        <w:t xml:space="preserve">of </w:t>
      </w:r>
      <w:r w:rsidRPr="00D707E6">
        <w:rPr>
          <w:rFonts w:ascii="Times New Roman" w:eastAsia="Times New Roman" w:hAnsi="Times New Roman" w:cs="Times New Roman"/>
          <w:sz w:val="24"/>
          <w:szCs w:val="24"/>
        </w:rPr>
        <w:t>a nonattainment pollutant</w:t>
      </w:r>
      <w:r>
        <w:rPr>
          <w:rFonts w:ascii="Times New Roman" w:eastAsia="Times New Roman" w:hAnsi="Times New Roman" w:cs="Times New Roman"/>
          <w:sz w:val="24"/>
          <w:szCs w:val="24"/>
        </w:rPr>
        <w:t>,</w:t>
      </w:r>
      <w:r w:rsidRPr="00D707E6">
        <w:rPr>
          <w:rFonts w:ascii="Times New Roman" w:eastAsia="Times New Roman" w:hAnsi="Times New Roman" w:cs="Times New Roman"/>
          <w:sz w:val="24"/>
          <w:szCs w:val="24"/>
        </w:rPr>
        <w:t xml:space="preserve"> including VOC or NOx in a designated </w:t>
      </w:r>
      <w:r>
        <w:rPr>
          <w:rFonts w:ascii="Times New Roman" w:eastAsia="Times New Roman" w:hAnsi="Times New Roman" w:cs="Times New Roman"/>
          <w:sz w:val="24"/>
          <w:szCs w:val="24"/>
        </w:rPr>
        <w:t>o</w:t>
      </w:r>
      <w:r w:rsidRPr="00D707E6">
        <w:rPr>
          <w:rFonts w:ascii="Times New Roman" w:eastAsia="Times New Roman" w:hAnsi="Times New Roman" w:cs="Times New Roman"/>
          <w:sz w:val="24"/>
          <w:szCs w:val="24"/>
        </w:rPr>
        <w:t xml:space="preserve">zone </w:t>
      </w:r>
      <w:r>
        <w:rPr>
          <w:rFonts w:ascii="Times New Roman" w:eastAsia="Times New Roman" w:hAnsi="Times New Roman" w:cs="Times New Roman"/>
          <w:sz w:val="24"/>
          <w:szCs w:val="24"/>
        </w:rPr>
        <w:t>n</w:t>
      </w:r>
      <w:r w:rsidRPr="00D707E6">
        <w:rPr>
          <w:rFonts w:ascii="Times New Roman" w:eastAsia="Times New Roman" w:hAnsi="Times New Roman" w:cs="Times New Roman"/>
          <w:sz w:val="24"/>
          <w:szCs w:val="24"/>
        </w:rPr>
        <w:t xml:space="preserve">onattainment </w:t>
      </w:r>
      <w:r>
        <w:rPr>
          <w:rFonts w:ascii="Times New Roman" w:eastAsia="Times New Roman" w:hAnsi="Times New Roman" w:cs="Times New Roman"/>
          <w:sz w:val="24"/>
          <w:szCs w:val="24"/>
        </w:rPr>
        <w:t>a</w:t>
      </w:r>
      <w:r w:rsidRPr="00D707E6">
        <w:rPr>
          <w:rFonts w:ascii="Times New Roman" w:eastAsia="Times New Roman" w:hAnsi="Times New Roman" w:cs="Times New Roman"/>
          <w:sz w:val="24"/>
          <w:szCs w:val="24"/>
        </w:rPr>
        <w:t>rea or SO2 or NOx in a designated PM2.5 nonattainment area, must meet the requirements listed below:</w:t>
      </w:r>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(1) Lowest Achievable Emission Rate (LAER). The owner or operator must </w:t>
      </w:r>
      <w:r>
        <w:rPr>
          <w:rFonts w:ascii="Times New Roman" w:eastAsia="Times New Roman" w:hAnsi="Times New Roman" w:cs="Times New Roman"/>
          <w:sz w:val="24"/>
          <w:szCs w:val="24"/>
        </w:rPr>
        <w:t>apply</w:t>
      </w:r>
      <w:r w:rsidRPr="00526910">
        <w:rPr>
          <w:rFonts w:ascii="Times New Roman" w:eastAsia="Times New Roman" w:hAnsi="Times New Roman" w:cs="Times New Roman"/>
          <w:sz w:val="24"/>
          <w:szCs w:val="24"/>
        </w:rPr>
        <w:t xml:space="preserve"> LAER for each nonattainment pollutant </w:t>
      </w:r>
      <w:r>
        <w:rPr>
          <w:rFonts w:ascii="Times New Roman" w:eastAsia="Times New Roman" w:hAnsi="Times New Roman" w:cs="Times New Roman"/>
          <w:sz w:val="24"/>
          <w:szCs w:val="24"/>
        </w:rPr>
        <w:t xml:space="preserve">or precursor(s) </w:t>
      </w:r>
      <w:r w:rsidRPr="00526910">
        <w:rPr>
          <w:rFonts w:ascii="Times New Roman" w:eastAsia="Times New Roman" w:hAnsi="Times New Roman" w:cs="Times New Roman"/>
          <w:sz w:val="24"/>
          <w:szCs w:val="24"/>
        </w:rPr>
        <w:t xml:space="preserve">emitted at or above the significant emission rate (SER). </w:t>
      </w:r>
      <w:r>
        <w:rPr>
          <w:rFonts w:ascii="Times New Roman" w:hAnsi="Times New Roman" w:cs="Times New Roman"/>
          <w:sz w:val="24"/>
          <w:szCs w:val="24"/>
        </w:rPr>
        <w:t>LAER</w:t>
      </w:r>
      <w:r w:rsidRPr="005547D0">
        <w:rPr>
          <w:rFonts w:ascii="Times New Roman" w:hAnsi="Times New Roman" w:cs="Times New Roman"/>
          <w:sz w:val="24"/>
          <w:szCs w:val="24"/>
        </w:rPr>
        <w:t xml:space="preserve"> appl</w:t>
      </w:r>
      <w:r>
        <w:rPr>
          <w:rFonts w:ascii="Times New Roman" w:hAnsi="Times New Roman" w:cs="Times New Roman"/>
          <w:sz w:val="24"/>
          <w:szCs w:val="24"/>
        </w:rPr>
        <w:t>ies</w:t>
      </w:r>
      <w:r w:rsidRPr="005547D0">
        <w:rPr>
          <w:rFonts w:ascii="Times New Roman" w:hAnsi="Times New Roman" w:cs="Times New Roman"/>
          <w:sz w:val="24"/>
          <w:szCs w:val="24"/>
        </w:rPr>
        <w:t xml:space="preserve"> </w:t>
      </w:r>
      <w:r>
        <w:rPr>
          <w:rFonts w:ascii="Times New Roman" w:hAnsi="Times New Roman" w:cs="Times New Roman"/>
          <w:sz w:val="24"/>
          <w:szCs w:val="24"/>
        </w:rPr>
        <w:t xml:space="preserve">separately </w:t>
      </w:r>
      <w:r w:rsidRPr="005547D0">
        <w:rPr>
          <w:rFonts w:ascii="Times New Roman" w:hAnsi="Times New Roman" w:cs="Times New Roman"/>
          <w:sz w:val="24"/>
          <w:szCs w:val="24"/>
        </w:rPr>
        <w:t xml:space="preserve">to </w:t>
      </w:r>
      <w:r>
        <w:rPr>
          <w:rFonts w:ascii="Times New Roman" w:hAnsi="Times New Roman" w:cs="Times New Roman"/>
          <w:sz w:val="24"/>
          <w:szCs w:val="24"/>
        </w:rPr>
        <w:t xml:space="preserve">the nonattainment pollutant or precursor(s) </w:t>
      </w:r>
      <w:r w:rsidRPr="005547D0">
        <w:rPr>
          <w:rFonts w:ascii="Times New Roman" w:hAnsi="Times New Roman" w:cs="Times New Roman"/>
          <w:sz w:val="24"/>
          <w:szCs w:val="24"/>
        </w:rPr>
        <w:t xml:space="preserve">if emitted at </w:t>
      </w:r>
      <w:r>
        <w:rPr>
          <w:rFonts w:ascii="Times New Roman" w:hAnsi="Times New Roman" w:cs="Times New Roman"/>
          <w:sz w:val="24"/>
          <w:szCs w:val="24"/>
        </w:rPr>
        <w:t xml:space="preserve">or above </w:t>
      </w:r>
      <w:r w:rsidRPr="005547D0">
        <w:rPr>
          <w:rFonts w:ascii="Times New Roman" w:hAnsi="Times New Roman" w:cs="Times New Roman"/>
          <w:sz w:val="24"/>
          <w:szCs w:val="24"/>
        </w:rPr>
        <w:t>a SER over the netting basis.</w:t>
      </w:r>
      <w:r>
        <w:t xml:space="preserve">  </w:t>
      </w:r>
    </w:p>
    <w:p w:rsidR="00CF4BFD"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(a) For a major modification, the requirement for LAER applies to</w:t>
      </w:r>
      <w:r w:rsidRPr="005F42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following: </w:t>
      </w:r>
    </w:p>
    <w:p w:rsidR="00CF4BFD" w:rsidRPr="00526910" w:rsidRDefault="00CF4BFD" w:rsidP="006774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26910">
        <w:rPr>
          <w:rFonts w:ascii="Times New Roman" w:eastAsia="Times New Roman" w:hAnsi="Times New Roman" w:cs="Times New Roman"/>
          <w:sz w:val="24"/>
          <w:szCs w:val="24"/>
        </w:rPr>
        <w:t xml:space="preserve">A) Each emissions unit </w:t>
      </w:r>
      <w:r>
        <w:rPr>
          <w:rFonts w:ascii="Times New Roman" w:eastAsia="Times New Roman" w:hAnsi="Times New Roman" w:cs="Times New Roman"/>
          <w:sz w:val="24"/>
          <w:szCs w:val="24"/>
        </w:rPr>
        <w:t xml:space="preserve">that emits the nonattainment pollutant or precursor(s) and is not included in the most recent netting basis established for that pollutant; and </w:t>
      </w:r>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For phased construction projects, the LAER determination must be reviewed at the latest reasonable time before commencing construction of each independent phase.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When determining LAER for a change that was made at a source before the current NSR application, the Department will consider technical feasibility of retrofitting required controls provided: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change was made in compliance with NSR requirements in effect when the change was made, and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No limit will be relaxed that was previously relied on to avoid NSR. </w:t>
      </w:r>
    </w:p>
    <w:p w:rsidR="00CF4BFD" w:rsidRPr="00526910" w:rsidRDefault="00CF4BFD" w:rsidP="00677475">
      <w:pPr>
        <w:spacing w:after="0" w:line="240" w:lineRule="auto"/>
        <w:rPr>
          <w:rFonts w:ascii="Times New Roman" w:eastAsia="Times New Roman" w:hAnsi="Times New Roman" w:cs="Times New Roman"/>
          <w:sz w:val="24"/>
          <w:szCs w:val="24"/>
        </w:rPr>
      </w:pPr>
      <w:r w:rsidRPr="005F4204">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M</w:t>
      </w:r>
      <w:r w:rsidRPr="005F4204">
        <w:rPr>
          <w:rFonts w:ascii="Times New Roman" w:eastAsia="Times New Roman" w:hAnsi="Times New Roman" w:cs="Times New Roman"/>
          <w:sz w:val="24"/>
          <w:szCs w:val="24"/>
        </w:rPr>
        <w:t xml:space="preserve">odifications </w:t>
      </w:r>
      <w:r>
        <w:rPr>
          <w:rFonts w:ascii="Times New Roman" w:eastAsia="Times New Roman" w:hAnsi="Times New Roman" w:cs="Times New Roman"/>
          <w:sz w:val="24"/>
          <w:szCs w:val="24"/>
        </w:rPr>
        <w:t xml:space="preserve">to individual emissions units that increase the </w:t>
      </w:r>
      <w:r w:rsidRPr="005F4204">
        <w:rPr>
          <w:rFonts w:ascii="Times New Roman" w:eastAsia="Times New Roman" w:hAnsi="Times New Roman" w:cs="Times New Roman"/>
          <w:sz w:val="24"/>
          <w:szCs w:val="24"/>
        </w:rPr>
        <w:t xml:space="preserve">potential to emit less than 10 percent of the SER are exempt from </w:t>
      </w:r>
      <w:r w:rsidRPr="000D03F7">
        <w:rPr>
          <w:rFonts w:ascii="Times New Roman" w:eastAsia="Times New Roman" w:hAnsi="Times New Roman" w:cs="Times New Roman"/>
          <w:sz w:val="24"/>
          <w:szCs w:val="24"/>
        </w:rPr>
        <w:t>this section</w:t>
      </w:r>
      <w:r w:rsidRPr="005F4204">
        <w:rPr>
          <w:rFonts w:ascii="Times New Roman" w:eastAsia="Times New Roman" w:hAnsi="Times New Roman" w:cs="Times New Roman"/>
          <w:sz w:val="24"/>
          <w:szCs w:val="24"/>
        </w:rPr>
        <w:t xml:space="preserve"> unless:</w:t>
      </w:r>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They are not constructed yet;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They are part of a discrete, identifiable, larger project that was constructed within the previous 5 years and is equal to or greater than 10 percent of the SER; or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T</w:t>
      </w:r>
      <w:r w:rsidRPr="00526910">
        <w:rPr>
          <w:rFonts w:ascii="Times New Roman" w:eastAsia="Times New Roman" w:hAnsi="Times New Roman" w:cs="Times New Roman"/>
          <w:sz w:val="24"/>
          <w:szCs w:val="24"/>
        </w:rPr>
        <w:t xml:space="preserve">hey were constructed without, or in violation of, the Department's approval.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(2) Offsets and Net Air Quality Benefit. The owner or operator must obtain offsets and demonstrate that a net air quality benefit will be achieved as specified in OAR 340-225-0090.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(3) Additional Requirements: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owner or operator of a source that emits or has the potential to emit 100 tons per year </w:t>
      </w:r>
      <w:r>
        <w:rPr>
          <w:rFonts w:ascii="Times New Roman" w:eastAsia="Times New Roman" w:hAnsi="Times New Roman" w:cs="Times New Roman"/>
          <w:sz w:val="24"/>
          <w:szCs w:val="24"/>
        </w:rPr>
        <w:t xml:space="preserve">or more </w:t>
      </w:r>
      <w:r w:rsidRPr="00526910">
        <w:rPr>
          <w:rFonts w:ascii="Times New Roman" w:eastAsia="Times New Roman" w:hAnsi="Times New Roman" w:cs="Times New Roman"/>
          <w:sz w:val="24"/>
          <w:szCs w:val="24"/>
        </w:rPr>
        <w:t xml:space="preserve">of any regulated pollutant </w:t>
      </w:r>
      <w:r>
        <w:rPr>
          <w:rFonts w:ascii="Times New Roman" w:eastAsia="Times New Roman" w:hAnsi="Times New Roman" w:cs="Times New Roman"/>
          <w:sz w:val="24"/>
          <w:szCs w:val="24"/>
        </w:rPr>
        <w:t xml:space="preserve">subject to this division </w:t>
      </w:r>
      <w:r w:rsidRPr="00526910">
        <w:rPr>
          <w:rFonts w:ascii="Times New Roman" w:eastAsia="Times New Roman" w:hAnsi="Times New Roman" w:cs="Times New Roman"/>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The owner or operator of a source that emits or has the potential to emit 100 tons per year </w:t>
      </w:r>
      <w:r>
        <w:rPr>
          <w:rFonts w:ascii="Times New Roman" w:eastAsia="Times New Roman" w:hAnsi="Times New Roman" w:cs="Times New Roman"/>
          <w:sz w:val="24"/>
          <w:szCs w:val="24"/>
        </w:rPr>
        <w:t xml:space="preserve">or more </w:t>
      </w:r>
      <w:r w:rsidRPr="00526910">
        <w:rPr>
          <w:rFonts w:ascii="Times New Roman" w:eastAsia="Times New Roman" w:hAnsi="Times New Roman" w:cs="Times New Roman"/>
          <w:sz w:val="24"/>
          <w:szCs w:val="24"/>
        </w:rPr>
        <w:t xml:space="preserve">of any regulated pollutant </w:t>
      </w:r>
      <w:r>
        <w:rPr>
          <w:rFonts w:ascii="Times New Roman" w:eastAsia="Times New Roman" w:hAnsi="Times New Roman" w:cs="Times New Roman"/>
          <w:sz w:val="24"/>
          <w:szCs w:val="24"/>
        </w:rPr>
        <w:t xml:space="preserve">subject to this division </w:t>
      </w:r>
      <w:r w:rsidRPr="00526910">
        <w:rPr>
          <w:rFonts w:ascii="Times New Roman" w:eastAsia="Times New Roman" w:hAnsi="Times New Roman" w:cs="Times New Roman"/>
          <w:sz w:val="24"/>
          <w:szCs w:val="24"/>
        </w:rPr>
        <w:t xml:space="preserve">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The owner or operator of a federal major source must meet the visibility impact requirements in OAR 340-225-0070.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lastRenderedPageBreak/>
        <w:t>NOTE:</w:t>
      </w:r>
      <w:r w:rsidRPr="00526910">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color w:val="000000"/>
          <w:sz w:val="24"/>
          <w:szCs w:val="24"/>
        </w:rPr>
        <w:t>Stat. Auth.: ORS 468.020</w:t>
      </w:r>
      <w:r w:rsidRPr="00526910">
        <w:rPr>
          <w:rFonts w:ascii="Times New Roman" w:eastAsia="Times New Roman" w:hAnsi="Times New Roman" w:cs="Times New Roman"/>
          <w:color w:val="000000"/>
          <w:sz w:val="24"/>
          <w:szCs w:val="24"/>
        </w:rPr>
        <w:br/>
      </w:r>
      <w:r w:rsidRPr="00526910">
        <w:rPr>
          <w:rFonts w:ascii="Times New Roman" w:eastAsia="Times New Roman" w:hAnsi="Times New Roman" w:cs="Times New Roman"/>
          <w:sz w:val="24"/>
          <w:szCs w:val="24"/>
        </w:rPr>
        <w:t xml:space="preserve">Stats. Implemented: ORS 468A.025 </w:t>
      </w:r>
      <w:r w:rsidRPr="00526910">
        <w:rPr>
          <w:rFonts w:ascii="Times New Roman" w:eastAsia="Times New Roman" w:hAnsi="Times New Roman" w:cs="Times New Roman"/>
          <w:sz w:val="24"/>
          <w:szCs w:val="24"/>
        </w:rPr>
        <w:br/>
        <w:t xml:space="preserve">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w:t>
      </w:r>
    </w:p>
    <w:p w:rsidR="00677475" w:rsidRPr="00526910" w:rsidRDefault="00677475" w:rsidP="00677475">
      <w:pPr>
        <w:spacing w:after="0" w:line="240" w:lineRule="auto"/>
        <w:rPr>
          <w:rFonts w:ascii="Times New Roman" w:eastAsia="Times New Roman" w:hAnsi="Times New Roman" w:cs="Times New Roman"/>
          <w:sz w:val="24"/>
          <w:szCs w:val="24"/>
        </w:rPr>
      </w:pP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 xml:space="preserve">340-224-0060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Requirements for Sources in Maintenance Areas</w:t>
      </w:r>
      <w:r w:rsidRPr="00526910">
        <w:rPr>
          <w:rFonts w:ascii="Times New Roman" w:eastAsia="Times New Roman" w:hAnsi="Times New Roman" w:cs="Times New Roman"/>
          <w:sz w:val="24"/>
          <w:szCs w:val="24"/>
        </w:rPr>
        <w:t xml:space="preserve"> </w:t>
      </w:r>
    </w:p>
    <w:p w:rsidR="00CF4BFD" w:rsidRDefault="00CF4BFD" w:rsidP="006774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Within a designated maintenance area, p</w:t>
      </w:r>
      <w:r w:rsidRPr="00526910">
        <w:rPr>
          <w:rFonts w:ascii="Times New Roman" w:eastAsia="Times New Roman" w:hAnsi="Times New Roman" w:cs="Times New Roman"/>
          <w:sz w:val="24"/>
          <w:szCs w:val="24"/>
        </w:rPr>
        <w:t xml:space="preserve">roposed major sources and major modifications </w:t>
      </w:r>
      <w:r>
        <w:rPr>
          <w:rFonts w:ascii="Times New Roman" w:eastAsia="Times New Roman" w:hAnsi="Times New Roman" w:cs="Times New Roman"/>
          <w:sz w:val="24"/>
          <w:szCs w:val="24"/>
        </w:rPr>
        <w:t>of</w:t>
      </w:r>
      <w:r w:rsidRPr="00526910">
        <w:rPr>
          <w:rFonts w:ascii="Times New Roman" w:eastAsia="Times New Roman" w:hAnsi="Times New Roman" w:cs="Times New Roman"/>
          <w:sz w:val="24"/>
          <w:szCs w:val="24"/>
        </w:rPr>
        <w:t xml:space="preserve"> a maintenance pollutant</w:t>
      </w:r>
      <w:r>
        <w:rPr>
          <w:rFonts w:ascii="Times New Roman" w:eastAsia="Times New Roman" w:hAnsi="Times New Roman" w:cs="Times New Roman"/>
          <w:sz w:val="24"/>
          <w:szCs w:val="24"/>
        </w:rPr>
        <w:t>,</w:t>
      </w:r>
      <w:r w:rsidRPr="00526910">
        <w:rPr>
          <w:rFonts w:ascii="Times New Roman" w:eastAsia="Times New Roman" w:hAnsi="Times New Roman" w:cs="Times New Roman"/>
          <w:sz w:val="24"/>
          <w:szCs w:val="24"/>
        </w:rPr>
        <w:t xml:space="preserve"> including VOC or NOx in a designated ozone maintenance area</w:t>
      </w:r>
      <w:r>
        <w:rPr>
          <w:rFonts w:ascii="Times New Roman" w:eastAsia="Times New Roman" w:hAnsi="Times New Roman" w:cs="Times New Roman"/>
          <w:sz w:val="24"/>
          <w:szCs w:val="24"/>
        </w:rPr>
        <w:t xml:space="preserve"> or SO2 or NOx in a designated PM2.5 maintenance area</w:t>
      </w:r>
      <w:r w:rsidRPr="00526910">
        <w:rPr>
          <w:rFonts w:ascii="Times New Roman" w:eastAsia="Times New Roman" w:hAnsi="Times New Roman" w:cs="Times New Roman"/>
          <w:sz w:val="24"/>
          <w:szCs w:val="24"/>
        </w:rPr>
        <w:t xml:space="preserve">, must meet the requirements listed below: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(1) Best Available Control Technology (BACT). Except as provided in section (5) and (6) of this rule, the owner or operator must apply BACT for each maintenance pollutant </w:t>
      </w:r>
      <w:r>
        <w:rPr>
          <w:rFonts w:ascii="Times New Roman" w:eastAsia="Times New Roman" w:hAnsi="Times New Roman" w:cs="Times New Roman"/>
          <w:sz w:val="24"/>
          <w:szCs w:val="24"/>
        </w:rPr>
        <w:t xml:space="preserve">or precursor(s) </w:t>
      </w:r>
      <w:r w:rsidRPr="00526910">
        <w:rPr>
          <w:rFonts w:ascii="Times New Roman" w:eastAsia="Times New Roman" w:hAnsi="Times New Roman" w:cs="Times New Roman"/>
          <w:sz w:val="24"/>
          <w:szCs w:val="24"/>
        </w:rPr>
        <w:t xml:space="preserve">emitted at </w:t>
      </w:r>
      <w:r>
        <w:rPr>
          <w:rFonts w:ascii="Times New Roman" w:eastAsia="Times New Roman" w:hAnsi="Times New Roman" w:cs="Times New Roman"/>
          <w:sz w:val="24"/>
          <w:szCs w:val="24"/>
        </w:rPr>
        <w:t xml:space="preserve">or above </w:t>
      </w:r>
      <w:r w:rsidRPr="0052691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significant emission rate (</w:t>
      </w:r>
      <w:r w:rsidRPr="00526910">
        <w:rPr>
          <w:rFonts w:ascii="Times New Roman" w:eastAsia="Times New Roman" w:hAnsi="Times New Roman" w:cs="Times New Roman"/>
          <w:sz w:val="24"/>
          <w:szCs w:val="24"/>
        </w:rPr>
        <w:t>SER</w:t>
      </w:r>
      <w:r>
        <w:rPr>
          <w:rFonts w:ascii="Times New Roman" w:eastAsia="Times New Roman" w:hAnsi="Times New Roman" w:cs="Times New Roman"/>
          <w:sz w:val="24"/>
          <w:szCs w:val="24"/>
        </w:rPr>
        <w:t>)</w:t>
      </w:r>
      <w:r w:rsidRPr="00526910">
        <w:rPr>
          <w:rFonts w:ascii="Times New Roman" w:eastAsia="Times New Roman" w:hAnsi="Times New Roman" w:cs="Times New Roman"/>
          <w:sz w:val="24"/>
          <w:szCs w:val="24"/>
        </w:rPr>
        <w:t xml:space="preserve">. </w:t>
      </w:r>
      <w:r w:rsidRPr="005547D0">
        <w:rPr>
          <w:rFonts w:ascii="Times New Roman" w:hAnsi="Times New Roman" w:cs="Times New Roman"/>
          <w:sz w:val="24"/>
          <w:szCs w:val="24"/>
        </w:rPr>
        <w:t>BACT appl</w:t>
      </w:r>
      <w:r>
        <w:rPr>
          <w:rFonts w:ascii="Times New Roman" w:hAnsi="Times New Roman" w:cs="Times New Roman"/>
          <w:sz w:val="24"/>
          <w:szCs w:val="24"/>
        </w:rPr>
        <w:t>ies</w:t>
      </w:r>
      <w:r w:rsidRPr="005547D0">
        <w:rPr>
          <w:rFonts w:ascii="Times New Roman" w:hAnsi="Times New Roman" w:cs="Times New Roman"/>
          <w:sz w:val="24"/>
          <w:szCs w:val="24"/>
        </w:rPr>
        <w:t xml:space="preserve"> </w:t>
      </w:r>
      <w:r>
        <w:rPr>
          <w:rFonts w:ascii="Times New Roman" w:hAnsi="Times New Roman" w:cs="Times New Roman"/>
          <w:sz w:val="24"/>
          <w:szCs w:val="24"/>
        </w:rPr>
        <w:t xml:space="preserve">separately </w:t>
      </w:r>
      <w:r w:rsidRPr="005547D0">
        <w:rPr>
          <w:rFonts w:ascii="Times New Roman" w:hAnsi="Times New Roman" w:cs="Times New Roman"/>
          <w:sz w:val="24"/>
          <w:szCs w:val="24"/>
        </w:rPr>
        <w:t xml:space="preserve">to </w:t>
      </w:r>
      <w:r>
        <w:rPr>
          <w:rFonts w:ascii="Times New Roman" w:hAnsi="Times New Roman" w:cs="Times New Roman"/>
          <w:sz w:val="24"/>
          <w:szCs w:val="24"/>
        </w:rPr>
        <w:t xml:space="preserve">the maintenance pollutant or precursor(s) </w:t>
      </w:r>
      <w:r w:rsidRPr="005547D0">
        <w:rPr>
          <w:rFonts w:ascii="Times New Roman" w:hAnsi="Times New Roman" w:cs="Times New Roman"/>
          <w:sz w:val="24"/>
          <w:szCs w:val="24"/>
        </w:rPr>
        <w:t xml:space="preserve">if emitted at </w:t>
      </w:r>
      <w:r>
        <w:rPr>
          <w:rFonts w:ascii="Times New Roman" w:hAnsi="Times New Roman" w:cs="Times New Roman"/>
          <w:sz w:val="24"/>
          <w:szCs w:val="24"/>
        </w:rPr>
        <w:t xml:space="preserve">or above </w:t>
      </w:r>
      <w:r w:rsidRPr="005547D0">
        <w:rPr>
          <w:rFonts w:ascii="Times New Roman" w:hAnsi="Times New Roman" w:cs="Times New Roman"/>
          <w:sz w:val="24"/>
          <w:szCs w:val="24"/>
        </w:rPr>
        <w:t>a SER over the netting basis.</w:t>
      </w:r>
      <w: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(a) For a major modification, the requirement for BACT applies to</w:t>
      </w:r>
      <w:r>
        <w:rPr>
          <w:rFonts w:ascii="Times New Roman" w:eastAsia="Times New Roman" w:hAnsi="Times New Roman" w:cs="Times New Roman"/>
          <w:sz w:val="24"/>
          <w:szCs w:val="24"/>
        </w:rPr>
        <w:t xml:space="preserve"> the following</w:t>
      </w:r>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Each emissions unit that emits the </w:t>
      </w:r>
      <w:r>
        <w:rPr>
          <w:rFonts w:ascii="Times New Roman" w:eastAsia="Times New Roman" w:hAnsi="Times New Roman" w:cs="Times New Roman"/>
          <w:sz w:val="24"/>
          <w:szCs w:val="24"/>
        </w:rPr>
        <w:t xml:space="preserve">maintenance </w:t>
      </w:r>
      <w:r w:rsidRPr="00526910">
        <w:rPr>
          <w:rFonts w:ascii="Times New Roman" w:eastAsia="Times New Roman" w:hAnsi="Times New Roman" w:cs="Times New Roman"/>
          <w:sz w:val="24"/>
          <w:szCs w:val="24"/>
        </w:rPr>
        <w:t xml:space="preserve">pollutant </w:t>
      </w:r>
      <w:r>
        <w:rPr>
          <w:rFonts w:ascii="Times New Roman" w:eastAsia="Times New Roman" w:hAnsi="Times New Roman" w:cs="Times New Roman"/>
          <w:sz w:val="24"/>
          <w:szCs w:val="24"/>
        </w:rPr>
        <w:t xml:space="preserve">or precursor(s) and is not included in the </w:t>
      </w:r>
      <w:r w:rsidRPr="00526910">
        <w:rPr>
          <w:rFonts w:ascii="Times New Roman" w:eastAsia="Times New Roman" w:hAnsi="Times New Roman" w:cs="Times New Roman"/>
          <w:sz w:val="24"/>
          <w:szCs w:val="24"/>
        </w:rPr>
        <w:t xml:space="preserve">most recent </w:t>
      </w:r>
      <w:r>
        <w:rPr>
          <w:rFonts w:ascii="Times New Roman" w:eastAsia="Times New Roman" w:hAnsi="Times New Roman" w:cs="Times New Roman"/>
          <w:sz w:val="24"/>
          <w:szCs w:val="24"/>
        </w:rPr>
        <w:t>netting basis established for that pollutant</w:t>
      </w:r>
      <w:r w:rsidRPr="00526910">
        <w:rPr>
          <w:rFonts w:ascii="Times New Roman" w:eastAsia="Times New Roman" w:hAnsi="Times New Roman" w:cs="Times New Roman"/>
          <w:sz w:val="24"/>
          <w:szCs w:val="24"/>
        </w:rPr>
        <w:t xml:space="preserve">; and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Each  emissions unit that </w:t>
      </w:r>
      <w:r>
        <w:rPr>
          <w:rFonts w:ascii="Times New Roman" w:eastAsia="Times New Roman" w:hAnsi="Times New Roman" w:cs="Times New Roman"/>
          <w:sz w:val="24"/>
          <w:szCs w:val="24"/>
        </w:rPr>
        <w:t xml:space="preserve">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t>
      </w:r>
      <w:r w:rsidRPr="00526910">
        <w:rPr>
          <w:rFonts w:ascii="Times New Roman" w:eastAsia="Times New Roman" w:hAnsi="Times New Roman" w:cs="Times New Roman"/>
          <w:sz w:val="24"/>
          <w:szCs w:val="24"/>
        </w:rPr>
        <w:t xml:space="preserve">(b) For phased construction projects, the BACT determination must be reviewed at the latest reasonable time before commencement of construction of each independent phase.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When determining BACT for a change that was made at a source before the current NSR application, the technical and economic feasibility of retrofitting required controls may be considered, provided: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change was made in compliance with NSR requirements in effect when the change was made; and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No limit is being relaxed that was previously relied on to avoid NSR. </w:t>
      </w:r>
    </w:p>
    <w:p w:rsidR="00CF4BFD" w:rsidRPr="00526910" w:rsidRDefault="00CF4BFD" w:rsidP="00677475">
      <w:pPr>
        <w:spacing w:after="0" w:line="240" w:lineRule="auto"/>
        <w:rPr>
          <w:rFonts w:ascii="Times New Roman" w:eastAsia="Times New Roman" w:hAnsi="Times New Roman" w:cs="Times New Roman"/>
          <w:sz w:val="24"/>
          <w:szCs w:val="24"/>
        </w:rPr>
      </w:pPr>
      <w:r w:rsidRPr="005F4204">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M</w:t>
      </w:r>
      <w:r w:rsidRPr="005F4204">
        <w:rPr>
          <w:rFonts w:ascii="Times New Roman" w:eastAsia="Times New Roman" w:hAnsi="Times New Roman" w:cs="Times New Roman"/>
          <w:sz w:val="24"/>
          <w:szCs w:val="24"/>
        </w:rPr>
        <w:t xml:space="preserve">odifications </w:t>
      </w:r>
      <w:r>
        <w:rPr>
          <w:rFonts w:ascii="Times New Roman" w:eastAsia="Times New Roman" w:hAnsi="Times New Roman" w:cs="Times New Roman"/>
          <w:sz w:val="24"/>
          <w:szCs w:val="24"/>
        </w:rPr>
        <w:t xml:space="preserve">to individual emissions units that increase the </w:t>
      </w:r>
      <w:r w:rsidRPr="005F4204">
        <w:rPr>
          <w:rFonts w:ascii="Times New Roman" w:eastAsia="Times New Roman" w:hAnsi="Times New Roman" w:cs="Times New Roman"/>
          <w:sz w:val="24"/>
          <w:szCs w:val="24"/>
        </w:rPr>
        <w:t>potential to emit less than 10 percent of the significant emission rate are exempt from this section unless:</w:t>
      </w:r>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They are not constructed yet;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They are part of a discrete, identifiable larger project that was constructed within the previous 5 years and that is equal to or greater than 10 percent of the significant emission rate; or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They were constructed without, or in violation of, the Department's approval.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(2) Air Quality Protection: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lastRenderedPageBreak/>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An allocation from a growth allowance used to meet the requirements of this section is not subject to OAR 340-225-0090. Procedures for allocating the growth allowances for the Oregon portion of the Portland-Vancouver Interstate Maintenance Area for Ozone and the Portland Maintenance Area for Carbon Monoxide are contained in 340-242-0430 and 340-242-0440.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120 ug/m3 (24-hour average) or 40 ug/m3 (annual average) in the Grants Pass PM10 maintenance area;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140 ug/m3 (24-hour average) or 47 ug/m3 (annual average) in the Klamath Falls PM10 maintenance area; or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140 ug/m3 (24-hour average) or 45 ug/m3 (annual average) in the Lakeview PM10 maintenance area. In addition, a single source impact is limited to an increase of 5 ug/m3 (24-hour average) in the Lakeview PM10 maintenance area.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(3) The owner or operator of a source subject to this rule must provide an air quality analysis in accordance with OAR 340-225-0050(1) and (2), and 340-225-0060.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Pr="001C3D22">
        <w:rPr>
          <w:rFonts w:ascii="Times New Roman" w:eastAsia="Times New Roman" w:hAnsi="Times New Roman" w:cs="Times New Roman"/>
          <w:sz w:val="24"/>
          <w:szCs w:val="24"/>
        </w:rPr>
        <w:t>340-224-0070</w:t>
      </w:r>
      <w:r w:rsidRPr="00526910">
        <w:rPr>
          <w:rFonts w:ascii="Times New Roman" w:eastAsia="Times New Roman" w:hAnsi="Times New Roman" w:cs="Times New Roman"/>
          <w:sz w:val="24"/>
          <w:szCs w:val="24"/>
        </w:rPr>
        <w:t xml:space="preserve"> also apply to federal major sources.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(5)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requirement for BACT in section (1) of this rule is replaced by the requirement for LAER contained in OAR 340-224-0050(1).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An allocation from a growth allowance may not be used to meet the requirement for offsets in section (2) of this rule.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The exemption provided in subsection (2)(c) and (2)(d) of this rule for major sources or major modifications within a carbon monoxide or PM10 maintenance area no longer applies.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lastRenderedPageBreak/>
        <w:t xml:space="preserve">(6) Medford-Ashland AQMA: Proposed major sources and major modifications that would emit PM10 within the Medford-Ashland AQMA must meet the LAER emission control technology requirements in OAR 340-224-0050.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(7) Pending Redesignation Requests. This rule does not apply to a proposed major source or major modification for which a complete application to construct was submitted to the Department before the maintenance area was redesignated from nonattainment to attainment by EPA. Such a source is subject to OAR 340-224-0050.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NOTE:</w:t>
      </w:r>
      <w:r w:rsidRPr="00526910">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[Publications: Publications referenced are available from the agency.] </w:t>
      </w:r>
    </w:p>
    <w:p w:rsidR="00CF4BFD"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Stat. Auth.: ORS 468.020 </w:t>
      </w:r>
      <w:r w:rsidRPr="00526910">
        <w:rPr>
          <w:rFonts w:ascii="Times New Roman" w:eastAsia="Times New Roman" w:hAnsi="Times New Roman" w:cs="Times New Roman"/>
          <w:sz w:val="24"/>
          <w:szCs w:val="24"/>
        </w:rPr>
        <w:br/>
        <w:t xml:space="preserve">Stats. Implemented: ORS 468A.025 </w:t>
      </w:r>
      <w:r w:rsidRPr="00526910">
        <w:rPr>
          <w:rFonts w:ascii="Times New Roman" w:eastAsia="Times New Roman" w:hAnsi="Times New Roman" w:cs="Times New Roman"/>
          <w:sz w:val="24"/>
          <w:szCs w:val="24"/>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w:t>
      </w:r>
    </w:p>
    <w:p w:rsidR="00677475" w:rsidRPr="00526910" w:rsidRDefault="00677475" w:rsidP="00677475">
      <w:pPr>
        <w:spacing w:after="0" w:line="240" w:lineRule="auto"/>
        <w:rPr>
          <w:rFonts w:ascii="Times New Roman" w:eastAsia="Times New Roman" w:hAnsi="Times New Roman" w:cs="Times New Roman"/>
          <w:sz w:val="24"/>
          <w:szCs w:val="24"/>
        </w:rPr>
      </w:pP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 xml:space="preserve">340-224-0070 </w:t>
      </w:r>
    </w:p>
    <w:p w:rsidR="00CF4BFD"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b/>
          <w:bCs/>
          <w:sz w:val="24"/>
          <w:szCs w:val="24"/>
        </w:rPr>
        <w:t>Prevention of Significant Deterioration Requirements for Sources in Attainment or Unclassified Areas</w:t>
      </w:r>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sidRPr="00134DD4">
        <w:rPr>
          <w:rFonts w:ascii="Times New Roman" w:eastAsia="Times New Roman" w:hAnsi="Times New Roman" w:cs="Times New Roman"/>
          <w:sz w:val="24"/>
          <w:szCs w:val="24"/>
        </w:rPr>
        <w:t>Within a designated attainment or unclassified area, proposed federal major sources and major modifications at federal major sources for the pollutant(s) for which the area is designated attainment or unclassified,  must meet the requirements listed below:</w:t>
      </w:r>
      <w:r w:rsidRPr="00526910">
        <w:rPr>
          <w:rFonts w:ascii="Times New Roman" w:eastAsia="Times New Roman" w:hAnsi="Times New Roman" w:cs="Times New Roman"/>
          <w:sz w:val="24"/>
          <w:szCs w:val="24"/>
        </w:rPr>
        <w:t xml:space="preserve"> </w:t>
      </w:r>
    </w:p>
    <w:p w:rsidR="00CF4BFD"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(1) Best Available Control Technology (BACT). The owner or operator must apply BACT for each pollutant </w:t>
      </w:r>
      <w:r>
        <w:rPr>
          <w:rFonts w:ascii="Times New Roman" w:eastAsia="Times New Roman" w:hAnsi="Times New Roman" w:cs="Times New Roman"/>
          <w:sz w:val="24"/>
          <w:szCs w:val="24"/>
        </w:rPr>
        <w:t xml:space="preserve">or precursor(s) </w:t>
      </w:r>
      <w:r w:rsidRPr="00526910">
        <w:rPr>
          <w:rFonts w:ascii="Times New Roman" w:eastAsia="Times New Roman" w:hAnsi="Times New Roman" w:cs="Times New Roman"/>
          <w:sz w:val="24"/>
          <w:szCs w:val="24"/>
        </w:rPr>
        <w:t xml:space="preserve">emitted at </w:t>
      </w:r>
      <w:r>
        <w:rPr>
          <w:rFonts w:ascii="Times New Roman" w:eastAsia="Times New Roman" w:hAnsi="Times New Roman" w:cs="Times New Roman"/>
          <w:sz w:val="24"/>
          <w:szCs w:val="24"/>
        </w:rPr>
        <w:t xml:space="preserve">or above </w:t>
      </w:r>
      <w:r w:rsidRPr="00526910">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significant emission rate (</w:t>
      </w:r>
      <w:r w:rsidRPr="00526910">
        <w:rPr>
          <w:rFonts w:ascii="Times New Roman" w:eastAsia="Times New Roman" w:hAnsi="Times New Roman" w:cs="Times New Roman"/>
          <w:sz w:val="24"/>
          <w:szCs w:val="24"/>
        </w:rPr>
        <w:t>SER</w:t>
      </w:r>
      <w:r>
        <w:rPr>
          <w:rFonts w:ascii="Times New Roman" w:eastAsia="Times New Roman" w:hAnsi="Times New Roman" w:cs="Times New Roman"/>
          <w:sz w:val="24"/>
          <w:szCs w:val="24"/>
        </w:rPr>
        <w:t>)</w:t>
      </w:r>
      <w:r w:rsidRPr="00526910">
        <w:rPr>
          <w:rFonts w:ascii="Times New Roman" w:eastAsia="Times New Roman" w:hAnsi="Times New Roman" w:cs="Times New Roman"/>
          <w:sz w:val="24"/>
          <w:szCs w:val="24"/>
        </w:rPr>
        <w:t xml:space="preserve">. </w:t>
      </w:r>
      <w:r w:rsidRPr="005547D0">
        <w:rPr>
          <w:rFonts w:ascii="Times New Roman" w:hAnsi="Times New Roman" w:cs="Times New Roman"/>
          <w:sz w:val="24"/>
          <w:szCs w:val="24"/>
        </w:rPr>
        <w:t>BACT appl</w:t>
      </w:r>
      <w:r>
        <w:rPr>
          <w:rFonts w:ascii="Times New Roman" w:hAnsi="Times New Roman" w:cs="Times New Roman"/>
          <w:sz w:val="24"/>
          <w:szCs w:val="24"/>
        </w:rPr>
        <w:t>ies</w:t>
      </w:r>
      <w:r w:rsidRPr="005547D0">
        <w:rPr>
          <w:rFonts w:ascii="Times New Roman" w:hAnsi="Times New Roman" w:cs="Times New Roman"/>
          <w:sz w:val="24"/>
          <w:szCs w:val="24"/>
        </w:rPr>
        <w:t xml:space="preserve"> </w:t>
      </w:r>
      <w:r>
        <w:rPr>
          <w:rFonts w:ascii="Times New Roman" w:hAnsi="Times New Roman" w:cs="Times New Roman"/>
          <w:sz w:val="24"/>
          <w:szCs w:val="24"/>
        </w:rPr>
        <w:t xml:space="preserve">separately </w:t>
      </w:r>
      <w:r w:rsidRPr="005547D0">
        <w:rPr>
          <w:rFonts w:ascii="Times New Roman" w:hAnsi="Times New Roman" w:cs="Times New Roman"/>
          <w:sz w:val="24"/>
          <w:szCs w:val="24"/>
        </w:rPr>
        <w:t xml:space="preserve">to </w:t>
      </w:r>
      <w:r>
        <w:rPr>
          <w:rFonts w:ascii="Times New Roman" w:hAnsi="Times New Roman" w:cs="Times New Roman"/>
          <w:sz w:val="24"/>
          <w:szCs w:val="24"/>
        </w:rPr>
        <w:t xml:space="preserve">the pollutant or </w:t>
      </w:r>
      <w:r w:rsidRPr="005547D0">
        <w:rPr>
          <w:rFonts w:ascii="Times New Roman" w:hAnsi="Times New Roman" w:cs="Times New Roman"/>
          <w:sz w:val="24"/>
          <w:szCs w:val="24"/>
        </w:rPr>
        <w:t>precursor</w:t>
      </w:r>
      <w:r>
        <w:rPr>
          <w:rFonts w:ascii="Times New Roman" w:hAnsi="Times New Roman" w:cs="Times New Roman"/>
          <w:sz w:val="24"/>
          <w:szCs w:val="24"/>
        </w:rPr>
        <w:t xml:space="preserve">(s) </w:t>
      </w:r>
      <w:r w:rsidRPr="005547D0">
        <w:rPr>
          <w:rFonts w:ascii="Times New Roman" w:hAnsi="Times New Roman" w:cs="Times New Roman"/>
          <w:sz w:val="24"/>
          <w:szCs w:val="24"/>
        </w:rPr>
        <w:t>if emitted at</w:t>
      </w:r>
      <w:r>
        <w:rPr>
          <w:rFonts w:ascii="Times New Roman" w:hAnsi="Times New Roman" w:cs="Times New Roman"/>
          <w:sz w:val="24"/>
          <w:szCs w:val="24"/>
        </w:rPr>
        <w:t xml:space="preserve"> or above </w:t>
      </w:r>
      <w:r w:rsidRPr="005547D0">
        <w:rPr>
          <w:rFonts w:ascii="Times New Roman" w:hAnsi="Times New Roman" w:cs="Times New Roman"/>
          <w:sz w:val="24"/>
          <w:szCs w:val="24"/>
        </w:rPr>
        <w:t>a SER over the netting basis.</w:t>
      </w:r>
      <w:r>
        <w:t xml:space="preserve">  </w:t>
      </w:r>
      <w:r w:rsidRPr="00526910">
        <w:rPr>
          <w:rFonts w:ascii="Times New Roman" w:eastAsia="Times New Roman" w:hAnsi="Times New Roman" w:cs="Times New Roman"/>
          <w:sz w:val="24"/>
          <w:szCs w:val="24"/>
        </w:rPr>
        <w:t xml:space="preserve">In the Medford-Ashland AQMA, the owner or operator of any proposed new </w:t>
      </w:r>
      <w:r>
        <w:rPr>
          <w:rFonts w:ascii="Times New Roman" w:eastAsia="Times New Roman" w:hAnsi="Times New Roman" w:cs="Times New Roman"/>
          <w:sz w:val="24"/>
          <w:szCs w:val="24"/>
        </w:rPr>
        <w:t>f</w:t>
      </w:r>
      <w:r w:rsidRPr="00526910">
        <w:rPr>
          <w:rFonts w:ascii="Times New Roman" w:eastAsia="Times New Roman" w:hAnsi="Times New Roman" w:cs="Times New Roman"/>
          <w:sz w:val="24"/>
          <w:szCs w:val="24"/>
        </w:rPr>
        <w:t xml:space="preserve">ederal </w:t>
      </w:r>
      <w:r>
        <w:rPr>
          <w:rFonts w:ascii="Times New Roman" w:eastAsia="Times New Roman" w:hAnsi="Times New Roman" w:cs="Times New Roman"/>
          <w:sz w:val="24"/>
          <w:szCs w:val="24"/>
        </w:rPr>
        <w:t>m</w:t>
      </w:r>
      <w:r w:rsidRPr="00526910">
        <w:rPr>
          <w:rFonts w:ascii="Times New Roman" w:eastAsia="Times New Roman" w:hAnsi="Times New Roman" w:cs="Times New Roman"/>
          <w:sz w:val="24"/>
          <w:szCs w:val="24"/>
        </w:rPr>
        <w:t xml:space="preserve">ajor PM10 source, or proposed major modification of a </w:t>
      </w:r>
      <w:r>
        <w:rPr>
          <w:rFonts w:ascii="Times New Roman" w:eastAsia="Times New Roman" w:hAnsi="Times New Roman" w:cs="Times New Roman"/>
          <w:sz w:val="24"/>
          <w:szCs w:val="24"/>
        </w:rPr>
        <w:t>f</w:t>
      </w:r>
      <w:r w:rsidRPr="00526910">
        <w:rPr>
          <w:rFonts w:ascii="Times New Roman" w:eastAsia="Times New Roman" w:hAnsi="Times New Roman" w:cs="Times New Roman"/>
          <w:sz w:val="24"/>
          <w:szCs w:val="24"/>
        </w:rPr>
        <w:t xml:space="preserve">ederal </w:t>
      </w:r>
      <w:r>
        <w:rPr>
          <w:rFonts w:ascii="Times New Roman" w:eastAsia="Times New Roman" w:hAnsi="Times New Roman" w:cs="Times New Roman"/>
          <w:sz w:val="24"/>
          <w:szCs w:val="24"/>
        </w:rPr>
        <w:t>m</w:t>
      </w:r>
      <w:r w:rsidRPr="00526910">
        <w:rPr>
          <w:rFonts w:ascii="Times New Roman" w:eastAsia="Times New Roman" w:hAnsi="Times New Roman" w:cs="Times New Roman"/>
          <w:sz w:val="24"/>
          <w:szCs w:val="24"/>
        </w:rPr>
        <w:t xml:space="preserve">ajor PM10 source must comply with the LAER emission control technology requirement in 340-224-0050(1), and is exempt from the BACT provision of this section.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(a) For a major modification, the requirement for BACT applies to</w:t>
      </w:r>
      <w:r>
        <w:rPr>
          <w:rFonts w:ascii="Times New Roman" w:eastAsia="Times New Roman" w:hAnsi="Times New Roman" w:cs="Times New Roman"/>
          <w:sz w:val="24"/>
          <w:szCs w:val="24"/>
        </w:rPr>
        <w:t xml:space="preserve"> the following</w:t>
      </w:r>
      <w:r w:rsidRPr="00526910">
        <w:rPr>
          <w:rFonts w:ascii="Times New Roman" w:eastAsia="Times New Roman" w:hAnsi="Times New Roman" w:cs="Times New Roman"/>
          <w:sz w:val="24"/>
          <w:szCs w:val="24"/>
        </w:rPr>
        <w:t xml:space="preserv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Each emissions unit that emits the pollutant </w:t>
      </w:r>
      <w:r>
        <w:rPr>
          <w:rFonts w:ascii="Times New Roman" w:eastAsia="Times New Roman" w:hAnsi="Times New Roman" w:cs="Times New Roman"/>
          <w:sz w:val="24"/>
          <w:szCs w:val="24"/>
        </w:rPr>
        <w:t xml:space="preserve">or precursor(s) </w:t>
      </w:r>
      <w:r w:rsidRPr="005269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is not included in </w:t>
      </w:r>
      <w:r w:rsidRPr="00526910">
        <w:rPr>
          <w:rFonts w:ascii="Times New Roman" w:eastAsia="Times New Roman" w:hAnsi="Times New Roman" w:cs="Times New Roman"/>
          <w:sz w:val="24"/>
          <w:szCs w:val="24"/>
        </w:rPr>
        <w:t xml:space="preserve">the most recent </w:t>
      </w:r>
      <w:r>
        <w:rPr>
          <w:rFonts w:ascii="Times New Roman" w:eastAsia="Times New Roman" w:hAnsi="Times New Roman" w:cs="Times New Roman"/>
          <w:sz w:val="24"/>
          <w:szCs w:val="24"/>
        </w:rPr>
        <w:t>netting basis established for that pollutant;</w:t>
      </w:r>
      <w:r w:rsidRPr="00526910">
        <w:rPr>
          <w:rFonts w:ascii="Times New Roman" w:eastAsia="Times New Roman" w:hAnsi="Times New Roman" w:cs="Times New Roman"/>
          <w:sz w:val="24"/>
          <w:szCs w:val="24"/>
        </w:rPr>
        <w:t xml:space="preserve"> and </w:t>
      </w:r>
    </w:p>
    <w:p w:rsidR="00CF4BFD"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Each emissions unit that </w:t>
      </w:r>
      <w:r>
        <w:rPr>
          <w:rFonts w:ascii="Times New Roman" w:eastAsia="Times New Roman" w:hAnsi="Times New Roman" w:cs="Times New Roman"/>
          <w:sz w:val="24"/>
          <w:szCs w:val="24"/>
        </w:rPr>
        <w:t>emits the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For phased construction projects, the BACT determination must be reviewed at the latest reasonable time before commencement of construction of each independent phase.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When determining BACT for a change that was made at a source before the current NSR application, any additional cost of retrofitting required controls may be considered provided: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(A) The change was made in compliance with NSR requirements in effect at the time the change was made, and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No limit is being relaxed that was previously relied on to avoid NSR.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M</w:t>
      </w:r>
      <w:r w:rsidRPr="00526910">
        <w:rPr>
          <w:rFonts w:ascii="Times New Roman" w:eastAsia="Times New Roman" w:hAnsi="Times New Roman" w:cs="Times New Roman"/>
          <w:sz w:val="24"/>
          <w:szCs w:val="24"/>
        </w:rPr>
        <w:t xml:space="preserve">odifications </w:t>
      </w:r>
      <w:r>
        <w:rPr>
          <w:rFonts w:ascii="Times New Roman" w:eastAsia="Times New Roman" w:hAnsi="Times New Roman" w:cs="Times New Roman"/>
          <w:sz w:val="24"/>
          <w:szCs w:val="24"/>
        </w:rPr>
        <w:t xml:space="preserve">to individual emissions units that increase the </w:t>
      </w:r>
      <w:r w:rsidRPr="00526910">
        <w:rPr>
          <w:rFonts w:ascii="Times New Roman" w:eastAsia="Times New Roman" w:hAnsi="Times New Roman" w:cs="Times New Roman"/>
          <w:sz w:val="24"/>
          <w:szCs w:val="24"/>
        </w:rPr>
        <w:t xml:space="preserve">potential to emit less than 10 percent of the significant emission rate are exempt from this section unless: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lastRenderedPageBreak/>
        <w:t xml:space="preserve">(A) They are not constructed yet;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(B) They are part of a discrete, identifiable larger project that was constructed within the previous 5 years and that is equal to or greater than 10 percent of the significant emission rate; or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(C) They were constructed without, or in violation of, the Department's approval. </w:t>
      </w:r>
    </w:p>
    <w:p w:rsidR="00CF4BFD"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(2) Air Quality Analysis: The owner o</w:t>
      </w:r>
      <w:r>
        <w:rPr>
          <w:rFonts w:ascii="Times New Roman" w:eastAsia="Times New Roman" w:hAnsi="Times New Roman" w:cs="Times New Roman"/>
          <w:sz w:val="24"/>
          <w:szCs w:val="24"/>
        </w:rPr>
        <w:t>r</w:t>
      </w:r>
      <w:r w:rsidRPr="00526910">
        <w:rPr>
          <w:rFonts w:ascii="Times New Roman" w:eastAsia="Times New Roman" w:hAnsi="Times New Roman" w:cs="Times New Roman"/>
          <w:sz w:val="24"/>
          <w:szCs w:val="24"/>
        </w:rPr>
        <w:t xml:space="preserve"> operator of a source subject to this rule must provide an analysis of the air quality impacts </w:t>
      </w:r>
      <w:r>
        <w:rPr>
          <w:rFonts w:ascii="Times New Roman" w:eastAsia="Times New Roman" w:hAnsi="Times New Roman" w:cs="Times New Roman"/>
          <w:sz w:val="24"/>
          <w:szCs w:val="24"/>
        </w:rPr>
        <w:t xml:space="preserve">of each pollutant for which emissions will exceed the netting basis by the SER or more due to </w:t>
      </w:r>
      <w:r w:rsidRPr="00526910">
        <w:rPr>
          <w:rFonts w:ascii="Times New Roman" w:eastAsia="Times New Roman" w:hAnsi="Times New Roman" w:cs="Times New Roman"/>
          <w:sz w:val="24"/>
          <w:szCs w:val="24"/>
        </w:rPr>
        <w:t xml:space="preserve">the proposed source or modification in accordance with OAR 340-225-0050 through 340-225-0070. </w:t>
      </w:r>
    </w:p>
    <w:p w:rsidR="00CF4BFD" w:rsidRDefault="00CF4BFD" w:rsidP="006774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For increases of direct PM2.5 or PM2.5 precursors equal to or greater than the significant emission rate, the owner or operator must provide an analysis of PM2.5 air quality impacts based on all increases of direct PM2.5 and PM2.5 precursors. </w:t>
      </w:r>
    </w:p>
    <w:p w:rsidR="00CF4BFD" w:rsidRPr="00526910" w:rsidRDefault="00CF4BFD" w:rsidP="006774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526910">
        <w:rPr>
          <w:rFonts w:ascii="Times New Roman" w:eastAsia="Times New Roman" w:hAnsi="Times New Roman" w:cs="Times New Roman"/>
          <w:sz w:val="24"/>
          <w:szCs w:val="24"/>
        </w:rPr>
        <w:t xml:space="preserve">The owner or operator of any source subject to this rule that significantly </w:t>
      </w:r>
      <w:r>
        <w:rPr>
          <w:rFonts w:ascii="Times New Roman" w:eastAsia="Times New Roman" w:hAnsi="Times New Roman" w:cs="Times New Roman"/>
          <w:sz w:val="24"/>
          <w:szCs w:val="24"/>
        </w:rPr>
        <w:t>impacts</w:t>
      </w:r>
      <w:r w:rsidRPr="00526910">
        <w:rPr>
          <w:rFonts w:ascii="Times New Roman" w:eastAsia="Times New Roman" w:hAnsi="Times New Roman" w:cs="Times New Roman"/>
          <w:sz w:val="24"/>
          <w:szCs w:val="24"/>
        </w:rPr>
        <w:t xml:space="preserve"> air quality in a designated nonattainment or maintenance area </w:t>
      </w:r>
      <w:r w:rsidRPr="00526910">
        <w:rPr>
          <w:rFonts w:ascii="Times New Roman" w:eastAsia="Times New Roman" w:hAnsi="Times New Roman" w:cs="Times New Roman"/>
          <w:color w:val="000000"/>
          <w:sz w:val="24"/>
          <w:szCs w:val="24"/>
        </w:rPr>
        <w:t>must meet the requirements of net air quality benefit in 340-225-0090.</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(3) Air Quality Monitoring: The owner or operator of a source subject to this rule must conduct ambient air quality monitoring in accordance with the requirements in OAR 340-225-0050.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(4) The owner or operator of a source subject to this rule and significantly impacting a PM10 maintenance area (significant air quality impact is defined in OAR 340-200-0020), must comply with the requirements of 340-224-0060(2).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w:t>
      </w:r>
      <w:r w:rsidRPr="00526910">
        <w:rPr>
          <w:rFonts w:ascii="Times New Roman" w:eastAsia="Times New Roman" w:hAnsi="Times New Roman" w:cs="Times New Roman"/>
          <w:b/>
          <w:bCs/>
          <w:sz w:val="24"/>
          <w:szCs w:val="24"/>
        </w:rPr>
        <w:t>NOTE:</w:t>
      </w:r>
      <w:r w:rsidRPr="00526910">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526910" w:rsidRDefault="00CF4BFD" w:rsidP="00677475">
      <w:pPr>
        <w:spacing w:after="0" w:line="240" w:lineRule="auto"/>
        <w:rPr>
          <w:rFonts w:ascii="Times New Roman" w:eastAsia="Times New Roman" w:hAnsi="Times New Roman" w:cs="Times New Roman"/>
          <w:sz w:val="24"/>
          <w:szCs w:val="24"/>
        </w:rPr>
      </w:pPr>
      <w:r w:rsidRPr="00526910">
        <w:rPr>
          <w:rFonts w:ascii="Times New Roman" w:eastAsia="Times New Roman" w:hAnsi="Times New Roman" w:cs="Times New Roman"/>
          <w:sz w:val="24"/>
          <w:szCs w:val="24"/>
        </w:rPr>
        <w:t xml:space="preserve">[Publications: Publications referenced are available from the agency.] </w:t>
      </w:r>
    </w:p>
    <w:p w:rsidR="00CF4BFD" w:rsidRDefault="00CF4BFD" w:rsidP="00677475">
      <w:pPr>
        <w:spacing w:after="0" w:line="240" w:lineRule="auto"/>
      </w:pPr>
      <w:r w:rsidRPr="00526910">
        <w:rPr>
          <w:rFonts w:ascii="Times New Roman" w:eastAsia="Times New Roman" w:hAnsi="Times New Roman" w:cs="Times New Roman"/>
          <w:sz w:val="24"/>
          <w:szCs w:val="24"/>
        </w:rPr>
        <w:t>Stat. Auth.: ORS 468.020</w:t>
      </w:r>
      <w:r w:rsidRPr="00526910">
        <w:rPr>
          <w:rFonts w:ascii="Times New Roman" w:eastAsia="Times New Roman" w:hAnsi="Times New Roman" w:cs="Times New Roman"/>
          <w:sz w:val="24"/>
          <w:szCs w:val="24"/>
        </w:rPr>
        <w:br/>
        <w:t>Stats. Implemented: ORS 468A.025</w:t>
      </w:r>
      <w:r w:rsidRPr="00526910">
        <w:rPr>
          <w:rFonts w:ascii="Times New Roman" w:eastAsia="Times New Roman" w:hAnsi="Times New Roman" w:cs="Times New Roman"/>
          <w:sz w:val="24"/>
          <w:szCs w:val="24"/>
        </w:rPr>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f.&amp; cert. ef. 4-14-04; DEQ 1-2005, f. &amp; cert. ef. 1-4-05 </w:t>
      </w:r>
    </w:p>
    <w:p w:rsidR="00CF4BFD" w:rsidRDefault="00CF4BFD" w:rsidP="00677475">
      <w:pPr>
        <w:spacing w:after="0" w:line="240" w:lineRule="auto"/>
        <w:jc w:val="center"/>
        <w:rPr>
          <w:rFonts w:ascii="Times New Roman" w:eastAsia="Times New Roman" w:hAnsi="Times New Roman" w:cs="Times New Roman"/>
          <w:b/>
          <w:bCs/>
          <w:sz w:val="24"/>
          <w:szCs w:val="24"/>
        </w:rPr>
      </w:pPr>
      <w:r w:rsidRPr="00B04DFD">
        <w:rPr>
          <w:rFonts w:ascii="Times New Roman" w:eastAsia="Times New Roman" w:hAnsi="Times New Roman" w:cs="Times New Roman"/>
          <w:b/>
          <w:bCs/>
          <w:sz w:val="24"/>
          <w:szCs w:val="24"/>
        </w:rPr>
        <w:t>DIVISION 225</w:t>
      </w:r>
    </w:p>
    <w:p w:rsidR="00CF4BFD" w:rsidRPr="00B04DFD" w:rsidRDefault="00CF4BFD" w:rsidP="00404E04">
      <w:pPr>
        <w:spacing w:after="0" w:line="240" w:lineRule="auto"/>
        <w:jc w:val="center"/>
        <w:rPr>
          <w:rFonts w:ascii="Times New Roman" w:eastAsia="Times New Roman" w:hAnsi="Times New Roman" w:cs="Times New Roman"/>
          <w:sz w:val="24"/>
          <w:szCs w:val="24"/>
        </w:rPr>
      </w:pPr>
    </w:p>
    <w:p w:rsidR="00CF4BFD" w:rsidRDefault="00CF4BFD" w:rsidP="00404E04">
      <w:pPr>
        <w:spacing w:after="0" w:line="240" w:lineRule="auto"/>
        <w:jc w:val="center"/>
        <w:rPr>
          <w:rFonts w:ascii="Times New Roman" w:eastAsia="Times New Roman" w:hAnsi="Times New Roman" w:cs="Times New Roman"/>
          <w:b/>
          <w:bCs/>
          <w:sz w:val="24"/>
          <w:szCs w:val="24"/>
        </w:rPr>
      </w:pPr>
      <w:r w:rsidRPr="00B04DFD">
        <w:rPr>
          <w:rFonts w:ascii="Times New Roman" w:eastAsia="Times New Roman" w:hAnsi="Times New Roman" w:cs="Times New Roman"/>
          <w:b/>
          <w:bCs/>
          <w:sz w:val="24"/>
          <w:szCs w:val="24"/>
        </w:rPr>
        <w:t>AIR QUALITY ANALYSIS REQUIREMENTS</w:t>
      </w:r>
    </w:p>
    <w:p w:rsidR="00CF4BFD" w:rsidRPr="00B04DFD" w:rsidRDefault="00CF4BFD" w:rsidP="00404E04">
      <w:pPr>
        <w:spacing w:after="0" w:line="240" w:lineRule="auto"/>
        <w:jc w:val="center"/>
        <w:rPr>
          <w:rFonts w:ascii="Times New Roman" w:eastAsia="Times New Roman" w:hAnsi="Times New Roman" w:cs="Times New Roman"/>
          <w:sz w:val="24"/>
          <w:szCs w:val="24"/>
        </w:rPr>
      </w:pP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340-225-0020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Definitions</w:t>
      </w:r>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The definitions in OAR 340-200-0020 and this rule apply to this division. If the same term is defined in this rule and 340-200-0020, the definition in this rule applies to this division.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The applicable standards as set forth in 40 CFR </w:t>
      </w:r>
      <w:r>
        <w:rPr>
          <w:rFonts w:ascii="Times New Roman" w:eastAsia="Times New Roman" w:hAnsi="Times New Roman" w:cs="Times New Roman"/>
          <w:sz w:val="24"/>
          <w:szCs w:val="24"/>
        </w:rPr>
        <w:t>P</w:t>
      </w:r>
      <w:r w:rsidRPr="00B04DFD">
        <w:rPr>
          <w:rFonts w:ascii="Times New Roman" w:eastAsia="Times New Roman" w:hAnsi="Times New Roman" w:cs="Times New Roman"/>
          <w:sz w:val="24"/>
          <w:szCs w:val="24"/>
        </w:rPr>
        <w:t xml:space="preserve">arts 60, 61 and 63;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 xml:space="preserve">(b) The applicable State Implementation Plan emissions limitation, including those with a future compliance date; or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The emissions rate specified as a federally enforceable permit condition.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(2) "Background Light Extinction" means the reference levels (Mm-1) shown in the estimates of natural conditions as referenced in the FLAG to be representative of the PSD Class I or Class II area being evaluated.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(3) "Baseline Concentration" means: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ambient concentration level for nitrogen oxides that existed in an area during the calendar year 1988.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CF4B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 For PM10 in the Medford-Ashland AQMA: the ambient PM10 concentration levels that existed during the year that EPA redesignates the AQMA to attainment for PM10. </w:t>
      </w:r>
    </w:p>
    <w:p w:rsidR="00CF4BFD" w:rsidRDefault="00CF4BFD" w:rsidP="00404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The ambient concentration level for PM2.5 that existed in an area during the calendar year 2007.</w:t>
      </w:r>
    </w:p>
    <w:p w:rsidR="00CF4BFD" w:rsidRPr="00B04DFD" w:rsidRDefault="00CF4BFD" w:rsidP="00404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Pr="00B04DFD">
        <w:rPr>
          <w:rFonts w:ascii="Times New Roman" w:eastAsia="Times New Roman" w:hAnsi="Times New Roman" w:cs="Times New Roman"/>
          <w:sz w:val="24"/>
          <w:szCs w:val="24"/>
        </w:rPr>
        <w:t xml:space="preserve">If no ambient air quality data is available in an area, the baseline concentration may be estimated using modeling based on actual emissions for </w:t>
      </w:r>
      <w:r>
        <w:rPr>
          <w:rFonts w:ascii="Times New Roman" w:eastAsia="Times New Roman" w:hAnsi="Times New Roman" w:cs="Times New Roman"/>
          <w:sz w:val="24"/>
          <w:szCs w:val="24"/>
        </w:rPr>
        <w:t>the years specified in subsections (a) through (e) of this section</w:t>
      </w:r>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(5) "Competing NAAQS Source Impacts" means total modeled concentration resulting from allowable emissions of all other sources that are within the Range of Influence of the source in question.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(6) "FLAG" refers to the Federal Land Managers' Air Quality Related Values Work Group Phase I Report</w:t>
      </w:r>
      <w:r>
        <w:rPr>
          <w:rFonts w:ascii="Times New Roman" w:eastAsia="Times New Roman" w:hAnsi="Times New Roman" w:cs="Times New Roman"/>
          <w:sz w:val="24"/>
          <w:szCs w:val="24"/>
        </w:rPr>
        <w:t xml:space="preserve"> - REVISED</w:t>
      </w:r>
      <w:r w:rsidRPr="00B04DFD">
        <w:rPr>
          <w:rFonts w:ascii="Times New Roman" w:eastAsia="Times New Roman" w:hAnsi="Times New Roman" w:cs="Times New Roman"/>
          <w:sz w:val="24"/>
          <w:szCs w:val="24"/>
        </w:rPr>
        <w:t xml:space="preserve">. See </w:t>
      </w:r>
      <w:r>
        <w:rPr>
          <w:rFonts w:ascii="Times New Roman" w:eastAsia="Times New Roman" w:hAnsi="Times New Roman" w:cs="Times New Roman"/>
          <w:sz w:val="24"/>
          <w:szCs w:val="24"/>
        </w:rPr>
        <w:t>75</w:t>
      </w:r>
      <w:r w:rsidRPr="00B04DFD">
        <w:rPr>
          <w:rFonts w:ascii="Times New Roman" w:eastAsia="Times New Roman" w:hAnsi="Times New Roman" w:cs="Times New Roman"/>
          <w:sz w:val="24"/>
          <w:szCs w:val="24"/>
        </w:rPr>
        <w:t xml:space="preserve"> Federal Register </w:t>
      </w:r>
      <w:r>
        <w:rPr>
          <w:rFonts w:ascii="Times New Roman" w:eastAsia="Times New Roman" w:hAnsi="Times New Roman" w:cs="Times New Roman"/>
          <w:sz w:val="24"/>
          <w:szCs w:val="24"/>
        </w:rPr>
        <w:t>66125</w:t>
      </w:r>
      <w:r w:rsidRPr="00B04D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October 27</w:t>
      </w:r>
      <w:r w:rsidRPr="00B04DFD">
        <w:rPr>
          <w:rFonts w:ascii="Times New Roman" w:eastAsia="Times New Roman" w:hAnsi="Times New Roman" w:cs="Times New Roman"/>
          <w:sz w:val="24"/>
          <w:szCs w:val="24"/>
        </w:rPr>
        <w:t>, 201</w:t>
      </w:r>
      <w:r>
        <w:rPr>
          <w:rFonts w:ascii="Times New Roman" w:eastAsia="Times New Roman" w:hAnsi="Times New Roman" w:cs="Times New Roman"/>
          <w:sz w:val="24"/>
          <w:szCs w:val="24"/>
        </w:rPr>
        <w:t>0</w:t>
      </w:r>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(8) "Predicted Maintenance Area Concentration" means the future year ambient concentration predicted by the Department in the applicable maintenance plan as follows: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The future year (2015) concentrations for the Grants Pass UGB are 89 μg/m3 (24-hour average) and 21 μg/m3 (annual average).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future year (2015) concentrations for the Klamath Falls UGB are 114 μg/m3 (24-hour average) and 25 μg/m3 (annual average).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The future year (2025) concentrations for the Lakeview UGB are 126 μg/m3 (24-hour average) and 27 μg/m3 (annual average).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 xml:space="preserve">(9) "Nitrogen Deposition" means the sum of anion and cation nitrogen deposition expressed in terms of the mass of total elemental nitrogen being deposited. As an example, Nitrogen Deposition for NH4NO3 is 0.3500 times the weight of NH4NO3 being deposited.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The Formula Method.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For sources with complete permit applications submitted before January 1, 2003: D = 30 km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For sources with complete permit applications submitted on or after January 1, 2003: D = (Q/40) x 30 km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The Formula Method.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Required offsets (RO) for new or modified sources are determined as follows: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 For sources with complete permit applications submitted before January 1, 2003: RO = SQ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(ii) For sources with complete permit applications submitted on or after January 1, 2003: RO = (SQ minus (40/30 * SD))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Contributing sources may provide offsets (PO) calculated as follows: PO = CQ minus (40/30 * CD)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Multiple sources may contribute to the required offsets of a new source. For the formula method to be satisfied, total provided offsets (PO) must equal or exceed the required offset (RO).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 Definitions of factors used in paragraphs (A) (B) and (C) of this subsection: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 RO is the required offset of NOx or VOC in tons per year as a result of the source emissions increase. If RO is calculated to be negative, RO is set to zero;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(ii) SQ is the source emissions increase of NOx or VOC in tons per year above the netting basis;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(iii) SD is the source distance in kilometers to the nonattainment or maintenance area. SD is zero for sources located within the nonattainment or maintenance area.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(iv) PO is the provided offset from a contributing source and must be equal to or greater than zero;</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 xml:space="preserve">(v) CQ is the contributing emissions reduction in tons per year quantified relative to contemporaneous pre-reduction actual emissions (OAR 340-268-0030(1)(b)).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(vi) CD is the contributing source distance in kilometers to the nonattainment or maintenance area. For a contributing source located within the nonattainment or maintenance area, CD equals zero.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(12) "Range of Influence (ROI)" means: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For PSD Class II and Class III areas, the Range of Influence of a competing source (in kilometers) is defined by: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ROI (km) = Q (tons/year) / K (tons/year km).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Definition of factors used in paragraph (A) of this subsection: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 ROI is the distance a source has an effect on an area and is compared to the distance from a potential competing source to the Significant Impact Area of a proposed new source. Maximum ROI is 50 km, however the Department may request that sources at a distance greater than 50 km be included in a competing source analysis.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(ii) Q is the emission rate of the potential competing source in tons per year. </w:t>
      </w:r>
    </w:p>
    <w:p w:rsidR="00CF4BFD" w:rsidRDefault="00CF4BFD" w:rsidP="008100E4">
      <w:pPr>
        <w:spacing w:before="100" w:beforeAutospacing="1" w:after="100" w:afterAutospacing="1"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(iii) K (tons/year km) is a pollutant specific constant as defined in the table below: </w:t>
      </w:r>
    </w:p>
    <w:tbl>
      <w:tblPr>
        <w:tblStyle w:val="TableGrid"/>
        <w:tblW w:w="0" w:type="auto"/>
        <w:tblLook w:val="04A0"/>
      </w:tblPr>
      <w:tblGrid>
        <w:gridCol w:w="1575"/>
        <w:gridCol w:w="1575"/>
        <w:gridCol w:w="1575"/>
        <w:gridCol w:w="1576"/>
        <w:gridCol w:w="1576"/>
        <w:gridCol w:w="1576"/>
      </w:tblGrid>
      <w:tr w:rsidR="00CF4BFD" w:rsidRPr="00054916" w:rsidTr="00781C88">
        <w:trPr>
          <w:trHeight w:val="350"/>
        </w:trPr>
        <w:tc>
          <w:tcPr>
            <w:tcW w:w="9453" w:type="dxa"/>
            <w:gridSpan w:val="6"/>
          </w:tcPr>
          <w:p w:rsidR="00CF4BFD" w:rsidRPr="00054916" w:rsidRDefault="00CF4BFD" w:rsidP="00781C88">
            <w:pPr>
              <w:pStyle w:val="PlainText"/>
              <w:jc w:val="center"/>
              <w:rPr>
                <w:rFonts w:ascii="Times New Roman" w:hAnsi="Times New Roman" w:cs="Times New Roman"/>
                <w:b/>
                <w:sz w:val="24"/>
                <w:szCs w:val="24"/>
              </w:rPr>
            </w:pPr>
            <w:r>
              <w:rPr>
                <w:rFonts w:ascii="Times New Roman" w:hAnsi="Times New Roman" w:cs="Times New Roman"/>
                <w:b/>
                <w:sz w:val="24"/>
                <w:szCs w:val="24"/>
              </w:rPr>
              <w:t>Constant K for Range of Influence Calculation</w:t>
            </w:r>
          </w:p>
        </w:tc>
      </w:tr>
      <w:tr w:rsidR="00CF4BFD" w:rsidTr="00781C88">
        <w:tc>
          <w:tcPr>
            <w:tcW w:w="1575" w:type="dxa"/>
          </w:tcPr>
          <w:p w:rsidR="00CF4BFD" w:rsidRDefault="00CF4BFD" w:rsidP="00781C88">
            <w:pPr>
              <w:pStyle w:val="PlainText"/>
              <w:rPr>
                <w:rFonts w:ascii="Times New Roman" w:hAnsi="Times New Roman" w:cs="Times New Roman"/>
                <w:sz w:val="24"/>
                <w:szCs w:val="24"/>
              </w:rPr>
            </w:pPr>
            <w:r w:rsidRPr="00E91D70">
              <w:rPr>
                <w:rFonts w:ascii="Times New Roman" w:hAnsi="Times New Roman" w:cs="Times New Roman"/>
                <w:sz w:val="24"/>
                <w:szCs w:val="24"/>
              </w:rPr>
              <w:t>Pollutant</w:t>
            </w:r>
          </w:p>
        </w:tc>
        <w:tc>
          <w:tcPr>
            <w:tcW w:w="1575" w:type="dxa"/>
          </w:tcPr>
          <w:p w:rsidR="00CF4BFD" w:rsidRDefault="00CF4BFD" w:rsidP="00781C88">
            <w:pPr>
              <w:pStyle w:val="PlainText"/>
              <w:rPr>
                <w:rFonts w:ascii="Times New Roman" w:hAnsi="Times New Roman" w:cs="Times New Roman"/>
                <w:sz w:val="24"/>
                <w:szCs w:val="24"/>
              </w:rPr>
            </w:pPr>
            <w:r>
              <w:rPr>
                <w:rFonts w:ascii="Times New Roman" w:hAnsi="Times New Roman" w:cs="Times New Roman"/>
                <w:sz w:val="24"/>
                <w:szCs w:val="24"/>
              </w:rPr>
              <w:t>PM2.5/PM10</w:t>
            </w:r>
          </w:p>
        </w:tc>
        <w:tc>
          <w:tcPr>
            <w:tcW w:w="1575" w:type="dxa"/>
          </w:tcPr>
          <w:p w:rsidR="00CF4BFD" w:rsidRDefault="00CF4BFD" w:rsidP="00781C88">
            <w:pPr>
              <w:pStyle w:val="PlainText"/>
              <w:rPr>
                <w:rFonts w:ascii="Times New Roman" w:hAnsi="Times New Roman" w:cs="Times New Roman"/>
                <w:sz w:val="24"/>
                <w:szCs w:val="24"/>
              </w:rPr>
            </w:pPr>
            <w:r>
              <w:rPr>
                <w:rFonts w:ascii="Times New Roman" w:hAnsi="Times New Roman" w:cs="Times New Roman"/>
                <w:sz w:val="24"/>
                <w:szCs w:val="24"/>
              </w:rPr>
              <w:t>SOx</w:t>
            </w:r>
          </w:p>
        </w:tc>
        <w:tc>
          <w:tcPr>
            <w:tcW w:w="1576" w:type="dxa"/>
          </w:tcPr>
          <w:p w:rsidR="00CF4BFD" w:rsidRDefault="00CF4BFD" w:rsidP="00781C88">
            <w:pPr>
              <w:pStyle w:val="PlainText"/>
              <w:rPr>
                <w:rFonts w:ascii="Times New Roman" w:hAnsi="Times New Roman" w:cs="Times New Roman"/>
                <w:sz w:val="24"/>
                <w:szCs w:val="24"/>
              </w:rPr>
            </w:pPr>
            <w:r>
              <w:rPr>
                <w:rFonts w:ascii="Times New Roman" w:hAnsi="Times New Roman" w:cs="Times New Roman"/>
                <w:sz w:val="24"/>
                <w:szCs w:val="24"/>
              </w:rPr>
              <w:t>NOx</w:t>
            </w:r>
          </w:p>
        </w:tc>
        <w:tc>
          <w:tcPr>
            <w:tcW w:w="1576" w:type="dxa"/>
          </w:tcPr>
          <w:p w:rsidR="00CF4BFD" w:rsidRDefault="00CF4BFD" w:rsidP="00781C88">
            <w:pPr>
              <w:pStyle w:val="PlainText"/>
              <w:rPr>
                <w:rFonts w:ascii="Times New Roman" w:hAnsi="Times New Roman" w:cs="Times New Roman"/>
                <w:sz w:val="24"/>
                <w:szCs w:val="24"/>
              </w:rPr>
            </w:pPr>
            <w:r>
              <w:rPr>
                <w:rFonts w:ascii="Times New Roman" w:hAnsi="Times New Roman" w:cs="Times New Roman"/>
                <w:sz w:val="24"/>
                <w:szCs w:val="24"/>
              </w:rPr>
              <w:t>CO</w:t>
            </w:r>
          </w:p>
        </w:tc>
        <w:tc>
          <w:tcPr>
            <w:tcW w:w="1576" w:type="dxa"/>
          </w:tcPr>
          <w:p w:rsidR="00CF4BFD" w:rsidRDefault="00CF4BFD" w:rsidP="00781C88">
            <w:pPr>
              <w:pStyle w:val="PlainText"/>
              <w:rPr>
                <w:rFonts w:ascii="Times New Roman" w:hAnsi="Times New Roman" w:cs="Times New Roman"/>
                <w:sz w:val="24"/>
                <w:szCs w:val="24"/>
              </w:rPr>
            </w:pPr>
            <w:r>
              <w:rPr>
                <w:rFonts w:ascii="Times New Roman" w:hAnsi="Times New Roman" w:cs="Times New Roman"/>
                <w:sz w:val="24"/>
                <w:szCs w:val="24"/>
              </w:rPr>
              <w:t>Lead</w:t>
            </w:r>
          </w:p>
        </w:tc>
      </w:tr>
      <w:tr w:rsidR="00CF4BFD" w:rsidTr="00781C88">
        <w:tc>
          <w:tcPr>
            <w:tcW w:w="1575" w:type="dxa"/>
          </w:tcPr>
          <w:p w:rsidR="00CF4BFD" w:rsidRDefault="00CF4BFD" w:rsidP="00781C88">
            <w:pPr>
              <w:pStyle w:val="PlainText"/>
              <w:rPr>
                <w:rFonts w:ascii="Times New Roman" w:hAnsi="Times New Roman" w:cs="Times New Roman"/>
                <w:sz w:val="24"/>
                <w:szCs w:val="24"/>
              </w:rPr>
            </w:pPr>
            <w:r>
              <w:rPr>
                <w:rFonts w:ascii="Times New Roman" w:hAnsi="Times New Roman" w:cs="Times New Roman"/>
                <w:sz w:val="24"/>
                <w:szCs w:val="24"/>
              </w:rPr>
              <w:t>K</w:t>
            </w:r>
          </w:p>
        </w:tc>
        <w:tc>
          <w:tcPr>
            <w:tcW w:w="1575" w:type="dxa"/>
          </w:tcPr>
          <w:p w:rsidR="00CF4BFD" w:rsidRDefault="00CF4BFD" w:rsidP="00781C88">
            <w:pPr>
              <w:pStyle w:val="PlainText"/>
              <w:rPr>
                <w:rFonts w:ascii="Times New Roman" w:hAnsi="Times New Roman" w:cs="Times New Roman"/>
                <w:sz w:val="24"/>
                <w:szCs w:val="24"/>
              </w:rPr>
            </w:pPr>
            <w:r>
              <w:rPr>
                <w:rFonts w:ascii="Times New Roman" w:hAnsi="Times New Roman" w:cs="Times New Roman"/>
                <w:sz w:val="24"/>
                <w:szCs w:val="24"/>
              </w:rPr>
              <w:t>5</w:t>
            </w:r>
          </w:p>
        </w:tc>
        <w:tc>
          <w:tcPr>
            <w:tcW w:w="1575" w:type="dxa"/>
          </w:tcPr>
          <w:p w:rsidR="00CF4BFD" w:rsidRDefault="00CF4BFD" w:rsidP="00781C88">
            <w:pPr>
              <w:pStyle w:val="PlainText"/>
              <w:rPr>
                <w:rFonts w:ascii="Times New Roman" w:hAnsi="Times New Roman" w:cs="Times New Roman"/>
                <w:sz w:val="24"/>
                <w:szCs w:val="24"/>
              </w:rPr>
            </w:pPr>
            <w:r>
              <w:rPr>
                <w:rFonts w:ascii="Times New Roman" w:hAnsi="Times New Roman" w:cs="Times New Roman"/>
                <w:sz w:val="24"/>
                <w:szCs w:val="24"/>
              </w:rPr>
              <w:t>5</w:t>
            </w:r>
          </w:p>
        </w:tc>
        <w:tc>
          <w:tcPr>
            <w:tcW w:w="1576" w:type="dxa"/>
          </w:tcPr>
          <w:p w:rsidR="00CF4BFD" w:rsidRDefault="00CF4BFD" w:rsidP="00781C88">
            <w:pPr>
              <w:pStyle w:val="PlainText"/>
              <w:rPr>
                <w:rFonts w:ascii="Times New Roman" w:hAnsi="Times New Roman" w:cs="Times New Roman"/>
                <w:sz w:val="24"/>
                <w:szCs w:val="24"/>
              </w:rPr>
            </w:pPr>
            <w:r>
              <w:rPr>
                <w:rFonts w:ascii="Times New Roman" w:hAnsi="Times New Roman" w:cs="Times New Roman"/>
                <w:sz w:val="24"/>
                <w:szCs w:val="24"/>
              </w:rPr>
              <w:t>5</w:t>
            </w:r>
          </w:p>
        </w:tc>
        <w:tc>
          <w:tcPr>
            <w:tcW w:w="1576" w:type="dxa"/>
          </w:tcPr>
          <w:p w:rsidR="00CF4BFD" w:rsidRDefault="00CF4BFD" w:rsidP="00781C88">
            <w:pPr>
              <w:pStyle w:val="PlainText"/>
              <w:rPr>
                <w:rFonts w:ascii="Times New Roman" w:hAnsi="Times New Roman" w:cs="Times New Roman"/>
                <w:sz w:val="24"/>
                <w:szCs w:val="24"/>
              </w:rPr>
            </w:pPr>
            <w:r>
              <w:rPr>
                <w:rFonts w:ascii="Times New Roman" w:hAnsi="Times New Roman" w:cs="Times New Roman"/>
                <w:sz w:val="24"/>
                <w:szCs w:val="24"/>
              </w:rPr>
              <w:t>40</w:t>
            </w:r>
          </w:p>
        </w:tc>
        <w:tc>
          <w:tcPr>
            <w:tcW w:w="1576" w:type="dxa"/>
          </w:tcPr>
          <w:p w:rsidR="00CF4BFD" w:rsidRDefault="00CF4BFD" w:rsidP="00781C88">
            <w:pPr>
              <w:pStyle w:val="PlainText"/>
              <w:rPr>
                <w:rFonts w:ascii="Times New Roman" w:hAnsi="Times New Roman" w:cs="Times New Roman"/>
                <w:sz w:val="24"/>
                <w:szCs w:val="24"/>
              </w:rPr>
            </w:pPr>
            <w:r>
              <w:rPr>
                <w:rFonts w:ascii="Times New Roman" w:hAnsi="Times New Roman" w:cs="Times New Roman"/>
                <w:sz w:val="24"/>
                <w:szCs w:val="24"/>
              </w:rPr>
              <w:t>0.15</w:t>
            </w:r>
          </w:p>
        </w:tc>
      </w:tr>
    </w:tbl>
    <w:p w:rsidR="00CF4BFD" w:rsidRDefault="00CF4BFD" w:rsidP="00404E04">
      <w:pPr>
        <w:spacing w:after="0" w:line="240" w:lineRule="auto"/>
        <w:rPr>
          <w:rFonts w:ascii="Times New Roman" w:eastAsia="Times New Roman" w:hAnsi="Times New Roman" w:cs="Times New Roman"/>
          <w:sz w:val="24"/>
          <w:szCs w:val="24"/>
        </w:rPr>
      </w:pP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For PSD Class I areas, the Range of Influence of a competing source includes emissions from all sources that occur within the modeling domain of the source being evaluated. The </w:t>
      </w:r>
      <w:r w:rsidRPr="00B04DFD">
        <w:rPr>
          <w:rFonts w:ascii="Times New Roman" w:eastAsia="Times New Roman" w:hAnsi="Times New Roman" w:cs="Times New Roman"/>
          <w:color w:val="000000"/>
          <w:sz w:val="24"/>
          <w:szCs w:val="24"/>
        </w:rPr>
        <w:t xml:space="preserve">Department determines the modeling domain on a case-by-case basis.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(13) "Source Impact Area" means a circular area with a radius extending from the source to the largest distance to where predicted impacts from the source or modification equal or exceed the </w:t>
      </w:r>
      <w:r>
        <w:rPr>
          <w:rFonts w:ascii="Times New Roman" w:eastAsia="Times New Roman" w:hAnsi="Times New Roman" w:cs="Times New Roman"/>
          <w:sz w:val="24"/>
          <w:szCs w:val="24"/>
        </w:rPr>
        <w:t xml:space="preserve">Class II </w:t>
      </w:r>
      <w:r w:rsidRPr="00B04DFD">
        <w:rPr>
          <w:rFonts w:ascii="Times New Roman" w:eastAsia="Times New Roman" w:hAnsi="Times New Roman" w:cs="Times New Roman"/>
          <w:sz w:val="24"/>
          <w:szCs w:val="24"/>
        </w:rPr>
        <w:t xml:space="preserve">Significant Air Quality Impact levels set out in Table 1 of OAR 340 division 200. This definition only applies to PSD Class II areas and is not intended to limit the distance for PSD Class I modeling.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(14) "Sulfur Deposition" means the sum of anion and cation sulfur deposition expressed in terms of the total mass of elemental sulfur being deposited. As an example, sulfur deposition for (NH4)2SO4 is 0.2427 times the weight of (NH4)2SO4 being deposited. </w:t>
      </w:r>
    </w:p>
    <w:p w:rsidR="00CF4BFD" w:rsidRPr="00B04DFD" w:rsidRDefault="00CF4BFD" w:rsidP="00404E04">
      <w:pPr>
        <w:pStyle w:val="NormalWeb"/>
        <w:spacing w:before="0" w:beforeAutospacing="0" w:after="0" w:afterAutospacing="0"/>
      </w:pPr>
      <w:r w:rsidRPr="00B04DFD">
        <w:t xml:space="preserve">[ED. NOTE: </w:t>
      </w:r>
      <w:r>
        <w:t>The t</w:t>
      </w:r>
      <w:r w:rsidRPr="00B04DFD">
        <w:t xml:space="preserve">ables referenced </w:t>
      </w:r>
      <w:r>
        <w:t xml:space="preserve">in this rule </w:t>
      </w:r>
      <w:r w:rsidRPr="00B04DFD">
        <w:t xml:space="preserve">are </w:t>
      </w:r>
      <w:r>
        <w:t>not included in the rule text</w:t>
      </w:r>
      <w:r w:rsidRPr="00B04DFD">
        <w:t>.</w:t>
      </w:r>
      <w:r>
        <w:t xml:space="preserve"> </w:t>
      </w:r>
      <w:r w:rsidRPr="0018546B">
        <w:rPr>
          <w:color w:val="0070C0"/>
          <w:u w:val="single"/>
        </w:rPr>
        <w:t>Click here for a PDF copy of the tables.</w:t>
      </w:r>
      <w:r w:rsidRPr="00B04DFD">
        <w:t xml:space="preserve">] </w:t>
      </w:r>
    </w:p>
    <w:p w:rsidR="00CF4B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Stat. Auth.: ORS 468.020</w:t>
      </w:r>
      <w:r w:rsidRPr="00B04DFD">
        <w:rPr>
          <w:rFonts w:ascii="Times New Roman" w:eastAsia="Times New Roman" w:hAnsi="Times New Roman" w:cs="Times New Roman"/>
          <w:sz w:val="24"/>
          <w:szCs w:val="24"/>
        </w:rPr>
        <w:br/>
        <w:t>Stats. Implemented: ORS 468A</w:t>
      </w:r>
      <w:r w:rsidRPr="00B04DFD">
        <w:rPr>
          <w:rFonts w:ascii="Times New Roman" w:eastAsia="Times New Roman" w:hAnsi="Times New Roman" w:cs="Times New Roman"/>
          <w:sz w:val="24"/>
          <w:szCs w:val="24"/>
        </w:rPr>
        <w:br/>
        <w:t>Hist.: DEQ 6-2001, f. 6-18-01, cert. ef. 7-1-01; DEQ 11-2002, f. &amp; cert. ef. 10-8-02; DEQ 12-2002(Temp), f. &amp; cert. ef. 10-8-02 thru 4-6-03; Administrative correction 11-10-03; DEQ 1-2004, f.&amp; cert. ef. 4-14-04; DEQ 1-2005, f. &amp; cert. ef. 1-4-05; DEQ 9-2005, f. &amp; cert. ef. 9-9-05</w:t>
      </w:r>
    </w:p>
    <w:p w:rsidR="00CF4BFD" w:rsidRPr="00B04DFD" w:rsidRDefault="00CF4BFD" w:rsidP="00404E04">
      <w:pPr>
        <w:spacing w:after="0" w:line="240" w:lineRule="auto"/>
        <w:rPr>
          <w:rFonts w:ascii="Times New Roman" w:eastAsia="Times New Roman" w:hAnsi="Times New Roman" w:cs="Times New Roman"/>
          <w:sz w:val="24"/>
          <w:szCs w:val="24"/>
        </w:rPr>
      </w:pP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340-225-0030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Procedural Requirements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(1) Emissions data for all existing and proposed emission points from the source or modification. This data must represent maximum emissions for the averaging times by pollutant</w:t>
      </w:r>
      <w:r>
        <w:rPr>
          <w:rFonts w:ascii="Times New Roman" w:eastAsia="Times New Roman" w:hAnsi="Times New Roman" w:cs="Times New Roman"/>
          <w:sz w:val="24"/>
          <w:szCs w:val="24"/>
        </w:rPr>
        <w:t xml:space="preserve"> consistent with the ambient air quality standards in division 202.</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(2) Stack parameter data (height above ground, exit diameter, exit velocity, and exit temperature data for all existing and proposed emission points from the source or modification;</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(3) An analysis of the air quality and visibility impact of the source or modification, including meteorological and topographical data, specific details of models used, and other information necessary to estimate air quality impacts; and</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(4) An analysis of the air quality and visibility impacts, and the nature and extent of all commercial, residential, industrial, and other source emission growth, that has occurred since January 1, 1978, in the area the source or modification would significantly affect.</w:t>
      </w:r>
    </w:p>
    <w:p w:rsidR="00CF4B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Stat. Auth.: ORS 468.020</w:t>
      </w:r>
      <w:r w:rsidRPr="00B04DFD">
        <w:rPr>
          <w:rFonts w:ascii="Times New Roman" w:eastAsia="Times New Roman" w:hAnsi="Times New Roman" w:cs="Times New Roman"/>
          <w:sz w:val="24"/>
          <w:szCs w:val="24"/>
        </w:rPr>
        <w:br/>
        <w:t>Stats. Implemented: ORS 468A</w:t>
      </w:r>
      <w:r w:rsidRPr="00B04DFD">
        <w:rPr>
          <w:rFonts w:ascii="Times New Roman" w:eastAsia="Times New Roman" w:hAnsi="Times New Roman" w:cs="Times New Roman"/>
          <w:sz w:val="24"/>
          <w:szCs w:val="24"/>
        </w:rPr>
        <w:br/>
        <w:t>Hist.: DEQ 6-2001, f. 6-18-01, cert. ef. 7-1-01</w:t>
      </w:r>
    </w:p>
    <w:p w:rsidR="00CF4BFD" w:rsidRPr="00B04DFD" w:rsidRDefault="00CF4BFD" w:rsidP="00404E04">
      <w:pPr>
        <w:spacing w:after="0" w:line="240" w:lineRule="auto"/>
        <w:rPr>
          <w:rFonts w:ascii="Times New Roman" w:eastAsia="Times New Roman" w:hAnsi="Times New Roman" w:cs="Times New Roman"/>
          <w:sz w:val="24"/>
          <w:szCs w:val="24"/>
        </w:rPr>
      </w:pP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340-225-0045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Requirements for Analysis in Maintenance Areas</w:t>
      </w:r>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Modeling: For determining compliance with the limits established in OAR 340-224-0060(2)(c) and (2)(d), NAAQS, and PSD Increments, the following methods must be used: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For each maintenance pollutant and its precursors, a</w:t>
      </w:r>
      <w:r w:rsidRPr="00B04DFD">
        <w:rPr>
          <w:rFonts w:ascii="Times New Roman" w:eastAsia="Times New Roman" w:hAnsi="Times New Roman" w:cs="Times New Roman"/>
          <w:sz w:val="24"/>
          <w:szCs w:val="24"/>
        </w:rPr>
        <w:t xml:space="preserve"> single source impact analysis is sufficient to show compliance with standards, PSD increments, and limits if modeled impacts from </w:t>
      </w:r>
      <w:r>
        <w:rPr>
          <w:rFonts w:ascii="Times New Roman" w:eastAsia="Times New Roman" w:hAnsi="Times New Roman" w:cs="Times New Roman"/>
          <w:sz w:val="24"/>
          <w:szCs w:val="24"/>
        </w:rPr>
        <w:t xml:space="preserve">emission increases equal to or greater than a significant emission rate above the netting basis due to </w:t>
      </w:r>
      <w:r w:rsidRPr="00B04DF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proposed </w:t>
      </w:r>
      <w:r w:rsidRPr="00B04DFD">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 xml:space="preserve">or modification </w:t>
      </w:r>
      <w:r w:rsidRPr="00B04DFD">
        <w:rPr>
          <w:rFonts w:ascii="Times New Roman" w:eastAsia="Times New Roman" w:hAnsi="Times New Roman" w:cs="Times New Roman"/>
          <w:sz w:val="24"/>
          <w:szCs w:val="24"/>
        </w:rPr>
        <w:t xml:space="preserve">being evaluated are less than the </w:t>
      </w:r>
      <w:r>
        <w:rPr>
          <w:rFonts w:ascii="Times New Roman" w:eastAsia="Times New Roman" w:hAnsi="Times New Roman" w:cs="Times New Roman"/>
          <w:sz w:val="24"/>
          <w:szCs w:val="24"/>
        </w:rPr>
        <w:t xml:space="preserve">Class II </w:t>
      </w:r>
      <w:r w:rsidRPr="00B04DFD">
        <w:rPr>
          <w:rFonts w:ascii="Times New Roman" w:eastAsia="Times New Roman" w:hAnsi="Times New Roman" w:cs="Times New Roman"/>
          <w:sz w:val="24"/>
          <w:szCs w:val="24"/>
        </w:rPr>
        <w:t xml:space="preserve">Significant Air Quality Impact </w:t>
      </w:r>
      <w:r>
        <w:rPr>
          <w:rFonts w:ascii="Times New Roman" w:eastAsia="Times New Roman" w:hAnsi="Times New Roman" w:cs="Times New Roman"/>
          <w:sz w:val="24"/>
          <w:szCs w:val="24"/>
        </w:rPr>
        <w:t>L</w:t>
      </w:r>
      <w:r w:rsidRPr="00B04DFD">
        <w:rPr>
          <w:rFonts w:ascii="Times New Roman" w:eastAsia="Times New Roman" w:hAnsi="Times New Roman" w:cs="Times New Roman"/>
          <w:sz w:val="24"/>
          <w:szCs w:val="24"/>
        </w:rPr>
        <w:t xml:space="preserve">evels specified in OAR 340-200-0020, Table 1.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(2) If the requirement </w:t>
      </w:r>
      <w:r>
        <w:rPr>
          <w:rFonts w:ascii="Times New Roman" w:eastAsia="Times New Roman" w:hAnsi="Times New Roman" w:cs="Times New Roman"/>
          <w:sz w:val="24"/>
          <w:szCs w:val="24"/>
        </w:rPr>
        <w:t xml:space="preserve">in section (1) of this rule </w:t>
      </w:r>
      <w:r w:rsidRPr="00B04DFD">
        <w:rPr>
          <w:rFonts w:ascii="Times New Roman" w:eastAsia="Times New Roman" w:hAnsi="Times New Roman" w:cs="Times New Roman"/>
          <w:sz w:val="24"/>
          <w:szCs w:val="24"/>
        </w:rPr>
        <w:t>is not satisfied, the owner or operator of a proposed source or modification being evaluated must perform competing source modeling as follows: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For demonstrating compliance with the maintenance area limits established in OAR 340-224-0060(2)(c) and (2)(d), the owner or operator of a proposed source or modification must show that modeled impacts from the proposed increased emissions plus Competing Source Impacts, plus predicted maintenance area concentration are less than the limits for all averaging times.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CF4BFD" w:rsidRPr="00156E91"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CF4B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Stat. Auth.: ORS 468.020</w:t>
      </w:r>
      <w:r w:rsidRPr="00B04DFD">
        <w:rPr>
          <w:rFonts w:ascii="Times New Roman" w:eastAsia="Times New Roman" w:hAnsi="Times New Roman" w:cs="Times New Roman"/>
          <w:sz w:val="24"/>
          <w:szCs w:val="24"/>
        </w:rPr>
        <w:br/>
        <w:t>Stats. Implemented: ORS 468A, 468A.025 &amp; 468A.035</w:t>
      </w:r>
      <w:r w:rsidRPr="00B04DFD">
        <w:rPr>
          <w:rFonts w:ascii="Times New Roman" w:eastAsia="Times New Roman" w:hAnsi="Times New Roman" w:cs="Times New Roman"/>
          <w:sz w:val="24"/>
          <w:szCs w:val="24"/>
        </w:rPr>
        <w:br/>
        <w:t xml:space="preserve">Hist.: DEQ 11-2002, f. &amp; cert. ef. 10-8-02; DEQ 1-2005, f. &amp; cert. ef. 1-4-05 </w:t>
      </w:r>
    </w:p>
    <w:p w:rsidR="00CF4BFD" w:rsidRPr="00B04DFD" w:rsidRDefault="00CF4BFD" w:rsidP="00404E04">
      <w:pPr>
        <w:spacing w:after="0" w:line="240" w:lineRule="auto"/>
        <w:rPr>
          <w:rFonts w:ascii="Times New Roman" w:eastAsia="Times New Roman" w:hAnsi="Times New Roman" w:cs="Times New Roman"/>
          <w:sz w:val="24"/>
          <w:szCs w:val="24"/>
        </w:rPr>
      </w:pP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340-225-0050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Requirements for Analysis in PSD Class II and Class III Areas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Modeling: For determining compliance with the NAAQS and PSD Increments in PSD Class II and Class III areas, the following methods must be used:</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For each pollutant and its precursors, a</w:t>
      </w:r>
      <w:r w:rsidRPr="00B04DFD">
        <w:rPr>
          <w:rFonts w:ascii="Times New Roman" w:eastAsia="Times New Roman" w:hAnsi="Times New Roman" w:cs="Times New Roman"/>
          <w:sz w:val="24"/>
          <w:szCs w:val="24"/>
        </w:rPr>
        <w:t xml:space="preserve"> single source impact analysis is sufficient to show compliance with standards and </w:t>
      </w:r>
      <w:r>
        <w:rPr>
          <w:rFonts w:ascii="Times New Roman" w:eastAsia="Times New Roman" w:hAnsi="Times New Roman" w:cs="Times New Roman"/>
          <w:sz w:val="24"/>
          <w:szCs w:val="24"/>
        </w:rPr>
        <w:t xml:space="preserve">PSD </w:t>
      </w:r>
      <w:r w:rsidRPr="00B04DFD">
        <w:rPr>
          <w:rFonts w:ascii="Times New Roman" w:eastAsia="Times New Roman" w:hAnsi="Times New Roman" w:cs="Times New Roman"/>
          <w:sz w:val="24"/>
          <w:szCs w:val="24"/>
        </w:rPr>
        <w:t xml:space="preserve">increments if modeled impacts from </w:t>
      </w:r>
      <w:r>
        <w:rPr>
          <w:rFonts w:ascii="Times New Roman" w:eastAsia="Times New Roman" w:hAnsi="Times New Roman" w:cs="Times New Roman"/>
          <w:sz w:val="24"/>
          <w:szCs w:val="24"/>
        </w:rPr>
        <w:t xml:space="preserve">emission increases equal to or greater than a significant emission rate above the netting basis due to </w:t>
      </w:r>
      <w:r w:rsidRPr="00B04DF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proposed </w:t>
      </w:r>
      <w:r w:rsidRPr="00B04DFD">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 xml:space="preserve">or modification </w:t>
      </w:r>
      <w:r w:rsidRPr="00B04DFD">
        <w:rPr>
          <w:rFonts w:ascii="Times New Roman" w:eastAsia="Times New Roman" w:hAnsi="Times New Roman" w:cs="Times New Roman"/>
          <w:sz w:val="24"/>
          <w:szCs w:val="24"/>
        </w:rPr>
        <w:t xml:space="preserve">being evaluated are less than the </w:t>
      </w:r>
      <w:r>
        <w:rPr>
          <w:rFonts w:ascii="Times New Roman" w:eastAsia="Times New Roman" w:hAnsi="Times New Roman" w:cs="Times New Roman"/>
          <w:sz w:val="24"/>
          <w:szCs w:val="24"/>
        </w:rPr>
        <w:t xml:space="preserve">Class II </w:t>
      </w:r>
      <w:r w:rsidRPr="00B04DFD">
        <w:rPr>
          <w:rFonts w:ascii="Times New Roman" w:eastAsia="Times New Roman" w:hAnsi="Times New Roman" w:cs="Times New Roman"/>
          <w:sz w:val="24"/>
          <w:szCs w:val="24"/>
        </w:rPr>
        <w:t xml:space="preserve">Significant Air Quality Impact </w:t>
      </w:r>
      <w:r>
        <w:rPr>
          <w:rFonts w:ascii="Times New Roman" w:eastAsia="Times New Roman" w:hAnsi="Times New Roman" w:cs="Times New Roman"/>
          <w:sz w:val="24"/>
          <w:szCs w:val="24"/>
        </w:rPr>
        <w:t>L</w:t>
      </w:r>
      <w:r w:rsidRPr="00B04DFD">
        <w:rPr>
          <w:rFonts w:ascii="Times New Roman" w:eastAsia="Times New Roman" w:hAnsi="Times New Roman" w:cs="Times New Roman"/>
          <w:sz w:val="24"/>
          <w:szCs w:val="24"/>
        </w:rPr>
        <w:t>evels specified in OAR 340-200-0020, Table 1.</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(2) If the requirement </w:t>
      </w:r>
      <w:r>
        <w:rPr>
          <w:rFonts w:ascii="Times New Roman" w:eastAsia="Times New Roman" w:hAnsi="Times New Roman" w:cs="Times New Roman"/>
          <w:sz w:val="24"/>
          <w:szCs w:val="24"/>
        </w:rPr>
        <w:t xml:space="preserve">in section (1) of this rule </w:t>
      </w:r>
      <w:r w:rsidRPr="00B04DFD">
        <w:rPr>
          <w:rFonts w:ascii="Times New Roman" w:eastAsia="Times New Roman" w:hAnsi="Times New Roman" w:cs="Times New Roman"/>
          <w:sz w:val="24"/>
          <w:szCs w:val="24"/>
        </w:rPr>
        <w:t>is not satisfied, the owner or operator of a proposed source or modification being evaluated must perform competing source modeling as follows: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(b) For demonstrating compliance with the NAAQS, the owner or operator of a proposed source must show that the total modeled impacts plus total Competing NAAQS Source Impacts plus General Background Concentrations are less than the NAAQS for all averaging times.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(3) Additional Impact Modeling:</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(b) The owner or operator must provide an analysis of the air quality concentration projected for the area as a result of general commercial, residential, industrial and other growth associated with the source or modification.</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(4) Air Quality Monitoring:</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w:t>
      </w:r>
      <w:r w:rsidRPr="00B04DFD">
        <w:rPr>
          <w:rFonts w:ascii="Times New Roman" w:eastAsia="Times New Roman" w:hAnsi="Times New Roman" w:cs="Times New Roman"/>
          <w:sz w:val="24"/>
          <w:szCs w:val="24"/>
        </w:rPr>
        <w:lastRenderedPageBreak/>
        <w:t>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(B) Required air quality monitoring must be conducted in accordance with 40 CFR 58 Appendix B, "Quality Assurance Requirements for Prevention of Significant Deterioration (PSD) Air Monitoring" (July 1, 2000) and with other methods on file with the Department.</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(i) Carbon monoxide; 575 ug/m3, 8 hour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(ii) Nitrogen dioxide; 14 ug/m3, annual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(iii) PM10; 10 ug/m3, 24 hour average</w:t>
      </w:r>
      <w:r>
        <w:rPr>
          <w:rFonts w:ascii="Times New Roman" w:eastAsia="Times New Roman" w:hAnsi="Times New Roman" w:cs="Times New Roman"/>
          <w:sz w:val="24"/>
          <w:szCs w:val="24"/>
        </w:rPr>
        <w:t>;</w:t>
      </w:r>
    </w:p>
    <w:p w:rsidR="00CF4BFD" w:rsidRDefault="00CF4BFD" w:rsidP="00404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PM2.5; 4 ug/m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24-hour average;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(v) Sulfur dioxide; 13 ug/m3, 24 hour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(v</w:t>
      </w:r>
      <w:r>
        <w:rPr>
          <w:rFonts w:ascii="Times New Roman" w:eastAsia="Times New Roman" w:hAnsi="Times New Roman" w:cs="Times New Roman"/>
          <w:sz w:val="24"/>
          <w:szCs w:val="24"/>
        </w:rPr>
        <w:t>i</w:t>
      </w:r>
      <w:r w:rsidRPr="00B04DFD">
        <w:rPr>
          <w:rFonts w:ascii="Times New Roman" w:eastAsia="Times New Roman" w:hAnsi="Times New Roman" w:cs="Times New Roman"/>
          <w:sz w:val="24"/>
          <w:szCs w:val="24"/>
        </w:rPr>
        <w:t>)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(vi</w:t>
      </w:r>
      <w:r>
        <w:rPr>
          <w:rFonts w:ascii="Times New Roman" w:eastAsia="Times New Roman" w:hAnsi="Times New Roman" w:cs="Times New Roman"/>
          <w:sz w:val="24"/>
          <w:szCs w:val="24"/>
        </w:rPr>
        <w:t>i</w:t>
      </w:r>
      <w:r w:rsidRPr="00B04DFD">
        <w:rPr>
          <w:rFonts w:ascii="Times New Roman" w:eastAsia="Times New Roman" w:hAnsi="Times New Roman" w:cs="Times New Roman"/>
          <w:sz w:val="24"/>
          <w:szCs w:val="24"/>
        </w:rPr>
        <w:t>) Lead; 0.1 ug/m3, 24 hour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(vii</w:t>
      </w:r>
      <w:r>
        <w:rPr>
          <w:rFonts w:ascii="Times New Roman" w:eastAsia="Times New Roman" w:hAnsi="Times New Roman" w:cs="Times New Roman"/>
          <w:sz w:val="24"/>
          <w:szCs w:val="24"/>
        </w:rPr>
        <w:t>i</w:t>
      </w:r>
      <w:r w:rsidRPr="00B04DFD">
        <w:rPr>
          <w:rFonts w:ascii="Times New Roman" w:eastAsia="Times New Roman" w:hAnsi="Times New Roman" w:cs="Times New Roman"/>
          <w:sz w:val="24"/>
          <w:szCs w:val="24"/>
        </w:rPr>
        <w:t>) Fluorides; 0.25 ug/m3, 24 hour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(i</w:t>
      </w:r>
      <w:r>
        <w:rPr>
          <w:rFonts w:ascii="Times New Roman" w:eastAsia="Times New Roman" w:hAnsi="Times New Roman" w:cs="Times New Roman"/>
          <w:sz w:val="24"/>
          <w:szCs w:val="24"/>
        </w:rPr>
        <w:t>x</w:t>
      </w:r>
      <w:r w:rsidRPr="00B04DFD">
        <w:rPr>
          <w:rFonts w:ascii="Times New Roman" w:eastAsia="Times New Roman" w:hAnsi="Times New Roman" w:cs="Times New Roman"/>
          <w:sz w:val="24"/>
          <w:szCs w:val="24"/>
        </w:rPr>
        <w:t>) Total reduced sulfur; 10 ug/m3, 1 hour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(x) Hydrogen sulfide; 0.04 ug/m3, 1 hour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(x</w:t>
      </w:r>
      <w:r>
        <w:rPr>
          <w:rFonts w:ascii="Times New Roman" w:eastAsia="Times New Roman" w:hAnsi="Times New Roman" w:cs="Times New Roman"/>
          <w:sz w:val="24"/>
          <w:szCs w:val="24"/>
        </w:rPr>
        <w:t>i</w:t>
      </w:r>
      <w:r w:rsidRPr="00B04DFD">
        <w:rPr>
          <w:rFonts w:ascii="Times New Roman" w:eastAsia="Times New Roman" w:hAnsi="Times New Roman" w:cs="Times New Roman"/>
          <w:sz w:val="24"/>
          <w:szCs w:val="24"/>
        </w:rPr>
        <w:t>) Reduced sulfur compounds; 10 ug/m3, 1 hour average.</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(E) When PM10 preconstruction monitoring is required by this section, at least four months of data must be collected, including the season(s) the Department judges to have the highest PM10 levels. PM10 must be measured in accordance with 40 CFR part 50, Appendix J (July 1, 1999). In some cases, a full year of data will be required.</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(b) After construction has been completed, the Department may require ambient air quality monitoring as a permit condition to establish the effect of emissions, other than volatile organic compounds, on the air quality of any area that such emissions could affect.</w:t>
      </w:r>
    </w:p>
    <w:p w:rsidR="00CF4BFD" w:rsidRPr="00B04DFD" w:rsidRDefault="00CF4BFD" w:rsidP="00404E04">
      <w:pPr>
        <w:pStyle w:val="NormalWeb"/>
        <w:spacing w:before="0" w:beforeAutospacing="0" w:after="0" w:afterAutospacing="0"/>
      </w:pPr>
      <w:r w:rsidRPr="00B04DFD">
        <w:lastRenderedPageBreak/>
        <w:t xml:space="preserve">[ED. NOTE: </w:t>
      </w:r>
      <w:r>
        <w:t>The t</w:t>
      </w:r>
      <w:r w:rsidRPr="00B04DFD">
        <w:t xml:space="preserve">ables referenced </w:t>
      </w:r>
      <w:r>
        <w:t xml:space="preserve">in this rule </w:t>
      </w:r>
      <w:r w:rsidRPr="00B04DFD">
        <w:t xml:space="preserve">are </w:t>
      </w:r>
      <w:r>
        <w:t xml:space="preserve">not included in the rule text.  </w:t>
      </w:r>
      <w:r w:rsidRPr="0018546B">
        <w:rPr>
          <w:color w:val="0070C0"/>
          <w:u w:val="single"/>
        </w:rPr>
        <w:t>Click here for a PDF copy of the tables</w:t>
      </w:r>
      <w:r w:rsidRPr="00B04DFD">
        <w:t>.]</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[Publications: Publications referenced are available from the agency.]</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Stat. Auth.: ORS 468.020</w:t>
      </w:r>
      <w:r w:rsidRPr="00B04DFD">
        <w:rPr>
          <w:rFonts w:ascii="Times New Roman" w:eastAsia="Times New Roman" w:hAnsi="Times New Roman" w:cs="Times New Roman"/>
          <w:sz w:val="24"/>
          <w:szCs w:val="24"/>
        </w:rPr>
        <w:br/>
        <w:t>Stats. Implemented: ORS 468A</w:t>
      </w:r>
      <w:r w:rsidRPr="00B04DFD">
        <w:rPr>
          <w:rFonts w:ascii="Times New Roman" w:eastAsia="Times New Roman" w:hAnsi="Times New Roman" w:cs="Times New Roman"/>
          <w:sz w:val="24"/>
          <w:szCs w:val="24"/>
        </w:rPr>
        <w:br/>
        <w:t>Hist.: DEQ 6-2001, f. 6-18-01, cert. ef. 7-1-01; DEQ 11-2002, f. &amp; cert. ef. 10-8-02; DEQ 1-2004, f.&amp; cert. ef. 4-14-04</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340-225-0060</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Requirements for Demonstrating Compliance with Standards and Increments in PSD Class I Areas</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For determining compliance with standards and increments in PSD Class I areas, the following methods must be used:</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(1) Before January 1, 2003, the owner or operator of a source (where required by divisions 222 or 224) must model impacts and demonstrate compliance with standards and increments on all PSD Class I areas that may be affected by the source or modification.</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(2) On or after January 1, 2003, the owner or operator of a source (where required by divisions 222 or 224) must meet the following requirements:</w:t>
      </w:r>
    </w:p>
    <w:p w:rsidR="00CF4B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For each pollutant and its precursors, a</w:t>
      </w:r>
      <w:r w:rsidRPr="00B04DFD">
        <w:rPr>
          <w:rFonts w:ascii="Times New Roman" w:eastAsia="Times New Roman" w:hAnsi="Times New Roman" w:cs="Times New Roman"/>
          <w:sz w:val="24"/>
          <w:szCs w:val="24"/>
        </w:rPr>
        <w:t xml:space="preserve"> single source impact analysis will be sufficient to show compliance with increments if modeled impacts from</w:t>
      </w:r>
      <w:r>
        <w:rPr>
          <w:rFonts w:ascii="Times New Roman" w:eastAsia="Times New Roman" w:hAnsi="Times New Roman" w:cs="Times New Roman"/>
          <w:sz w:val="24"/>
          <w:szCs w:val="24"/>
        </w:rPr>
        <w:t xml:space="preserve"> emission increases equal to or greater than a significant emission rate above the netting basis due to </w:t>
      </w:r>
      <w:r w:rsidRPr="00B04DF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proposed </w:t>
      </w:r>
      <w:r w:rsidRPr="00B04DFD">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or modification</w:t>
      </w:r>
      <w:r w:rsidRPr="00B04DFD">
        <w:rPr>
          <w:rFonts w:ascii="Times New Roman" w:eastAsia="Times New Roman" w:hAnsi="Times New Roman" w:cs="Times New Roman"/>
          <w:sz w:val="24"/>
          <w:szCs w:val="24"/>
        </w:rPr>
        <w:t xml:space="preserve"> being evaluated are demonstrated to be less than the </w:t>
      </w:r>
      <w:r>
        <w:rPr>
          <w:rFonts w:ascii="Times New Roman" w:eastAsia="Times New Roman" w:hAnsi="Times New Roman" w:cs="Times New Roman"/>
          <w:sz w:val="24"/>
          <w:szCs w:val="24"/>
        </w:rPr>
        <w:t xml:space="preserve">Class I </w:t>
      </w:r>
      <w:r w:rsidRPr="00B04DFD">
        <w:rPr>
          <w:rFonts w:ascii="Times New Roman" w:eastAsia="Times New Roman" w:hAnsi="Times New Roman" w:cs="Times New Roman"/>
          <w:sz w:val="24"/>
          <w:szCs w:val="24"/>
        </w:rPr>
        <w:t xml:space="preserve">impact levels specified in </w:t>
      </w:r>
      <w:r>
        <w:rPr>
          <w:rFonts w:ascii="Times New Roman" w:eastAsia="Times New Roman" w:hAnsi="Times New Roman" w:cs="Times New Roman"/>
          <w:sz w:val="24"/>
          <w:szCs w:val="24"/>
        </w:rPr>
        <w:t xml:space="preserve">OAR 340-200-0020, </w:t>
      </w:r>
      <w:r w:rsidRPr="00B04DFD">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1</w:t>
      </w:r>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If the requirement </w:t>
      </w:r>
      <w:r>
        <w:rPr>
          <w:rFonts w:ascii="Times New Roman" w:eastAsia="Times New Roman" w:hAnsi="Times New Roman" w:cs="Times New Roman"/>
          <w:sz w:val="24"/>
          <w:szCs w:val="24"/>
        </w:rPr>
        <w:t xml:space="preserve">in subsection (a) of this section </w:t>
      </w:r>
      <w:r w:rsidRPr="00B04DFD">
        <w:rPr>
          <w:rFonts w:ascii="Times New Roman" w:eastAsia="Times New Roman" w:hAnsi="Times New Roman" w:cs="Times New Roman"/>
          <w:sz w:val="24"/>
          <w:szCs w:val="24"/>
        </w:rPr>
        <w:t>is not satisfied, the owner or operator must also show that the increased source impacts (above Baseline Concentration) plus Competing PSD Increment Consuming Source Impacts are less than the PSD increments for all averaging times</w:t>
      </w:r>
      <w:r>
        <w:rPr>
          <w:rFonts w:ascii="Times New Roman" w:eastAsia="Times New Roman" w:hAnsi="Times New Roman" w:cs="Times New Roman"/>
          <w:sz w:val="24"/>
          <w:szCs w:val="24"/>
        </w:rPr>
        <w:t>.</w:t>
      </w:r>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For each pollutant and its precursors, a</w:t>
      </w:r>
      <w:r w:rsidRPr="00B04DFD">
        <w:rPr>
          <w:rFonts w:ascii="Times New Roman" w:eastAsia="Times New Roman" w:hAnsi="Times New Roman" w:cs="Times New Roman"/>
          <w:sz w:val="24"/>
          <w:szCs w:val="24"/>
        </w:rPr>
        <w:t xml:space="preserve"> single source impact analysis will be sufficient to show compliance with standards if modeled impacts from </w:t>
      </w:r>
      <w:r>
        <w:rPr>
          <w:rFonts w:ascii="Times New Roman" w:eastAsia="Times New Roman" w:hAnsi="Times New Roman" w:cs="Times New Roman"/>
          <w:sz w:val="24"/>
          <w:szCs w:val="24"/>
        </w:rPr>
        <w:t xml:space="preserve">emission increases equal to or greater than a significant emission rate above the netting basis due to </w:t>
      </w:r>
      <w:r w:rsidRPr="00B04DF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proposed </w:t>
      </w:r>
      <w:r w:rsidRPr="00B04DFD">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or modification</w:t>
      </w:r>
      <w:r w:rsidRPr="00B04DFD">
        <w:rPr>
          <w:rFonts w:ascii="Times New Roman" w:eastAsia="Times New Roman" w:hAnsi="Times New Roman" w:cs="Times New Roman"/>
          <w:sz w:val="24"/>
          <w:szCs w:val="24"/>
        </w:rPr>
        <w:t xml:space="preserve">  being evaluated are demonstrated to be less than the </w:t>
      </w:r>
      <w:r>
        <w:rPr>
          <w:rFonts w:ascii="Times New Roman" w:eastAsia="Times New Roman" w:hAnsi="Times New Roman" w:cs="Times New Roman"/>
          <w:sz w:val="24"/>
          <w:szCs w:val="24"/>
        </w:rPr>
        <w:t xml:space="preserve">Class II </w:t>
      </w:r>
      <w:r w:rsidRPr="00B04DFD">
        <w:rPr>
          <w:rFonts w:ascii="Times New Roman" w:eastAsia="Times New Roman" w:hAnsi="Times New Roman" w:cs="Times New Roman"/>
          <w:sz w:val="24"/>
          <w:szCs w:val="24"/>
        </w:rPr>
        <w:t>impact levels specified in OAR 340-200-0020, Table 1.</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 If the requirement of </w:t>
      </w:r>
      <w:r>
        <w:rPr>
          <w:rFonts w:ascii="Times New Roman" w:eastAsia="Times New Roman" w:hAnsi="Times New Roman" w:cs="Times New Roman"/>
          <w:sz w:val="24"/>
          <w:szCs w:val="24"/>
        </w:rPr>
        <w:t xml:space="preserve">subsection </w:t>
      </w:r>
      <w:r w:rsidRPr="00B04DFD">
        <w:rPr>
          <w:rFonts w:ascii="Times New Roman" w:eastAsia="Times New Roman" w:hAnsi="Times New Roman" w:cs="Times New Roman"/>
          <w:sz w:val="24"/>
          <w:szCs w:val="24"/>
        </w:rPr>
        <w:t xml:space="preserve">(2)(a) </w:t>
      </w:r>
      <w:r>
        <w:rPr>
          <w:rFonts w:ascii="Times New Roman" w:eastAsia="Times New Roman" w:hAnsi="Times New Roman" w:cs="Times New Roman"/>
          <w:sz w:val="24"/>
          <w:szCs w:val="24"/>
        </w:rPr>
        <w:t xml:space="preserve">of this section </w:t>
      </w:r>
      <w:r w:rsidRPr="00B04DFD">
        <w:rPr>
          <w:rFonts w:ascii="Times New Roman" w:eastAsia="Times New Roman" w:hAnsi="Times New Roman" w:cs="Times New Roman"/>
          <w:sz w:val="24"/>
          <w:szCs w:val="24"/>
        </w:rPr>
        <w:t>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w:t>
      </w:r>
    </w:p>
    <w:p w:rsidR="00CF4BFD" w:rsidRPr="007662B2" w:rsidRDefault="00CF4BFD" w:rsidP="00404E04">
      <w:pPr>
        <w:pStyle w:val="NormalWeb"/>
        <w:spacing w:before="0" w:beforeAutospacing="0" w:after="0" w:afterAutospacing="0"/>
      </w:pPr>
      <w:r w:rsidRPr="00B04DFD">
        <w:t xml:space="preserve">[ED. NOTE: </w:t>
      </w:r>
      <w:r>
        <w:t>The t</w:t>
      </w:r>
      <w:r w:rsidRPr="00B04DFD">
        <w:t>able</w:t>
      </w:r>
      <w:r>
        <w:t>s</w:t>
      </w:r>
      <w:r w:rsidRPr="00B04DFD">
        <w:t xml:space="preserve"> referenced in this rule are </w:t>
      </w:r>
      <w:r>
        <w:t xml:space="preserve">not included in the rule text.  </w:t>
      </w:r>
      <w:r w:rsidRPr="0018546B">
        <w:rPr>
          <w:color w:val="0070C0"/>
          <w:u w:val="single"/>
        </w:rPr>
        <w:t>Click here for a PDF copy of the tables</w:t>
      </w:r>
      <w:r w:rsidRPr="0018546B">
        <w:rPr>
          <w:rFonts w:asciiTheme="minorHAnsi" w:eastAsiaTheme="minorHAnsi" w:hAnsiTheme="minorHAnsi" w:cstheme="minorBidi"/>
          <w:color w:val="0070C0"/>
          <w:sz w:val="22"/>
          <w:szCs w:val="22"/>
          <w:u w:val="single"/>
        </w:rPr>
        <w:t>.</w:t>
      </w:r>
      <w:r w:rsidRPr="007662B2">
        <w:rPr>
          <w:rFonts w:asciiTheme="minorHAnsi" w:eastAsiaTheme="minorHAnsi" w:hAnsiTheme="minorHAnsi" w:cstheme="minorBidi"/>
          <w:sz w:val="22"/>
          <w:szCs w:val="22"/>
        </w:rPr>
        <w:t>]</w:t>
      </w:r>
    </w:p>
    <w:p w:rsidR="00CF4B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Stat. Auth.: ORS 468.020</w:t>
      </w:r>
      <w:r w:rsidRPr="00B04DFD">
        <w:rPr>
          <w:rFonts w:ascii="Times New Roman" w:eastAsia="Times New Roman" w:hAnsi="Times New Roman" w:cs="Times New Roman"/>
          <w:sz w:val="24"/>
          <w:szCs w:val="24"/>
        </w:rPr>
        <w:br/>
        <w:t>Stats. Implemented: ORS 468A</w:t>
      </w:r>
      <w:r w:rsidRPr="00B04DFD">
        <w:rPr>
          <w:rFonts w:ascii="Times New Roman" w:eastAsia="Times New Roman" w:hAnsi="Times New Roman" w:cs="Times New Roman"/>
          <w:sz w:val="24"/>
          <w:szCs w:val="24"/>
        </w:rPr>
        <w:br/>
        <w:t>Hist.: DEQ 6-2001, f. 6-18-01, cert. ef. 7-1-01; DEQ 11-2002, f. &amp; cert. ef. 10-8-02</w:t>
      </w:r>
    </w:p>
    <w:p w:rsidR="00CF4BFD" w:rsidRPr="00B04DFD" w:rsidRDefault="00CF4BFD" w:rsidP="00404E04">
      <w:pPr>
        <w:spacing w:after="0" w:line="240" w:lineRule="auto"/>
        <w:rPr>
          <w:rFonts w:ascii="Times New Roman" w:eastAsia="Times New Roman" w:hAnsi="Times New Roman" w:cs="Times New Roman"/>
          <w:sz w:val="24"/>
          <w:szCs w:val="24"/>
        </w:rPr>
      </w:pP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 xml:space="preserve">340-225-0090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t>Requirements for Demonstrating a Net Air Quality Benefit</w:t>
      </w:r>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Demonstrations of net air quality benefit for offsets must include the following: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lastRenderedPageBreak/>
        <w:t xml:space="preserve">(1) Ozone areas (VOC and NOx emissions). For sources capable of impacting a designated ozone nonattainment or maintenance area;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(a) Offsets for VOC and NOx are required if the source will be located within the designated area or within the Ozone Precursor Distance.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The amount and location of offsets must be determined in accordance with this subsection: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Pr>
          <w:rFonts w:ascii="Times New Roman" w:eastAsia="Times New Roman" w:hAnsi="Times New Roman" w:cs="Times New Roman"/>
          <w:sz w:val="24"/>
          <w:szCs w:val="24"/>
        </w:rPr>
        <w:t>A</w:t>
      </w:r>
      <w:r w:rsidRPr="00B04DFD">
        <w:rPr>
          <w:rFonts w:ascii="Times New Roman" w:eastAsia="Times New Roman" w:hAnsi="Times New Roman" w:cs="Times New Roman"/>
          <w:sz w:val="24"/>
          <w:szCs w:val="24"/>
        </w:rPr>
        <w:t xml:space="preserve">) For new or modified sources locating within a designated nonattainment area, the offset ratio is 1.1:1. These offsets must </w:t>
      </w:r>
      <w:r w:rsidRPr="00B04DFD">
        <w:rPr>
          <w:rFonts w:ascii="Times New Roman" w:eastAsia="Times New Roman" w:hAnsi="Times New Roman" w:cs="Times New Roman"/>
          <w:color w:val="000000"/>
          <w:sz w:val="24"/>
          <w:szCs w:val="24"/>
        </w:rPr>
        <w:t xml:space="preserve">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Pr>
          <w:rFonts w:ascii="Times New Roman" w:eastAsia="Times New Roman" w:hAnsi="Times New Roman" w:cs="Times New Roman"/>
          <w:sz w:val="24"/>
          <w:szCs w:val="24"/>
        </w:rPr>
        <w:t>B</w:t>
      </w:r>
      <w:r w:rsidRPr="00B04DFD">
        <w:rPr>
          <w:rFonts w:ascii="Times New Roman" w:eastAsia="Times New Roman" w:hAnsi="Times New Roman" w:cs="Times New Roman"/>
          <w:sz w:val="24"/>
          <w:szCs w:val="24"/>
        </w:rPr>
        <w:t xml:space="preserve">) For new or modified sources locating within a designated maintenance area, the offset ratio is 1.1:1. These offsets may come from within either the designated area or the ozone precursor distance.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Pr="00B04DFD">
        <w:rPr>
          <w:rFonts w:ascii="Times New Roman" w:eastAsia="Times New Roman" w:hAnsi="Times New Roman" w:cs="Times New Roman"/>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Pr="00B04DFD">
        <w:rPr>
          <w:rFonts w:ascii="Times New Roman" w:eastAsia="Times New Roman" w:hAnsi="Times New Roman" w:cs="Times New Roman"/>
          <w:sz w:val="24"/>
          <w:szCs w:val="24"/>
        </w:rPr>
        <w:t>)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(c) In lieu of obtaining offsets, the owner or operator may obtain an allocation at the rate of 1:1 from a growth allowance, if available, in an applicable maintenance plan.</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(d) Sources within or affecting the Medford Ozone Maintenance Area are exempt from the requirement for NOx offsets relating to ozone formation.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(e) Sources within or affecting the Salem Ozone Maintenance Area are exempt from the requirement for VOC and NOx offsets relating to ozone formation.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(2) Non-Ozone areas (</w:t>
      </w:r>
      <w:r>
        <w:rPr>
          <w:rFonts w:ascii="Times New Roman" w:eastAsia="Times New Roman" w:hAnsi="Times New Roman" w:cs="Times New Roman"/>
          <w:sz w:val="24"/>
          <w:szCs w:val="24"/>
        </w:rPr>
        <w:t xml:space="preserve">PM2.5, </w:t>
      </w:r>
      <w:r w:rsidRPr="00B04DFD">
        <w:rPr>
          <w:rFonts w:ascii="Times New Roman" w:eastAsia="Times New Roman" w:hAnsi="Times New Roman" w:cs="Times New Roman"/>
          <w:sz w:val="24"/>
          <w:szCs w:val="24"/>
        </w:rPr>
        <w:t>PM10, SO2, CO, NOx, and Lead emissions)</w:t>
      </w:r>
      <w:r>
        <w:rPr>
          <w:rFonts w:ascii="Times New Roman" w:eastAsia="Times New Roman" w:hAnsi="Times New Roman" w:cs="Times New Roman"/>
          <w:sz w:val="24"/>
          <w:szCs w:val="24"/>
        </w:rPr>
        <w:t>:</w:t>
      </w:r>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For a source locating within a designated nonattainment area, the owner or operator must</w:t>
      </w:r>
      <w:r>
        <w:rPr>
          <w:rFonts w:ascii="Times New Roman" w:eastAsia="Times New Roman" w:hAnsi="Times New Roman" w:cs="Times New Roman"/>
          <w:sz w:val="24"/>
          <w:szCs w:val="24"/>
        </w:rPr>
        <w:t xml:space="preserve"> comply with paragraphs (A) through (E) of this subsection</w:t>
      </w:r>
      <w:r w:rsidRPr="00B04DFD">
        <w:rPr>
          <w:rFonts w:ascii="Times New Roman" w:eastAsia="Times New Roman" w:hAnsi="Times New Roman" w:cs="Times New Roman"/>
          <w:sz w:val="24"/>
          <w:szCs w:val="24"/>
        </w:rPr>
        <w:t xml:space="preserv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Obtain offsets from within the same designated nonattainment area</w:t>
      </w:r>
      <w:r>
        <w:rPr>
          <w:rFonts w:ascii="Times New Roman" w:eastAsia="Times New Roman" w:hAnsi="Times New Roman" w:cs="Times New Roman"/>
          <w:sz w:val="24"/>
          <w:szCs w:val="24"/>
        </w:rPr>
        <w:t xml:space="preserve"> for the nonattainment pollutant(s)</w:t>
      </w:r>
      <w:r w:rsidRPr="00B04DFD">
        <w:rPr>
          <w:rFonts w:ascii="Times New Roman" w:eastAsia="Times New Roman" w:hAnsi="Times New Roman" w:cs="Times New Roman"/>
          <w:sz w:val="24"/>
          <w:szCs w:val="24"/>
        </w:rPr>
        <w:t xml:space="preserve">; </w:t>
      </w:r>
    </w:p>
    <w:p w:rsidR="00CF4B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Except as provided in paragraph (C) of this subsection, p</w:t>
      </w:r>
      <w:r w:rsidRPr="00B04DFD">
        <w:rPr>
          <w:rFonts w:ascii="Times New Roman" w:eastAsia="Times New Roman" w:hAnsi="Times New Roman" w:cs="Times New Roman"/>
          <w:sz w:val="24"/>
          <w:szCs w:val="24"/>
        </w:rPr>
        <w:t xml:space="preserve">rovide a minimum of 1:1 offsets for </w:t>
      </w:r>
      <w:r>
        <w:rPr>
          <w:rFonts w:ascii="Times New Roman" w:eastAsia="Times New Roman" w:hAnsi="Times New Roman" w:cs="Times New Roman"/>
          <w:sz w:val="24"/>
          <w:szCs w:val="24"/>
        </w:rPr>
        <w:t xml:space="preserve">each nonattainment pollutant and precursor with </w:t>
      </w:r>
      <w:r w:rsidRPr="00B04DFD">
        <w:rPr>
          <w:rFonts w:ascii="Times New Roman" w:eastAsia="Times New Roman" w:hAnsi="Times New Roman" w:cs="Times New Roman"/>
          <w:sz w:val="24"/>
          <w:szCs w:val="24"/>
        </w:rPr>
        <w:t>emission increases over the Netting Basis</w:t>
      </w:r>
      <w:r>
        <w:rPr>
          <w:rFonts w:ascii="Times New Roman" w:eastAsia="Times New Roman" w:hAnsi="Times New Roman" w:cs="Times New Roman"/>
          <w:sz w:val="24"/>
          <w:szCs w:val="24"/>
        </w:rPr>
        <w:t xml:space="preserve">; </w:t>
      </w:r>
    </w:p>
    <w:p w:rsidR="00CF4BFD" w:rsidRPr="00474467" w:rsidRDefault="00CF4BFD" w:rsidP="00404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For PM2.5; inter-pollutant offsets are allowed as follows</w:t>
      </w:r>
      <w:r w:rsidRPr="00474467">
        <w:rPr>
          <w:rFonts w:ascii="Times New Roman" w:eastAsia="Times New Roman" w:hAnsi="Times New Roman" w:cs="Times New Roman"/>
          <w:sz w:val="24"/>
          <w:szCs w:val="24"/>
        </w:rPr>
        <w:t xml:space="preserve">: </w:t>
      </w:r>
    </w:p>
    <w:p w:rsidR="00CF4BFD" w:rsidRPr="00474467" w:rsidRDefault="00CF4BFD" w:rsidP="00404E04">
      <w:pPr>
        <w:spacing w:after="0" w:line="240" w:lineRule="auto"/>
        <w:rPr>
          <w:rFonts w:ascii="Times New Roman" w:eastAsia="Times New Roman" w:hAnsi="Times New Roman" w:cs="Times New Roman"/>
          <w:sz w:val="24"/>
          <w:szCs w:val="24"/>
        </w:rPr>
      </w:pPr>
      <w:r w:rsidRPr="00474467">
        <w:rPr>
          <w:rFonts w:ascii="Times New Roman" w:eastAsia="Times New Roman" w:hAnsi="Times New Roman" w:cs="Times New Roman"/>
          <w:sz w:val="24"/>
          <w:szCs w:val="24"/>
        </w:rPr>
        <w:t xml:space="preserve">(i) 1 ton </w:t>
      </w:r>
      <w:r>
        <w:rPr>
          <w:rFonts w:ascii="Times New Roman" w:eastAsia="Times New Roman" w:hAnsi="Times New Roman" w:cs="Times New Roman"/>
          <w:sz w:val="24"/>
          <w:szCs w:val="24"/>
        </w:rPr>
        <w:t>of</w:t>
      </w:r>
      <w:r w:rsidRPr="004744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direct</w:t>
      </w:r>
      <w:r w:rsidRPr="00474467">
        <w:rPr>
          <w:rFonts w:ascii="Times New Roman" w:eastAsia="Times New Roman" w:hAnsi="Times New Roman" w:cs="Times New Roman"/>
          <w:sz w:val="24"/>
          <w:szCs w:val="24"/>
        </w:rPr>
        <w:t xml:space="preserve"> PM2.5 may be used to offset 40 tons of SO2;</w:t>
      </w:r>
    </w:p>
    <w:p w:rsidR="00CF4BFD" w:rsidRPr="00474467" w:rsidRDefault="00CF4BFD" w:rsidP="00404E04">
      <w:pPr>
        <w:spacing w:after="0" w:line="240" w:lineRule="auto"/>
        <w:rPr>
          <w:rFonts w:ascii="Times New Roman" w:eastAsia="Times New Roman" w:hAnsi="Times New Roman" w:cs="Times New Roman"/>
          <w:sz w:val="24"/>
          <w:szCs w:val="24"/>
        </w:rPr>
      </w:pPr>
      <w:r w:rsidRPr="00474467">
        <w:rPr>
          <w:rFonts w:ascii="Times New Roman" w:eastAsia="Times New Roman" w:hAnsi="Times New Roman" w:cs="Times New Roman"/>
          <w:sz w:val="24"/>
          <w:szCs w:val="24"/>
        </w:rPr>
        <w:t>(ii) 1 ton of direct PM2.5 may be used to offset 100 tons of NOx;</w:t>
      </w:r>
    </w:p>
    <w:p w:rsidR="00CF4BFD" w:rsidRPr="00474467" w:rsidRDefault="00CF4BFD" w:rsidP="00404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Pr="00474467">
        <w:rPr>
          <w:rFonts w:ascii="Times New Roman" w:eastAsia="Times New Roman" w:hAnsi="Times New Roman" w:cs="Times New Roman"/>
          <w:sz w:val="24"/>
          <w:szCs w:val="24"/>
        </w:rPr>
        <w:t>) 40 tons of SO2 may be used to off</w:t>
      </w:r>
      <w:r>
        <w:rPr>
          <w:rFonts w:ascii="Times New Roman" w:eastAsia="Times New Roman" w:hAnsi="Times New Roman" w:cs="Times New Roman"/>
          <w:sz w:val="24"/>
          <w:szCs w:val="24"/>
        </w:rPr>
        <w:t>set 1 ton of direct PM2.5;</w:t>
      </w:r>
    </w:p>
    <w:p w:rsidR="00CF4BFD" w:rsidRPr="00B04DFD" w:rsidRDefault="00CF4BFD" w:rsidP="00404E04">
      <w:pPr>
        <w:spacing w:after="0" w:line="240" w:lineRule="auto"/>
        <w:rPr>
          <w:rFonts w:ascii="Times New Roman" w:eastAsia="Times New Roman" w:hAnsi="Times New Roman" w:cs="Times New Roman"/>
          <w:sz w:val="24"/>
          <w:szCs w:val="24"/>
        </w:rPr>
      </w:pPr>
      <w:r w:rsidRPr="00474467">
        <w:rPr>
          <w:rFonts w:ascii="Times New Roman" w:eastAsia="Times New Roman" w:hAnsi="Times New Roman" w:cs="Times New Roman"/>
          <w:sz w:val="24"/>
          <w:szCs w:val="24"/>
        </w:rPr>
        <w:t>(</w:t>
      </w:r>
      <w:r>
        <w:rPr>
          <w:rFonts w:ascii="Times New Roman" w:eastAsia="Times New Roman" w:hAnsi="Times New Roman" w:cs="Times New Roman"/>
          <w:sz w:val="24"/>
          <w:szCs w:val="24"/>
        </w:rPr>
        <w:t>i</w:t>
      </w:r>
      <w:r w:rsidRPr="00474467">
        <w:rPr>
          <w:rFonts w:ascii="Times New Roman" w:eastAsia="Times New Roman" w:hAnsi="Times New Roman" w:cs="Times New Roman"/>
          <w:sz w:val="24"/>
          <w:szCs w:val="24"/>
        </w:rPr>
        <w:t xml:space="preserve">v) 100 tons of NOx may be used to offset 1 ton of direct PM2.5.  </w:t>
      </w:r>
    </w:p>
    <w:p w:rsidR="00CF4BFD" w:rsidRDefault="00CF4BFD" w:rsidP="00404E04">
      <w:pPr>
        <w:spacing w:after="0" w:line="240" w:lineRule="auto"/>
        <w:rPr>
          <w:rFonts w:ascii="Times New Roman" w:eastAsia="Times New Roman" w:hAnsi="Times New Roman" w:cs="Times New Roman"/>
          <w:sz w:val="24"/>
          <w:szCs w:val="24"/>
        </w:rPr>
      </w:pPr>
      <w:r w:rsidDel="009027E9">
        <w:rPr>
          <w:rFonts w:ascii="Times New Roman" w:eastAsia="Times New Roman" w:hAnsi="Times New Roman" w:cs="Times New Roman"/>
          <w:sz w:val="24"/>
          <w:szCs w:val="24"/>
        </w:rPr>
        <w:t xml:space="preserve"> </w:t>
      </w:r>
      <w:r w:rsidRPr="00B04DFD">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Pr="00B04DFD">
        <w:rPr>
          <w:rFonts w:ascii="Times New Roman" w:eastAsia="Times New Roman" w:hAnsi="Times New Roman" w:cs="Times New Roman"/>
          <w:sz w:val="24"/>
          <w:szCs w:val="24"/>
        </w:rPr>
        <w:t>) Provide a net air quality benefit within the designated nonattainment area. "Net Air Quality Benefit" means</w:t>
      </w:r>
      <w:r>
        <w:rPr>
          <w:rFonts w:ascii="Times New Roman" w:eastAsia="Times New Roman" w:hAnsi="Times New Roman" w:cs="Times New Roman"/>
          <w:sz w:val="24"/>
          <w:szCs w:val="24"/>
        </w:rPr>
        <w:t xml:space="preserve">:  </w:t>
      </w:r>
      <w:r w:rsidRPr="00B04DFD">
        <w:rPr>
          <w:rFonts w:ascii="Times New Roman" w:eastAsia="Times New Roman" w:hAnsi="Times New Roman" w:cs="Times New Roman"/>
          <w:sz w:val="24"/>
          <w:szCs w:val="24"/>
        </w:rPr>
        <w:t xml:space="preserve"> </w:t>
      </w:r>
    </w:p>
    <w:p w:rsidR="00CF4BFD" w:rsidRDefault="00CF4BFD" w:rsidP="00404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Offsets obtained result in </w:t>
      </w:r>
      <w:r w:rsidRPr="00B04DFD">
        <w:rPr>
          <w:rFonts w:ascii="Times New Roman" w:eastAsia="Times New Roman" w:hAnsi="Times New Roman" w:cs="Times New Roman"/>
          <w:sz w:val="24"/>
          <w:szCs w:val="24"/>
        </w:rPr>
        <w:t xml:space="preserve">a reduction in concentration at a majority of the modeled receptors and </w:t>
      </w:r>
      <w:r>
        <w:rPr>
          <w:rFonts w:ascii="Times New Roman" w:eastAsia="Times New Roman" w:hAnsi="Times New Roman" w:cs="Times New Roman"/>
          <w:sz w:val="24"/>
          <w:szCs w:val="24"/>
        </w:rPr>
        <w:t xml:space="preserve">the emission increases from the proposed source or modification will result in </w:t>
      </w:r>
      <w:r w:rsidRPr="00B04DFD">
        <w:rPr>
          <w:rFonts w:ascii="Times New Roman" w:eastAsia="Times New Roman" w:hAnsi="Times New Roman" w:cs="Times New Roman"/>
          <w:sz w:val="24"/>
          <w:szCs w:val="24"/>
        </w:rPr>
        <w:t xml:space="preserve">less than a significant impact level increase at all modeled receptors; </w:t>
      </w:r>
      <w:r>
        <w:rPr>
          <w:rFonts w:ascii="Times New Roman" w:eastAsia="Times New Roman" w:hAnsi="Times New Roman" w:cs="Times New Roman"/>
          <w:sz w:val="24"/>
          <w:szCs w:val="24"/>
        </w:rPr>
        <w:t>or</w:t>
      </w:r>
    </w:p>
    <w:p w:rsidR="00CF4BFD" w:rsidRPr="00F71819" w:rsidRDefault="00CF4BFD" w:rsidP="00404E04">
      <w:pPr>
        <w:autoSpaceDE w:val="0"/>
        <w:autoSpaceDN w:val="0"/>
        <w:adjustRightInd w:val="0"/>
        <w:spacing w:after="0" w:line="240" w:lineRule="auto"/>
        <w:rPr>
          <w:rFonts w:ascii="Times New Roman" w:hAnsi="Times New Roman" w:cs="Times New Roman"/>
          <w:bCs/>
          <w:sz w:val="24"/>
          <w:szCs w:val="24"/>
        </w:rPr>
      </w:pPr>
      <w:r w:rsidRPr="00F71819">
        <w:rPr>
          <w:rFonts w:ascii="Times New Roman" w:eastAsia="Times New Roman" w:hAnsi="Times New Roman" w:cs="Times New Roman"/>
          <w:sz w:val="24"/>
          <w:szCs w:val="24"/>
        </w:rPr>
        <w:t>(ii)</w:t>
      </w:r>
      <w:r w:rsidRPr="00F71819">
        <w:rPr>
          <w:rFonts w:ascii="Times New Roman" w:hAnsi="Times New Roman" w:cs="Times New Roman"/>
          <w:bCs/>
          <w:sz w:val="24"/>
          <w:szCs w:val="24"/>
        </w:rPr>
        <w:t xml:space="preserve"> </w:t>
      </w:r>
      <w:r>
        <w:rPr>
          <w:rFonts w:ascii="Times New Roman" w:hAnsi="Times New Roman" w:cs="Times New Roman"/>
          <w:bCs/>
          <w:sz w:val="24"/>
          <w:szCs w:val="24"/>
        </w:rPr>
        <w:t>For a</w:t>
      </w:r>
      <w:r w:rsidRPr="00F71819">
        <w:rPr>
          <w:rFonts w:ascii="Times New Roman" w:hAnsi="Times New Roman" w:cs="Times New Roman"/>
          <w:bCs/>
          <w:sz w:val="24"/>
          <w:szCs w:val="24"/>
        </w:rPr>
        <w:t xml:space="preserve"> small scale local energy project and any infrastructure related to that project located in the same area, </w:t>
      </w:r>
      <w:r>
        <w:rPr>
          <w:rFonts w:ascii="Times New Roman" w:hAnsi="Times New Roman" w:cs="Times New Roman"/>
          <w:bCs/>
          <w:sz w:val="24"/>
          <w:szCs w:val="24"/>
        </w:rPr>
        <w:t xml:space="preserve">a reduction of the nonattainment pollutant emissions equal to the ratio specified in this </w:t>
      </w:r>
      <w:r w:rsidRPr="00255300">
        <w:rPr>
          <w:rFonts w:ascii="Times New Roman" w:hAnsi="Times New Roman" w:cs="Times New Roman"/>
          <w:bCs/>
          <w:sz w:val="24"/>
          <w:szCs w:val="24"/>
        </w:rPr>
        <w:t>subsection</w:t>
      </w:r>
      <w:r>
        <w:rPr>
          <w:rFonts w:ascii="Times New Roman" w:hAnsi="Times New Roman" w:cs="Times New Roman"/>
          <w:bCs/>
          <w:sz w:val="24"/>
          <w:szCs w:val="24"/>
        </w:rPr>
        <w:t>,</w:t>
      </w:r>
      <w:r w:rsidRPr="00F71819">
        <w:rPr>
          <w:rFonts w:ascii="Times New Roman" w:hAnsi="Times New Roman" w:cs="Times New Roman"/>
          <w:bCs/>
          <w:sz w:val="24"/>
          <w:szCs w:val="24"/>
        </w:rPr>
        <w:t xml:space="preserve"> </w:t>
      </w:r>
      <w:r>
        <w:rPr>
          <w:rFonts w:ascii="Times New Roman" w:hAnsi="Times New Roman" w:cs="Times New Roman"/>
          <w:bCs/>
          <w:sz w:val="24"/>
          <w:szCs w:val="24"/>
        </w:rPr>
        <w:t xml:space="preserve">provided that the proposed major source or major modification would not </w:t>
      </w:r>
      <w:r w:rsidRPr="00AE2225">
        <w:rPr>
          <w:rFonts w:ascii="Times New Roman" w:hAnsi="Times New Roman" w:cs="Times New Roman"/>
          <w:bCs/>
          <w:sz w:val="24"/>
          <w:szCs w:val="24"/>
        </w:rPr>
        <w:t xml:space="preserve">cause </w:t>
      </w:r>
      <w:r w:rsidRPr="00AE2225">
        <w:rPr>
          <w:rFonts w:ascii="Times New Roman" w:hAnsi="Times New Roman" w:cs="Times New Roman"/>
          <w:bCs/>
          <w:sz w:val="24"/>
          <w:szCs w:val="24"/>
        </w:rPr>
        <w:lastRenderedPageBreak/>
        <w:t>or contribute to a violation of the national ambient air quality standard or otherwise</w:t>
      </w:r>
      <w:r>
        <w:rPr>
          <w:rFonts w:ascii="Times New Roman" w:hAnsi="Times New Roman" w:cs="Times New Roman"/>
          <w:bCs/>
          <w:sz w:val="24"/>
          <w:szCs w:val="24"/>
        </w:rPr>
        <w:t xml:space="preserve"> pose a material threat to compliance with air quality standards </w:t>
      </w:r>
      <w:r w:rsidRPr="00F71819">
        <w:rPr>
          <w:rFonts w:ascii="Times New Roman" w:hAnsi="Times New Roman" w:cs="Times New Roman"/>
          <w:bCs/>
          <w:sz w:val="24"/>
          <w:szCs w:val="24"/>
        </w:rPr>
        <w:t>in the nonattainment area.</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w:t>
      </w:r>
      <w:r>
        <w:rPr>
          <w:rFonts w:ascii="Times New Roman" w:eastAsia="Times New Roman" w:hAnsi="Times New Roman" w:cs="Times New Roman"/>
          <w:sz w:val="24"/>
          <w:szCs w:val="24"/>
        </w:rPr>
        <w:t>E</w:t>
      </w:r>
      <w:r w:rsidRPr="00B04DFD">
        <w:rPr>
          <w:rFonts w:ascii="Times New Roman" w:eastAsia="Times New Roman" w:hAnsi="Times New Roman" w:cs="Times New Roman"/>
          <w:sz w:val="24"/>
          <w:szCs w:val="24"/>
        </w:rPr>
        <w:t xml:space="preserve">) Provide offsets sufficient to demonstrate reasonable further progress toward achieving the NAAQS.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(c) For a source locating inside or causing a significant air quality impact on a designated maintenance area, the owner or operator must either provide offsets sufficient to reduce modeled impacts below the significant air quality impact level (OAR </w:t>
      </w:r>
      <w:r>
        <w:rPr>
          <w:rFonts w:ascii="Times New Roman" w:eastAsia="Times New Roman" w:hAnsi="Times New Roman" w:cs="Times New Roman"/>
          <w:sz w:val="24"/>
          <w:szCs w:val="24"/>
        </w:rPr>
        <w:t>3</w:t>
      </w:r>
      <w:r w:rsidRPr="00B04DFD">
        <w:rPr>
          <w:rFonts w:ascii="Times New Roman" w:eastAsia="Times New Roman" w:hAnsi="Times New Roman" w:cs="Times New Roman"/>
          <w:sz w:val="24"/>
          <w:szCs w:val="24"/>
        </w:rPr>
        <w:t xml:space="preserve">40-200-0020) at all receptors within the designated maintenance area or obtain an allocation from an available growth allowance as allowed by an applicable maintenance plan. These offsets may come from within or outside the designated maintenance area. </w:t>
      </w:r>
    </w:p>
    <w:p w:rsidR="00CF4B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w:t>
      </w:r>
      <w:r>
        <w:rPr>
          <w:rFonts w:ascii="Times New Roman" w:eastAsia="Times New Roman" w:hAnsi="Times New Roman" w:cs="Times New Roman"/>
          <w:sz w:val="24"/>
          <w:szCs w:val="24"/>
        </w:rPr>
        <w:t>:</w:t>
      </w:r>
    </w:p>
    <w:p w:rsidR="00CF4BFD" w:rsidRDefault="00CF4BFD" w:rsidP="00404E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B04D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B04DFD">
        <w:rPr>
          <w:rFonts w:ascii="Times New Roman" w:eastAsia="Times New Roman" w:hAnsi="Times New Roman" w:cs="Times New Roman"/>
          <w:sz w:val="24"/>
          <w:szCs w:val="24"/>
        </w:rPr>
        <w:t xml:space="preserve"> reduction in concentration at a majority of the modeled receptors and less than a significant impact level increase at all modeled receptors</w:t>
      </w:r>
      <w:r>
        <w:rPr>
          <w:rFonts w:ascii="Times New Roman" w:eastAsia="Times New Roman" w:hAnsi="Times New Roman" w:cs="Times New Roman"/>
          <w:sz w:val="24"/>
          <w:szCs w:val="24"/>
        </w:rPr>
        <w:t>; or</w:t>
      </w:r>
      <w:r w:rsidRPr="00B04DFD">
        <w:rPr>
          <w:rFonts w:ascii="Times New Roman" w:eastAsia="Times New Roman" w:hAnsi="Times New Roman" w:cs="Times New Roman"/>
          <w:sz w:val="24"/>
          <w:szCs w:val="24"/>
        </w:rPr>
        <w:t xml:space="preserve"> </w:t>
      </w:r>
    </w:p>
    <w:p w:rsidR="00CF4BFD" w:rsidRPr="00F71819" w:rsidRDefault="00CF4BFD" w:rsidP="00404E04">
      <w:pPr>
        <w:autoSpaceDE w:val="0"/>
        <w:autoSpaceDN w:val="0"/>
        <w:adjustRightInd w:val="0"/>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rPr>
        <w:t xml:space="preserve">(ii) </w:t>
      </w:r>
      <w:r>
        <w:rPr>
          <w:rFonts w:ascii="Times New Roman" w:hAnsi="Times New Roman" w:cs="Times New Roman"/>
          <w:bCs/>
          <w:sz w:val="24"/>
          <w:szCs w:val="24"/>
        </w:rPr>
        <w:t>For a</w:t>
      </w:r>
      <w:r w:rsidRPr="00F71819">
        <w:rPr>
          <w:rFonts w:ascii="Times New Roman" w:hAnsi="Times New Roman" w:cs="Times New Roman"/>
          <w:bCs/>
          <w:sz w:val="24"/>
          <w:szCs w:val="24"/>
        </w:rPr>
        <w:t xml:space="preserve"> small scale local energy project and any infrastructure related to that project located in the same area, </w:t>
      </w:r>
      <w:r>
        <w:rPr>
          <w:rFonts w:ascii="Times New Roman" w:hAnsi="Times New Roman" w:cs="Times New Roman"/>
          <w:bCs/>
          <w:sz w:val="24"/>
          <w:szCs w:val="24"/>
        </w:rPr>
        <w:t>a reduction of the maintenance pollutant emissions equal to the ratio specified in this paragraph,</w:t>
      </w:r>
      <w:r w:rsidRPr="00F71819">
        <w:rPr>
          <w:rFonts w:ascii="Times New Roman" w:hAnsi="Times New Roman" w:cs="Times New Roman"/>
          <w:bCs/>
          <w:sz w:val="24"/>
          <w:szCs w:val="24"/>
        </w:rPr>
        <w:t xml:space="preserve"> </w:t>
      </w:r>
      <w:r>
        <w:rPr>
          <w:rFonts w:ascii="Times New Roman" w:hAnsi="Times New Roman" w:cs="Times New Roman"/>
          <w:bCs/>
          <w:sz w:val="24"/>
          <w:szCs w:val="24"/>
        </w:rPr>
        <w:t xml:space="preserve">provided that the proposed major source or major modification would not </w:t>
      </w:r>
      <w:r w:rsidRPr="00AE2225">
        <w:rPr>
          <w:rFonts w:ascii="Times New Roman" w:hAnsi="Times New Roman" w:cs="Times New Roman"/>
          <w:bCs/>
          <w:sz w:val="24"/>
          <w:szCs w:val="24"/>
        </w:rPr>
        <w:t>cause or contribute to a violation of the national ambient air quality standard or otherwise</w:t>
      </w:r>
      <w:r>
        <w:rPr>
          <w:rFonts w:ascii="Times New Roman" w:hAnsi="Times New Roman" w:cs="Times New Roman"/>
          <w:bCs/>
          <w:sz w:val="24"/>
          <w:szCs w:val="24"/>
        </w:rPr>
        <w:t xml:space="preserve"> pose a material threat to compliance with air quality standards </w:t>
      </w:r>
      <w:r w:rsidRPr="00F71819">
        <w:rPr>
          <w:rFonts w:ascii="Times New Roman" w:hAnsi="Times New Roman" w:cs="Times New Roman"/>
          <w:bCs/>
          <w:sz w:val="24"/>
          <w:szCs w:val="24"/>
        </w:rPr>
        <w:t xml:space="preserve">in the </w:t>
      </w:r>
      <w:r>
        <w:rPr>
          <w:rFonts w:ascii="Times New Roman" w:hAnsi="Times New Roman" w:cs="Times New Roman"/>
          <w:bCs/>
          <w:sz w:val="24"/>
          <w:szCs w:val="24"/>
        </w:rPr>
        <w:t>maintenance</w:t>
      </w:r>
      <w:r w:rsidRPr="00F71819">
        <w:rPr>
          <w:rFonts w:ascii="Times New Roman" w:hAnsi="Times New Roman" w:cs="Times New Roman"/>
          <w:bCs/>
          <w:sz w:val="24"/>
          <w:szCs w:val="24"/>
        </w:rPr>
        <w:t xml:space="preserve"> area.</w:t>
      </w:r>
    </w:p>
    <w:p w:rsidR="00CF4B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w:t>
      </w:r>
      <w:r>
        <w:rPr>
          <w:rFonts w:ascii="Times New Roman" w:eastAsia="Times New Roman" w:hAnsi="Times New Roman" w:cs="Times New Roman"/>
          <w:sz w:val="24"/>
          <w:szCs w:val="24"/>
        </w:rPr>
        <w:t>3</w:t>
      </w:r>
      <w:r w:rsidRPr="00B04DFD">
        <w:rPr>
          <w:rFonts w:ascii="Times New Roman" w:eastAsia="Times New Roman" w:hAnsi="Times New Roman" w:cs="Times New Roman"/>
          <w:sz w:val="24"/>
          <w:szCs w:val="24"/>
        </w:rPr>
        <w:t xml:space="preserve">40-200-0020) at all receptors within the AQMA. </w:t>
      </w:r>
    </w:p>
    <w:p w:rsidR="00CF4B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Except as provided in paragraph (2)(a)(C) of this rule, t</w:t>
      </w:r>
      <w:r w:rsidRPr="00B04DFD">
        <w:rPr>
          <w:rFonts w:ascii="Times New Roman" w:eastAsia="Times New Roman" w:hAnsi="Times New Roman" w:cs="Times New Roman"/>
          <w:sz w:val="24"/>
          <w:szCs w:val="24"/>
        </w:rPr>
        <w:t xml:space="preserve">he emission reductions used as offsets must be of the same type of pollutant as the emissions from the new source or modification. Sources of PM10 must be offset with particulate in the same size range.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Department may allow simultaneous operation of the old and new facilities during the startup period of the new facility, if net emissions are not increased during that time period. Any emission reductions must be federally enforceable at the time of the issuance of the permit.</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(5) Offsets required under this rule must meet the requirements of Emissions Reduction Credits in OAR 340 division 268.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sz w:val="24"/>
          <w:szCs w:val="24"/>
        </w:rPr>
        <w:t xml:space="preserve">(6) Emission reductions used as offsets must be equivalent in terms of short term, seasonal, and yearly time periods to mitigate the effects of the proposed emissions. </w:t>
      </w:r>
    </w:p>
    <w:p w:rsidR="00CF4BFD" w:rsidRPr="00B04DFD" w:rsidRDefault="00CF4BFD" w:rsidP="00404E04">
      <w:pPr>
        <w:spacing w:after="0" w:line="240" w:lineRule="auto"/>
        <w:rPr>
          <w:rFonts w:ascii="Times New Roman" w:eastAsia="Times New Roman" w:hAnsi="Times New Roman" w:cs="Times New Roman"/>
          <w:sz w:val="24"/>
          <w:szCs w:val="24"/>
        </w:rPr>
      </w:pPr>
      <w:r w:rsidRPr="00B04DFD">
        <w:rPr>
          <w:rFonts w:ascii="Times New Roman" w:eastAsia="Times New Roman" w:hAnsi="Times New Roman" w:cs="Times New Roman"/>
          <w:b/>
          <w:bCs/>
          <w:sz w:val="24"/>
          <w:szCs w:val="24"/>
        </w:rPr>
        <w:lastRenderedPageBreak/>
        <w:t>NOTE:</w:t>
      </w:r>
      <w:r w:rsidRPr="00B04DFD">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Default="00CF4BFD">
      <w:r w:rsidRPr="00B04DFD">
        <w:rPr>
          <w:rFonts w:ascii="Times New Roman" w:eastAsia="Times New Roman" w:hAnsi="Times New Roman" w:cs="Times New Roman"/>
          <w:sz w:val="24"/>
          <w:szCs w:val="24"/>
        </w:rPr>
        <w:t xml:space="preserve">Stat. Auth.: ORS 468.020 </w:t>
      </w:r>
      <w:r w:rsidRPr="00B04DFD">
        <w:rPr>
          <w:rFonts w:ascii="Times New Roman" w:eastAsia="Times New Roman" w:hAnsi="Times New Roman" w:cs="Times New Roman"/>
          <w:sz w:val="24"/>
          <w:szCs w:val="24"/>
        </w:rPr>
        <w:br/>
        <w:t xml:space="preserve">Stats. Implemented: ORS 468A.025 </w:t>
      </w:r>
      <w:r w:rsidRPr="00B04DFD">
        <w:rPr>
          <w:rFonts w:ascii="Times New Roman" w:eastAsia="Times New Roman" w:hAnsi="Times New Roman" w:cs="Times New Roman"/>
          <w:sz w:val="24"/>
          <w:szCs w:val="24"/>
        </w:rPr>
        <w:br/>
        <w:t>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w:t>
      </w:r>
    </w:p>
    <w:p w:rsidR="00CF4BFD" w:rsidRDefault="00CF4BFD"/>
    <w:p w:rsidR="00A82768" w:rsidRPr="00B841C8" w:rsidRDefault="00A82768" w:rsidP="00677475">
      <w:pPr>
        <w:spacing w:after="0" w:line="240" w:lineRule="auto"/>
        <w:jc w:val="center"/>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DIVISION 228</w:t>
      </w:r>
    </w:p>
    <w:p w:rsidR="00A82768" w:rsidRPr="00B841C8" w:rsidRDefault="00A82768" w:rsidP="00677475">
      <w:pPr>
        <w:spacing w:after="0" w:line="240" w:lineRule="auto"/>
        <w:jc w:val="center"/>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REQUIREMENTS FOR FUEL BURNING EQUIPMENT AND FUEL SULFUR CONTENT</w:t>
      </w:r>
    </w:p>
    <w:p w:rsidR="00A82768" w:rsidRPr="00B841C8" w:rsidRDefault="00A82768" w:rsidP="00677475">
      <w:pPr>
        <w:spacing w:after="0" w:line="240" w:lineRule="auto"/>
        <w:jc w:val="center"/>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Federal Acid Rain Program</w:t>
      </w:r>
    </w:p>
    <w:p w:rsidR="00A82768" w:rsidRPr="00B841C8" w:rsidRDefault="00A82768" w:rsidP="00677475">
      <w:pPr>
        <w:spacing w:after="0"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 xml:space="preserve">340-228-0300 </w:t>
      </w:r>
    </w:p>
    <w:p w:rsidR="00A82768" w:rsidRPr="00B841C8" w:rsidRDefault="00A82768" w:rsidP="00677475">
      <w:pPr>
        <w:spacing w:after="0"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b/>
          <w:bCs/>
          <w:sz w:val="24"/>
          <w:szCs w:val="24"/>
        </w:rPr>
        <w:t>Federal Regulations Adopted by Reference</w:t>
      </w:r>
    </w:p>
    <w:p w:rsidR="00A82768" w:rsidRPr="00B841C8" w:rsidRDefault="00A82768" w:rsidP="00677475">
      <w:pPr>
        <w:spacing w:after="0"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sz w:val="24"/>
          <w:szCs w:val="24"/>
        </w:rPr>
        <w:t xml:space="preserve">(1) </w:t>
      </w:r>
      <w:r w:rsidRPr="00B841C8">
        <w:rPr>
          <w:rFonts w:ascii="Times New Roman" w:eastAsia="Times New Roman" w:hAnsi="Times New Roman" w:cs="Times New Roman"/>
          <w:b/>
          <w:bCs/>
          <w:sz w:val="24"/>
          <w:szCs w:val="24"/>
        </w:rPr>
        <w:t>40 CFR Parts 72</w:t>
      </w:r>
      <w:r w:rsidRPr="00B841C8">
        <w:rPr>
          <w:rFonts w:ascii="Times New Roman" w:eastAsia="Times New Roman" w:hAnsi="Times New Roman" w:cs="Times New Roman"/>
          <w:sz w:val="24"/>
          <w:szCs w:val="24"/>
        </w:rPr>
        <w:t>,</w:t>
      </w:r>
      <w:r w:rsidRPr="00B841C8">
        <w:rPr>
          <w:rFonts w:ascii="Times New Roman" w:eastAsia="Times New Roman" w:hAnsi="Times New Roman" w:cs="Times New Roman"/>
          <w:b/>
          <w:bCs/>
          <w:sz w:val="24"/>
          <w:szCs w:val="24"/>
        </w:rPr>
        <w:t xml:space="preserve"> 75</w:t>
      </w:r>
      <w:r w:rsidRPr="00B841C8">
        <w:rPr>
          <w:rFonts w:ascii="Times New Roman" w:eastAsia="Times New Roman" w:hAnsi="Times New Roman" w:cs="Times New Roman"/>
          <w:sz w:val="24"/>
          <w:szCs w:val="24"/>
        </w:rPr>
        <w:t>,</w:t>
      </w:r>
      <w:r w:rsidRPr="00B841C8">
        <w:rPr>
          <w:rFonts w:ascii="Times New Roman" w:eastAsia="Times New Roman" w:hAnsi="Times New Roman" w:cs="Times New Roman"/>
          <w:b/>
          <w:bCs/>
          <w:sz w:val="24"/>
          <w:szCs w:val="24"/>
        </w:rPr>
        <w:t xml:space="preserve"> and 76</w:t>
      </w:r>
      <w:r w:rsidRPr="00B841C8">
        <w:rPr>
          <w:rFonts w:ascii="Times New Roman" w:eastAsia="Times New Roman" w:hAnsi="Times New Roman" w:cs="Times New Roman"/>
          <w:sz w:val="24"/>
          <w:szCs w:val="24"/>
        </w:rPr>
        <w:t xml:space="preserve"> (July </w:t>
      </w:r>
      <w:r>
        <w:rPr>
          <w:rFonts w:ascii="Times New Roman" w:eastAsia="Times New Roman" w:hAnsi="Times New Roman" w:cs="Times New Roman"/>
          <w:sz w:val="24"/>
          <w:szCs w:val="24"/>
        </w:rPr>
        <w:t>2</w:t>
      </w:r>
      <w:r w:rsidRPr="00B841C8">
        <w:rPr>
          <w:rFonts w:ascii="Times New Roman" w:eastAsia="Times New Roman" w:hAnsi="Times New Roman" w:cs="Times New Roman"/>
          <w:sz w:val="24"/>
          <w:szCs w:val="24"/>
        </w:rPr>
        <w:t>, 20</w:t>
      </w:r>
      <w:r>
        <w:rPr>
          <w:rFonts w:ascii="Times New Roman" w:eastAsia="Times New Roman" w:hAnsi="Times New Roman" w:cs="Times New Roman"/>
          <w:sz w:val="24"/>
          <w:szCs w:val="24"/>
        </w:rPr>
        <w:t>1</w:t>
      </w:r>
      <w:r w:rsidRPr="00B841C8">
        <w:rPr>
          <w:rFonts w:ascii="Times New Roman" w:eastAsia="Times New Roman" w:hAnsi="Times New Roman" w:cs="Times New Roman"/>
          <w:sz w:val="24"/>
          <w:szCs w:val="24"/>
        </w:rPr>
        <w:t>0)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w:t>
      </w:r>
    </w:p>
    <w:p w:rsidR="00A82768" w:rsidRPr="00B841C8" w:rsidRDefault="00A82768" w:rsidP="00677475">
      <w:pPr>
        <w:spacing w:after="0"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sz w:val="24"/>
          <w:szCs w:val="24"/>
        </w:rPr>
        <w:t xml:space="preserve">(2) If the provisions or requirements of </w:t>
      </w:r>
      <w:r w:rsidRPr="00B841C8">
        <w:rPr>
          <w:rFonts w:ascii="Times New Roman" w:eastAsia="Times New Roman" w:hAnsi="Times New Roman" w:cs="Times New Roman"/>
          <w:b/>
          <w:bCs/>
          <w:sz w:val="24"/>
          <w:szCs w:val="24"/>
        </w:rPr>
        <w:t>40 CFR Part 72</w:t>
      </w:r>
      <w:r w:rsidRPr="00B841C8">
        <w:rPr>
          <w:rFonts w:ascii="Times New Roman" w:eastAsia="Times New Roman" w:hAnsi="Times New Roman" w:cs="Times New Roman"/>
          <w:sz w:val="24"/>
          <w:szCs w:val="24"/>
        </w:rPr>
        <w:t xml:space="preserve"> conflict with or are not included in OAR 340 </w:t>
      </w:r>
      <w:r>
        <w:rPr>
          <w:rFonts w:ascii="Times New Roman" w:eastAsia="Times New Roman" w:hAnsi="Times New Roman" w:cs="Times New Roman"/>
          <w:sz w:val="24"/>
          <w:szCs w:val="24"/>
        </w:rPr>
        <w:t>d</w:t>
      </w:r>
      <w:r w:rsidRPr="00B841C8">
        <w:rPr>
          <w:rFonts w:ascii="Times New Roman" w:eastAsia="Times New Roman" w:hAnsi="Times New Roman" w:cs="Times New Roman"/>
          <w:sz w:val="24"/>
          <w:szCs w:val="24"/>
        </w:rPr>
        <w:t>ivisions 218 or 220, the Part 72 provisions and requirements shall apply and take precedence.</w:t>
      </w:r>
    </w:p>
    <w:p w:rsidR="00A82768" w:rsidRPr="00B841C8" w:rsidRDefault="00A82768" w:rsidP="00677475">
      <w:pPr>
        <w:spacing w:after="0" w:line="240" w:lineRule="auto"/>
        <w:rPr>
          <w:rFonts w:ascii="Times New Roman" w:eastAsia="Times New Roman" w:hAnsi="Times New Roman" w:cs="Times New Roman"/>
          <w:sz w:val="24"/>
          <w:szCs w:val="24"/>
        </w:rPr>
      </w:pPr>
      <w:r w:rsidRPr="00B841C8">
        <w:rPr>
          <w:rFonts w:ascii="Times New Roman" w:eastAsia="Times New Roman" w:hAnsi="Times New Roman" w:cs="Times New Roman"/>
          <w:sz w:val="24"/>
          <w:szCs w:val="24"/>
        </w:rPr>
        <w:t>[Publications: Publications referenced are available from the agency.]</w:t>
      </w:r>
    </w:p>
    <w:p w:rsidR="00A82768" w:rsidRDefault="00A82768" w:rsidP="00677475">
      <w:pPr>
        <w:spacing w:after="0"/>
        <w:rPr>
          <w:rFonts w:ascii="Times New Roman" w:eastAsia="Times New Roman" w:hAnsi="Times New Roman" w:cs="Times New Roman"/>
          <w:sz w:val="24"/>
          <w:szCs w:val="24"/>
        </w:rPr>
      </w:pPr>
      <w:r w:rsidRPr="00B841C8">
        <w:rPr>
          <w:rFonts w:ascii="Times New Roman" w:eastAsia="Times New Roman" w:hAnsi="Times New Roman" w:cs="Times New Roman"/>
          <w:sz w:val="24"/>
          <w:szCs w:val="24"/>
        </w:rPr>
        <w:t>Stat. Auth.: ORS 468.020 &amp; 468.310(2)</w:t>
      </w:r>
      <w:r w:rsidRPr="00B841C8">
        <w:rPr>
          <w:rFonts w:ascii="Times New Roman" w:eastAsia="Times New Roman" w:hAnsi="Times New Roman" w:cs="Times New Roman"/>
          <w:sz w:val="24"/>
          <w:szCs w:val="24"/>
        </w:rPr>
        <w:br/>
        <w:t>Stats. Implemented: ORS 468A.025</w:t>
      </w:r>
      <w:r w:rsidRPr="00B841C8">
        <w:rPr>
          <w:rFonts w:ascii="Times New Roman" w:eastAsia="Times New Roman" w:hAnsi="Times New Roman" w:cs="Times New Roman"/>
          <w:sz w:val="24"/>
          <w:szCs w:val="24"/>
        </w:rPr>
        <w:br/>
        <w:t>Hist.: DEQ 32-1994, f. &amp; cert. ef. 12-22-94; DEQ 14-1999, f. &amp; cert. ef. 10-14-99, Renumbered from 340-022-0075; DEQ 22-2000, f. &amp; cert. ef. 12-18-00; DEQ 13-2006, f. &amp; cert. ef. 12-22-06</w:t>
      </w:r>
    </w:p>
    <w:p w:rsidR="00677475" w:rsidRDefault="00677475" w:rsidP="00677475">
      <w:pPr>
        <w:spacing w:after="0"/>
        <w:rPr>
          <w:rFonts w:ascii="Times New Roman" w:eastAsia="Times New Roman" w:hAnsi="Times New Roman" w:cs="Times New Roman"/>
          <w:sz w:val="24"/>
          <w:szCs w:val="24"/>
        </w:rPr>
      </w:pPr>
    </w:p>
    <w:p w:rsidR="00677475" w:rsidRDefault="00677475" w:rsidP="00677475">
      <w:pPr>
        <w:spacing w:after="0"/>
      </w:pPr>
    </w:p>
    <w:p w:rsidR="00A82768" w:rsidRDefault="00A82768" w:rsidP="00677475">
      <w:pPr>
        <w:pStyle w:val="NormalWeb"/>
        <w:spacing w:before="0" w:beforeAutospacing="0" w:after="0" w:afterAutospacing="0"/>
        <w:jc w:val="center"/>
      </w:pPr>
      <w:r>
        <w:rPr>
          <w:b/>
          <w:bCs/>
        </w:rPr>
        <w:t>DIVISION 246</w:t>
      </w:r>
    </w:p>
    <w:p w:rsidR="00A82768" w:rsidRDefault="00A82768" w:rsidP="00677475">
      <w:pPr>
        <w:pStyle w:val="NormalWeb"/>
        <w:spacing w:before="0" w:beforeAutospacing="0" w:after="0" w:afterAutospacing="0"/>
        <w:jc w:val="center"/>
      </w:pPr>
      <w:r>
        <w:rPr>
          <w:b/>
          <w:bCs/>
        </w:rPr>
        <w:t>OREGON STATE AIR TOXICS PROGRAM</w:t>
      </w:r>
    </w:p>
    <w:p w:rsidR="00A82768" w:rsidRDefault="00A82768" w:rsidP="00677475">
      <w:pPr>
        <w:pStyle w:val="NormalWeb"/>
        <w:spacing w:before="0" w:beforeAutospacing="0" w:after="0" w:afterAutospacing="0"/>
      </w:pPr>
      <w:r>
        <w:rPr>
          <w:b/>
          <w:bCs/>
        </w:rPr>
        <w:t>340-246-0230</w:t>
      </w:r>
    </w:p>
    <w:p w:rsidR="00A82768" w:rsidRDefault="00A82768" w:rsidP="00677475">
      <w:pPr>
        <w:pStyle w:val="NormalWeb"/>
        <w:spacing w:before="0" w:beforeAutospacing="0" w:after="0" w:afterAutospacing="0"/>
      </w:pPr>
      <w:r>
        <w:rPr>
          <w:b/>
          <w:bCs/>
        </w:rPr>
        <w:t>Safety Net Source Air Toxics Emissions Reduction Measures in Permit</w:t>
      </w:r>
    </w:p>
    <w:p w:rsidR="00A82768" w:rsidRDefault="00A82768" w:rsidP="00677475">
      <w:pPr>
        <w:pStyle w:val="NormalWeb"/>
        <w:spacing w:before="0" w:beforeAutospacing="0" w:after="0" w:afterAutospacing="0"/>
      </w:pPr>
      <w:r>
        <w:t xml:space="preserve">(1) Public Participation. The Department will hold public informational meetings to discuss proposed air toxics emissions reduction measures. After the informational meetings, the </w:t>
      </w:r>
      <w:r>
        <w:lastRenderedPageBreak/>
        <w:t>Department will provide at least 40-days notice before holding a public hearing to collect official comments on the proposed air toxics emissions reduction measures.</w:t>
      </w:r>
    </w:p>
    <w:p w:rsidR="00A82768" w:rsidRDefault="00A82768" w:rsidP="00677475">
      <w:pPr>
        <w:pStyle w:val="NormalWeb"/>
        <w:spacing w:before="0" w:beforeAutospacing="0" w:after="0" w:afterAutospacing="0"/>
      </w:pPr>
      <w:r>
        <w:t xml:space="preserve">(2) Permit or Permit Modification After considering public comments, the Department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340-216-0020, Table I, Part B, line 74. </w:t>
      </w:r>
    </w:p>
    <w:p w:rsidR="00A82768" w:rsidRDefault="00A82768" w:rsidP="00677475">
      <w:pPr>
        <w:pStyle w:val="NormalWeb"/>
        <w:spacing w:before="0" w:beforeAutospacing="0" w:after="0" w:afterAutospacing="0"/>
      </w:pPr>
      <w:r>
        <w:t>Stat. Auth.: ORS 468.035, 468A.010(1), 468A.015</w:t>
      </w:r>
      <w:r>
        <w:br/>
        <w:t>Stats. Implemented:</w:t>
      </w:r>
      <w:r>
        <w:br/>
        <w:t xml:space="preserve">Hist.: DEQ 15-2003, f. &amp; cert. ef. 11-3-03 </w:t>
      </w:r>
    </w:p>
    <w:p w:rsidR="00C9333B" w:rsidRPr="00CF4BFD" w:rsidRDefault="00C9333B" w:rsidP="00677475">
      <w:pPr>
        <w:spacing w:after="0" w:line="240" w:lineRule="auto"/>
        <w:rPr>
          <w:rFonts w:ascii="Times New Roman" w:hAnsi="Times New Roman" w:cs="Times New Roman"/>
          <w:sz w:val="24"/>
          <w:szCs w:val="24"/>
        </w:rPr>
      </w:pPr>
    </w:p>
    <w:sectPr w:rsidR="00C9333B" w:rsidRPr="00CF4BFD" w:rsidSect="00C9333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4E5" w:rsidRDefault="00CE74E5" w:rsidP="008737E5">
      <w:pPr>
        <w:spacing w:after="0" w:line="240" w:lineRule="auto"/>
      </w:pPr>
      <w:r>
        <w:separator/>
      </w:r>
    </w:p>
  </w:endnote>
  <w:endnote w:type="continuationSeparator" w:id="0">
    <w:p w:rsidR="00CE74E5" w:rsidRDefault="00CE74E5" w:rsidP="00873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CourierNewPSMT">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4E5" w:rsidRDefault="00CE74E5" w:rsidP="008737E5">
      <w:pPr>
        <w:spacing w:after="0" w:line="240" w:lineRule="auto"/>
      </w:pPr>
      <w:r>
        <w:separator/>
      </w:r>
    </w:p>
  </w:footnote>
  <w:footnote w:type="continuationSeparator" w:id="0">
    <w:p w:rsidR="00CE74E5" w:rsidRDefault="00CE74E5" w:rsidP="008737E5">
      <w:pPr>
        <w:spacing w:after="0" w:line="240" w:lineRule="auto"/>
      </w:pPr>
      <w:r>
        <w:continuationSeparator/>
      </w:r>
    </w:p>
  </w:footnote>
  <w:footnote w:id="1">
    <w:p w:rsidR="00CF4BFD" w:rsidRPr="00A91714" w:rsidRDefault="00CF4BFD" w:rsidP="00C5641B">
      <w:pPr>
        <w:autoSpaceDE w:val="0"/>
        <w:autoSpaceDN w:val="0"/>
        <w:adjustRightInd w:val="0"/>
        <w:spacing w:after="0" w:line="240" w:lineRule="auto"/>
      </w:pPr>
      <w:r>
        <w:rPr>
          <w:rStyle w:val="FootnoteReference"/>
        </w:rPr>
        <w:footnoteRef/>
      </w:r>
      <w:r>
        <w:t xml:space="preserve"> PM</w:t>
      </w:r>
      <w:r>
        <w:rPr>
          <w:vertAlign w:val="subscript"/>
        </w:rPr>
        <w:t>2.5</w:t>
      </w:r>
      <w:r>
        <w:t xml:space="preserve"> Increments will become effective </w:t>
      </w:r>
      <w:r w:rsidRPr="00A91714">
        <w:t xml:space="preserve">on </w:t>
      </w:r>
      <w:r>
        <w:t>October 20, 2011</w:t>
      </w:r>
      <w:r w:rsidRPr="00A91714">
        <w:rPr>
          <w:rFonts w:cs="CourierNewPSMT"/>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3D641D"/>
    <w:multiLevelType w:val="hybridMultilevel"/>
    <w:tmpl w:val="BEEAA132"/>
    <w:lvl w:ilvl="0" w:tplc="5FB2A2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CD03B8"/>
    <w:rsid w:val="00000E5C"/>
    <w:rsid w:val="00002D70"/>
    <w:rsid w:val="000033CD"/>
    <w:rsid w:val="00003945"/>
    <w:rsid w:val="0000478D"/>
    <w:rsid w:val="00004B7F"/>
    <w:rsid w:val="00006E5F"/>
    <w:rsid w:val="000110B8"/>
    <w:rsid w:val="00011FA7"/>
    <w:rsid w:val="0001391B"/>
    <w:rsid w:val="00014784"/>
    <w:rsid w:val="00014B9D"/>
    <w:rsid w:val="00017EA0"/>
    <w:rsid w:val="00017FCF"/>
    <w:rsid w:val="00020C6D"/>
    <w:rsid w:val="00020E2F"/>
    <w:rsid w:val="00020EA8"/>
    <w:rsid w:val="00021363"/>
    <w:rsid w:val="000219A7"/>
    <w:rsid w:val="00022291"/>
    <w:rsid w:val="000227FE"/>
    <w:rsid w:val="0002380D"/>
    <w:rsid w:val="00023FEB"/>
    <w:rsid w:val="0002569F"/>
    <w:rsid w:val="00026688"/>
    <w:rsid w:val="00027C4B"/>
    <w:rsid w:val="00027FD2"/>
    <w:rsid w:val="00031CC4"/>
    <w:rsid w:val="00032C81"/>
    <w:rsid w:val="00033D71"/>
    <w:rsid w:val="00034693"/>
    <w:rsid w:val="0003691B"/>
    <w:rsid w:val="000375E2"/>
    <w:rsid w:val="00040908"/>
    <w:rsid w:val="00041C02"/>
    <w:rsid w:val="00042620"/>
    <w:rsid w:val="00042A50"/>
    <w:rsid w:val="000476F5"/>
    <w:rsid w:val="000501EF"/>
    <w:rsid w:val="00050911"/>
    <w:rsid w:val="00051FA4"/>
    <w:rsid w:val="000527B6"/>
    <w:rsid w:val="0005304B"/>
    <w:rsid w:val="00053A3E"/>
    <w:rsid w:val="00053BF9"/>
    <w:rsid w:val="00053EE4"/>
    <w:rsid w:val="00056382"/>
    <w:rsid w:val="00064845"/>
    <w:rsid w:val="00065692"/>
    <w:rsid w:val="00066128"/>
    <w:rsid w:val="00066684"/>
    <w:rsid w:val="000732AE"/>
    <w:rsid w:val="00074ECE"/>
    <w:rsid w:val="00076E65"/>
    <w:rsid w:val="00077F82"/>
    <w:rsid w:val="00080CF1"/>
    <w:rsid w:val="00082294"/>
    <w:rsid w:val="000826DF"/>
    <w:rsid w:val="000828CE"/>
    <w:rsid w:val="00082A71"/>
    <w:rsid w:val="00083D38"/>
    <w:rsid w:val="00084373"/>
    <w:rsid w:val="00084C5C"/>
    <w:rsid w:val="000852D4"/>
    <w:rsid w:val="00086C3E"/>
    <w:rsid w:val="00087F94"/>
    <w:rsid w:val="00090093"/>
    <w:rsid w:val="000927E6"/>
    <w:rsid w:val="0009691C"/>
    <w:rsid w:val="00096EAC"/>
    <w:rsid w:val="000975AA"/>
    <w:rsid w:val="00097D80"/>
    <w:rsid w:val="000A459A"/>
    <w:rsid w:val="000A60FA"/>
    <w:rsid w:val="000A6FC9"/>
    <w:rsid w:val="000A791C"/>
    <w:rsid w:val="000B0ECD"/>
    <w:rsid w:val="000B174F"/>
    <w:rsid w:val="000B2484"/>
    <w:rsid w:val="000B2723"/>
    <w:rsid w:val="000B7AD3"/>
    <w:rsid w:val="000B7B6A"/>
    <w:rsid w:val="000C2754"/>
    <w:rsid w:val="000C3146"/>
    <w:rsid w:val="000C35CA"/>
    <w:rsid w:val="000C508D"/>
    <w:rsid w:val="000C5DAB"/>
    <w:rsid w:val="000C62AC"/>
    <w:rsid w:val="000C698D"/>
    <w:rsid w:val="000C6D7D"/>
    <w:rsid w:val="000C781B"/>
    <w:rsid w:val="000C7D28"/>
    <w:rsid w:val="000D2E13"/>
    <w:rsid w:val="000D337E"/>
    <w:rsid w:val="000D5814"/>
    <w:rsid w:val="000D591C"/>
    <w:rsid w:val="000D7729"/>
    <w:rsid w:val="000E0C1F"/>
    <w:rsid w:val="000E1FF1"/>
    <w:rsid w:val="000E2817"/>
    <w:rsid w:val="000E3E32"/>
    <w:rsid w:val="000E5134"/>
    <w:rsid w:val="000E684C"/>
    <w:rsid w:val="000E72E6"/>
    <w:rsid w:val="000E76C1"/>
    <w:rsid w:val="000F70C1"/>
    <w:rsid w:val="000F7A4B"/>
    <w:rsid w:val="001036E5"/>
    <w:rsid w:val="001043C7"/>
    <w:rsid w:val="0010448E"/>
    <w:rsid w:val="00105056"/>
    <w:rsid w:val="00107836"/>
    <w:rsid w:val="00110D53"/>
    <w:rsid w:val="00112EB7"/>
    <w:rsid w:val="001147B2"/>
    <w:rsid w:val="00115191"/>
    <w:rsid w:val="00117F7B"/>
    <w:rsid w:val="00120217"/>
    <w:rsid w:val="0012067D"/>
    <w:rsid w:val="00120D2F"/>
    <w:rsid w:val="00121319"/>
    <w:rsid w:val="00121CBF"/>
    <w:rsid w:val="00121D0D"/>
    <w:rsid w:val="001221FE"/>
    <w:rsid w:val="0012231F"/>
    <w:rsid w:val="0012236D"/>
    <w:rsid w:val="00122721"/>
    <w:rsid w:val="00122D76"/>
    <w:rsid w:val="00125A55"/>
    <w:rsid w:val="00126705"/>
    <w:rsid w:val="00126B97"/>
    <w:rsid w:val="00130FEB"/>
    <w:rsid w:val="00133610"/>
    <w:rsid w:val="00134917"/>
    <w:rsid w:val="00134D94"/>
    <w:rsid w:val="00137F1E"/>
    <w:rsid w:val="0014164D"/>
    <w:rsid w:val="00143596"/>
    <w:rsid w:val="00143E13"/>
    <w:rsid w:val="0014592B"/>
    <w:rsid w:val="001464E1"/>
    <w:rsid w:val="00147045"/>
    <w:rsid w:val="001502FC"/>
    <w:rsid w:val="001503BA"/>
    <w:rsid w:val="0015101D"/>
    <w:rsid w:val="0015744A"/>
    <w:rsid w:val="0016002C"/>
    <w:rsid w:val="00161194"/>
    <w:rsid w:val="00163A6E"/>
    <w:rsid w:val="001652F9"/>
    <w:rsid w:val="001669FC"/>
    <w:rsid w:val="0016733C"/>
    <w:rsid w:val="00175050"/>
    <w:rsid w:val="00175B25"/>
    <w:rsid w:val="001774F6"/>
    <w:rsid w:val="00180A4F"/>
    <w:rsid w:val="00180DF1"/>
    <w:rsid w:val="001833FB"/>
    <w:rsid w:val="00183DFA"/>
    <w:rsid w:val="0018472C"/>
    <w:rsid w:val="001859A9"/>
    <w:rsid w:val="00187EB7"/>
    <w:rsid w:val="00191CEA"/>
    <w:rsid w:val="001936E5"/>
    <w:rsid w:val="0019376F"/>
    <w:rsid w:val="00194766"/>
    <w:rsid w:val="00194A4D"/>
    <w:rsid w:val="00194B86"/>
    <w:rsid w:val="00194BEB"/>
    <w:rsid w:val="00194DE4"/>
    <w:rsid w:val="00196136"/>
    <w:rsid w:val="0019641A"/>
    <w:rsid w:val="00197102"/>
    <w:rsid w:val="00197D11"/>
    <w:rsid w:val="001A134A"/>
    <w:rsid w:val="001A286A"/>
    <w:rsid w:val="001A3897"/>
    <w:rsid w:val="001A3FEA"/>
    <w:rsid w:val="001A4854"/>
    <w:rsid w:val="001A4A65"/>
    <w:rsid w:val="001A5214"/>
    <w:rsid w:val="001A52DD"/>
    <w:rsid w:val="001A55B6"/>
    <w:rsid w:val="001A5689"/>
    <w:rsid w:val="001A5923"/>
    <w:rsid w:val="001A602D"/>
    <w:rsid w:val="001A7169"/>
    <w:rsid w:val="001A7450"/>
    <w:rsid w:val="001A76E8"/>
    <w:rsid w:val="001B146A"/>
    <w:rsid w:val="001B3FB2"/>
    <w:rsid w:val="001B64EF"/>
    <w:rsid w:val="001B6E62"/>
    <w:rsid w:val="001B7614"/>
    <w:rsid w:val="001C010B"/>
    <w:rsid w:val="001C1541"/>
    <w:rsid w:val="001C21D8"/>
    <w:rsid w:val="001C2B8A"/>
    <w:rsid w:val="001C2F55"/>
    <w:rsid w:val="001C467D"/>
    <w:rsid w:val="001C47BB"/>
    <w:rsid w:val="001C594E"/>
    <w:rsid w:val="001C6566"/>
    <w:rsid w:val="001C6E30"/>
    <w:rsid w:val="001D03B2"/>
    <w:rsid w:val="001D0CC6"/>
    <w:rsid w:val="001D115C"/>
    <w:rsid w:val="001D300A"/>
    <w:rsid w:val="001D4B32"/>
    <w:rsid w:val="001D4D03"/>
    <w:rsid w:val="001D5AB1"/>
    <w:rsid w:val="001D6B79"/>
    <w:rsid w:val="001D6C2E"/>
    <w:rsid w:val="001D78FE"/>
    <w:rsid w:val="001E15AE"/>
    <w:rsid w:val="001E214B"/>
    <w:rsid w:val="001E490B"/>
    <w:rsid w:val="001E531D"/>
    <w:rsid w:val="001E5853"/>
    <w:rsid w:val="001E5C32"/>
    <w:rsid w:val="001F0558"/>
    <w:rsid w:val="001F0B9D"/>
    <w:rsid w:val="001F2116"/>
    <w:rsid w:val="001F2CDE"/>
    <w:rsid w:val="001F4B37"/>
    <w:rsid w:val="001F54CE"/>
    <w:rsid w:val="001F5710"/>
    <w:rsid w:val="001F6808"/>
    <w:rsid w:val="002009D1"/>
    <w:rsid w:val="002016D5"/>
    <w:rsid w:val="002028AF"/>
    <w:rsid w:val="00205225"/>
    <w:rsid w:val="00205712"/>
    <w:rsid w:val="00207A68"/>
    <w:rsid w:val="0021173D"/>
    <w:rsid w:val="00211774"/>
    <w:rsid w:val="00212D1E"/>
    <w:rsid w:val="0021369B"/>
    <w:rsid w:val="002144CC"/>
    <w:rsid w:val="00215079"/>
    <w:rsid w:val="002202BE"/>
    <w:rsid w:val="0022073D"/>
    <w:rsid w:val="0022101A"/>
    <w:rsid w:val="00224354"/>
    <w:rsid w:val="002248DE"/>
    <w:rsid w:val="0022512A"/>
    <w:rsid w:val="00225195"/>
    <w:rsid w:val="00225680"/>
    <w:rsid w:val="00226D41"/>
    <w:rsid w:val="00227A6C"/>
    <w:rsid w:val="00227E89"/>
    <w:rsid w:val="00233769"/>
    <w:rsid w:val="00236A4B"/>
    <w:rsid w:val="002403C3"/>
    <w:rsid w:val="00240570"/>
    <w:rsid w:val="0024194F"/>
    <w:rsid w:val="00242CCC"/>
    <w:rsid w:val="0024333F"/>
    <w:rsid w:val="002452DE"/>
    <w:rsid w:val="002461CF"/>
    <w:rsid w:val="00251053"/>
    <w:rsid w:val="002511FA"/>
    <w:rsid w:val="00251B9A"/>
    <w:rsid w:val="00251CE4"/>
    <w:rsid w:val="00252CAF"/>
    <w:rsid w:val="00253025"/>
    <w:rsid w:val="00253934"/>
    <w:rsid w:val="0025520F"/>
    <w:rsid w:val="002555EC"/>
    <w:rsid w:val="002605B5"/>
    <w:rsid w:val="00264559"/>
    <w:rsid w:val="002649A2"/>
    <w:rsid w:val="002652B5"/>
    <w:rsid w:val="00265393"/>
    <w:rsid w:val="0026616C"/>
    <w:rsid w:val="00266275"/>
    <w:rsid w:val="00267FBB"/>
    <w:rsid w:val="00270A71"/>
    <w:rsid w:val="00271645"/>
    <w:rsid w:val="002719FF"/>
    <w:rsid w:val="00271CF8"/>
    <w:rsid w:val="002747D9"/>
    <w:rsid w:val="002757BC"/>
    <w:rsid w:val="002761C2"/>
    <w:rsid w:val="00280B72"/>
    <w:rsid w:val="0028134C"/>
    <w:rsid w:val="00281F68"/>
    <w:rsid w:val="0028238D"/>
    <w:rsid w:val="00282DBE"/>
    <w:rsid w:val="0028355B"/>
    <w:rsid w:val="0028628B"/>
    <w:rsid w:val="00292500"/>
    <w:rsid w:val="00293ECE"/>
    <w:rsid w:val="00296724"/>
    <w:rsid w:val="00297EAD"/>
    <w:rsid w:val="002A0521"/>
    <w:rsid w:val="002A11C3"/>
    <w:rsid w:val="002A17DA"/>
    <w:rsid w:val="002A2283"/>
    <w:rsid w:val="002A3368"/>
    <w:rsid w:val="002A46DF"/>
    <w:rsid w:val="002A497D"/>
    <w:rsid w:val="002A7A22"/>
    <w:rsid w:val="002A7F4C"/>
    <w:rsid w:val="002B2D1E"/>
    <w:rsid w:val="002B723E"/>
    <w:rsid w:val="002B75B1"/>
    <w:rsid w:val="002C0BB1"/>
    <w:rsid w:val="002C1DDA"/>
    <w:rsid w:val="002C217F"/>
    <w:rsid w:val="002C335B"/>
    <w:rsid w:val="002C33C7"/>
    <w:rsid w:val="002C35A7"/>
    <w:rsid w:val="002C3F37"/>
    <w:rsid w:val="002C517F"/>
    <w:rsid w:val="002C6B1B"/>
    <w:rsid w:val="002C7C82"/>
    <w:rsid w:val="002C7DCB"/>
    <w:rsid w:val="002D059C"/>
    <w:rsid w:val="002D06DF"/>
    <w:rsid w:val="002D1247"/>
    <w:rsid w:val="002D2A04"/>
    <w:rsid w:val="002D3BE8"/>
    <w:rsid w:val="002D535A"/>
    <w:rsid w:val="002D5839"/>
    <w:rsid w:val="002D6156"/>
    <w:rsid w:val="002D702C"/>
    <w:rsid w:val="002D7CC4"/>
    <w:rsid w:val="002E1D8D"/>
    <w:rsid w:val="002E20FA"/>
    <w:rsid w:val="002E245A"/>
    <w:rsid w:val="002E48F5"/>
    <w:rsid w:val="002E55F6"/>
    <w:rsid w:val="002E5CED"/>
    <w:rsid w:val="002E7FBE"/>
    <w:rsid w:val="002F02A0"/>
    <w:rsid w:val="002F1E7D"/>
    <w:rsid w:val="002F2615"/>
    <w:rsid w:val="002F3C19"/>
    <w:rsid w:val="002F40C8"/>
    <w:rsid w:val="002F4664"/>
    <w:rsid w:val="002F4FF5"/>
    <w:rsid w:val="002F50B3"/>
    <w:rsid w:val="002F5CFD"/>
    <w:rsid w:val="002F6535"/>
    <w:rsid w:val="00300EAB"/>
    <w:rsid w:val="0030674C"/>
    <w:rsid w:val="00307568"/>
    <w:rsid w:val="0031001C"/>
    <w:rsid w:val="00310291"/>
    <w:rsid w:val="00310A41"/>
    <w:rsid w:val="00311CFC"/>
    <w:rsid w:val="00314746"/>
    <w:rsid w:val="003150D3"/>
    <w:rsid w:val="00317ACB"/>
    <w:rsid w:val="00320274"/>
    <w:rsid w:val="003205F7"/>
    <w:rsid w:val="00321E53"/>
    <w:rsid w:val="003254E4"/>
    <w:rsid w:val="003256E7"/>
    <w:rsid w:val="00331251"/>
    <w:rsid w:val="00332672"/>
    <w:rsid w:val="00336460"/>
    <w:rsid w:val="0033676C"/>
    <w:rsid w:val="00336CA6"/>
    <w:rsid w:val="00336FE1"/>
    <w:rsid w:val="0033714C"/>
    <w:rsid w:val="0034095D"/>
    <w:rsid w:val="003417D0"/>
    <w:rsid w:val="0034185D"/>
    <w:rsid w:val="00342A8D"/>
    <w:rsid w:val="00342AA2"/>
    <w:rsid w:val="00343131"/>
    <w:rsid w:val="00343EA4"/>
    <w:rsid w:val="00344144"/>
    <w:rsid w:val="00344778"/>
    <w:rsid w:val="00345371"/>
    <w:rsid w:val="00346D68"/>
    <w:rsid w:val="00347FDF"/>
    <w:rsid w:val="00353AAA"/>
    <w:rsid w:val="00353B1D"/>
    <w:rsid w:val="00354651"/>
    <w:rsid w:val="003573B8"/>
    <w:rsid w:val="0035755C"/>
    <w:rsid w:val="0036018B"/>
    <w:rsid w:val="003601FB"/>
    <w:rsid w:val="00361556"/>
    <w:rsid w:val="003650A3"/>
    <w:rsid w:val="003651C8"/>
    <w:rsid w:val="00365743"/>
    <w:rsid w:val="003722EC"/>
    <w:rsid w:val="00374BFB"/>
    <w:rsid w:val="00374FAC"/>
    <w:rsid w:val="003755F0"/>
    <w:rsid w:val="00375D2E"/>
    <w:rsid w:val="003763B9"/>
    <w:rsid w:val="003771D1"/>
    <w:rsid w:val="00377DD7"/>
    <w:rsid w:val="003803AE"/>
    <w:rsid w:val="00381794"/>
    <w:rsid w:val="00384403"/>
    <w:rsid w:val="00384982"/>
    <w:rsid w:val="00386060"/>
    <w:rsid w:val="003870E9"/>
    <w:rsid w:val="0038712A"/>
    <w:rsid w:val="003927CA"/>
    <w:rsid w:val="00395B36"/>
    <w:rsid w:val="00395EFE"/>
    <w:rsid w:val="00395F68"/>
    <w:rsid w:val="003975D2"/>
    <w:rsid w:val="00397D6D"/>
    <w:rsid w:val="003A1D70"/>
    <w:rsid w:val="003A1D96"/>
    <w:rsid w:val="003A1DE0"/>
    <w:rsid w:val="003A25B7"/>
    <w:rsid w:val="003A36CF"/>
    <w:rsid w:val="003A3910"/>
    <w:rsid w:val="003A3AC3"/>
    <w:rsid w:val="003A74D6"/>
    <w:rsid w:val="003B004F"/>
    <w:rsid w:val="003B0864"/>
    <w:rsid w:val="003B2812"/>
    <w:rsid w:val="003B5213"/>
    <w:rsid w:val="003B6B5F"/>
    <w:rsid w:val="003B6DD1"/>
    <w:rsid w:val="003B7268"/>
    <w:rsid w:val="003C1585"/>
    <w:rsid w:val="003C1879"/>
    <w:rsid w:val="003C29B0"/>
    <w:rsid w:val="003C3E72"/>
    <w:rsid w:val="003C4A88"/>
    <w:rsid w:val="003C510E"/>
    <w:rsid w:val="003C56AB"/>
    <w:rsid w:val="003C586D"/>
    <w:rsid w:val="003C6523"/>
    <w:rsid w:val="003C6BE7"/>
    <w:rsid w:val="003C7475"/>
    <w:rsid w:val="003D3304"/>
    <w:rsid w:val="003D3FDB"/>
    <w:rsid w:val="003D40A0"/>
    <w:rsid w:val="003D5896"/>
    <w:rsid w:val="003E0836"/>
    <w:rsid w:val="003E0CF5"/>
    <w:rsid w:val="003E22D7"/>
    <w:rsid w:val="003E249F"/>
    <w:rsid w:val="003E54C2"/>
    <w:rsid w:val="003E54D2"/>
    <w:rsid w:val="003E55AB"/>
    <w:rsid w:val="003F0129"/>
    <w:rsid w:val="003F1EA2"/>
    <w:rsid w:val="003F31A2"/>
    <w:rsid w:val="003F330B"/>
    <w:rsid w:val="003F4224"/>
    <w:rsid w:val="003F459A"/>
    <w:rsid w:val="003F7973"/>
    <w:rsid w:val="00400A14"/>
    <w:rsid w:val="00401083"/>
    <w:rsid w:val="004016E2"/>
    <w:rsid w:val="00402B68"/>
    <w:rsid w:val="00402BB2"/>
    <w:rsid w:val="00404B5D"/>
    <w:rsid w:val="00405842"/>
    <w:rsid w:val="0040641E"/>
    <w:rsid w:val="00406746"/>
    <w:rsid w:val="00406D4C"/>
    <w:rsid w:val="00406EDE"/>
    <w:rsid w:val="00407D21"/>
    <w:rsid w:val="00411769"/>
    <w:rsid w:val="00420DF0"/>
    <w:rsid w:val="00420E40"/>
    <w:rsid w:val="00422B74"/>
    <w:rsid w:val="00424BBD"/>
    <w:rsid w:val="004250EA"/>
    <w:rsid w:val="00426091"/>
    <w:rsid w:val="0042619D"/>
    <w:rsid w:val="00426669"/>
    <w:rsid w:val="0042792B"/>
    <w:rsid w:val="00427C3D"/>
    <w:rsid w:val="00430141"/>
    <w:rsid w:val="00430BA8"/>
    <w:rsid w:val="00431DF0"/>
    <w:rsid w:val="00432213"/>
    <w:rsid w:val="00433585"/>
    <w:rsid w:val="00435303"/>
    <w:rsid w:val="0043637E"/>
    <w:rsid w:val="00436500"/>
    <w:rsid w:val="004372B4"/>
    <w:rsid w:val="00441AD8"/>
    <w:rsid w:val="00442A07"/>
    <w:rsid w:val="004441F2"/>
    <w:rsid w:val="0044455C"/>
    <w:rsid w:val="00445725"/>
    <w:rsid w:val="0044756D"/>
    <w:rsid w:val="004478C8"/>
    <w:rsid w:val="00447EE8"/>
    <w:rsid w:val="00447FE4"/>
    <w:rsid w:val="00450303"/>
    <w:rsid w:val="0045464A"/>
    <w:rsid w:val="00454F9A"/>
    <w:rsid w:val="00455044"/>
    <w:rsid w:val="00456B7A"/>
    <w:rsid w:val="0045713D"/>
    <w:rsid w:val="0045739F"/>
    <w:rsid w:val="00460DC6"/>
    <w:rsid w:val="0046134E"/>
    <w:rsid w:val="004616BC"/>
    <w:rsid w:val="00461971"/>
    <w:rsid w:val="00461F77"/>
    <w:rsid w:val="00463174"/>
    <w:rsid w:val="00463FEF"/>
    <w:rsid w:val="00464FB7"/>
    <w:rsid w:val="0046606C"/>
    <w:rsid w:val="004674F1"/>
    <w:rsid w:val="00470EAA"/>
    <w:rsid w:val="00470ED4"/>
    <w:rsid w:val="0047110E"/>
    <w:rsid w:val="0047115B"/>
    <w:rsid w:val="00471250"/>
    <w:rsid w:val="0047278F"/>
    <w:rsid w:val="00473750"/>
    <w:rsid w:val="004737FE"/>
    <w:rsid w:val="00474193"/>
    <w:rsid w:val="00476B80"/>
    <w:rsid w:val="00476FEA"/>
    <w:rsid w:val="0047739E"/>
    <w:rsid w:val="0047755D"/>
    <w:rsid w:val="00477A17"/>
    <w:rsid w:val="00480B7E"/>
    <w:rsid w:val="004841F5"/>
    <w:rsid w:val="00484CF9"/>
    <w:rsid w:val="00484D6D"/>
    <w:rsid w:val="004854DB"/>
    <w:rsid w:val="004871ED"/>
    <w:rsid w:val="004903E8"/>
    <w:rsid w:val="00490AC4"/>
    <w:rsid w:val="0049132F"/>
    <w:rsid w:val="00492488"/>
    <w:rsid w:val="00492E81"/>
    <w:rsid w:val="00494279"/>
    <w:rsid w:val="00494610"/>
    <w:rsid w:val="00494D96"/>
    <w:rsid w:val="00495454"/>
    <w:rsid w:val="004A1C08"/>
    <w:rsid w:val="004A290F"/>
    <w:rsid w:val="004A3262"/>
    <w:rsid w:val="004A53B7"/>
    <w:rsid w:val="004A647A"/>
    <w:rsid w:val="004A6C6F"/>
    <w:rsid w:val="004B510E"/>
    <w:rsid w:val="004B5D04"/>
    <w:rsid w:val="004B5D66"/>
    <w:rsid w:val="004B76FD"/>
    <w:rsid w:val="004C0D65"/>
    <w:rsid w:val="004C1093"/>
    <w:rsid w:val="004C1172"/>
    <w:rsid w:val="004C13AF"/>
    <w:rsid w:val="004C1D66"/>
    <w:rsid w:val="004C26CF"/>
    <w:rsid w:val="004C3219"/>
    <w:rsid w:val="004C38AC"/>
    <w:rsid w:val="004C4638"/>
    <w:rsid w:val="004C6F03"/>
    <w:rsid w:val="004C6FC1"/>
    <w:rsid w:val="004D232F"/>
    <w:rsid w:val="004D356C"/>
    <w:rsid w:val="004D38AD"/>
    <w:rsid w:val="004D3E66"/>
    <w:rsid w:val="004D49A6"/>
    <w:rsid w:val="004D49EC"/>
    <w:rsid w:val="004D5C91"/>
    <w:rsid w:val="004D75D5"/>
    <w:rsid w:val="004D7D15"/>
    <w:rsid w:val="004E01DB"/>
    <w:rsid w:val="004E3574"/>
    <w:rsid w:val="004E773F"/>
    <w:rsid w:val="004F04E8"/>
    <w:rsid w:val="004F06CC"/>
    <w:rsid w:val="004F1BAE"/>
    <w:rsid w:val="004F39DA"/>
    <w:rsid w:val="004F5C3A"/>
    <w:rsid w:val="004F6C2C"/>
    <w:rsid w:val="004F714C"/>
    <w:rsid w:val="004F7356"/>
    <w:rsid w:val="00500289"/>
    <w:rsid w:val="00501B30"/>
    <w:rsid w:val="00504269"/>
    <w:rsid w:val="00505C0C"/>
    <w:rsid w:val="0051041C"/>
    <w:rsid w:val="00515E86"/>
    <w:rsid w:val="00520732"/>
    <w:rsid w:val="00521D24"/>
    <w:rsid w:val="00523501"/>
    <w:rsid w:val="00523C5B"/>
    <w:rsid w:val="00524444"/>
    <w:rsid w:val="0052462B"/>
    <w:rsid w:val="00525962"/>
    <w:rsid w:val="00526333"/>
    <w:rsid w:val="00531CF2"/>
    <w:rsid w:val="00531EC8"/>
    <w:rsid w:val="0054022D"/>
    <w:rsid w:val="0054246A"/>
    <w:rsid w:val="005437D5"/>
    <w:rsid w:val="00543B26"/>
    <w:rsid w:val="00543D6D"/>
    <w:rsid w:val="005458E6"/>
    <w:rsid w:val="00547739"/>
    <w:rsid w:val="00550B1F"/>
    <w:rsid w:val="00550F20"/>
    <w:rsid w:val="00553865"/>
    <w:rsid w:val="00553C88"/>
    <w:rsid w:val="00555B7E"/>
    <w:rsid w:val="005560E9"/>
    <w:rsid w:val="00557783"/>
    <w:rsid w:val="00557A46"/>
    <w:rsid w:val="005612B2"/>
    <w:rsid w:val="005613DB"/>
    <w:rsid w:val="00561AD5"/>
    <w:rsid w:val="0056308E"/>
    <w:rsid w:val="005747A3"/>
    <w:rsid w:val="005748E3"/>
    <w:rsid w:val="00574FF0"/>
    <w:rsid w:val="00575883"/>
    <w:rsid w:val="00581E82"/>
    <w:rsid w:val="00582CD6"/>
    <w:rsid w:val="00582ECB"/>
    <w:rsid w:val="00584F01"/>
    <w:rsid w:val="005874F6"/>
    <w:rsid w:val="0059003C"/>
    <w:rsid w:val="00590B65"/>
    <w:rsid w:val="00592459"/>
    <w:rsid w:val="00594444"/>
    <w:rsid w:val="005946FF"/>
    <w:rsid w:val="005950CE"/>
    <w:rsid w:val="00596099"/>
    <w:rsid w:val="0059679D"/>
    <w:rsid w:val="00597C10"/>
    <w:rsid w:val="005A1F31"/>
    <w:rsid w:val="005A32CF"/>
    <w:rsid w:val="005A3768"/>
    <w:rsid w:val="005A4463"/>
    <w:rsid w:val="005A4887"/>
    <w:rsid w:val="005A515A"/>
    <w:rsid w:val="005A61F0"/>
    <w:rsid w:val="005A65D8"/>
    <w:rsid w:val="005A6ABC"/>
    <w:rsid w:val="005A6F3D"/>
    <w:rsid w:val="005A70F8"/>
    <w:rsid w:val="005B0229"/>
    <w:rsid w:val="005B07AA"/>
    <w:rsid w:val="005B2F64"/>
    <w:rsid w:val="005B3055"/>
    <w:rsid w:val="005B37C7"/>
    <w:rsid w:val="005B65FC"/>
    <w:rsid w:val="005C0854"/>
    <w:rsid w:val="005C1608"/>
    <w:rsid w:val="005C1A28"/>
    <w:rsid w:val="005C26FF"/>
    <w:rsid w:val="005C2CB4"/>
    <w:rsid w:val="005C43D0"/>
    <w:rsid w:val="005C58FF"/>
    <w:rsid w:val="005C7A8C"/>
    <w:rsid w:val="005D37B4"/>
    <w:rsid w:val="005D3806"/>
    <w:rsid w:val="005D4792"/>
    <w:rsid w:val="005D68F6"/>
    <w:rsid w:val="005E3325"/>
    <w:rsid w:val="005E44C3"/>
    <w:rsid w:val="005E60A6"/>
    <w:rsid w:val="005E6165"/>
    <w:rsid w:val="005E74D3"/>
    <w:rsid w:val="005F0F5C"/>
    <w:rsid w:val="005F134A"/>
    <w:rsid w:val="005F1D50"/>
    <w:rsid w:val="005F239C"/>
    <w:rsid w:val="005F2E22"/>
    <w:rsid w:val="005F5654"/>
    <w:rsid w:val="005F694D"/>
    <w:rsid w:val="0060072C"/>
    <w:rsid w:val="00601B67"/>
    <w:rsid w:val="00602168"/>
    <w:rsid w:val="00604CE7"/>
    <w:rsid w:val="00612392"/>
    <w:rsid w:val="006134C3"/>
    <w:rsid w:val="0061605D"/>
    <w:rsid w:val="0061645E"/>
    <w:rsid w:val="00617B08"/>
    <w:rsid w:val="00623678"/>
    <w:rsid w:val="00623868"/>
    <w:rsid w:val="00623CD0"/>
    <w:rsid w:val="00623FC5"/>
    <w:rsid w:val="00624131"/>
    <w:rsid w:val="006250F2"/>
    <w:rsid w:val="00625FBF"/>
    <w:rsid w:val="00626FE6"/>
    <w:rsid w:val="00627BA3"/>
    <w:rsid w:val="00627D57"/>
    <w:rsid w:val="00627E1A"/>
    <w:rsid w:val="006310FB"/>
    <w:rsid w:val="00631BA4"/>
    <w:rsid w:val="006330EB"/>
    <w:rsid w:val="00634287"/>
    <w:rsid w:val="00634B4B"/>
    <w:rsid w:val="00636003"/>
    <w:rsid w:val="006361ED"/>
    <w:rsid w:val="00637E5D"/>
    <w:rsid w:val="00640690"/>
    <w:rsid w:val="00640C57"/>
    <w:rsid w:val="00641DBD"/>
    <w:rsid w:val="0064458E"/>
    <w:rsid w:val="00644D1C"/>
    <w:rsid w:val="0065069D"/>
    <w:rsid w:val="00650CE2"/>
    <w:rsid w:val="006511A6"/>
    <w:rsid w:val="00654B3C"/>
    <w:rsid w:val="006555F3"/>
    <w:rsid w:val="00655BE7"/>
    <w:rsid w:val="00660606"/>
    <w:rsid w:val="006628D6"/>
    <w:rsid w:val="0066381B"/>
    <w:rsid w:val="0066575D"/>
    <w:rsid w:val="0066634C"/>
    <w:rsid w:val="006663E4"/>
    <w:rsid w:val="00666E20"/>
    <w:rsid w:val="00671325"/>
    <w:rsid w:val="006713F9"/>
    <w:rsid w:val="00671CB5"/>
    <w:rsid w:val="00671D59"/>
    <w:rsid w:val="00673768"/>
    <w:rsid w:val="00674537"/>
    <w:rsid w:val="00674C95"/>
    <w:rsid w:val="00675A02"/>
    <w:rsid w:val="00676C77"/>
    <w:rsid w:val="00677329"/>
    <w:rsid w:val="00677475"/>
    <w:rsid w:val="00677785"/>
    <w:rsid w:val="00677ABB"/>
    <w:rsid w:val="00677DD7"/>
    <w:rsid w:val="006809CA"/>
    <w:rsid w:val="0068154F"/>
    <w:rsid w:val="00682E37"/>
    <w:rsid w:val="006844C7"/>
    <w:rsid w:val="00684C2D"/>
    <w:rsid w:val="00686321"/>
    <w:rsid w:val="006905B0"/>
    <w:rsid w:val="006908AB"/>
    <w:rsid w:val="00690C4E"/>
    <w:rsid w:val="00691DB7"/>
    <w:rsid w:val="00691EAC"/>
    <w:rsid w:val="00693481"/>
    <w:rsid w:val="00694BA9"/>
    <w:rsid w:val="006951AC"/>
    <w:rsid w:val="00696DDF"/>
    <w:rsid w:val="00697F29"/>
    <w:rsid w:val="006A0793"/>
    <w:rsid w:val="006A0BB5"/>
    <w:rsid w:val="006A14FD"/>
    <w:rsid w:val="006A2000"/>
    <w:rsid w:val="006A44CB"/>
    <w:rsid w:val="006A63D6"/>
    <w:rsid w:val="006A714E"/>
    <w:rsid w:val="006A7D46"/>
    <w:rsid w:val="006B1A4A"/>
    <w:rsid w:val="006B48D6"/>
    <w:rsid w:val="006B5CA9"/>
    <w:rsid w:val="006C00E3"/>
    <w:rsid w:val="006C12E9"/>
    <w:rsid w:val="006C2032"/>
    <w:rsid w:val="006C2277"/>
    <w:rsid w:val="006C2713"/>
    <w:rsid w:val="006C27B6"/>
    <w:rsid w:val="006C32C4"/>
    <w:rsid w:val="006C41F7"/>
    <w:rsid w:val="006C4272"/>
    <w:rsid w:val="006C5479"/>
    <w:rsid w:val="006C5CDE"/>
    <w:rsid w:val="006C7B23"/>
    <w:rsid w:val="006D1200"/>
    <w:rsid w:val="006D16D7"/>
    <w:rsid w:val="006D1CAF"/>
    <w:rsid w:val="006D21E6"/>
    <w:rsid w:val="006D3C71"/>
    <w:rsid w:val="006D58C4"/>
    <w:rsid w:val="006D638F"/>
    <w:rsid w:val="006D65F8"/>
    <w:rsid w:val="006D7604"/>
    <w:rsid w:val="006E0BF6"/>
    <w:rsid w:val="006E2221"/>
    <w:rsid w:val="006E53B6"/>
    <w:rsid w:val="006E5D54"/>
    <w:rsid w:val="006E6F85"/>
    <w:rsid w:val="006E79CF"/>
    <w:rsid w:val="006F002A"/>
    <w:rsid w:val="006F2033"/>
    <w:rsid w:val="006F4B6A"/>
    <w:rsid w:val="006F5262"/>
    <w:rsid w:val="006F5D12"/>
    <w:rsid w:val="00701080"/>
    <w:rsid w:val="00701F59"/>
    <w:rsid w:val="007021FC"/>
    <w:rsid w:val="00703F44"/>
    <w:rsid w:val="00705D80"/>
    <w:rsid w:val="00706CD4"/>
    <w:rsid w:val="00707C90"/>
    <w:rsid w:val="00711979"/>
    <w:rsid w:val="007154B5"/>
    <w:rsid w:val="00715F30"/>
    <w:rsid w:val="007168C8"/>
    <w:rsid w:val="007172F4"/>
    <w:rsid w:val="007203BD"/>
    <w:rsid w:val="00720F65"/>
    <w:rsid w:val="00721E67"/>
    <w:rsid w:val="007224D4"/>
    <w:rsid w:val="00723576"/>
    <w:rsid w:val="00724D3E"/>
    <w:rsid w:val="0072676C"/>
    <w:rsid w:val="00732589"/>
    <w:rsid w:val="00732D14"/>
    <w:rsid w:val="007336A4"/>
    <w:rsid w:val="0073422C"/>
    <w:rsid w:val="00740248"/>
    <w:rsid w:val="00740CE4"/>
    <w:rsid w:val="0074152B"/>
    <w:rsid w:val="0074154D"/>
    <w:rsid w:val="00742103"/>
    <w:rsid w:val="0074256E"/>
    <w:rsid w:val="007433C5"/>
    <w:rsid w:val="00744086"/>
    <w:rsid w:val="0074550F"/>
    <w:rsid w:val="00745589"/>
    <w:rsid w:val="00745D4F"/>
    <w:rsid w:val="00746A7A"/>
    <w:rsid w:val="00746B1C"/>
    <w:rsid w:val="00746E45"/>
    <w:rsid w:val="007475F2"/>
    <w:rsid w:val="00750828"/>
    <w:rsid w:val="00751949"/>
    <w:rsid w:val="00752AC4"/>
    <w:rsid w:val="00752FBC"/>
    <w:rsid w:val="0075328C"/>
    <w:rsid w:val="007543D2"/>
    <w:rsid w:val="007543EC"/>
    <w:rsid w:val="007569A0"/>
    <w:rsid w:val="00756C63"/>
    <w:rsid w:val="0076056D"/>
    <w:rsid w:val="0076103D"/>
    <w:rsid w:val="00762D5F"/>
    <w:rsid w:val="00763525"/>
    <w:rsid w:val="00763780"/>
    <w:rsid w:val="00763F30"/>
    <w:rsid w:val="00767D24"/>
    <w:rsid w:val="00770ADF"/>
    <w:rsid w:val="00772930"/>
    <w:rsid w:val="00775930"/>
    <w:rsid w:val="00775B99"/>
    <w:rsid w:val="00775CD8"/>
    <w:rsid w:val="007767F8"/>
    <w:rsid w:val="0077684A"/>
    <w:rsid w:val="00782200"/>
    <w:rsid w:val="007828F0"/>
    <w:rsid w:val="00786C2A"/>
    <w:rsid w:val="007877AA"/>
    <w:rsid w:val="00794205"/>
    <w:rsid w:val="007942FD"/>
    <w:rsid w:val="007A0B2F"/>
    <w:rsid w:val="007A0F7C"/>
    <w:rsid w:val="007A1D11"/>
    <w:rsid w:val="007A210C"/>
    <w:rsid w:val="007A3755"/>
    <w:rsid w:val="007A421C"/>
    <w:rsid w:val="007A4C14"/>
    <w:rsid w:val="007A5EF8"/>
    <w:rsid w:val="007A7287"/>
    <w:rsid w:val="007B067E"/>
    <w:rsid w:val="007B7885"/>
    <w:rsid w:val="007C0262"/>
    <w:rsid w:val="007C0A47"/>
    <w:rsid w:val="007C29CD"/>
    <w:rsid w:val="007C46C0"/>
    <w:rsid w:val="007C4D62"/>
    <w:rsid w:val="007C53A6"/>
    <w:rsid w:val="007C720F"/>
    <w:rsid w:val="007D1370"/>
    <w:rsid w:val="007D1D00"/>
    <w:rsid w:val="007D29BE"/>
    <w:rsid w:val="007D334E"/>
    <w:rsid w:val="007D3404"/>
    <w:rsid w:val="007D36A2"/>
    <w:rsid w:val="007D3B2B"/>
    <w:rsid w:val="007D3E75"/>
    <w:rsid w:val="007D5C43"/>
    <w:rsid w:val="007D6972"/>
    <w:rsid w:val="007D6A96"/>
    <w:rsid w:val="007D6AF4"/>
    <w:rsid w:val="007D78D0"/>
    <w:rsid w:val="007E0343"/>
    <w:rsid w:val="007E05F4"/>
    <w:rsid w:val="007E16CA"/>
    <w:rsid w:val="007E1A5A"/>
    <w:rsid w:val="007E26AB"/>
    <w:rsid w:val="007E2B5F"/>
    <w:rsid w:val="007E2C66"/>
    <w:rsid w:val="007E2F7D"/>
    <w:rsid w:val="007E3927"/>
    <w:rsid w:val="007E5E99"/>
    <w:rsid w:val="007E62E5"/>
    <w:rsid w:val="007F0300"/>
    <w:rsid w:val="007F0D7E"/>
    <w:rsid w:val="007F37FB"/>
    <w:rsid w:val="007F3860"/>
    <w:rsid w:val="007F442C"/>
    <w:rsid w:val="007F4A80"/>
    <w:rsid w:val="007F6EB9"/>
    <w:rsid w:val="007F7CC8"/>
    <w:rsid w:val="008020E8"/>
    <w:rsid w:val="0080224E"/>
    <w:rsid w:val="00802327"/>
    <w:rsid w:val="00803D08"/>
    <w:rsid w:val="0080543D"/>
    <w:rsid w:val="00805574"/>
    <w:rsid w:val="0081070A"/>
    <w:rsid w:val="00810DF9"/>
    <w:rsid w:val="008119DC"/>
    <w:rsid w:val="00812DF1"/>
    <w:rsid w:val="00814AC9"/>
    <w:rsid w:val="00814EDD"/>
    <w:rsid w:val="00814F83"/>
    <w:rsid w:val="00815503"/>
    <w:rsid w:val="008170D9"/>
    <w:rsid w:val="00820321"/>
    <w:rsid w:val="00821466"/>
    <w:rsid w:val="008301EC"/>
    <w:rsid w:val="008302C4"/>
    <w:rsid w:val="00831DDE"/>
    <w:rsid w:val="008337E5"/>
    <w:rsid w:val="00834BB6"/>
    <w:rsid w:val="00835F94"/>
    <w:rsid w:val="008369AC"/>
    <w:rsid w:val="00836E2D"/>
    <w:rsid w:val="0083738B"/>
    <w:rsid w:val="00837D78"/>
    <w:rsid w:val="00840762"/>
    <w:rsid w:val="00840CA1"/>
    <w:rsid w:val="008419D9"/>
    <w:rsid w:val="00842020"/>
    <w:rsid w:val="0084272E"/>
    <w:rsid w:val="00843402"/>
    <w:rsid w:val="008452BC"/>
    <w:rsid w:val="00846EB4"/>
    <w:rsid w:val="0085055E"/>
    <w:rsid w:val="00850EED"/>
    <w:rsid w:val="0085172E"/>
    <w:rsid w:val="00851AC1"/>
    <w:rsid w:val="00855426"/>
    <w:rsid w:val="00855C3E"/>
    <w:rsid w:val="008565F4"/>
    <w:rsid w:val="00857FA8"/>
    <w:rsid w:val="008600B8"/>
    <w:rsid w:val="00862698"/>
    <w:rsid w:val="008637D1"/>
    <w:rsid w:val="00863FAA"/>
    <w:rsid w:val="0086430C"/>
    <w:rsid w:val="00864F76"/>
    <w:rsid w:val="00865058"/>
    <w:rsid w:val="00866EED"/>
    <w:rsid w:val="00867277"/>
    <w:rsid w:val="008702A2"/>
    <w:rsid w:val="00870FBF"/>
    <w:rsid w:val="008737E5"/>
    <w:rsid w:val="00873C97"/>
    <w:rsid w:val="008747A2"/>
    <w:rsid w:val="00874831"/>
    <w:rsid w:val="00875E5A"/>
    <w:rsid w:val="008760C7"/>
    <w:rsid w:val="00877542"/>
    <w:rsid w:val="008778B5"/>
    <w:rsid w:val="00882B33"/>
    <w:rsid w:val="00883B03"/>
    <w:rsid w:val="00885CDC"/>
    <w:rsid w:val="00886406"/>
    <w:rsid w:val="00886583"/>
    <w:rsid w:val="008867A1"/>
    <w:rsid w:val="00890237"/>
    <w:rsid w:val="0089038F"/>
    <w:rsid w:val="008926C7"/>
    <w:rsid w:val="0089310F"/>
    <w:rsid w:val="008936EA"/>
    <w:rsid w:val="00895DFA"/>
    <w:rsid w:val="00897DF0"/>
    <w:rsid w:val="008A1737"/>
    <w:rsid w:val="008A3AD6"/>
    <w:rsid w:val="008A44EA"/>
    <w:rsid w:val="008A4917"/>
    <w:rsid w:val="008A547D"/>
    <w:rsid w:val="008A567C"/>
    <w:rsid w:val="008A704F"/>
    <w:rsid w:val="008A7211"/>
    <w:rsid w:val="008A769F"/>
    <w:rsid w:val="008A7AF4"/>
    <w:rsid w:val="008B0915"/>
    <w:rsid w:val="008B0E10"/>
    <w:rsid w:val="008B2827"/>
    <w:rsid w:val="008B2B67"/>
    <w:rsid w:val="008B3231"/>
    <w:rsid w:val="008B3488"/>
    <w:rsid w:val="008B4E6C"/>
    <w:rsid w:val="008C0551"/>
    <w:rsid w:val="008C11DC"/>
    <w:rsid w:val="008C1296"/>
    <w:rsid w:val="008C318A"/>
    <w:rsid w:val="008C531A"/>
    <w:rsid w:val="008C791D"/>
    <w:rsid w:val="008D060D"/>
    <w:rsid w:val="008D13E2"/>
    <w:rsid w:val="008D1E37"/>
    <w:rsid w:val="008D40D1"/>
    <w:rsid w:val="008D4A41"/>
    <w:rsid w:val="008D5A41"/>
    <w:rsid w:val="008E3C99"/>
    <w:rsid w:val="008E674D"/>
    <w:rsid w:val="008E6B64"/>
    <w:rsid w:val="008E6FD7"/>
    <w:rsid w:val="008F4B7E"/>
    <w:rsid w:val="008F6907"/>
    <w:rsid w:val="008F6B8F"/>
    <w:rsid w:val="008F75DC"/>
    <w:rsid w:val="0090043B"/>
    <w:rsid w:val="00900BF9"/>
    <w:rsid w:val="00902F96"/>
    <w:rsid w:val="00903ED8"/>
    <w:rsid w:val="00904096"/>
    <w:rsid w:val="009107C1"/>
    <w:rsid w:val="009111FB"/>
    <w:rsid w:val="00912255"/>
    <w:rsid w:val="00913A9E"/>
    <w:rsid w:val="00914A99"/>
    <w:rsid w:val="00915683"/>
    <w:rsid w:val="009168F2"/>
    <w:rsid w:val="009209FE"/>
    <w:rsid w:val="009214E6"/>
    <w:rsid w:val="00922801"/>
    <w:rsid w:val="00922B82"/>
    <w:rsid w:val="009233A5"/>
    <w:rsid w:val="00924316"/>
    <w:rsid w:val="00924705"/>
    <w:rsid w:val="00924F5C"/>
    <w:rsid w:val="0092709F"/>
    <w:rsid w:val="009277C6"/>
    <w:rsid w:val="00927920"/>
    <w:rsid w:val="00931527"/>
    <w:rsid w:val="00931D81"/>
    <w:rsid w:val="009329D0"/>
    <w:rsid w:val="00932B19"/>
    <w:rsid w:val="00933D8D"/>
    <w:rsid w:val="009356D7"/>
    <w:rsid w:val="009360C4"/>
    <w:rsid w:val="00936EE5"/>
    <w:rsid w:val="00937D92"/>
    <w:rsid w:val="00942A45"/>
    <w:rsid w:val="0094332F"/>
    <w:rsid w:val="009464D7"/>
    <w:rsid w:val="009468FE"/>
    <w:rsid w:val="00950676"/>
    <w:rsid w:val="00950EAF"/>
    <w:rsid w:val="009516A8"/>
    <w:rsid w:val="00951CF0"/>
    <w:rsid w:val="00952F91"/>
    <w:rsid w:val="0095333B"/>
    <w:rsid w:val="00953535"/>
    <w:rsid w:val="009545D9"/>
    <w:rsid w:val="00954AB9"/>
    <w:rsid w:val="00954E5E"/>
    <w:rsid w:val="0095518B"/>
    <w:rsid w:val="00956E0A"/>
    <w:rsid w:val="00957176"/>
    <w:rsid w:val="0095747D"/>
    <w:rsid w:val="00960B15"/>
    <w:rsid w:val="00961C73"/>
    <w:rsid w:val="00965BB2"/>
    <w:rsid w:val="00972046"/>
    <w:rsid w:val="00972777"/>
    <w:rsid w:val="00974BEF"/>
    <w:rsid w:val="0097632A"/>
    <w:rsid w:val="00976FD0"/>
    <w:rsid w:val="00977684"/>
    <w:rsid w:val="009829F6"/>
    <w:rsid w:val="009834A1"/>
    <w:rsid w:val="00984F5C"/>
    <w:rsid w:val="00986123"/>
    <w:rsid w:val="00986422"/>
    <w:rsid w:val="00986962"/>
    <w:rsid w:val="00986CF8"/>
    <w:rsid w:val="00987E8B"/>
    <w:rsid w:val="00990143"/>
    <w:rsid w:val="00990792"/>
    <w:rsid w:val="00990DDA"/>
    <w:rsid w:val="00991675"/>
    <w:rsid w:val="009925AD"/>
    <w:rsid w:val="00992E8E"/>
    <w:rsid w:val="0099304E"/>
    <w:rsid w:val="00996263"/>
    <w:rsid w:val="00996776"/>
    <w:rsid w:val="00996D64"/>
    <w:rsid w:val="009A07EF"/>
    <w:rsid w:val="009A112E"/>
    <w:rsid w:val="009A2470"/>
    <w:rsid w:val="009A2D8A"/>
    <w:rsid w:val="009A3E18"/>
    <w:rsid w:val="009A3FBE"/>
    <w:rsid w:val="009A42D0"/>
    <w:rsid w:val="009A4587"/>
    <w:rsid w:val="009A4DC7"/>
    <w:rsid w:val="009A62A5"/>
    <w:rsid w:val="009A7863"/>
    <w:rsid w:val="009B1F8F"/>
    <w:rsid w:val="009B6728"/>
    <w:rsid w:val="009B6ED8"/>
    <w:rsid w:val="009C0771"/>
    <w:rsid w:val="009C0BD0"/>
    <w:rsid w:val="009C21E1"/>
    <w:rsid w:val="009C6129"/>
    <w:rsid w:val="009C69CB"/>
    <w:rsid w:val="009D0729"/>
    <w:rsid w:val="009D0A51"/>
    <w:rsid w:val="009D3106"/>
    <w:rsid w:val="009D3E05"/>
    <w:rsid w:val="009D3EC2"/>
    <w:rsid w:val="009D5E0C"/>
    <w:rsid w:val="009D70AD"/>
    <w:rsid w:val="009D769E"/>
    <w:rsid w:val="009E108D"/>
    <w:rsid w:val="009E3275"/>
    <w:rsid w:val="009E35C4"/>
    <w:rsid w:val="009E5D5E"/>
    <w:rsid w:val="009E6EE0"/>
    <w:rsid w:val="009E730C"/>
    <w:rsid w:val="009F0865"/>
    <w:rsid w:val="009F112F"/>
    <w:rsid w:val="009F2C67"/>
    <w:rsid w:val="009F5345"/>
    <w:rsid w:val="009F5677"/>
    <w:rsid w:val="009F56BF"/>
    <w:rsid w:val="009F5EEB"/>
    <w:rsid w:val="009F686F"/>
    <w:rsid w:val="009F6B96"/>
    <w:rsid w:val="00A00C9C"/>
    <w:rsid w:val="00A0116F"/>
    <w:rsid w:val="00A04716"/>
    <w:rsid w:val="00A04EEE"/>
    <w:rsid w:val="00A066D7"/>
    <w:rsid w:val="00A06843"/>
    <w:rsid w:val="00A06A60"/>
    <w:rsid w:val="00A07815"/>
    <w:rsid w:val="00A07B78"/>
    <w:rsid w:val="00A07CC3"/>
    <w:rsid w:val="00A10EB3"/>
    <w:rsid w:val="00A1140E"/>
    <w:rsid w:val="00A11985"/>
    <w:rsid w:val="00A127D4"/>
    <w:rsid w:val="00A13F46"/>
    <w:rsid w:val="00A16665"/>
    <w:rsid w:val="00A166A7"/>
    <w:rsid w:val="00A166F2"/>
    <w:rsid w:val="00A16800"/>
    <w:rsid w:val="00A21D44"/>
    <w:rsid w:val="00A21EC1"/>
    <w:rsid w:val="00A21FB3"/>
    <w:rsid w:val="00A245FB"/>
    <w:rsid w:val="00A27D83"/>
    <w:rsid w:val="00A31A75"/>
    <w:rsid w:val="00A34EFF"/>
    <w:rsid w:val="00A353EB"/>
    <w:rsid w:val="00A40D86"/>
    <w:rsid w:val="00A4150F"/>
    <w:rsid w:val="00A4193C"/>
    <w:rsid w:val="00A41EAD"/>
    <w:rsid w:val="00A4238A"/>
    <w:rsid w:val="00A4254C"/>
    <w:rsid w:val="00A425EF"/>
    <w:rsid w:val="00A42A17"/>
    <w:rsid w:val="00A4328E"/>
    <w:rsid w:val="00A4375D"/>
    <w:rsid w:val="00A43FBC"/>
    <w:rsid w:val="00A45216"/>
    <w:rsid w:val="00A50952"/>
    <w:rsid w:val="00A52FD4"/>
    <w:rsid w:val="00A54668"/>
    <w:rsid w:val="00A55954"/>
    <w:rsid w:val="00A5631E"/>
    <w:rsid w:val="00A56E03"/>
    <w:rsid w:val="00A60880"/>
    <w:rsid w:val="00A62447"/>
    <w:rsid w:val="00A62C42"/>
    <w:rsid w:val="00A63C6B"/>
    <w:rsid w:val="00A64458"/>
    <w:rsid w:val="00A6480B"/>
    <w:rsid w:val="00A6487C"/>
    <w:rsid w:val="00A676D5"/>
    <w:rsid w:val="00A70DEC"/>
    <w:rsid w:val="00A71431"/>
    <w:rsid w:val="00A72E96"/>
    <w:rsid w:val="00A75E4E"/>
    <w:rsid w:val="00A761B5"/>
    <w:rsid w:val="00A81BE5"/>
    <w:rsid w:val="00A826B9"/>
    <w:rsid w:val="00A82768"/>
    <w:rsid w:val="00A82897"/>
    <w:rsid w:val="00A829D5"/>
    <w:rsid w:val="00A85A82"/>
    <w:rsid w:val="00A87C2D"/>
    <w:rsid w:val="00A90709"/>
    <w:rsid w:val="00A911A7"/>
    <w:rsid w:val="00A914B7"/>
    <w:rsid w:val="00A914F2"/>
    <w:rsid w:val="00A940DA"/>
    <w:rsid w:val="00A94DBF"/>
    <w:rsid w:val="00A9512C"/>
    <w:rsid w:val="00A96140"/>
    <w:rsid w:val="00A96370"/>
    <w:rsid w:val="00A97015"/>
    <w:rsid w:val="00AA13C2"/>
    <w:rsid w:val="00AA1B07"/>
    <w:rsid w:val="00AA2607"/>
    <w:rsid w:val="00AA3D3E"/>
    <w:rsid w:val="00AA4B14"/>
    <w:rsid w:val="00AA4EA3"/>
    <w:rsid w:val="00AB3163"/>
    <w:rsid w:val="00AB3837"/>
    <w:rsid w:val="00AB58D5"/>
    <w:rsid w:val="00AB6750"/>
    <w:rsid w:val="00AC0F04"/>
    <w:rsid w:val="00AC14EA"/>
    <w:rsid w:val="00AC172B"/>
    <w:rsid w:val="00AC28A5"/>
    <w:rsid w:val="00AC2B99"/>
    <w:rsid w:val="00AC437C"/>
    <w:rsid w:val="00AC4456"/>
    <w:rsid w:val="00AC4EAB"/>
    <w:rsid w:val="00AC636C"/>
    <w:rsid w:val="00AC6CE5"/>
    <w:rsid w:val="00AD038D"/>
    <w:rsid w:val="00AD15BA"/>
    <w:rsid w:val="00AD191F"/>
    <w:rsid w:val="00AD3417"/>
    <w:rsid w:val="00AD4B5E"/>
    <w:rsid w:val="00AD5A33"/>
    <w:rsid w:val="00AD7C88"/>
    <w:rsid w:val="00AE0DBB"/>
    <w:rsid w:val="00AE191A"/>
    <w:rsid w:val="00AE3567"/>
    <w:rsid w:val="00AE51DB"/>
    <w:rsid w:val="00AF010A"/>
    <w:rsid w:val="00AF204A"/>
    <w:rsid w:val="00AF2D9B"/>
    <w:rsid w:val="00AF3CC7"/>
    <w:rsid w:val="00AF50A9"/>
    <w:rsid w:val="00AF5387"/>
    <w:rsid w:val="00AF53AE"/>
    <w:rsid w:val="00AF71ED"/>
    <w:rsid w:val="00AF76FD"/>
    <w:rsid w:val="00B00961"/>
    <w:rsid w:val="00B01482"/>
    <w:rsid w:val="00B02238"/>
    <w:rsid w:val="00B02A9A"/>
    <w:rsid w:val="00B02D83"/>
    <w:rsid w:val="00B05171"/>
    <w:rsid w:val="00B05A5F"/>
    <w:rsid w:val="00B0642D"/>
    <w:rsid w:val="00B064B1"/>
    <w:rsid w:val="00B07EAC"/>
    <w:rsid w:val="00B10E9B"/>
    <w:rsid w:val="00B114B9"/>
    <w:rsid w:val="00B1403B"/>
    <w:rsid w:val="00B14205"/>
    <w:rsid w:val="00B143AC"/>
    <w:rsid w:val="00B143BC"/>
    <w:rsid w:val="00B1557A"/>
    <w:rsid w:val="00B15956"/>
    <w:rsid w:val="00B15B52"/>
    <w:rsid w:val="00B15F24"/>
    <w:rsid w:val="00B163ED"/>
    <w:rsid w:val="00B16F66"/>
    <w:rsid w:val="00B200E1"/>
    <w:rsid w:val="00B22BC8"/>
    <w:rsid w:val="00B22EA7"/>
    <w:rsid w:val="00B25618"/>
    <w:rsid w:val="00B25BE7"/>
    <w:rsid w:val="00B2778B"/>
    <w:rsid w:val="00B302ED"/>
    <w:rsid w:val="00B30355"/>
    <w:rsid w:val="00B304A2"/>
    <w:rsid w:val="00B3070F"/>
    <w:rsid w:val="00B30C98"/>
    <w:rsid w:val="00B31896"/>
    <w:rsid w:val="00B344B0"/>
    <w:rsid w:val="00B35678"/>
    <w:rsid w:val="00B356A0"/>
    <w:rsid w:val="00B36642"/>
    <w:rsid w:val="00B36A09"/>
    <w:rsid w:val="00B37B17"/>
    <w:rsid w:val="00B40688"/>
    <w:rsid w:val="00B447AF"/>
    <w:rsid w:val="00B46F16"/>
    <w:rsid w:val="00B47499"/>
    <w:rsid w:val="00B47D71"/>
    <w:rsid w:val="00B50845"/>
    <w:rsid w:val="00B541E5"/>
    <w:rsid w:val="00B5465D"/>
    <w:rsid w:val="00B55638"/>
    <w:rsid w:val="00B56270"/>
    <w:rsid w:val="00B6307D"/>
    <w:rsid w:val="00B63395"/>
    <w:rsid w:val="00B66774"/>
    <w:rsid w:val="00B70C65"/>
    <w:rsid w:val="00B75902"/>
    <w:rsid w:val="00B75BC6"/>
    <w:rsid w:val="00B76579"/>
    <w:rsid w:val="00B76D2C"/>
    <w:rsid w:val="00B80370"/>
    <w:rsid w:val="00B80794"/>
    <w:rsid w:val="00B8208F"/>
    <w:rsid w:val="00B826E8"/>
    <w:rsid w:val="00B82C40"/>
    <w:rsid w:val="00B86D9B"/>
    <w:rsid w:val="00B876D0"/>
    <w:rsid w:val="00B9079C"/>
    <w:rsid w:val="00B909CB"/>
    <w:rsid w:val="00B91017"/>
    <w:rsid w:val="00B91B8D"/>
    <w:rsid w:val="00B9477B"/>
    <w:rsid w:val="00B948C2"/>
    <w:rsid w:val="00BA11BC"/>
    <w:rsid w:val="00BA185A"/>
    <w:rsid w:val="00BA2E30"/>
    <w:rsid w:val="00BA2FB1"/>
    <w:rsid w:val="00BA4034"/>
    <w:rsid w:val="00BA410D"/>
    <w:rsid w:val="00BA62DA"/>
    <w:rsid w:val="00BA7DEF"/>
    <w:rsid w:val="00BB019A"/>
    <w:rsid w:val="00BB0E2E"/>
    <w:rsid w:val="00BB329D"/>
    <w:rsid w:val="00BB3BCC"/>
    <w:rsid w:val="00BB479E"/>
    <w:rsid w:val="00BB4AD8"/>
    <w:rsid w:val="00BB4E9B"/>
    <w:rsid w:val="00BB5640"/>
    <w:rsid w:val="00BB5D24"/>
    <w:rsid w:val="00BB70C2"/>
    <w:rsid w:val="00BC1BD0"/>
    <w:rsid w:val="00BC1CC4"/>
    <w:rsid w:val="00BD1E04"/>
    <w:rsid w:val="00BD2CB7"/>
    <w:rsid w:val="00BD2CFE"/>
    <w:rsid w:val="00BD4416"/>
    <w:rsid w:val="00BD4BEC"/>
    <w:rsid w:val="00BD57C9"/>
    <w:rsid w:val="00BD61CA"/>
    <w:rsid w:val="00BD746D"/>
    <w:rsid w:val="00BE11D2"/>
    <w:rsid w:val="00BE137E"/>
    <w:rsid w:val="00BE13A7"/>
    <w:rsid w:val="00BE14CC"/>
    <w:rsid w:val="00BE169F"/>
    <w:rsid w:val="00BE1992"/>
    <w:rsid w:val="00BE22CD"/>
    <w:rsid w:val="00BE2594"/>
    <w:rsid w:val="00BE2BC3"/>
    <w:rsid w:val="00BE3110"/>
    <w:rsid w:val="00BE42F5"/>
    <w:rsid w:val="00BE51B2"/>
    <w:rsid w:val="00BE5BAF"/>
    <w:rsid w:val="00BF10E9"/>
    <w:rsid w:val="00BF41FA"/>
    <w:rsid w:val="00BF6FCA"/>
    <w:rsid w:val="00BF7FCE"/>
    <w:rsid w:val="00C00292"/>
    <w:rsid w:val="00C02AA7"/>
    <w:rsid w:val="00C03D79"/>
    <w:rsid w:val="00C04E86"/>
    <w:rsid w:val="00C053DD"/>
    <w:rsid w:val="00C06355"/>
    <w:rsid w:val="00C06DCD"/>
    <w:rsid w:val="00C07DA7"/>
    <w:rsid w:val="00C10A91"/>
    <w:rsid w:val="00C12192"/>
    <w:rsid w:val="00C12199"/>
    <w:rsid w:val="00C14B53"/>
    <w:rsid w:val="00C177E6"/>
    <w:rsid w:val="00C2048D"/>
    <w:rsid w:val="00C20B86"/>
    <w:rsid w:val="00C20EF1"/>
    <w:rsid w:val="00C21B2B"/>
    <w:rsid w:val="00C23344"/>
    <w:rsid w:val="00C23D88"/>
    <w:rsid w:val="00C24A01"/>
    <w:rsid w:val="00C2546B"/>
    <w:rsid w:val="00C254D8"/>
    <w:rsid w:val="00C264E8"/>
    <w:rsid w:val="00C2740B"/>
    <w:rsid w:val="00C30F4F"/>
    <w:rsid w:val="00C3105D"/>
    <w:rsid w:val="00C31294"/>
    <w:rsid w:val="00C34CF3"/>
    <w:rsid w:val="00C35C62"/>
    <w:rsid w:val="00C36BCA"/>
    <w:rsid w:val="00C36DC2"/>
    <w:rsid w:val="00C407FE"/>
    <w:rsid w:val="00C414D9"/>
    <w:rsid w:val="00C4241F"/>
    <w:rsid w:val="00C455C0"/>
    <w:rsid w:val="00C47003"/>
    <w:rsid w:val="00C4776E"/>
    <w:rsid w:val="00C501B9"/>
    <w:rsid w:val="00C512A0"/>
    <w:rsid w:val="00C54BE3"/>
    <w:rsid w:val="00C54C9A"/>
    <w:rsid w:val="00C56478"/>
    <w:rsid w:val="00C56CD7"/>
    <w:rsid w:val="00C56E9F"/>
    <w:rsid w:val="00C60412"/>
    <w:rsid w:val="00C61950"/>
    <w:rsid w:val="00C62518"/>
    <w:rsid w:val="00C627BD"/>
    <w:rsid w:val="00C639C0"/>
    <w:rsid w:val="00C64631"/>
    <w:rsid w:val="00C64813"/>
    <w:rsid w:val="00C64C70"/>
    <w:rsid w:val="00C64DC9"/>
    <w:rsid w:val="00C65FF5"/>
    <w:rsid w:val="00C7053F"/>
    <w:rsid w:val="00C70F1D"/>
    <w:rsid w:val="00C71583"/>
    <w:rsid w:val="00C716A0"/>
    <w:rsid w:val="00C733A8"/>
    <w:rsid w:val="00C736B9"/>
    <w:rsid w:val="00C7377A"/>
    <w:rsid w:val="00C74BDB"/>
    <w:rsid w:val="00C754D7"/>
    <w:rsid w:val="00C7569C"/>
    <w:rsid w:val="00C779CC"/>
    <w:rsid w:val="00C77D6E"/>
    <w:rsid w:val="00C80053"/>
    <w:rsid w:val="00C80A6A"/>
    <w:rsid w:val="00C80B64"/>
    <w:rsid w:val="00C83E07"/>
    <w:rsid w:val="00C8526E"/>
    <w:rsid w:val="00C85F1D"/>
    <w:rsid w:val="00C861D1"/>
    <w:rsid w:val="00C8677F"/>
    <w:rsid w:val="00C87577"/>
    <w:rsid w:val="00C907A2"/>
    <w:rsid w:val="00C92671"/>
    <w:rsid w:val="00C9275F"/>
    <w:rsid w:val="00C92B53"/>
    <w:rsid w:val="00C9333B"/>
    <w:rsid w:val="00C947B0"/>
    <w:rsid w:val="00C9533F"/>
    <w:rsid w:val="00C95E58"/>
    <w:rsid w:val="00CA217C"/>
    <w:rsid w:val="00CA2AE4"/>
    <w:rsid w:val="00CA3577"/>
    <w:rsid w:val="00CA37D2"/>
    <w:rsid w:val="00CA4BC6"/>
    <w:rsid w:val="00CA65E8"/>
    <w:rsid w:val="00CA74AD"/>
    <w:rsid w:val="00CA77DD"/>
    <w:rsid w:val="00CB099E"/>
    <w:rsid w:val="00CB2BD3"/>
    <w:rsid w:val="00CB393B"/>
    <w:rsid w:val="00CB5BA5"/>
    <w:rsid w:val="00CB5CF0"/>
    <w:rsid w:val="00CC015D"/>
    <w:rsid w:val="00CC0D0C"/>
    <w:rsid w:val="00CC1000"/>
    <w:rsid w:val="00CC24BC"/>
    <w:rsid w:val="00CC349B"/>
    <w:rsid w:val="00CC4191"/>
    <w:rsid w:val="00CC4349"/>
    <w:rsid w:val="00CC49C4"/>
    <w:rsid w:val="00CC5776"/>
    <w:rsid w:val="00CC5C5D"/>
    <w:rsid w:val="00CC754F"/>
    <w:rsid w:val="00CD03B8"/>
    <w:rsid w:val="00CD0735"/>
    <w:rsid w:val="00CD0989"/>
    <w:rsid w:val="00CD1AF1"/>
    <w:rsid w:val="00CD38B7"/>
    <w:rsid w:val="00CD3AF0"/>
    <w:rsid w:val="00CD693D"/>
    <w:rsid w:val="00CD6C10"/>
    <w:rsid w:val="00CD7CB1"/>
    <w:rsid w:val="00CE06D2"/>
    <w:rsid w:val="00CE19FD"/>
    <w:rsid w:val="00CE1D6B"/>
    <w:rsid w:val="00CE2023"/>
    <w:rsid w:val="00CE4363"/>
    <w:rsid w:val="00CE4BB7"/>
    <w:rsid w:val="00CE6C1C"/>
    <w:rsid w:val="00CE74E5"/>
    <w:rsid w:val="00CE792A"/>
    <w:rsid w:val="00CF2488"/>
    <w:rsid w:val="00CF3757"/>
    <w:rsid w:val="00CF4BFD"/>
    <w:rsid w:val="00CF50FD"/>
    <w:rsid w:val="00CF617D"/>
    <w:rsid w:val="00CF6A2E"/>
    <w:rsid w:val="00CF712F"/>
    <w:rsid w:val="00CF7FF6"/>
    <w:rsid w:val="00D11766"/>
    <w:rsid w:val="00D13889"/>
    <w:rsid w:val="00D15375"/>
    <w:rsid w:val="00D16365"/>
    <w:rsid w:val="00D201FB"/>
    <w:rsid w:val="00D20A40"/>
    <w:rsid w:val="00D20AF3"/>
    <w:rsid w:val="00D21FA7"/>
    <w:rsid w:val="00D2273F"/>
    <w:rsid w:val="00D229FD"/>
    <w:rsid w:val="00D22B60"/>
    <w:rsid w:val="00D22C26"/>
    <w:rsid w:val="00D23306"/>
    <w:rsid w:val="00D23721"/>
    <w:rsid w:val="00D24572"/>
    <w:rsid w:val="00D2557E"/>
    <w:rsid w:val="00D323D5"/>
    <w:rsid w:val="00D32BA3"/>
    <w:rsid w:val="00D33C16"/>
    <w:rsid w:val="00D34445"/>
    <w:rsid w:val="00D3571D"/>
    <w:rsid w:val="00D40F24"/>
    <w:rsid w:val="00D42566"/>
    <w:rsid w:val="00D44140"/>
    <w:rsid w:val="00D453C2"/>
    <w:rsid w:val="00D45ACA"/>
    <w:rsid w:val="00D45DF8"/>
    <w:rsid w:val="00D4657D"/>
    <w:rsid w:val="00D50E9D"/>
    <w:rsid w:val="00D55A82"/>
    <w:rsid w:val="00D570C0"/>
    <w:rsid w:val="00D57584"/>
    <w:rsid w:val="00D57872"/>
    <w:rsid w:val="00D57920"/>
    <w:rsid w:val="00D57988"/>
    <w:rsid w:val="00D62454"/>
    <w:rsid w:val="00D630BF"/>
    <w:rsid w:val="00D63843"/>
    <w:rsid w:val="00D63E27"/>
    <w:rsid w:val="00D63F3E"/>
    <w:rsid w:val="00D64DCF"/>
    <w:rsid w:val="00D6579D"/>
    <w:rsid w:val="00D66B33"/>
    <w:rsid w:val="00D66BDD"/>
    <w:rsid w:val="00D67F8B"/>
    <w:rsid w:val="00D7162E"/>
    <w:rsid w:val="00D722A9"/>
    <w:rsid w:val="00D80466"/>
    <w:rsid w:val="00D8137F"/>
    <w:rsid w:val="00D846B0"/>
    <w:rsid w:val="00D85277"/>
    <w:rsid w:val="00D861FD"/>
    <w:rsid w:val="00D8677E"/>
    <w:rsid w:val="00D86826"/>
    <w:rsid w:val="00D86E4B"/>
    <w:rsid w:val="00D87F47"/>
    <w:rsid w:val="00D914B7"/>
    <w:rsid w:val="00D915EB"/>
    <w:rsid w:val="00D93213"/>
    <w:rsid w:val="00D95F94"/>
    <w:rsid w:val="00D96613"/>
    <w:rsid w:val="00D972F3"/>
    <w:rsid w:val="00DA08FF"/>
    <w:rsid w:val="00DA0E7F"/>
    <w:rsid w:val="00DA2632"/>
    <w:rsid w:val="00DA2699"/>
    <w:rsid w:val="00DA2B36"/>
    <w:rsid w:val="00DA3C75"/>
    <w:rsid w:val="00DA4F7E"/>
    <w:rsid w:val="00DA5816"/>
    <w:rsid w:val="00DA61D8"/>
    <w:rsid w:val="00DA7F34"/>
    <w:rsid w:val="00DB240A"/>
    <w:rsid w:val="00DB314C"/>
    <w:rsid w:val="00DB4BFD"/>
    <w:rsid w:val="00DB568A"/>
    <w:rsid w:val="00DC0395"/>
    <w:rsid w:val="00DC2326"/>
    <w:rsid w:val="00DC5B17"/>
    <w:rsid w:val="00DC65A7"/>
    <w:rsid w:val="00DC6A7D"/>
    <w:rsid w:val="00DD0421"/>
    <w:rsid w:val="00DD05C6"/>
    <w:rsid w:val="00DD70F0"/>
    <w:rsid w:val="00DE06F8"/>
    <w:rsid w:val="00DE26DC"/>
    <w:rsid w:val="00DE316F"/>
    <w:rsid w:val="00DE5878"/>
    <w:rsid w:val="00DE6418"/>
    <w:rsid w:val="00DE7010"/>
    <w:rsid w:val="00DE7FE1"/>
    <w:rsid w:val="00DF01B0"/>
    <w:rsid w:val="00DF088F"/>
    <w:rsid w:val="00DF17B1"/>
    <w:rsid w:val="00DF5163"/>
    <w:rsid w:val="00DF5F4B"/>
    <w:rsid w:val="00DF6190"/>
    <w:rsid w:val="00DF7411"/>
    <w:rsid w:val="00DF7F31"/>
    <w:rsid w:val="00E00636"/>
    <w:rsid w:val="00E04E04"/>
    <w:rsid w:val="00E05006"/>
    <w:rsid w:val="00E05058"/>
    <w:rsid w:val="00E0631B"/>
    <w:rsid w:val="00E06633"/>
    <w:rsid w:val="00E067CC"/>
    <w:rsid w:val="00E07BF8"/>
    <w:rsid w:val="00E10AFB"/>
    <w:rsid w:val="00E10B56"/>
    <w:rsid w:val="00E10F91"/>
    <w:rsid w:val="00E1434D"/>
    <w:rsid w:val="00E15C04"/>
    <w:rsid w:val="00E16B73"/>
    <w:rsid w:val="00E20782"/>
    <w:rsid w:val="00E21309"/>
    <w:rsid w:val="00E24390"/>
    <w:rsid w:val="00E2491F"/>
    <w:rsid w:val="00E24CED"/>
    <w:rsid w:val="00E24F0C"/>
    <w:rsid w:val="00E251D6"/>
    <w:rsid w:val="00E25C11"/>
    <w:rsid w:val="00E26FC8"/>
    <w:rsid w:val="00E2720F"/>
    <w:rsid w:val="00E27538"/>
    <w:rsid w:val="00E275E7"/>
    <w:rsid w:val="00E312B6"/>
    <w:rsid w:val="00E3194B"/>
    <w:rsid w:val="00E3224D"/>
    <w:rsid w:val="00E36294"/>
    <w:rsid w:val="00E3639E"/>
    <w:rsid w:val="00E400D7"/>
    <w:rsid w:val="00E41860"/>
    <w:rsid w:val="00E41BD2"/>
    <w:rsid w:val="00E42AB9"/>
    <w:rsid w:val="00E42EAC"/>
    <w:rsid w:val="00E45307"/>
    <w:rsid w:val="00E46222"/>
    <w:rsid w:val="00E4713F"/>
    <w:rsid w:val="00E5006A"/>
    <w:rsid w:val="00E505F7"/>
    <w:rsid w:val="00E51481"/>
    <w:rsid w:val="00E51A86"/>
    <w:rsid w:val="00E52B6E"/>
    <w:rsid w:val="00E53CB3"/>
    <w:rsid w:val="00E54A96"/>
    <w:rsid w:val="00E6105B"/>
    <w:rsid w:val="00E61A1B"/>
    <w:rsid w:val="00E61ED6"/>
    <w:rsid w:val="00E6201B"/>
    <w:rsid w:val="00E62880"/>
    <w:rsid w:val="00E64368"/>
    <w:rsid w:val="00E6655C"/>
    <w:rsid w:val="00E66F68"/>
    <w:rsid w:val="00E71C70"/>
    <w:rsid w:val="00E7297C"/>
    <w:rsid w:val="00E75866"/>
    <w:rsid w:val="00E778B7"/>
    <w:rsid w:val="00E80CA7"/>
    <w:rsid w:val="00E839E6"/>
    <w:rsid w:val="00E83E71"/>
    <w:rsid w:val="00E83FB8"/>
    <w:rsid w:val="00E8470C"/>
    <w:rsid w:val="00E847D4"/>
    <w:rsid w:val="00E8614A"/>
    <w:rsid w:val="00E869B7"/>
    <w:rsid w:val="00E87586"/>
    <w:rsid w:val="00E87B8A"/>
    <w:rsid w:val="00E90184"/>
    <w:rsid w:val="00E91335"/>
    <w:rsid w:val="00E92A00"/>
    <w:rsid w:val="00E95CAF"/>
    <w:rsid w:val="00E966A6"/>
    <w:rsid w:val="00E9683E"/>
    <w:rsid w:val="00E96CEA"/>
    <w:rsid w:val="00E96D7E"/>
    <w:rsid w:val="00EA0FCF"/>
    <w:rsid w:val="00EA137D"/>
    <w:rsid w:val="00EA143B"/>
    <w:rsid w:val="00EA220A"/>
    <w:rsid w:val="00EA3923"/>
    <w:rsid w:val="00EA5495"/>
    <w:rsid w:val="00EA7356"/>
    <w:rsid w:val="00EA7A29"/>
    <w:rsid w:val="00EB0112"/>
    <w:rsid w:val="00EB07E7"/>
    <w:rsid w:val="00EB2792"/>
    <w:rsid w:val="00EB286B"/>
    <w:rsid w:val="00EB42AE"/>
    <w:rsid w:val="00EB57A2"/>
    <w:rsid w:val="00EB5FF2"/>
    <w:rsid w:val="00EB6A80"/>
    <w:rsid w:val="00EC2072"/>
    <w:rsid w:val="00EC4CF4"/>
    <w:rsid w:val="00EC57BC"/>
    <w:rsid w:val="00EC60AA"/>
    <w:rsid w:val="00EC7515"/>
    <w:rsid w:val="00EC7B9E"/>
    <w:rsid w:val="00ED0A6F"/>
    <w:rsid w:val="00ED1F41"/>
    <w:rsid w:val="00ED2CB2"/>
    <w:rsid w:val="00ED3880"/>
    <w:rsid w:val="00ED43F1"/>
    <w:rsid w:val="00ED4C27"/>
    <w:rsid w:val="00ED5552"/>
    <w:rsid w:val="00ED592F"/>
    <w:rsid w:val="00EE0C6F"/>
    <w:rsid w:val="00EE1C8D"/>
    <w:rsid w:val="00EE205F"/>
    <w:rsid w:val="00EE3130"/>
    <w:rsid w:val="00EE5526"/>
    <w:rsid w:val="00EE6D6B"/>
    <w:rsid w:val="00EE7095"/>
    <w:rsid w:val="00EE7526"/>
    <w:rsid w:val="00EE76F0"/>
    <w:rsid w:val="00EF0989"/>
    <w:rsid w:val="00EF2572"/>
    <w:rsid w:val="00EF329A"/>
    <w:rsid w:val="00EF4F64"/>
    <w:rsid w:val="00EF6EAA"/>
    <w:rsid w:val="00F00EB1"/>
    <w:rsid w:val="00F0106E"/>
    <w:rsid w:val="00F022F4"/>
    <w:rsid w:val="00F0338C"/>
    <w:rsid w:val="00F04767"/>
    <w:rsid w:val="00F05066"/>
    <w:rsid w:val="00F06175"/>
    <w:rsid w:val="00F078E2"/>
    <w:rsid w:val="00F07DCA"/>
    <w:rsid w:val="00F07E01"/>
    <w:rsid w:val="00F10C6F"/>
    <w:rsid w:val="00F11245"/>
    <w:rsid w:val="00F1479D"/>
    <w:rsid w:val="00F14D0D"/>
    <w:rsid w:val="00F1680D"/>
    <w:rsid w:val="00F17300"/>
    <w:rsid w:val="00F17CE3"/>
    <w:rsid w:val="00F22688"/>
    <w:rsid w:val="00F22B97"/>
    <w:rsid w:val="00F22C73"/>
    <w:rsid w:val="00F23B37"/>
    <w:rsid w:val="00F25DD4"/>
    <w:rsid w:val="00F26F60"/>
    <w:rsid w:val="00F2701B"/>
    <w:rsid w:val="00F3051F"/>
    <w:rsid w:val="00F3101D"/>
    <w:rsid w:val="00F33ACC"/>
    <w:rsid w:val="00F33C16"/>
    <w:rsid w:val="00F34153"/>
    <w:rsid w:val="00F349CA"/>
    <w:rsid w:val="00F35639"/>
    <w:rsid w:val="00F35D58"/>
    <w:rsid w:val="00F36E6B"/>
    <w:rsid w:val="00F40D0D"/>
    <w:rsid w:val="00F42234"/>
    <w:rsid w:val="00F42DCB"/>
    <w:rsid w:val="00F42E8E"/>
    <w:rsid w:val="00F45279"/>
    <w:rsid w:val="00F453A7"/>
    <w:rsid w:val="00F47593"/>
    <w:rsid w:val="00F53787"/>
    <w:rsid w:val="00F53A94"/>
    <w:rsid w:val="00F53B7D"/>
    <w:rsid w:val="00F542F4"/>
    <w:rsid w:val="00F552BC"/>
    <w:rsid w:val="00F573AF"/>
    <w:rsid w:val="00F61185"/>
    <w:rsid w:val="00F612DD"/>
    <w:rsid w:val="00F625D8"/>
    <w:rsid w:val="00F6267E"/>
    <w:rsid w:val="00F626EC"/>
    <w:rsid w:val="00F63447"/>
    <w:rsid w:val="00F6387E"/>
    <w:rsid w:val="00F63F6D"/>
    <w:rsid w:val="00F640E9"/>
    <w:rsid w:val="00F648FB"/>
    <w:rsid w:val="00F65291"/>
    <w:rsid w:val="00F65EE0"/>
    <w:rsid w:val="00F6607E"/>
    <w:rsid w:val="00F71343"/>
    <w:rsid w:val="00F741D0"/>
    <w:rsid w:val="00F77CA3"/>
    <w:rsid w:val="00F81719"/>
    <w:rsid w:val="00F82BB0"/>
    <w:rsid w:val="00F83312"/>
    <w:rsid w:val="00F839EA"/>
    <w:rsid w:val="00F84918"/>
    <w:rsid w:val="00F8719A"/>
    <w:rsid w:val="00F875C8"/>
    <w:rsid w:val="00F87744"/>
    <w:rsid w:val="00F9082A"/>
    <w:rsid w:val="00F95664"/>
    <w:rsid w:val="00F9663D"/>
    <w:rsid w:val="00F96E53"/>
    <w:rsid w:val="00FA1EF2"/>
    <w:rsid w:val="00FA3F0D"/>
    <w:rsid w:val="00FA4955"/>
    <w:rsid w:val="00FA4E91"/>
    <w:rsid w:val="00FA5949"/>
    <w:rsid w:val="00FA6C24"/>
    <w:rsid w:val="00FB14F6"/>
    <w:rsid w:val="00FB38E9"/>
    <w:rsid w:val="00FB45D8"/>
    <w:rsid w:val="00FB544A"/>
    <w:rsid w:val="00FB5E3D"/>
    <w:rsid w:val="00FB5EB1"/>
    <w:rsid w:val="00FB6EFF"/>
    <w:rsid w:val="00FC0E40"/>
    <w:rsid w:val="00FC198F"/>
    <w:rsid w:val="00FC1FDB"/>
    <w:rsid w:val="00FC4289"/>
    <w:rsid w:val="00FC4B97"/>
    <w:rsid w:val="00FD1367"/>
    <w:rsid w:val="00FD24CD"/>
    <w:rsid w:val="00FD3B67"/>
    <w:rsid w:val="00FD4902"/>
    <w:rsid w:val="00FD5F76"/>
    <w:rsid w:val="00FD73B2"/>
    <w:rsid w:val="00FD79F8"/>
    <w:rsid w:val="00FD7D59"/>
    <w:rsid w:val="00FE2783"/>
    <w:rsid w:val="00FE377A"/>
    <w:rsid w:val="00FE39CF"/>
    <w:rsid w:val="00FE5B1B"/>
    <w:rsid w:val="00FF0279"/>
    <w:rsid w:val="00FF0394"/>
    <w:rsid w:val="00FF1709"/>
    <w:rsid w:val="00FF2560"/>
    <w:rsid w:val="00FF28BD"/>
    <w:rsid w:val="00FF4361"/>
    <w:rsid w:val="00FF5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3B"/>
  </w:style>
  <w:style w:type="paragraph" w:styleId="Heading3">
    <w:name w:val="heading 3"/>
    <w:basedOn w:val="Normal"/>
    <w:link w:val="Heading3Char"/>
    <w:uiPriority w:val="9"/>
    <w:qFormat/>
    <w:rsid w:val="00CF4B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3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03B8"/>
    <w:rPr>
      <w:color w:val="0000FF"/>
      <w:u w:val="single"/>
    </w:rPr>
  </w:style>
  <w:style w:type="paragraph" w:styleId="BalloonText">
    <w:name w:val="Balloon Text"/>
    <w:basedOn w:val="Normal"/>
    <w:link w:val="BalloonTextChar"/>
    <w:uiPriority w:val="99"/>
    <w:semiHidden/>
    <w:unhideWhenUsed/>
    <w:rsid w:val="00021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9A7"/>
    <w:rPr>
      <w:rFonts w:ascii="Tahoma" w:hAnsi="Tahoma" w:cs="Tahoma"/>
      <w:sz w:val="16"/>
      <w:szCs w:val="16"/>
    </w:rPr>
  </w:style>
  <w:style w:type="character" w:styleId="CommentReference">
    <w:name w:val="annotation reference"/>
    <w:basedOn w:val="DefaultParagraphFont"/>
    <w:uiPriority w:val="99"/>
    <w:semiHidden/>
    <w:unhideWhenUsed/>
    <w:rsid w:val="00480B7E"/>
    <w:rPr>
      <w:sz w:val="16"/>
      <w:szCs w:val="16"/>
    </w:rPr>
  </w:style>
  <w:style w:type="paragraph" w:styleId="CommentText">
    <w:name w:val="annotation text"/>
    <w:basedOn w:val="Normal"/>
    <w:link w:val="CommentTextChar"/>
    <w:uiPriority w:val="99"/>
    <w:unhideWhenUsed/>
    <w:rsid w:val="00480B7E"/>
    <w:pPr>
      <w:spacing w:line="240" w:lineRule="auto"/>
    </w:pPr>
    <w:rPr>
      <w:sz w:val="20"/>
      <w:szCs w:val="20"/>
    </w:rPr>
  </w:style>
  <w:style w:type="character" w:customStyle="1" w:styleId="CommentTextChar">
    <w:name w:val="Comment Text Char"/>
    <w:basedOn w:val="DefaultParagraphFont"/>
    <w:link w:val="CommentText"/>
    <w:uiPriority w:val="99"/>
    <w:rsid w:val="00480B7E"/>
    <w:rPr>
      <w:sz w:val="20"/>
      <w:szCs w:val="20"/>
    </w:rPr>
  </w:style>
  <w:style w:type="paragraph" w:styleId="CommentSubject">
    <w:name w:val="annotation subject"/>
    <w:basedOn w:val="CommentText"/>
    <w:next w:val="CommentText"/>
    <w:link w:val="CommentSubjectChar"/>
    <w:uiPriority w:val="99"/>
    <w:semiHidden/>
    <w:unhideWhenUsed/>
    <w:rsid w:val="00480B7E"/>
    <w:rPr>
      <w:b/>
      <w:bCs/>
    </w:rPr>
  </w:style>
  <w:style w:type="character" w:customStyle="1" w:styleId="CommentSubjectChar">
    <w:name w:val="Comment Subject Char"/>
    <w:basedOn w:val="CommentTextChar"/>
    <w:link w:val="CommentSubject"/>
    <w:uiPriority w:val="99"/>
    <w:semiHidden/>
    <w:rsid w:val="00480B7E"/>
    <w:rPr>
      <w:b/>
      <w:bCs/>
    </w:rPr>
  </w:style>
  <w:style w:type="paragraph" w:styleId="Revision">
    <w:name w:val="Revision"/>
    <w:hidden/>
    <w:uiPriority w:val="99"/>
    <w:semiHidden/>
    <w:rsid w:val="00547739"/>
    <w:pPr>
      <w:spacing w:after="0" w:line="240" w:lineRule="auto"/>
    </w:pPr>
  </w:style>
  <w:style w:type="paragraph" w:styleId="Header">
    <w:name w:val="header"/>
    <w:basedOn w:val="Normal"/>
    <w:link w:val="HeaderChar"/>
    <w:uiPriority w:val="99"/>
    <w:semiHidden/>
    <w:unhideWhenUsed/>
    <w:rsid w:val="008737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37E5"/>
  </w:style>
  <w:style w:type="paragraph" w:styleId="Footer">
    <w:name w:val="footer"/>
    <w:basedOn w:val="Normal"/>
    <w:link w:val="FooterChar"/>
    <w:uiPriority w:val="99"/>
    <w:semiHidden/>
    <w:unhideWhenUsed/>
    <w:rsid w:val="008737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37E5"/>
  </w:style>
  <w:style w:type="paragraph" w:styleId="ListParagraph">
    <w:name w:val="List Paragraph"/>
    <w:basedOn w:val="Normal"/>
    <w:uiPriority w:val="34"/>
    <w:qFormat/>
    <w:rsid w:val="00AC6CE5"/>
    <w:pPr>
      <w:ind w:left="720"/>
      <w:contextualSpacing/>
    </w:pPr>
  </w:style>
  <w:style w:type="character" w:styleId="PlaceholderText">
    <w:name w:val="Placeholder Text"/>
    <w:basedOn w:val="DefaultParagraphFont"/>
    <w:uiPriority w:val="99"/>
    <w:semiHidden/>
    <w:rsid w:val="00EA0FCF"/>
    <w:rPr>
      <w:color w:val="808080"/>
    </w:rPr>
  </w:style>
  <w:style w:type="paragraph" w:styleId="NoSpacing">
    <w:name w:val="No Spacing"/>
    <w:uiPriority w:val="1"/>
    <w:qFormat/>
    <w:rsid w:val="00282DBE"/>
    <w:pPr>
      <w:spacing w:after="0" w:line="240" w:lineRule="auto"/>
    </w:pPr>
  </w:style>
  <w:style w:type="paragraph" w:styleId="DocumentMap">
    <w:name w:val="Document Map"/>
    <w:basedOn w:val="Normal"/>
    <w:link w:val="DocumentMapChar"/>
    <w:uiPriority w:val="99"/>
    <w:semiHidden/>
    <w:unhideWhenUsed/>
    <w:rsid w:val="00F22C7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22C73"/>
    <w:rPr>
      <w:rFonts w:ascii="Tahoma" w:hAnsi="Tahoma" w:cs="Tahoma"/>
      <w:sz w:val="16"/>
      <w:szCs w:val="16"/>
    </w:rPr>
  </w:style>
  <w:style w:type="table" w:styleId="TableGrid">
    <w:name w:val="Table Grid"/>
    <w:basedOn w:val="TableNormal"/>
    <w:uiPriority w:val="59"/>
    <w:rsid w:val="00CF4B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CF4BFD"/>
    <w:rPr>
      <w:vertAlign w:val="superscript"/>
    </w:rPr>
  </w:style>
  <w:style w:type="character" w:styleId="Strong">
    <w:name w:val="Strong"/>
    <w:basedOn w:val="DefaultParagraphFont"/>
    <w:uiPriority w:val="22"/>
    <w:qFormat/>
    <w:rsid w:val="00CF4BFD"/>
    <w:rPr>
      <w:b/>
      <w:bCs/>
    </w:rPr>
  </w:style>
  <w:style w:type="paragraph" w:styleId="PlainText">
    <w:name w:val="Plain Text"/>
    <w:basedOn w:val="Normal"/>
    <w:link w:val="PlainTextChar"/>
    <w:uiPriority w:val="99"/>
    <w:unhideWhenUsed/>
    <w:rsid w:val="00CF4B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F4BFD"/>
    <w:rPr>
      <w:rFonts w:ascii="Consolas" w:hAnsi="Consolas"/>
      <w:sz w:val="21"/>
      <w:szCs w:val="21"/>
    </w:rPr>
  </w:style>
  <w:style w:type="character" w:customStyle="1" w:styleId="Heading3Char">
    <w:name w:val="Heading 3 Char"/>
    <w:basedOn w:val="DefaultParagraphFont"/>
    <w:link w:val="Heading3"/>
    <w:uiPriority w:val="9"/>
    <w:rsid w:val="00CF4BFD"/>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3821149">
      <w:bodyDiv w:val="1"/>
      <w:marLeft w:val="0"/>
      <w:marRight w:val="0"/>
      <w:marTop w:val="0"/>
      <w:marBottom w:val="0"/>
      <w:divBdr>
        <w:top w:val="none" w:sz="0" w:space="0" w:color="auto"/>
        <w:left w:val="none" w:sz="0" w:space="0" w:color="auto"/>
        <w:bottom w:val="none" w:sz="0" w:space="0" w:color="auto"/>
        <w:right w:val="none" w:sz="0" w:space="0" w:color="auto"/>
      </w:divBdr>
    </w:div>
    <w:div w:id="52700018">
      <w:bodyDiv w:val="1"/>
      <w:marLeft w:val="0"/>
      <w:marRight w:val="0"/>
      <w:marTop w:val="0"/>
      <w:marBottom w:val="0"/>
      <w:divBdr>
        <w:top w:val="none" w:sz="0" w:space="0" w:color="auto"/>
        <w:left w:val="none" w:sz="0" w:space="0" w:color="auto"/>
        <w:bottom w:val="none" w:sz="0" w:space="0" w:color="auto"/>
        <w:right w:val="none" w:sz="0" w:space="0" w:color="auto"/>
      </w:divBdr>
    </w:div>
    <w:div w:id="94641032">
      <w:bodyDiv w:val="1"/>
      <w:marLeft w:val="0"/>
      <w:marRight w:val="0"/>
      <w:marTop w:val="0"/>
      <w:marBottom w:val="0"/>
      <w:divBdr>
        <w:top w:val="none" w:sz="0" w:space="0" w:color="auto"/>
        <w:left w:val="none" w:sz="0" w:space="0" w:color="auto"/>
        <w:bottom w:val="none" w:sz="0" w:space="0" w:color="auto"/>
        <w:right w:val="none" w:sz="0" w:space="0" w:color="auto"/>
      </w:divBdr>
    </w:div>
    <w:div w:id="204290396">
      <w:bodyDiv w:val="1"/>
      <w:marLeft w:val="0"/>
      <w:marRight w:val="0"/>
      <w:marTop w:val="0"/>
      <w:marBottom w:val="0"/>
      <w:divBdr>
        <w:top w:val="none" w:sz="0" w:space="0" w:color="auto"/>
        <w:left w:val="none" w:sz="0" w:space="0" w:color="auto"/>
        <w:bottom w:val="none" w:sz="0" w:space="0" w:color="auto"/>
        <w:right w:val="none" w:sz="0" w:space="0" w:color="auto"/>
      </w:divBdr>
    </w:div>
    <w:div w:id="236867693">
      <w:bodyDiv w:val="1"/>
      <w:marLeft w:val="0"/>
      <w:marRight w:val="0"/>
      <w:marTop w:val="0"/>
      <w:marBottom w:val="0"/>
      <w:divBdr>
        <w:top w:val="none" w:sz="0" w:space="0" w:color="auto"/>
        <w:left w:val="none" w:sz="0" w:space="0" w:color="auto"/>
        <w:bottom w:val="none" w:sz="0" w:space="0" w:color="auto"/>
        <w:right w:val="none" w:sz="0" w:space="0" w:color="auto"/>
      </w:divBdr>
    </w:div>
    <w:div w:id="467822784">
      <w:bodyDiv w:val="1"/>
      <w:marLeft w:val="0"/>
      <w:marRight w:val="0"/>
      <w:marTop w:val="0"/>
      <w:marBottom w:val="0"/>
      <w:divBdr>
        <w:top w:val="none" w:sz="0" w:space="0" w:color="auto"/>
        <w:left w:val="none" w:sz="0" w:space="0" w:color="auto"/>
        <w:bottom w:val="none" w:sz="0" w:space="0" w:color="auto"/>
        <w:right w:val="none" w:sz="0" w:space="0" w:color="auto"/>
      </w:divBdr>
    </w:div>
    <w:div w:id="630862679">
      <w:bodyDiv w:val="1"/>
      <w:marLeft w:val="0"/>
      <w:marRight w:val="0"/>
      <w:marTop w:val="0"/>
      <w:marBottom w:val="0"/>
      <w:divBdr>
        <w:top w:val="none" w:sz="0" w:space="0" w:color="auto"/>
        <w:left w:val="none" w:sz="0" w:space="0" w:color="auto"/>
        <w:bottom w:val="none" w:sz="0" w:space="0" w:color="auto"/>
        <w:right w:val="none" w:sz="0" w:space="0" w:color="auto"/>
      </w:divBdr>
    </w:div>
    <w:div w:id="868227485">
      <w:bodyDiv w:val="1"/>
      <w:marLeft w:val="0"/>
      <w:marRight w:val="0"/>
      <w:marTop w:val="0"/>
      <w:marBottom w:val="0"/>
      <w:divBdr>
        <w:top w:val="none" w:sz="0" w:space="0" w:color="auto"/>
        <w:left w:val="none" w:sz="0" w:space="0" w:color="auto"/>
        <w:bottom w:val="none" w:sz="0" w:space="0" w:color="auto"/>
        <w:right w:val="none" w:sz="0" w:space="0" w:color="auto"/>
      </w:divBdr>
    </w:div>
    <w:div w:id="1140536528">
      <w:bodyDiv w:val="1"/>
      <w:marLeft w:val="0"/>
      <w:marRight w:val="0"/>
      <w:marTop w:val="0"/>
      <w:marBottom w:val="0"/>
      <w:divBdr>
        <w:top w:val="none" w:sz="0" w:space="0" w:color="auto"/>
        <w:left w:val="none" w:sz="0" w:space="0" w:color="auto"/>
        <w:bottom w:val="none" w:sz="0" w:space="0" w:color="auto"/>
        <w:right w:val="none" w:sz="0" w:space="0" w:color="auto"/>
      </w:divBdr>
    </w:div>
    <w:div w:id="1658996040">
      <w:bodyDiv w:val="1"/>
      <w:marLeft w:val="0"/>
      <w:marRight w:val="0"/>
      <w:marTop w:val="0"/>
      <w:marBottom w:val="0"/>
      <w:divBdr>
        <w:top w:val="none" w:sz="0" w:space="0" w:color="auto"/>
        <w:left w:val="none" w:sz="0" w:space="0" w:color="auto"/>
        <w:bottom w:val="none" w:sz="0" w:space="0" w:color="auto"/>
        <w:right w:val="none" w:sz="0" w:space="0" w:color="auto"/>
      </w:divBdr>
    </w:div>
    <w:div w:id="1737975375">
      <w:bodyDiv w:val="1"/>
      <w:marLeft w:val="0"/>
      <w:marRight w:val="0"/>
      <w:marTop w:val="0"/>
      <w:marBottom w:val="0"/>
      <w:divBdr>
        <w:top w:val="none" w:sz="0" w:space="0" w:color="auto"/>
        <w:left w:val="none" w:sz="0" w:space="0" w:color="auto"/>
        <w:bottom w:val="none" w:sz="0" w:space="0" w:color="auto"/>
        <w:right w:val="none" w:sz="0" w:space="0" w:color="auto"/>
      </w:divBdr>
    </w:div>
    <w:div w:id="180881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rules/OARs_300/OAR_340/_340_tables/340-228-0639%2012%3A16.pdf" TargetMode="External"/><Relationship Id="rId18" Type="http://schemas.openxmlformats.org/officeDocument/2006/relationships/hyperlink" Target="http://arcweb.sos.state.or.us/rules/OARs_300/OAR_340/_340_tables/340-228-0639%2012%3A16.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rules/OARs_300/OAR_340/_340_tables/340-228-0639%2012%3A16.pdf" TargetMode="External"/><Relationship Id="rId17" Type="http://schemas.openxmlformats.org/officeDocument/2006/relationships/hyperlink" Target="http://arcweb.sos.state.or.us/rules/OARs_300/OAR_340/_340_tables/340-228-0639%2012%3A16.pdf" TargetMode="External"/><Relationship Id="rId2" Type="http://schemas.openxmlformats.org/officeDocument/2006/relationships/customXml" Target="../customXml/item2.xml"/><Relationship Id="rId16" Type="http://schemas.openxmlformats.org/officeDocument/2006/relationships/hyperlink" Target="http://arcweb.sos.state.or.us/rules/OARs_300/OAR_340/_340_tables/340-228-0639%2012%3A1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16-0020(T)_12%3A24.pdf" TargetMode="External"/><Relationship Id="rId5" Type="http://schemas.openxmlformats.org/officeDocument/2006/relationships/numbering" Target="numbering.xml"/><Relationship Id="rId15" Type="http://schemas.openxmlformats.org/officeDocument/2006/relationships/hyperlink" Target="http://arcweb.sos.state.or.us/rules/OARs_300/OAR_340/_340_tables/340-228-0639%2012%3A16.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rules/OARs_300/OAR_340/_340_tables/340-228-0639%2012%3A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0964E-480E-48CA-9D28-65E8FDA5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0D9CB6-0FE5-45B9-8126-06CE3BCFD68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42CE5350-FE46-42D3-8139-D63F1A85D61A}">
  <ds:schemaRefs>
    <ds:schemaRef ds:uri="http://schemas.microsoft.com/sharepoint/v3/contenttype/forms"/>
  </ds:schemaRefs>
</ds:datastoreItem>
</file>

<file path=customXml/itemProps4.xml><?xml version="1.0" encoding="utf-8"?>
<ds:datastoreItem xmlns:ds="http://schemas.openxmlformats.org/officeDocument/2006/customXml" ds:itemID="{E3BBBAA1-7A41-4394-A9C6-F5BFA230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33781</Words>
  <Characters>192558</Characters>
  <Application>Microsoft Office Word</Application>
  <DocSecurity>0</DocSecurity>
  <Lines>1604</Lines>
  <Paragraphs>451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DEQ Build</cp:lastModifiedBy>
  <cp:revision>2</cp:revision>
  <cp:lastPrinted>2011-03-14T19:42:00Z</cp:lastPrinted>
  <dcterms:created xsi:type="dcterms:W3CDTF">2011-04-20T18:31:00Z</dcterms:created>
  <dcterms:modified xsi:type="dcterms:W3CDTF">2011-04-20T18:31:00Z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