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39" w:rsidRPr="007F2849" w:rsidRDefault="00A91039">
      <w:pPr>
        <w:pStyle w:val="Heading2"/>
      </w:pPr>
      <w:r w:rsidRPr="007F2849">
        <w:t>Start Rulemaking Proposal</w:t>
      </w:r>
      <w:r w:rsidR="00843105" w:rsidRPr="007F2849">
        <w:t xml:space="preserve"> (SRP)</w:t>
      </w:r>
    </w:p>
    <w:p w:rsidR="00A91039" w:rsidRPr="00F527F2" w:rsidRDefault="00A91039">
      <w:r w:rsidRPr="007F2849">
        <w:rPr>
          <w:b/>
        </w:rPr>
        <w:t xml:space="preserve">Date:  </w:t>
      </w:r>
      <w:r w:rsidR="00B11D4A">
        <w:rPr>
          <w:i/>
        </w:rPr>
        <w:t>May</w:t>
      </w:r>
      <w:r w:rsidR="00F527F2" w:rsidRPr="00F527F2">
        <w:rPr>
          <w:i/>
        </w:rPr>
        <w:t>5-6 2010 meeting</w:t>
      </w:r>
    </w:p>
    <w:p w:rsidR="00A91039" w:rsidRPr="007F2849" w:rsidRDefault="00A91039">
      <w:r w:rsidRPr="007F2849">
        <w:rPr>
          <w:b/>
        </w:rPr>
        <w:t>Contact Person/phone:</w:t>
      </w:r>
    </w:p>
    <w:p w:rsidR="00A91039" w:rsidRPr="007F2849" w:rsidRDefault="00A91039" w:rsidP="00A91039"/>
    <w:p w:rsidR="00A91039" w:rsidRPr="007F2849" w:rsidRDefault="00A91039"/>
    <w:p w:rsidR="00A91039" w:rsidRPr="007F2849" w:rsidRDefault="00A91039">
      <w:pPr>
        <w:pStyle w:val="Heading4"/>
      </w:pPr>
      <w:r w:rsidRPr="007F2849">
        <w:t>Rulemaking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430"/>
        <w:gridCol w:w="2070"/>
        <w:gridCol w:w="156"/>
        <w:gridCol w:w="1464"/>
        <w:gridCol w:w="1710"/>
      </w:tblGrid>
      <w:tr w:rsidR="00A91039" w:rsidRPr="007F2849" w:rsidTr="00F34F60">
        <w:trPr>
          <w:cantSplit/>
        </w:trPr>
        <w:tc>
          <w:tcPr>
            <w:tcW w:w="1728" w:type="dxa"/>
            <w:shd w:val="clear" w:color="auto" w:fill="auto"/>
          </w:tcPr>
          <w:p w:rsidR="00A91039" w:rsidRPr="007F2849" w:rsidRDefault="00A91039">
            <w:pPr>
              <w:pStyle w:val="Heading5"/>
            </w:pPr>
            <w:r w:rsidRPr="007F2849">
              <w:t>Rule Number and Title</w:t>
            </w:r>
          </w:p>
        </w:tc>
        <w:tc>
          <w:tcPr>
            <w:tcW w:w="7830" w:type="dxa"/>
            <w:gridSpan w:val="5"/>
            <w:shd w:val="clear" w:color="auto" w:fill="auto"/>
          </w:tcPr>
          <w:p w:rsidR="00F67FDF" w:rsidRPr="00F67FDF" w:rsidRDefault="00F67FDF" w:rsidP="00F67FDF">
            <w:pPr>
              <w:pStyle w:val="NormalWeb"/>
              <w:spacing w:before="0" w:beforeAutospacing="0" w:after="0" w:afterAutospacing="0"/>
              <w:rPr>
                <w:bCs/>
                <w:sz w:val="20"/>
                <w:szCs w:val="20"/>
              </w:rPr>
            </w:pPr>
            <w:r w:rsidRPr="00F67FDF">
              <w:rPr>
                <w:sz w:val="20"/>
                <w:szCs w:val="20"/>
              </w:rPr>
              <w:t xml:space="preserve">OAR </w:t>
            </w:r>
            <w:r w:rsidRPr="00F67FDF">
              <w:rPr>
                <w:bCs/>
                <w:sz w:val="20"/>
                <w:szCs w:val="20"/>
              </w:rPr>
              <w:t>340-016-0080 Certification</w:t>
            </w:r>
          </w:p>
          <w:p w:rsidR="00A91039" w:rsidRDefault="00F527F2">
            <w:pPr>
              <w:pStyle w:val="BlockText"/>
              <w:rPr>
                <w:sz w:val="20"/>
              </w:rPr>
            </w:pPr>
            <w:r w:rsidRPr="00604E4B">
              <w:rPr>
                <w:sz w:val="20"/>
              </w:rPr>
              <w:t>OAR 340-016-</w:t>
            </w:r>
            <w:r w:rsidR="00604E4B" w:rsidRPr="00604E4B">
              <w:rPr>
                <w:sz w:val="20"/>
              </w:rPr>
              <w:t xml:space="preserve">0088 </w:t>
            </w:r>
            <w:r w:rsidRPr="00604E4B">
              <w:rPr>
                <w:sz w:val="20"/>
              </w:rPr>
              <w:t>Certificate Administration Delegation</w:t>
            </w:r>
          </w:p>
          <w:p w:rsidR="00604E4B" w:rsidRDefault="00604E4B">
            <w:pPr>
              <w:pStyle w:val="BlockText"/>
              <w:rPr>
                <w:sz w:val="20"/>
              </w:rPr>
            </w:pPr>
            <w:r>
              <w:rPr>
                <w:sz w:val="20"/>
              </w:rPr>
              <w:t>OAR 340-016-0100 through 340-016-0150 Pollution Prevention Tax Credit</w:t>
            </w:r>
          </w:p>
          <w:p w:rsidR="00A91039" w:rsidRDefault="00604E4B" w:rsidP="00604E4B">
            <w:pPr>
              <w:pStyle w:val="BlockText"/>
              <w:rPr>
                <w:sz w:val="20"/>
              </w:rPr>
            </w:pPr>
            <w:r>
              <w:rPr>
                <w:sz w:val="20"/>
              </w:rPr>
              <w:t>OAR 340-017-0010 through 340-17-0055 Reclaimed Plastics Tax Credit</w:t>
            </w:r>
          </w:p>
          <w:p w:rsidR="00604E4B" w:rsidRPr="007F2849" w:rsidRDefault="00604E4B" w:rsidP="00604E4B">
            <w:pPr>
              <w:pStyle w:val="BlockText"/>
              <w:rPr>
                <w:sz w:val="20"/>
              </w:rPr>
            </w:pPr>
          </w:p>
        </w:tc>
      </w:tr>
      <w:tr w:rsidR="00B11D4A" w:rsidRPr="007F2849" w:rsidTr="00F34F60">
        <w:trPr>
          <w:cantSplit/>
        </w:trPr>
        <w:tc>
          <w:tcPr>
            <w:tcW w:w="1728" w:type="dxa"/>
            <w:shd w:val="clear" w:color="auto" w:fill="auto"/>
          </w:tcPr>
          <w:p w:rsidR="00B11D4A" w:rsidRPr="006B17C9" w:rsidRDefault="00B11D4A" w:rsidP="00B11D4A">
            <w:pPr>
              <w:pStyle w:val="Heading5"/>
            </w:pPr>
            <w:r w:rsidRPr="006B17C9">
              <w:t>Objective of   rulemaking</w:t>
            </w:r>
          </w:p>
          <w:p w:rsidR="00B11D4A" w:rsidRDefault="00B11D4A">
            <w:pPr>
              <w:pStyle w:val="Heading5"/>
            </w:pPr>
          </w:p>
        </w:tc>
        <w:tc>
          <w:tcPr>
            <w:tcW w:w="7830" w:type="dxa"/>
            <w:gridSpan w:val="5"/>
            <w:shd w:val="clear" w:color="auto" w:fill="auto"/>
          </w:tcPr>
          <w:p w:rsidR="00B11D4A" w:rsidRDefault="00B11D4A" w:rsidP="00B11D4A">
            <w:pPr>
              <w:rPr>
                <w:color w:val="000000"/>
                <w:sz w:val="20"/>
              </w:rPr>
            </w:pPr>
            <w:r>
              <w:rPr>
                <w:color w:val="000000"/>
                <w:sz w:val="20"/>
              </w:rPr>
              <w:t>The rulemakings proposed would:</w:t>
            </w:r>
          </w:p>
          <w:p w:rsidR="00B11D4A" w:rsidRDefault="00B11D4A" w:rsidP="00506AAE">
            <w:pPr>
              <w:pStyle w:val="ListParagraph"/>
              <w:numPr>
                <w:ilvl w:val="0"/>
                <w:numId w:val="13"/>
              </w:numPr>
              <w:jc w:val="both"/>
              <w:rPr>
                <w:color w:val="000000"/>
                <w:sz w:val="20"/>
              </w:rPr>
            </w:pPr>
            <w:r>
              <w:rPr>
                <w:color w:val="000000"/>
                <w:sz w:val="20"/>
              </w:rPr>
              <w:t>S</w:t>
            </w:r>
            <w:r w:rsidRPr="00142677">
              <w:rPr>
                <w:color w:val="000000"/>
                <w:sz w:val="20"/>
              </w:rPr>
              <w:t>treamline certificate administration for Pollution Control Facilities Tax Credits</w:t>
            </w:r>
            <w:r>
              <w:rPr>
                <w:color w:val="000000"/>
                <w:sz w:val="20"/>
              </w:rPr>
              <w:t>, and</w:t>
            </w:r>
          </w:p>
          <w:p w:rsidR="00B11D4A" w:rsidRDefault="00B11D4A" w:rsidP="00B11D4A">
            <w:pPr>
              <w:pStyle w:val="ListParagraph"/>
              <w:numPr>
                <w:ilvl w:val="0"/>
                <w:numId w:val="13"/>
              </w:numPr>
              <w:rPr>
                <w:color w:val="000000"/>
                <w:sz w:val="20"/>
              </w:rPr>
            </w:pPr>
            <w:r>
              <w:rPr>
                <w:color w:val="000000"/>
                <w:sz w:val="20"/>
              </w:rPr>
              <w:t>Reduce annual DOJ and SOS per page charges for obsolete rules.</w:t>
            </w:r>
          </w:p>
          <w:p w:rsidR="00B11D4A" w:rsidRDefault="00B11D4A" w:rsidP="00BE10AB">
            <w:pPr>
              <w:pStyle w:val="BlockText"/>
              <w:rPr>
                <w:i/>
                <w:color w:val="FF6600"/>
                <w:sz w:val="20"/>
              </w:rPr>
            </w:pPr>
          </w:p>
        </w:tc>
      </w:tr>
      <w:tr w:rsidR="003960C3" w:rsidRPr="007F2849" w:rsidTr="00F34F60">
        <w:trPr>
          <w:cantSplit/>
        </w:trPr>
        <w:tc>
          <w:tcPr>
            <w:tcW w:w="1728" w:type="dxa"/>
            <w:shd w:val="clear" w:color="auto" w:fill="auto"/>
          </w:tcPr>
          <w:p w:rsidR="003960C3" w:rsidRPr="007F2849" w:rsidRDefault="003960C3">
            <w:pPr>
              <w:pStyle w:val="Heading5"/>
            </w:pPr>
            <w:r w:rsidRPr="007F2849">
              <w:t xml:space="preserve">Changes Proposed </w:t>
            </w:r>
          </w:p>
          <w:p w:rsidR="003960C3" w:rsidRPr="007F2849" w:rsidRDefault="003960C3"/>
          <w:p w:rsidR="003960C3" w:rsidRPr="007F2849" w:rsidRDefault="003960C3"/>
        </w:tc>
        <w:tc>
          <w:tcPr>
            <w:tcW w:w="7830" w:type="dxa"/>
            <w:gridSpan w:val="5"/>
            <w:shd w:val="clear" w:color="auto" w:fill="auto"/>
          </w:tcPr>
          <w:p w:rsidR="00F67FDF" w:rsidRDefault="00B11D4A" w:rsidP="00F67FDF">
            <w:pPr>
              <w:pStyle w:val="BlockText"/>
              <w:rPr>
                <w:sz w:val="20"/>
              </w:rPr>
            </w:pPr>
            <w:r w:rsidRPr="00C9031D">
              <w:rPr>
                <w:b/>
                <w:sz w:val="20"/>
              </w:rPr>
              <w:t>Pollution Control Facilities Tax Credits:</w:t>
            </w:r>
            <w:r>
              <w:rPr>
                <w:sz w:val="20"/>
              </w:rPr>
              <w:t xml:space="preserve"> </w:t>
            </w:r>
            <w:r w:rsidR="00F67FDF">
              <w:rPr>
                <w:sz w:val="20"/>
              </w:rPr>
              <w:t xml:space="preserve">The </w:t>
            </w:r>
            <w:r w:rsidR="00142677">
              <w:rPr>
                <w:sz w:val="20"/>
              </w:rPr>
              <w:t xml:space="preserve">proposal would </w:t>
            </w:r>
            <w:r w:rsidRPr="00B11D4A">
              <w:rPr>
                <w:sz w:val="20"/>
                <w:u w:val="single"/>
              </w:rPr>
              <w:t>add</w:t>
            </w:r>
            <w:r>
              <w:rPr>
                <w:sz w:val="20"/>
              </w:rPr>
              <w:t xml:space="preserve"> a </w:t>
            </w:r>
            <w:r w:rsidR="00F67FDF">
              <w:rPr>
                <w:sz w:val="20"/>
              </w:rPr>
              <w:t xml:space="preserve">new </w:t>
            </w:r>
            <w:r w:rsidR="00142677">
              <w:rPr>
                <w:sz w:val="20"/>
              </w:rPr>
              <w:t xml:space="preserve">rule </w:t>
            </w:r>
            <w:r w:rsidR="00F67FDF">
              <w:rPr>
                <w:sz w:val="20"/>
              </w:rPr>
              <w:t xml:space="preserve">to division 16 </w:t>
            </w:r>
            <w:r>
              <w:rPr>
                <w:sz w:val="20"/>
              </w:rPr>
              <w:t xml:space="preserve">that </w:t>
            </w:r>
            <w:r w:rsidR="00F823A9">
              <w:rPr>
                <w:sz w:val="20"/>
              </w:rPr>
              <w:t>sub-</w:t>
            </w:r>
            <w:r>
              <w:rPr>
                <w:sz w:val="20"/>
              </w:rPr>
              <w:t xml:space="preserve">delegates certificate administration to the department. It would make </w:t>
            </w:r>
            <w:r w:rsidRPr="00B11D4A">
              <w:rPr>
                <w:sz w:val="20"/>
                <w:u w:val="single"/>
              </w:rPr>
              <w:t xml:space="preserve">minor changes </w:t>
            </w:r>
            <w:r>
              <w:rPr>
                <w:sz w:val="20"/>
              </w:rPr>
              <w:t xml:space="preserve">to the </w:t>
            </w:r>
            <w:r w:rsidR="00142677" w:rsidRPr="00142677">
              <w:rPr>
                <w:bCs/>
                <w:i/>
                <w:sz w:val="20"/>
              </w:rPr>
              <w:t>Certification</w:t>
            </w:r>
            <w:r w:rsidR="00142677">
              <w:rPr>
                <w:sz w:val="20"/>
              </w:rPr>
              <w:t xml:space="preserve"> </w:t>
            </w:r>
            <w:r w:rsidR="00506AAE">
              <w:rPr>
                <w:sz w:val="20"/>
              </w:rPr>
              <w:t>to align with the new rule</w:t>
            </w:r>
            <w:r w:rsidR="00F67FDF">
              <w:rPr>
                <w:sz w:val="20"/>
              </w:rPr>
              <w:t>.</w:t>
            </w:r>
          </w:p>
          <w:p w:rsidR="00B11D4A" w:rsidRDefault="00B11D4A" w:rsidP="00B11D4A">
            <w:pPr>
              <w:pStyle w:val="ListParagraph"/>
              <w:ind w:left="750"/>
              <w:rPr>
                <w:color w:val="000000"/>
                <w:sz w:val="20"/>
              </w:rPr>
            </w:pPr>
          </w:p>
          <w:p w:rsidR="00B11D4A" w:rsidRPr="00B11D4A" w:rsidRDefault="00B11D4A" w:rsidP="00B11D4A">
            <w:pPr>
              <w:pStyle w:val="ListParagraph"/>
              <w:ind w:left="0"/>
              <w:rPr>
                <w:color w:val="000000"/>
                <w:sz w:val="20"/>
              </w:rPr>
            </w:pPr>
            <w:r w:rsidRPr="00F823A9">
              <w:rPr>
                <w:b/>
                <w:color w:val="000000"/>
                <w:sz w:val="20"/>
              </w:rPr>
              <w:t>Pollution Prevention and Reclaimed Plastics Tax Credits:</w:t>
            </w:r>
            <w:r>
              <w:rPr>
                <w:color w:val="000000"/>
                <w:sz w:val="20"/>
              </w:rPr>
              <w:t xml:space="preserve"> The proposal would </w:t>
            </w:r>
            <w:r>
              <w:rPr>
                <w:color w:val="000000"/>
                <w:sz w:val="20"/>
                <w:u w:val="single"/>
              </w:rPr>
              <w:t>repeal</w:t>
            </w:r>
            <w:r w:rsidRPr="00B11D4A">
              <w:rPr>
                <w:color w:val="000000"/>
                <w:sz w:val="20"/>
              </w:rPr>
              <w:t xml:space="preserve"> rules</w:t>
            </w:r>
            <w:r>
              <w:rPr>
                <w:color w:val="000000"/>
                <w:sz w:val="20"/>
              </w:rPr>
              <w:t xml:space="preserve"> that expired </w:t>
            </w:r>
            <w:r w:rsidRPr="00B11D4A">
              <w:rPr>
                <w:color w:val="000000"/>
                <w:sz w:val="20"/>
              </w:rPr>
              <w:t>in 1999 and 2001 respectively.</w:t>
            </w:r>
          </w:p>
          <w:p w:rsidR="00604E4B" w:rsidRPr="007F2849" w:rsidRDefault="00604E4B" w:rsidP="00B11D4A"/>
        </w:tc>
      </w:tr>
      <w:tr w:rsidR="003960C3" w:rsidRPr="007F2849" w:rsidTr="00F34F60">
        <w:trPr>
          <w:cantSplit/>
          <w:trHeight w:val="2186"/>
        </w:trPr>
        <w:tc>
          <w:tcPr>
            <w:tcW w:w="1728" w:type="dxa"/>
            <w:shd w:val="clear" w:color="auto" w:fill="auto"/>
          </w:tcPr>
          <w:p w:rsidR="003960C3" w:rsidRPr="007F2849" w:rsidRDefault="003960C3">
            <w:pPr>
              <w:pStyle w:val="Heading5"/>
            </w:pPr>
            <w:r w:rsidRPr="007F2849">
              <w:t xml:space="preserve">Need for this Rulemaking </w:t>
            </w:r>
          </w:p>
        </w:tc>
        <w:tc>
          <w:tcPr>
            <w:tcW w:w="7830" w:type="dxa"/>
            <w:gridSpan w:val="5"/>
            <w:shd w:val="clear" w:color="auto" w:fill="auto"/>
          </w:tcPr>
          <w:p w:rsidR="003960C3" w:rsidRDefault="003960C3" w:rsidP="00C76CEB">
            <w:pPr>
              <w:pStyle w:val="BlockText"/>
              <w:rPr>
                <w:b/>
                <w:sz w:val="20"/>
              </w:rPr>
            </w:pPr>
            <w:r w:rsidRPr="00AE489A">
              <w:rPr>
                <w:b/>
                <w:sz w:val="20"/>
              </w:rPr>
              <w:t>What is the need for the proposed rules or amendments?  Address each of the following that appl</w:t>
            </w:r>
            <w:r>
              <w:rPr>
                <w:b/>
                <w:sz w:val="20"/>
              </w:rPr>
              <w:t>ies</w:t>
            </w:r>
            <w:r w:rsidRPr="00AE489A">
              <w:rPr>
                <w:b/>
                <w:sz w:val="20"/>
              </w:rPr>
              <w:t xml:space="preserve">:  </w:t>
            </w:r>
          </w:p>
          <w:p w:rsidR="00EC4535" w:rsidRPr="00AE489A" w:rsidRDefault="00EC4535" w:rsidP="00C76CEB">
            <w:pPr>
              <w:pStyle w:val="BlockText"/>
              <w:rPr>
                <w:b/>
                <w:sz w:val="20"/>
              </w:rPr>
            </w:pPr>
          </w:p>
          <w:p w:rsidR="003960C3" w:rsidRDefault="003960C3" w:rsidP="00FA701C">
            <w:pPr>
              <w:pStyle w:val="BlockText"/>
              <w:numPr>
                <w:ilvl w:val="0"/>
                <w:numId w:val="12"/>
              </w:numPr>
              <w:rPr>
                <w:b/>
                <w:sz w:val="20"/>
              </w:rPr>
            </w:pPr>
            <w:r w:rsidRPr="00AE489A">
              <w:rPr>
                <w:b/>
                <w:sz w:val="20"/>
              </w:rPr>
              <w:t>Do the rule changes address a known environmental problem or a problem we speculate will occur?  If the latter, how likely or serious is the problem?  What are the consequences of not addressing it?</w:t>
            </w:r>
            <w:r w:rsidR="00F527F2">
              <w:rPr>
                <w:b/>
                <w:sz w:val="20"/>
              </w:rPr>
              <w:t xml:space="preserve">  </w:t>
            </w:r>
            <w:r w:rsidR="00D778DD">
              <w:rPr>
                <w:sz w:val="20"/>
              </w:rPr>
              <w:t>No.</w:t>
            </w:r>
          </w:p>
          <w:p w:rsidR="00053D21" w:rsidRDefault="00053D21" w:rsidP="00053D21">
            <w:pPr>
              <w:pStyle w:val="BlockText"/>
              <w:rPr>
                <w:b/>
                <w:sz w:val="20"/>
              </w:rPr>
            </w:pPr>
          </w:p>
          <w:p w:rsidR="00EC4535" w:rsidRDefault="003960C3" w:rsidP="00FA701C">
            <w:pPr>
              <w:pStyle w:val="BlockText"/>
              <w:numPr>
                <w:ilvl w:val="0"/>
                <w:numId w:val="12"/>
              </w:numPr>
              <w:rPr>
                <w:b/>
                <w:sz w:val="20"/>
              </w:rPr>
            </w:pPr>
            <w:r w:rsidRPr="00AE489A">
              <w:rPr>
                <w:b/>
                <w:sz w:val="20"/>
              </w:rPr>
              <w:t>Will the changes make it easier for the regulated community to do business?</w:t>
            </w:r>
            <w:r>
              <w:rPr>
                <w:b/>
                <w:sz w:val="20"/>
              </w:rPr>
              <w:t xml:space="preserve">  </w:t>
            </w:r>
            <w:r w:rsidRPr="00AE489A">
              <w:rPr>
                <w:b/>
                <w:sz w:val="20"/>
              </w:rPr>
              <w:t xml:space="preserve">Have we consulted w/affected groups to confirm this? </w:t>
            </w:r>
            <w:r w:rsidR="00F823A9">
              <w:rPr>
                <w:sz w:val="20"/>
              </w:rPr>
              <w:t>The proposed change would</w:t>
            </w:r>
            <w:r w:rsidR="00C9031D">
              <w:rPr>
                <w:sz w:val="20"/>
              </w:rPr>
              <w:t xml:space="preserve"> be transparent to certificate holders.</w:t>
            </w:r>
          </w:p>
          <w:p w:rsidR="003960C3" w:rsidRPr="007F2849" w:rsidRDefault="003960C3">
            <w:pPr>
              <w:pStyle w:val="BlockText"/>
              <w:rPr>
                <w:sz w:val="20"/>
              </w:rPr>
            </w:pPr>
          </w:p>
        </w:tc>
      </w:tr>
      <w:tr w:rsidR="00EC4535" w:rsidRPr="007F2849" w:rsidTr="00F34F60">
        <w:trPr>
          <w:cantSplit/>
          <w:trHeight w:val="1088"/>
        </w:trPr>
        <w:tc>
          <w:tcPr>
            <w:tcW w:w="1728" w:type="dxa"/>
            <w:shd w:val="clear" w:color="auto" w:fill="auto"/>
          </w:tcPr>
          <w:p w:rsidR="00EC4535" w:rsidRPr="007F2849" w:rsidRDefault="00EC4535">
            <w:pPr>
              <w:pStyle w:val="Heading5"/>
            </w:pPr>
          </w:p>
        </w:tc>
        <w:tc>
          <w:tcPr>
            <w:tcW w:w="7830" w:type="dxa"/>
            <w:gridSpan w:val="5"/>
            <w:shd w:val="clear" w:color="auto" w:fill="auto"/>
          </w:tcPr>
          <w:p w:rsidR="00EC4535" w:rsidRPr="00AE489A" w:rsidRDefault="00EC4535" w:rsidP="00EC4535">
            <w:pPr>
              <w:pStyle w:val="BlockText"/>
              <w:ind w:left="261"/>
              <w:rPr>
                <w:b/>
                <w:sz w:val="20"/>
              </w:rPr>
            </w:pPr>
          </w:p>
          <w:p w:rsidR="00EC4535" w:rsidRPr="00C9031D" w:rsidRDefault="00EC4535" w:rsidP="00C9031D">
            <w:pPr>
              <w:pStyle w:val="BlockText"/>
              <w:numPr>
                <w:ilvl w:val="0"/>
                <w:numId w:val="12"/>
              </w:numPr>
              <w:rPr>
                <w:b/>
                <w:sz w:val="20"/>
              </w:rPr>
            </w:pPr>
            <w:r w:rsidRPr="002013C0">
              <w:rPr>
                <w:b/>
                <w:sz w:val="20"/>
              </w:rPr>
              <w:t>Will the changes make it easier for DEQ to do business?  What resource savings will be achieved?</w:t>
            </w:r>
            <w:r w:rsidR="00F527F2">
              <w:rPr>
                <w:b/>
                <w:sz w:val="20"/>
              </w:rPr>
              <w:t xml:space="preserve">  </w:t>
            </w:r>
            <w:r w:rsidR="0099457A" w:rsidRPr="0099457A">
              <w:rPr>
                <w:sz w:val="20"/>
              </w:rPr>
              <w:t xml:space="preserve">DEQ would turn around changes to EQC issued certificates within days rather than months. </w:t>
            </w:r>
            <w:r w:rsidR="0099457A">
              <w:rPr>
                <w:sz w:val="20"/>
              </w:rPr>
              <w:t>The change would e</w:t>
            </w:r>
            <w:r w:rsidR="00D778DD">
              <w:rPr>
                <w:sz w:val="20"/>
              </w:rPr>
              <w:t>liminate</w:t>
            </w:r>
            <w:r w:rsidR="0099457A">
              <w:rPr>
                <w:sz w:val="20"/>
              </w:rPr>
              <w:t xml:space="preserve"> </w:t>
            </w:r>
            <w:r w:rsidR="00D778DD">
              <w:rPr>
                <w:sz w:val="20"/>
              </w:rPr>
              <w:t>EQC</w:t>
            </w:r>
            <w:r w:rsidR="0099457A">
              <w:rPr>
                <w:sz w:val="20"/>
              </w:rPr>
              <w:t xml:space="preserve"> </w:t>
            </w:r>
            <w:r w:rsidR="00D778DD">
              <w:rPr>
                <w:sz w:val="20"/>
              </w:rPr>
              <w:t>preparation</w:t>
            </w:r>
            <w:r w:rsidR="00C9031D">
              <w:rPr>
                <w:sz w:val="20"/>
              </w:rPr>
              <w:t xml:space="preserve">, review </w:t>
            </w:r>
            <w:r w:rsidR="0099457A">
              <w:rPr>
                <w:sz w:val="20"/>
              </w:rPr>
              <w:t xml:space="preserve">and meeting </w:t>
            </w:r>
            <w:r w:rsidR="00C9031D">
              <w:rPr>
                <w:sz w:val="20"/>
              </w:rPr>
              <w:t>efforts</w:t>
            </w:r>
            <w:r w:rsidR="0099457A">
              <w:rPr>
                <w:sz w:val="20"/>
              </w:rPr>
              <w:t xml:space="preserve"> </w:t>
            </w:r>
            <w:r w:rsidR="00D778DD">
              <w:rPr>
                <w:sz w:val="20"/>
              </w:rPr>
              <w:t>with minor savings.</w:t>
            </w:r>
            <w:r w:rsidR="002A6301">
              <w:rPr>
                <w:sz w:val="20"/>
              </w:rPr>
              <w:t xml:space="preserve"> The EQC expressed interest in removing this task from their agenda. </w:t>
            </w:r>
          </w:p>
          <w:p w:rsidR="00C9031D" w:rsidRPr="00AE489A" w:rsidRDefault="00C9031D" w:rsidP="00C9031D">
            <w:pPr>
              <w:pStyle w:val="BlockText"/>
              <w:ind w:left="261"/>
              <w:rPr>
                <w:b/>
                <w:sz w:val="20"/>
              </w:rPr>
            </w:pPr>
          </w:p>
        </w:tc>
      </w:tr>
      <w:tr w:rsidR="007A0613" w:rsidRPr="007F2849" w:rsidTr="00F34F60">
        <w:trPr>
          <w:cantSplit/>
          <w:trHeight w:val="1480"/>
        </w:trPr>
        <w:tc>
          <w:tcPr>
            <w:tcW w:w="1728" w:type="dxa"/>
            <w:shd w:val="clear" w:color="auto" w:fill="auto"/>
          </w:tcPr>
          <w:p w:rsidR="007A0613" w:rsidRPr="007F2849" w:rsidRDefault="007A0613">
            <w:pPr>
              <w:pStyle w:val="Heading5"/>
            </w:pPr>
          </w:p>
        </w:tc>
        <w:tc>
          <w:tcPr>
            <w:tcW w:w="7830" w:type="dxa"/>
            <w:gridSpan w:val="5"/>
            <w:shd w:val="clear" w:color="auto" w:fill="auto"/>
          </w:tcPr>
          <w:p w:rsidR="00EC4535" w:rsidRDefault="00EC4535" w:rsidP="00053D21">
            <w:pPr>
              <w:pStyle w:val="BlockText"/>
              <w:ind w:left="261"/>
              <w:rPr>
                <w:b/>
                <w:sz w:val="20"/>
              </w:rPr>
            </w:pPr>
          </w:p>
          <w:p w:rsidR="00EC4535" w:rsidRDefault="002013C0" w:rsidP="002013C0">
            <w:pPr>
              <w:pStyle w:val="BlockText"/>
              <w:numPr>
                <w:ilvl w:val="0"/>
                <w:numId w:val="12"/>
              </w:numPr>
              <w:rPr>
                <w:b/>
                <w:sz w:val="20"/>
              </w:rPr>
            </w:pPr>
            <w:r w:rsidRPr="002013C0">
              <w:rPr>
                <w:b/>
                <w:sz w:val="20"/>
              </w:rPr>
              <w:t>Will the changes further one or more of our strategic directions?</w:t>
            </w:r>
            <w:r w:rsidR="00D778DD">
              <w:rPr>
                <w:b/>
                <w:sz w:val="20"/>
              </w:rPr>
              <w:t xml:space="preserve"> </w:t>
            </w:r>
            <w:r w:rsidR="00D778DD">
              <w:rPr>
                <w:sz w:val="20"/>
              </w:rPr>
              <w:t>No</w:t>
            </w:r>
          </w:p>
          <w:p w:rsidR="002013C0" w:rsidRPr="002013C0" w:rsidRDefault="002013C0" w:rsidP="00EC4535">
            <w:pPr>
              <w:pStyle w:val="BlockText"/>
              <w:ind w:left="261"/>
              <w:rPr>
                <w:b/>
                <w:sz w:val="20"/>
              </w:rPr>
            </w:pPr>
            <w:r w:rsidRPr="002013C0">
              <w:rPr>
                <w:b/>
                <w:sz w:val="20"/>
              </w:rPr>
              <w:t xml:space="preserve"> </w:t>
            </w:r>
          </w:p>
          <w:p w:rsidR="002013C0" w:rsidRDefault="002013C0" w:rsidP="002013C0">
            <w:pPr>
              <w:pStyle w:val="BlockText"/>
              <w:numPr>
                <w:ilvl w:val="0"/>
                <w:numId w:val="12"/>
              </w:numPr>
              <w:rPr>
                <w:b/>
                <w:sz w:val="20"/>
              </w:rPr>
            </w:pPr>
            <w:r w:rsidRPr="00AE489A">
              <w:rPr>
                <w:b/>
                <w:sz w:val="20"/>
              </w:rPr>
              <w:t>Do the rules achieve or maintain consistency with federal requirements or delegation of federal programs?  If so, explain why that is necessary or important.</w:t>
            </w:r>
            <w:r w:rsidR="00D778DD">
              <w:rPr>
                <w:b/>
                <w:sz w:val="20"/>
              </w:rPr>
              <w:t xml:space="preserve"> </w:t>
            </w:r>
            <w:r w:rsidR="0099457A">
              <w:rPr>
                <w:sz w:val="20"/>
              </w:rPr>
              <w:t>There is no federal component to Oregon’s P</w:t>
            </w:r>
            <w:r w:rsidR="00D778DD">
              <w:rPr>
                <w:sz w:val="20"/>
              </w:rPr>
              <w:t>ollution Control Facilities Tax Credit</w:t>
            </w:r>
            <w:r w:rsidR="0099457A">
              <w:rPr>
                <w:sz w:val="20"/>
              </w:rPr>
              <w:t xml:space="preserve"> program</w:t>
            </w:r>
            <w:r w:rsidR="00D778DD">
              <w:rPr>
                <w:sz w:val="20"/>
              </w:rPr>
              <w:t xml:space="preserve">. </w:t>
            </w:r>
            <w:r w:rsidR="00D778DD">
              <w:rPr>
                <w:b/>
                <w:sz w:val="20"/>
              </w:rPr>
              <w:t xml:space="preserve"> </w:t>
            </w:r>
          </w:p>
          <w:p w:rsidR="007A0613" w:rsidRPr="00AE489A" w:rsidRDefault="007A0613" w:rsidP="00EC4535">
            <w:pPr>
              <w:pStyle w:val="BlockText"/>
              <w:ind w:left="261"/>
              <w:rPr>
                <w:b/>
                <w:sz w:val="20"/>
              </w:rPr>
            </w:pPr>
          </w:p>
        </w:tc>
      </w:tr>
      <w:tr w:rsidR="00EC4535" w:rsidRPr="007F2849" w:rsidTr="00F34F60">
        <w:trPr>
          <w:cantSplit/>
          <w:trHeight w:val="1480"/>
        </w:trPr>
        <w:tc>
          <w:tcPr>
            <w:tcW w:w="1728" w:type="dxa"/>
            <w:shd w:val="clear" w:color="auto" w:fill="auto"/>
          </w:tcPr>
          <w:p w:rsidR="00EC4535" w:rsidRPr="007F2849" w:rsidRDefault="00EC4535">
            <w:pPr>
              <w:pStyle w:val="Heading5"/>
            </w:pPr>
          </w:p>
        </w:tc>
        <w:tc>
          <w:tcPr>
            <w:tcW w:w="7830" w:type="dxa"/>
            <w:gridSpan w:val="5"/>
            <w:shd w:val="clear" w:color="auto" w:fill="auto"/>
          </w:tcPr>
          <w:p w:rsidR="00EC4535" w:rsidRPr="00AE489A" w:rsidRDefault="00EC4535" w:rsidP="00EC4535">
            <w:pPr>
              <w:pStyle w:val="BlockText"/>
              <w:ind w:left="261"/>
              <w:rPr>
                <w:b/>
                <w:sz w:val="20"/>
              </w:rPr>
            </w:pPr>
          </w:p>
          <w:p w:rsidR="00EC4535" w:rsidRDefault="00EC4535" w:rsidP="00EC4535">
            <w:pPr>
              <w:pStyle w:val="BlockText"/>
              <w:numPr>
                <w:ilvl w:val="0"/>
                <w:numId w:val="12"/>
              </w:numPr>
              <w:rPr>
                <w:b/>
                <w:sz w:val="20"/>
              </w:rPr>
            </w:pPr>
            <w:r w:rsidRPr="00AE489A">
              <w:rPr>
                <w:b/>
                <w:sz w:val="20"/>
              </w:rPr>
              <w:t xml:space="preserve">Is there another compelling reason? </w:t>
            </w:r>
            <w:r w:rsidR="00D778DD">
              <w:rPr>
                <w:sz w:val="20"/>
              </w:rPr>
              <w:t xml:space="preserve"> </w:t>
            </w:r>
            <w:r w:rsidR="00C9031D">
              <w:rPr>
                <w:sz w:val="20"/>
              </w:rPr>
              <w:t>Remove one item from the EQC agenda</w:t>
            </w:r>
            <w:r w:rsidR="00D778DD">
              <w:rPr>
                <w:sz w:val="20"/>
              </w:rPr>
              <w:t>.</w:t>
            </w:r>
          </w:p>
          <w:p w:rsidR="00EC4535" w:rsidRPr="00AE489A" w:rsidRDefault="00EC4535" w:rsidP="00EC4535">
            <w:pPr>
              <w:pStyle w:val="BlockText"/>
              <w:ind w:left="261"/>
              <w:rPr>
                <w:b/>
                <w:sz w:val="20"/>
              </w:rPr>
            </w:pPr>
          </w:p>
          <w:p w:rsidR="00EC4535" w:rsidRPr="00AE489A" w:rsidRDefault="00EC4535" w:rsidP="00EC4535">
            <w:pPr>
              <w:pStyle w:val="BlockText"/>
              <w:numPr>
                <w:ilvl w:val="0"/>
                <w:numId w:val="12"/>
              </w:numPr>
              <w:rPr>
                <w:b/>
                <w:sz w:val="20"/>
              </w:rPr>
            </w:pPr>
            <w:r w:rsidRPr="00AE489A">
              <w:rPr>
                <w:b/>
                <w:sz w:val="20"/>
              </w:rPr>
              <w:t>Can the need be met through policy, guidance, or another alternative to rulemaking? If not, briefly explain.</w:t>
            </w:r>
            <w:r w:rsidR="00251606">
              <w:rPr>
                <w:b/>
                <w:sz w:val="20"/>
              </w:rPr>
              <w:t xml:space="preserve"> </w:t>
            </w:r>
            <w:r w:rsidR="00251606">
              <w:rPr>
                <w:sz w:val="20"/>
              </w:rPr>
              <w:t xml:space="preserve">No, </w:t>
            </w:r>
            <w:r w:rsidR="00F823A9">
              <w:rPr>
                <w:sz w:val="20"/>
              </w:rPr>
              <w:t xml:space="preserve">the </w:t>
            </w:r>
            <w:r w:rsidR="00251606">
              <w:rPr>
                <w:sz w:val="20"/>
              </w:rPr>
              <w:t xml:space="preserve">Assistant Attorney General advises sub-delegation of </w:t>
            </w:r>
            <w:r w:rsidR="00E275C6">
              <w:rPr>
                <w:sz w:val="20"/>
              </w:rPr>
              <w:t>certificate administration tasks</w:t>
            </w:r>
            <w:r w:rsidR="00251606">
              <w:rPr>
                <w:sz w:val="20"/>
              </w:rPr>
              <w:t xml:space="preserve">.   </w:t>
            </w:r>
          </w:p>
          <w:p w:rsidR="00EC4535" w:rsidRDefault="00EC4535" w:rsidP="00EC4535">
            <w:pPr>
              <w:pStyle w:val="BlockText"/>
              <w:rPr>
                <w:b/>
                <w:sz w:val="20"/>
              </w:rPr>
            </w:pPr>
          </w:p>
        </w:tc>
      </w:tr>
      <w:tr w:rsidR="003960C3" w:rsidRPr="007F2849" w:rsidTr="00F34F60">
        <w:trPr>
          <w:cantSplit/>
        </w:trPr>
        <w:tc>
          <w:tcPr>
            <w:tcW w:w="1728" w:type="dxa"/>
            <w:shd w:val="clear" w:color="auto" w:fill="auto"/>
          </w:tcPr>
          <w:p w:rsidR="003960C3" w:rsidRPr="007F2849" w:rsidRDefault="003960C3">
            <w:pPr>
              <w:pStyle w:val="Heading5"/>
            </w:pPr>
            <w:r w:rsidRPr="007F2849">
              <w:t>Relevant History</w:t>
            </w:r>
          </w:p>
        </w:tc>
        <w:tc>
          <w:tcPr>
            <w:tcW w:w="7830" w:type="dxa"/>
            <w:gridSpan w:val="5"/>
            <w:shd w:val="clear" w:color="auto" w:fill="auto"/>
          </w:tcPr>
          <w:p w:rsidR="00C9031D" w:rsidRDefault="00C9031D" w:rsidP="00C9031D">
            <w:pPr>
              <w:rPr>
                <w:color w:val="000000"/>
                <w:sz w:val="20"/>
              </w:rPr>
            </w:pPr>
            <w:r w:rsidRPr="00C9031D">
              <w:rPr>
                <w:b/>
                <w:sz w:val="20"/>
              </w:rPr>
              <w:t>Pollution Control Facilities Tax Credits</w:t>
            </w:r>
            <w:r>
              <w:rPr>
                <w:sz w:val="20"/>
              </w:rPr>
              <w:t xml:space="preserve"> </w:t>
            </w:r>
            <w:r w:rsidR="006978DD">
              <w:rPr>
                <w:color w:val="000000"/>
                <w:sz w:val="20"/>
              </w:rPr>
              <w:t>The E</w:t>
            </w:r>
            <w:r w:rsidR="006978DD" w:rsidRPr="00DE3E5B">
              <w:rPr>
                <w:color w:val="000000"/>
                <w:sz w:val="20"/>
              </w:rPr>
              <w:t>QC</w:t>
            </w:r>
            <w:r w:rsidR="006978DD">
              <w:rPr>
                <w:color w:val="000000"/>
                <w:sz w:val="20"/>
              </w:rPr>
              <w:t xml:space="preserve"> certified the last facilit</w:t>
            </w:r>
            <w:r w:rsidR="00506AAE">
              <w:rPr>
                <w:color w:val="000000"/>
                <w:sz w:val="20"/>
              </w:rPr>
              <w:t>y</w:t>
            </w:r>
            <w:r w:rsidR="006978DD">
              <w:rPr>
                <w:color w:val="000000"/>
                <w:sz w:val="20"/>
              </w:rPr>
              <w:t xml:space="preserve"> in December 2009 after the program’s 2008 sunset</w:t>
            </w:r>
            <w:r w:rsidR="006978DD" w:rsidRPr="00DE3E5B">
              <w:rPr>
                <w:color w:val="000000"/>
                <w:sz w:val="20"/>
              </w:rPr>
              <w:t>.</w:t>
            </w:r>
            <w:r w:rsidR="006978DD">
              <w:rPr>
                <w:color w:val="000000"/>
                <w:sz w:val="20"/>
              </w:rPr>
              <w:t xml:space="preserve"> </w:t>
            </w:r>
            <w:r w:rsidR="00506AAE">
              <w:rPr>
                <w:color w:val="000000"/>
                <w:sz w:val="20"/>
              </w:rPr>
              <w:t xml:space="preserve">Certificate administration was a minor part of the </w:t>
            </w:r>
            <w:r w:rsidR="006978DD">
              <w:rPr>
                <w:color w:val="000000"/>
                <w:sz w:val="20"/>
              </w:rPr>
              <w:t xml:space="preserve">EQC Staff Report </w:t>
            </w:r>
            <w:r w:rsidR="008621D5">
              <w:rPr>
                <w:color w:val="000000"/>
                <w:sz w:val="20"/>
              </w:rPr>
              <w:t xml:space="preserve">that had the main purpose of </w:t>
            </w:r>
            <w:r w:rsidR="006978DD">
              <w:rPr>
                <w:color w:val="000000"/>
                <w:sz w:val="20"/>
              </w:rPr>
              <w:t xml:space="preserve">approving or denying facilities </w:t>
            </w:r>
            <w:r w:rsidR="00CD72FB">
              <w:rPr>
                <w:color w:val="000000"/>
                <w:sz w:val="20"/>
              </w:rPr>
              <w:t>for tax credit purposes</w:t>
            </w:r>
            <w:r w:rsidR="006978DD">
              <w:rPr>
                <w:color w:val="000000"/>
                <w:sz w:val="20"/>
              </w:rPr>
              <w:t xml:space="preserve">. </w:t>
            </w:r>
            <w:r w:rsidR="00506AAE">
              <w:rPr>
                <w:color w:val="000000"/>
                <w:sz w:val="20"/>
              </w:rPr>
              <w:t>When a</w:t>
            </w:r>
            <w:r w:rsidR="00CD72FB">
              <w:rPr>
                <w:color w:val="000000"/>
                <w:sz w:val="20"/>
              </w:rPr>
              <w:t xml:space="preserve"> certificate holder</w:t>
            </w:r>
            <w:r w:rsidR="00CD72FB" w:rsidRPr="00DE3E5B">
              <w:rPr>
                <w:color w:val="000000"/>
                <w:sz w:val="20"/>
              </w:rPr>
              <w:t xml:space="preserve"> notif</w:t>
            </w:r>
            <w:r w:rsidR="00CD72FB">
              <w:rPr>
                <w:color w:val="000000"/>
                <w:sz w:val="20"/>
              </w:rPr>
              <w:t xml:space="preserve">ies </w:t>
            </w:r>
            <w:r w:rsidR="00CD72FB" w:rsidRPr="00DE3E5B">
              <w:rPr>
                <w:color w:val="000000"/>
                <w:sz w:val="20"/>
              </w:rPr>
              <w:t xml:space="preserve">DEQ </w:t>
            </w:r>
            <w:r w:rsidR="00CD72FB">
              <w:rPr>
                <w:color w:val="000000"/>
                <w:sz w:val="20"/>
              </w:rPr>
              <w:t xml:space="preserve">they have sold a </w:t>
            </w:r>
            <w:r w:rsidR="00506AAE">
              <w:rPr>
                <w:color w:val="000000"/>
                <w:sz w:val="20"/>
              </w:rPr>
              <w:t xml:space="preserve">certified </w:t>
            </w:r>
            <w:r w:rsidR="00CD72FB" w:rsidRPr="00DE3E5B">
              <w:rPr>
                <w:color w:val="000000"/>
                <w:sz w:val="20"/>
              </w:rPr>
              <w:t>facility,</w:t>
            </w:r>
            <w:r w:rsidR="00CD72FB">
              <w:rPr>
                <w:color w:val="000000"/>
                <w:sz w:val="20"/>
              </w:rPr>
              <w:t xml:space="preserve"> </w:t>
            </w:r>
            <w:r w:rsidR="00CD72FB" w:rsidRPr="00DE3E5B">
              <w:rPr>
                <w:color w:val="000000"/>
                <w:sz w:val="20"/>
              </w:rPr>
              <w:t xml:space="preserve">changed </w:t>
            </w:r>
            <w:r w:rsidR="00CD72FB">
              <w:rPr>
                <w:color w:val="000000"/>
                <w:sz w:val="20"/>
              </w:rPr>
              <w:t xml:space="preserve">their </w:t>
            </w:r>
            <w:r w:rsidR="00CD72FB" w:rsidRPr="00DE3E5B">
              <w:rPr>
                <w:color w:val="000000"/>
                <w:sz w:val="20"/>
              </w:rPr>
              <w:t>legal name or cease</w:t>
            </w:r>
            <w:r w:rsidR="008621D5">
              <w:rPr>
                <w:color w:val="000000"/>
                <w:sz w:val="20"/>
              </w:rPr>
              <w:t>d</w:t>
            </w:r>
            <w:r w:rsidR="00CD72FB" w:rsidRPr="00DE3E5B">
              <w:rPr>
                <w:color w:val="000000"/>
                <w:sz w:val="20"/>
              </w:rPr>
              <w:t xml:space="preserve"> operatin</w:t>
            </w:r>
            <w:r w:rsidR="00CD72FB">
              <w:rPr>
                <w:color w:val="000000"/>
                <w:sz w:val="20"/>
              </w:rPr>
              <w:t>g</w:t>
            </w:r>
            <w:r w:rsidR="00CD72FB" w:rsidRPr="00DE3E5B">
              <w:rPr>
                <w:color w:val="000000"/>
                <w:sz w:val="20"/>
              </w:rPr>
              <w:t xml:space="preserve"> </w:t>
            </w:r>
            <w:r w:rsidR="00CD72FB">
              <w:rPr>
                <w:color w:val="000000"/>
                <w:sz w:val="20"/>
              </w:rPr>
              <w:t>a certified facility,</w:t>
            </w:r>
            <w:r w:rsidR="006978DD">
              <w:rPr>
                <w:color w:val="000000"/>
                <w:sz w:val="20"/>
              </w:rPr>
              <w:t xml:space="preserve"> the EQC is responsible for </w:t>
            </w:r>
            <w:r w:rsidR="00506AAE">
              <w:rPr>
                <w:color w:val="000000"/>
                <w:sz w:val="20"/>
              </w:rPr>
              <w:t>transferring, reissuing or revoking the certificate</w:t>
            </w:r>
            <w:r w:rsidR="008621D5">
              <w:rPr>
                <w:color w:val="000000"/>
                <w:sz w:val="20"/>
              </w:rPr>
              <w:t xml:space="preserve">. The EQC is responsible for certificate administration </w:t>
            </w:r>
            <w:r w:rsidR="00CD72FB">
              <w:rPr>
                <w:color w:val="000000"/>
                <w:sz w:val="20"/>
              </w:rPr>
              <w:t xml:space="preserve">through 2018. </w:t>
            </w:r>
          </w:p>
          <w:p w:rsidR="00CD72FB" w:rsidRPr="00DE3E5B" w:rsidRDefault="00CD72FB" w:rsidP="00C9031D">
            <w:pPr>
              <w:rPr>
                <w:color w:val="000000"/>
                <w:sz w:val="20"/>
              </w:rPr>
            </w:pPr>
          </w:p>
          <w:p w:rsidR="00C9031D" w:rsidRPr="00CD72FB" w:rsidRDefault="00CD72FB" w:rsidP="00C9031D">
            <w:pPr>
              <w:rPr>
                <w:sz w:val="20"/>
              </w:rPr>
            </w:pPr>
            <w:r w:rsidRPr="00CD72FB">
              <w:rPr>
                <w:b/>
                <w:sz w:val="20"/>
              </w:rPr>
              <w:t>Pollution Prevention Tax Credits</w:t>
            </w:r>
            <w:r>
              <w:rPr>
                <w:sz w:val="20"/>
              </w:rPr>
              <w:t xml:space="preserve"> The program sunset December 31, 1999 and the last year for carry forwards on the Oregon tax return was December 31, 2002.  </w:t>
            </w:r>
            <w:r w:rsidR="00C9031D" w:rsidRPr="00CD72FB">
              <w:rPr>
                <w:sz w:val="20"/>
              </w:rPr>
              <w:t xml:space="preserve">                     </w:t>
            </w:r>
          </w:p>
          <w:p w:rsidR="00C9031D" w:rsidRPr="00CD72FB" w:rsidRDefault="00C9031D" w:rsidP="00CD72FB">
            <w:pPr>
              <w:rPr>
                <w:sz w:val="20"/>
              </w:rPr>
            </w:pPr>
            <w:r w:rsidRPr="00CD72FB">
              <w:rPr>
                <w:sz w:val="20"/>
              </w:rPr>
              <w:t>                         </w:t>
            </w:r>
          </w:p>
          <w:p w:rsidR="00CD72FB" w:rsidRPr="00CD72FB" w:rsidRDefault="00CD72FB" w:rsidP="00CD72FB">
            <w:pPr>
              <w:rPr>
                <w:sz w:val="20"/>
              </w:rPr>
            </w:pPr>
            <w:r>
              <w:rPr>
                <w:b/>
                <w:sz w:val="20"/>
              </w:rPr>
              <w:t>Reclaimed Plastics</w:t>
            </w:r>
            <w:r w:rsidRPr="00CD72FB">
              <w:rPr>
                <w:b/>
                <w:sz w:val="20"/>
              </w:rPr>
              <w:t xml:space="preserve"> Tax Credits</w:t>
            </w:r>
            <w:r>
              <w:rPr>
                <w:sz w:val="20"/>
              </w:rPr>
              <w:t xml:space="preserve"> The program sunset December 31, 2001 and the last year for carry forwards on the Oregon tax return was December 31, 2006.  </w:t>
            </w:r>
            <w:r w:rsidRPr="00CD72FB">
              <w:rPr>
                <w:sz w:val="20"/>
              </w:rPr>
              <w:t xml:space="preserve">                     </w:t>
            </w:r>
          </w:p>
          <w:p w:rsidR="003960C3" w:rsidRPr="00E275C6" w:rsidRDefault="003960C3">
            <w:pPr>
              <w:pStyle w:val="BlockText"/>
              <w:rPr>
                <w:sz w:val="20"/>
              </w:rPr>
            </w:pPr>
          </w:p>
        </w:tc>
      </w:tr>
      <w:tr w:rsidR="003960C3" w:rsidRPr="007F2849" w:rsidTr="00F34F60">
        <w:trPr>
          <w:cantSplit/>
        </w:trPr>
        <w:tc>
          <w:tcPr>
            <w:tcW w:w="1728" w:type="dxa"/>
            <w:shd w:val="clear" w:color="auto" w:fill="auto"/>
          </w:tcPr>
          <w:p w:rsidR="003960C3" w:rsidRPr="007F2849" w:rsidRDefault="003960C3">
            <w:pPr>
              <w:pStyle w:val="Heading5"/>
            </w:pPr>
            <w:r w:rsidRPr="007F2849">
              <w:t>Deadlines</w:t>
            </w:r>
          </w:p>
        </w:tc>
        <w:tc>
          <w:tcPr>
            <w:tcW w:w="7830" w:type="dxa"/>
            <w:gridSpan w:val="5"/>
            <w:shd w:val="clear" w:color="auto" w:fill="auto"/>
          </w:tcPr>
          <w:p w:rsidR="003960C3" w:rsidRPr="00E275C6" w:rsidRDefault="00E275C6" w:rsidP="00E275C6">
            <w:pPr>
              <w:pStyle w:val="BlockText"/>
              <w:rPr>
                <w:sz w:val="20"/>
              </w:rPr>
            </w:pPr>
            <w:r>
              <w:rPr>
                <w:sz w:val="20"/>
              </w:rPr>
              <w:t>There are n</w:t>
            </w:r>
            <w:r w:rsidRPr="00E275C6">
              <w:rPr>
                <w:sz w:val="20"/>
              </w:rPr>
              <w:t>o external deadlines</w:t>
            </w:r>
            <w:r>
              <w:rPr>
                <w:sz w:val="20"/>
              </w:rPr>
              <w:t xml:space="preserve"> associated with this rulemaking</w:t>
            </w:r>
            <w:r w:rsidRPr="00E275C6">
              <w:rPr>
                <w:sz w:val="20"/>
              </w:rPr>
              <w:t>.</w:t>
            </w:r>
          </w:p>
          <w:p w:rsidR="00E275C6" w:rsidRPr="00E275C6" w:rsidRDefault="00E275C6" w:rsidP="00E275C6">
            <w:pPr>
              <w:pStyle w:val="BlockText"/>
              <w:rPr>
                <w:sz w:val="20"/>
              </w:rPr>
            </w:pPr>
          </w:p>
        </w:tc>
      </w:tr>
      <w:tr w:rsidR="003960C3" w:rsidRPr="007F2849" w:rsidTr="00E275C6">
        <w:trPr>
          <w:cantSplit/>
          <w:trHeight w:val="917"/>
        </w:trPr>
        <w:tc>
          <w:tcPr>
            <w:tcW w:w="1728" w:type="dxa"/>
            <w:shd w:val="clear" w:color="auto" w:fill="auto"/>
          </w:tcPr>
          <w:p w:rsidR="003960C3" w:rsidRPr="007F2849" w:rsidRDefault="003960C3">
            <w:pPr>
              <w:pStyle w:val="Heading5"/>
            </w:pPr>
            <w:r w:rsidRPr="007F2849">
              <w:t>Technical or Environmental Issues</w:t>
            </w:r>
          </w:p>
          <w:p w:rsidR="003960C3" w:rsidRPr="007F2849" w:rsidRDefault="003960C3"/>
        </w:tc>
        <w:tc>
          <w:tcPr>
            <w:tcW w:w="7830" w:type="dxa"/>
            <w:gridSpan w:val="5"/>
            <w:shd w:val="clear" w:color="auto" w:fill="auto"/>
          </w:tcPr>
          <w:p w:rsidR="003960C3" w:rsidRPr="00E275C6" w:rsidRDefault="00E275C6" w:rsidP="00E275C6">
            <w:pPr>
              <w:pStyle w:val="BlockText"/>
            </w:pPr>
            <w:r>
              <w:rPr>
                <w:sz w:val="20"/>
              </w:rPr>
              <w:t>There are n</w:t>
            </w:r>
            <w:r w:rsidRPr="00E275C6">
              <w:rPr>
                <w:sz w:val="20"/>
              </w:rPr>
              <w:t>o</w:t>
            </w:r>
            <w:r w:rsidR="003960C3" w:rsidRPr="00E275C6">
              <w:rPr>
                <w:sz w:val="20"/>
              </w:rPr>
              <w:t xml:space="preserve"> technical or environmental issues </w:t>
            </w:r>
            <w:r w:rsidR="008C6917" w:rsidRPr="00E275C6">
              <w:rPr>
                <w:sz w:val="20"/>
              </w:rPr>
              <w:t>associated with</w:t>
            </w:r>
            <w:r w:rsidR="003960C3" w:rsidRPr="00E275C6">
              <w:rPr>
                <w:sz w:val="20"/>
              </w:rPr>
              <w:t xml:space="preserve"> this rulemaking</w:t>
            </w:r>
            <w:r w:rsidRPr="00E275C6">
              <w:rPr>
                <w:sz w:val="20"/>
              </w:rPr>
              <w:t>.</w:t>
            </w:r>
            <w:r w:rsidRPr="00E275C6">
              <w:t xml:space="preserve"> </w:t>
            </w:r>
          </w:p>
        </w:tc>
      </w:tr>
      <w:tr w:rsidR="003960C3" w:rsidRPr="007F2849" w:rsidTr="00F34F60">
        <w:trPr>
          <w:cantSplit/>
        </w:trPr>
        <w:tc>
          <w:tcPr>
            <w:tcW w:w="1728" w:type="dxa"/>
            <w:shd w:val="clear" w:color="auto" w:fill="auto"/>
          </w:tcPr>
          <w:p w:rsidR="003960C3" w:rsidRPr="00FB7CF0" w:rsidRDefault="003960C3">
            <w:pPr>
              <w:rPr>
                <w:b/>
                <w:sz w:val="22"/>
                <w:szCs w:val="22"/>
              </w:rPr>
            </w:pPr>
            <w:r w:rsidRPr="00FB7CF0">
              <w:rPr>
                <w:b/>
                <w:sz w:val="22"/>
                <w:szCs w:val="22"/>
              </w:rPr>
              <w:t>Cross Media Issues</w:t>
            </w:r>
          </w:p>
          <w:p w:rsidR="003960C3" w:rsidRPr="007F2849" w:rsidRDefault="003960C3">
            <w:pPr>
              <w:rPr>
                <w:b/>
              </w:rPr>
            </w:pPr>
          </w:p>
        </w:tc>
        <w:tc>
          <w:tcPr>
            <w:tcW w:w="7830" w:type="dxa"/>
            <w:gridSpan w:val="5"/>
            <w:shd w:val="clear" w:color="auto" w:fill="auto"/>
          </w:tcPr>
          <w:p w:rsidR="003960C3" w:rsidRPr="00E275C6" w:rsidRDefault="00E275C6" w:rsidP="00E275C6">
            <w:pPr>
              <w:pStyle w:val="BlockText"/>
              <w:rPr>
                <w:sz w:val="20"/>
              </w:rPr>
            </w:pPr>
            <w:r>
              <w:rPr>
                <w:sz w:val="20"/>
              </w:rPr>
              <w:t>T</w:t>
            </w:r>
            <w:r w:rsidRPr="00E275C6">
              <w:rPr>
                <w:sz w:val="20"/>
              </w:rPr>
              <w:t>here are no cross media issues with this rulemaking.</w:t>
            </w:r>
          </w:p>
        </w:tc>
      </w:tr>
      <w:tr w:rsidR="003960C3" w:rsidRPr="007F2849" w:rsidTr="00F34F60">
        <w:trPr>
          <w:cantSplit/>
        </w:trPr>
        <w:tc>
          <w:tcPr>
            <w:tcW w:w="1728" w:type="dxa"/>
            <w:shd w:val="clear" w:color="auto" w:fill="auto"/>
          </w:tcPr>
          <w:p w:rsidR="003960C3" w:rsidRPr="007F2849" w:rsidRDefault="003960C3">
            <w:pPr>
              <w:pStyle w:val="Heading5"/>
            </w:pPr>
            <w:r w:rsidRPr="007F2849">
              <w:t>Policy or Political Issues</w:t>
            </w:r>
          </w:p>
          <w:p w:rsidR="003960C3" w:rsidRPr="007F2849" w:rsidRDefault="003960C3"/>
        </w:tc>
        <w:tc>
          <w:tcPr>
            <w:tcW w:w="7830" w:type="dxa"/>
            <w:gridSpan w:val="5"/>
            <w:shd w:val="clear" w:color="auto" w:fill="auto"/>
          </w:tcPr>
          <w:p w:rsidR="003960C3" w:rsidRPr="007F2849" w:rsidRDefault="00E275C6" w:rsidP="00E275C6">
            <w:pPr>
              <w:pStyle w:val="BlockText"/>
            </w:pPr>
            <w:r>
              <w:rPr>
                <w:sz w:val="20"/>
              </w:rPr>
              <w:t>This rulemaking has n</w:t>
            </w:r>
            <w:r w:rsidRPr="00E275C6">
              <w:rPr>
                <w:sz w:val="20"/>
              </w:rPr>
              <w:t xml:space="preserve">o </w:t>
            </w:r>
            <w:r>
              <w:rPr>
                <w:sz w:val="20"/>
              </w:rPr>
              <w:t xml:space="preserve">policy or political </w:t>
            </w:r>
            <w:r w:rsidRPr="00E275C6">
              <w:rPr>
                <w:sz w:val="20"/>
              </w:rPr>
              <w:t>issues.</w:t>
            </w:r>
            <w:r>
              <w:rPr>
                <w:sz w:val="20"/>
              </w:rPr>
              <w:t xml:space="preserve"> </w:t>
            </w:r>
          </w:p>
        </w:tc>
      </w:tr>
      <w:tr w:rsidR="00F94B68" w:rsidRPr="007F2849" w:rsidTr="00F34F60">
        <w:trPr>
          <w:cantSplit/>
        </w:trPr>
        <w:tc>
          <w:tcPr>
            <w:tcW w:w="1728" w:type="dxa"/>
            <w:shd w:val="clear" w:color="auto" w:fill="auto"/>
          </w:tcPr>
          <w:p w:rsidR="00F94B68" w:rsidRPr="004869EF" w:rsidRDefault="001E2CE4" w:rsidP="001E2CE4">
            <w:pPr>
              <w:rPr>
                <w:b/>
              </w:rPr>
            </w:pPr>
            <w:r>
              <w:rPr>
                <w:b/>
                <w:sz w:val="22"/>
                <w:szCs w:val="22"/>
              </w:rPr>
              <w:t xml:space="preserve">Potential </w:t>
            </w:r>
            <w:r w:rsidR="00F94B68" w:rsidRPr="004869EF">
              <w:rPr>
                <w:b/>
                <w:sz w:val="22"/>
                <w:szCs w:val="22"/>
              </w:rPr>
              <w:t>Impacts to MSD</w:t>
            </w:r>
            <w:r w:rsidR="00AC0647" w:rsidRPr="004869EF">
              <w:rPr>
                <w:b/>
                <w:sz w:val="22"/>
                <w:szCs w:val="22"/>
              </w:rPr>
              <w:t xml:space="preserve"> </w:t>
            </w:r>
          </w:p>
        </w:tc>
        <w:tc>
          <w:tcPr>
            <w:tcW w:w="7830" w:type="dxa"/>
            <w:gridSpan w:val="5"/>
            <w:shd w:val="clear" w:color="auto" w:fill="auto"/>
          </w:tcPr>
          <w:p w:rsidR="00030A30" w:rsidRDefault="00775E80" w:rsidP="00030A30">
            <w:pPr>
              <w:pStyle w:val="BlockText"/>
              <w:rPr>
                <w:i/>
                <w:sz w:val="20"/>
              </w:rPr>
            </w:pPr>
            <w:r>
              <w:rPr>
                <w:sz w:val="20"/>
              </w:rPr>
              <w:t>This proposed rulemaking requires no additional MSD resources and it does not change fees.</w:t>
            </w:r>
            <w:r w:rsidR="001E34FE">
              <w:rPr>
                <w:sz w:val="20"/>
              </w:rPr>
              <w:t xml:space="preserve"> </w:t>
            </w:r>
          </w:p>
          <w:p w:rsidR="00796073" w:rsidRPr="004869EF" w:rsidRDefault="00796073" w:rsidP="00030A30">
            <w:pPr>
              <w:pStyle w:val="BlockText"/>
              <w:rPr>
                <w:i/>
                <w:sz w:val="20"/>
              </w:rPr>
            </w:pPr>
          </w:p>
          <w:p w:rsidR="00F94B68" w:rsidRPr="004869EF" w:rsidRDefault="00F94B68" w:rsidP="00030A30">
            <w:pPr>
              <w:pStyle w:val="BlockText"/>
              <w:rPr>
                <w:sz w:val="20"/>
              </w:rPr>
            </w:pPr>
          </w:p>
        </w:tc>
      </w:tr>
      <w:tr w:rsidR="001E2CE4" w:rsidRPr="007F2849" w:rsidTr="00775E80">
        <w:trPr>
          <w:cantSplit/>
          <w:trHeight w:val="1583"/>
        </w:trPr>
        <w:tc>
          <w:tcPr>
            <w:tcW w:w="1728" w:type="dxa"/>
            <w:shd w:val="clear" w:color="auto" w:fill="auto"/>
          </w:tcPr>
          <w:p w:rsidR="001E2CE4" w:rsidRDefault="00C56EEF" w:rsidP="001E2CE4">
            <w:pPr>
              <w:rPr>
                <w:b/>
                <w:sz w:val="22"/>
                <w:szCs w:val="22"/>
              </w:rPr>
            </w:pPr>
            <w:r w:rsidRPr="00A62A7E">
              <w:rPr>
                <w:b/>
              </w:rPr>
              <w:t>Potential Impacts to OCE</w:t>
            </w:r>
          </w:p>
          <w:p w:rsidR="001E2CE4" w:rsidRDefault="001E2CE4" w:rsidP="001E2CE4">
            <w:pPr>
              <w:rPr>
                <w:b/>
                <w:sz w:val="22"/>
                <w:szCs w:val="22"/>
              </w:rPr>
            </w:pPr>
          </w:p>
          <w:p w:rsidR="001E2CE4" w:rsidRDefault="001E2CE4" w:rsidP="001E2CE4">
            <w:pPr>
              <w:rPr>
                <w:b/>
                <w:sz w:val="22"/>
                <w:szCs w:val="22"/>
              </w:rPr>
            </w:pPr>
          </w:p>
        </w:tc>
        <w:tc>
          <w:tcPr>
            <w:tcW w:w="7830" w:type="dxa"/>
            <w:gridSpan w:val="5"/>
            <w:shd w:val="clear" w:color="auto" w:fill="auto"/>
          </w:tcPr>
          <w:p w:rsidR="00C56EEF" w:rsidRPr="00585B5B" w:rsidRDefault="00C56EEF" w:rsidP="00C56EEF">
            <w:pPr>
              <w:pStyle w:val="BlockText"/>
              <w:rPr>
                <w:i/>
                <w:sz w:val="20"/>
              </w:rPr>
            </w:pPr>
            <w:r w:rsidRPr="00585B5B">
              <w:rPr>
                <w:b/>
                <w:sz w:val="20"/>
              </w:rPr>
              <w:t>Does this rulemaking develop new or expand existing compliance requirements?</w:t>
            </w:r>
            <w:r>
              <w:t xml:space="preserve">  </w:t>
            </w:r>
            <w:r w:rsidR="00775E80" w:rsidRPr="00775E80">
              <w:rPr>
                <w:sz w:val="20"/>
              </w:rPr>
              <w:t>No</w:t>
            </w:r>
          </w:p>
          <w:p w:rsidR="00C56EEF" w:rsidRDefault="00C56EEF" w:rsidP="00C56EEF">
            <w:pPr>
              <w:pStyle w:val="BlockText"/>
            </w:pPr>
          </w:p>
          <w:p w:rsidR="00C56EEF" w:rsidRPr="008C3A22" w:rsidRDefault="00C56EEF" w:rsidP="00C56EEF">
            <w:pPr>
              <w:pStyle w:val="BlockText"/>
              <w:rPr>
                <w:i/>
                <w:sz w:val="20"/>
              </w:rPr>
            </w:pPr>
            <w:r w:rsidRPr="00585B5B">
              <w:rPr>
                <w:b/>
                <w:sz w:val="20"/>
              </w:rPr>
              <w:t>Does this rulemaking subject previously unregulated persons to regulations?</w:t>
            </w:r>
            <w:r>
              <w:t xml:space="preserve"> </w:t>
            </w:r>
            <w:r w:rsidR="00775E80" w:rsidRPr="00775E80">
              <w:rPr>
                <w:sz w:val="20"/>
              </w:rPr>
              <w:t>No</w:t>
            </w:r>
          </w:p>
          <w:p w:rsidR="00C56EEF" w:rsidRDefault="00C56EEF" w:rsidP="00C56EEF">
            <w:pPr>
              <w:pStyle w:val="BlockText"/>
            </w:pPr>
          </w:p>
          <w:p w:rsidR="00C56EEF" w:rsidRPr="008C3A22" w:rsidRDefault="00C56EEF" w:rsidP="00C56EEF">
            <w:pPr>
              <w:pStyle w:val="BlockText"/>
              <w:rPr>
                <w:b/>
                <w:sz w:val="20"/>
              </w:rPr>
            </w:pPr>
            <w:r w:rsidRPr="008C3A22">
              <w:rPr>
                <w:b/>
                <w:sz w:val="20"/>
              </w:rPr>
              <w:t xml:space="preserve">Does this rulemaking develop a new or expand an existing permit/regulatory program?  </w:t>
            </w:r>
            <w:r w:rsidR="00775E80" w:rsidRPr="00775E80">
              <w:rPr>
                <w:sz w:val="20"/>
              </w:rPr>
              <w:t>No</w:t>
            </w:r>
          </w:p>
          <w:p w:rsidR="001E2CE4" w:rsidRPr="004869EF" w:rsidRDefault="001E2CE4" w:rsidP="00775E80">
            <w:pPr>
              <w:pStyle w:val="BlockText"/>
              <w:rPr>
                <w:i/>
                <w:sz w:val="20"/>
              </w:rPr>
            </w:pPr>
          </w:p>
        </w:tc>
      </w:tr>
      <w:tr w:rsidR="00F94B68" w:rsidRPr="007F2849" w:rsidTr="00F34F60">
        <w:trPr>
          <w:cantSplit/>
          <w:trHeight w:val="1313"/>
        </w:trPr>
        <w:tc>
          <w:tcPr>
            <w:tcW w:w="1728" w:type="dxa"/>
            <w:shd w:val="clear" w:color="auto" w:fill="auto"/>
          </w:tcPr>
          <w:p w:rsidR="00F94B68" w:rsidRPr="007F2849" w:rsidRDefault="00F94B68">
            <w:pPr>
              <w:pStyle w:val="Heading5"/>
            </w:pPr>
            <w:r w:rsidRPr="007F2849">
              <w:lastRenderedPageBreak/>
              <w:t>Implementation Issues</w:t>
            </w:r>
          </w:p>
          <w:p w:rsidR="00F94B68" w:rsidRPr="007F2849" w:rsidRDefault="00F94B68"/>
        </w:tc>
        <w:tc>
          <w:tcPr>
            <w:tcW w:w="7830" w:type="dxa"/>
            <w:gridSpan w:val="5"/>
            <w:shd w:val="clear" w:color="auto" w:fill="auto"/>
          </w:tcPr>
          <w:p w:rsidR="00775E80" w:rsidRDefault="00F94B68" w:rsidP="00C56EEF">
            <w:pPr>
              <w:pStyle w:val="BlockText"/>
              <w:rPr>
                <w:sz w:val="20"/>
              </w:rPr>
            </w:pPr>
            <w:r w:rsidRPr="00AE489A">
              <w:rPr>
                <w:b/>
                <w:sz w:val="20"/>
              </w:rPr>
              <w:t>Will we be able to implement the rules?  Can we effectively enforce the rules?  If not, have we considered another approach to compliance?</w:t>
            </w:r>
            <w:r w:rsidRPr="00AE489A">
              <w:rPr>
                <w:b/>
                <w:i/>
                <w:sz w:val="20"/>
              </w:rPr>
              <w:t xml:space="preserve">  </w:t>
            </w:r>
            <w:r w:rsidRPr="00AE489A">
              <w:rPr>
                <w:b/>
                <w:sz w:val="20"/>
              </w:rPr>
              <w:t xml:space="preserve">If </w:t>
            </w:r>
            <w:r w:rsidR="00F823A9" w:rsidRPr="00AE489A">
              <w:rPr>
                <w:b/>
                <w:sz w:val="20"/>
              </w:rPr>
              <w:t>new resources will not accompany the rules</w:t>
            </w:r>
            <w:r w:rsidRPr="00AE489A">
              <w:rPr>
                <w:b/>
                <w:sz w:val="20"/>
              </w:rPr>
              <w:t xml:space="preserve">, what other work will not </w:t>
            </w:r>
            <w:r w:rsidR="00F823A9" w:rsidRPr="00AE489A">
              <w:rPr>
                <w:b/>
                <w:sz w:val="20"/>
              </w:rPr>
              <w:t>be</w:t>
            </w:r>
            <w:r w:rsidRPr="00AE489A">
              <w:rPr>
                <w:b/>
                <w:sz w:val="20"/>
              </w:rPr>
              <w:t xml:space="preserve"> done?  Are we prepared to drop that work?  </w:t>
            </w:r>
            <w:r w:rsidR="00775E80">
              <w:rPr>
                <w:sz w:val="20"/>
              </w:rPr>
              <w:t>This rulemaking has n</w:t>
            </w:r>
            <w:r w:rsidR="00775E80" w:rsidRPr="00775E80">
              <w:rPr>
                <w:sz w:val="20"/>
              </w:rPr>
              <w:t>o implementation</w:t>
            </w:r>
            <w:r w:rsidR="00775E80">
              <w:rPr>
                <w:sz w:val="20"/>
              </w:rPr>
              <w:t>, enforcement or resource issues.</w:t>
            </w:r>
          </w:p>
          <w:p w:rsidR="00775E80" w:rsidRDefault="00775E80" w:rsidP="00C56EEF">
            <w:pPr>
              <w:pStyle w:val="BlockText"/>
              <w:rPr>
                <w:sz w:val="20"/>
              </w:rPr>
            </w:pPr>
          </w:p>
          <w:p w:rsidR="00775E80" w:rsidRPr="00775E80" w:rsidRDefault="00C56EEF" w:rsidP="00C56EEF">
            <w:pPr>
              <w:pStyle w:val="BlockText"/>
              <w:rPr>
                <w:sz w:val="20"/>
              </w:rPr>
            </w:pPr>
            <w:r w:rsidRPr="00AE489A">
              <w:rPr>
                <w:b/>
                <w:sz w:val="20"/>
              </w:rPr>
              <w:t>Have we communicated internally and externally with stakeholders?</w:t>
            </w:r>
            <w:r w:rsidRPr="00AE489A">
              <w:rPr>
                <w:b/>
                <w:i/>
                <w:sz w:val="20"/>
              </w:rPr>
              <w:t xml:space="preserve">  </w:t>
            </w:r>
            <w:r w:rsidRPr="00AE489A">
              <w:rPr>
                <w:b/>
                <w:sz w:val="20"/>
              </w:rPr>
              <w:t>Is there an internal and external communication strategy to ensure that both DEQ staff and the regulated community are prepared for the effects of the rules?  Is this strategy for both rulemaking and rule implementation?</w:t>
            </w:r>
            <w:r w:rsidR="00CD72FB">
              <w:rPr>
                <w:b/>
                <w:sz w:val="20"/>
              </w:rPr>
              <w:t xml:space="preserve"> </w:t>
            </w:r>
            <w:r w:rsidR="00775E80">
              <w:rPr>
                <w:sz w:val="20"/>
              </w:rPr>
              <w:t xml:space="preserve">The program has not communicated with certificate holders about this </w:t>
            </w:r>
            <w:r w:rsidR="00CD72FB">
              <w:rPr>
                <w:sz w:val="20"/>
              </w:rPr>
              <w:t xml:space="preserve">housekeeping </w:t>
            </w:r>
            <w:r w:rsidR="00775E80">
              <w:rPr>
                <w:sz w:val="20"/>
              </w:rPr>
              <w:t xml:space="preserve">proposal. The rulemaking will go through public comment. </w:t>
            </w:r>
          </w:p>
          <w:p w:rsidR="00C56EEF" w:rsidRPr="007F2849" w:rsidRDefault="00C56EEF" w:rsidP="006E26DB">
            <w:pPr>
              <w:pStyle w:val="BlockText"/>
            </w:pPr>
          </w:p>
        </w:tc>
      </w:tr>
      <w:tr w:rsidR="00F94B68" w:rsidRPr="007F2849" w:rsidTr="00F34F60">
        <w:trPr>
          <w:cantSplit/>
        </w:trPr>
        <w:tc>
          <w:tcPr>
            <w:tcW w:w="1728" w:type="dxa"/>
            <w:shd w:val="clear" w:color="auto" w:fill="auto"/>
          </w:tcPr>
          <w:p w:rsidR="00F94B68" w:rsidRPr="006A54A6" w:rsidRDefault="00F94B68" w:rsidP="00F9764E">
            <w:pPr>
              <w:pStyle w:val="Heading5"/>
            </w:pPr>
            <w:r w:rsidRPr="006A54A6">
              <w:t>5 year Review</w:t>
            </w:r>
          </w:p>
          <w:p w:rsidR="00F94B68" w:rsidRPr="007F2849" w:rsidRDefault="00F94B68" w:rsidP="00F9764E"/>
        </w:tc>
        <w:tc>
          <w:tcPr>
            <w:tcW w:w="7830" w:type="dxa"/>
            <w:gridSpan w:val="5"/>
            <w:shd w:val="clear" w:color="auto" w:fill="auto"/>
          </w:tcPr>
          <w:p w:rsidR="00F94B68" w:rsidRDefault="00775E80" w:rsidP="00775E80">
            <w:pPr>
              <w:pStyle w:val="BlockText"/>
              <w:rPr>
                <w:i/>
                <w:sz w:val="20"/>
              </w:rPr>
            </w:pPr>
            <w:r>
              <w:rPr>
                <w:sz w:val="20"/>
              </w:rPr>
              <w:t>This rulemaking will not require a five-year review under ORS 183.405.</w:t>
            </w:r>
          </w:p>
          <w:p w:rsidR="00F94B68" w:rsidRDefault="00F94B68" w:rsidP="00986A5B">
            <w:pPr>
              <w:pStyle w:val="BlockText"/>
              <w:rPr>
                <w:i/>
                <w:sz w:val="20"/>
              </w:rPr>
            </w:pPr>
          </w:p>
          <w:p w:rsidR="00F94B68" w:rsidRPr="007F2849" w:rsidRDefault="00F94B68" w:rsidP="00F9764E">
            <w:pPr>
              <w:pStyle w:val="BlockText"/>
            </w:pPr>
          </w:p>
        </w:tc>
      </w:tr>
      <w:tr w:rsidR="00F94B68" w:rsidRPr="007F2849" w:rsidTr="00F34F60">
        <w:trPr>
          <w:cantSplit/>
        </w:trPr>
        <w:tc>
          <w:tcPr>
            <w:tcW w:w="1728" w:type="dxa"/>
            <w:shd w:val="clear" w:color="auto" w:fill="auto"/>
          </w:tcPr>
          <w:p w:rsidR="00F94B68" w:rsidRPr="007F2849" w:rsidRDefault="00F94B68">
            <w:pPr>
              <w:pStyle w:val="Heading5"/>
            </w:pPr>
            <w:r w:rsidRPr="007F2849">
              <w:t>Stakeholders</w:t>
            </w:r>
          </w:p>
          <w:p w:rsidR="00F94B68" w:rsidRPr="007F2849" w:rsidRDefault="00F94B68"/>
        </w:tc>
        <w:tc>
          <w:tcPr>
            <w:tcW w:w="7830" w:type="dxa"/>
            <w:gridSpan w:val="5"/>
            <w:shd w:val="clear" w:color="auto" w:fill="auto"/>
          </w:tcPr>
          <w:p w:rsidR="00F94B68" w:rsidRPr="002D2AF4" w:rsidRDefault="00775E80">
            <w:pPr>
              <w:pStyle w:val="BlockText"/>
              <w:rPr>
                <w:sz w:val="20"/>
              </w:rPr>
            </w:pPr>
            <w:r w:rsidRPr="002D2AF4">
              <w:rPr>
                <w:sz w:val="20"/>
              </w:rPr>
              <w:t>Stakeholders are taxpayers with effective Pollution Control Facilities Tax Credit Certificates</w:t>
            </w:r>
            <w:r w:rsidR="002D2AF4" w:rsidRPr="002D2AF4">
              <w:rPr>
                <w:sz w:val="20"/>
              </w:rPr>
              <w:t xml:space="preserve">. </w:t>
            </w:r>
          </w:p>
          <w:p w:rsidR="00F94B68" w:rsidRDefault="002D2AF4" w:rsidP="002D2AF4">
            <w:pPr>
              <w:pStyle w:val="BlockText"/>
              <w:rPr>
                <w:sz w:val="20"/>
              </w:rPr>
            </w:pPr>
            <w:r>
              <w:rPr>
                <w:sz w:val="20"/>
              </w:rPr>
              <w:t>The authority that administers certificates is transparent to the stakeholder; therefore, the program has not consulted with the certificate holders.</w:t>
            </w:r>
            <w:r w:rsidR="001E34FE">
              <w:rPr>
                <w:sz w:val="20"/>
              </w:rPr>
              <w:t xml:space="preserve"> However, certificate actions will take less time to process.</w:t>
            </w:r>
          </w:p>
          <w:p w:rsidR="002D2AF4" w:rsidRPr="007F2849" w:rsidRDefault="002D2AF4" w:rsidP="002D2AF4">
            <w:pPr>
              <w:pStyle w:val="BlockText"/>
            </w:pPr>
          </w:p>
        </w:tc>
      </w:tr>
      <w:tr w:rsidR="00F94B68" w:rsidRPr="007F2849" w:rsidTr="00F34F60">
        <w:trPr>
          <w:cantSplit/>
        </w:trPr>
        <w:tc>
          <w:tcPr>
            <w:tcW w:w="1728" w:type="dxa"/>
            <w:shd w:val="clear" w:color="auto" w:fill="auto"/>
          </w:tcPr>
          <w:p w:rsidR="00F94B68" w:rsidRDefault="00F94B68">
            <w:pPr>
              <w:pStyle w:val="Heading5"/>
            </w:pPr>
          </w:p>
          <w:p w:rsidR="00F94B68" w:rsidRPr="007F2849" w:rsidRDefault="00F94B68">
            <w:pPr>
              <w:pStyle w:val="Heading5"/>
            </w:pPr>
            <w:r w:rsidRPr="007F2849">
              <w:t>Effects on Small Business, Individuals</w:t>
            </w:r>
          </w:p>
        </w:tc>
        <w:tc>
          <w:tcPr>
            <w:tcW w:w="7830" w:type="dxa"/>
            <w:gridSpan w:val="5"/>
            <w:shd w:val="clear" w:color="auto" w:fill="auto"/>
          </w:tcPr>
          <w:p w:rsidR="00F94B68" w:rsidRDefault="00F94B68" w:rsidP="007F2849">
            <w:pPr>
              <w:pStyle w:val="BlockText"/>
              <w:rPr>
                <w:b/>
                <w:sz w:val="20"/>
              </w:rPr>
            </w:pPr>
          </w:p>
          <w:p w:rsidR="00F94B68" w:rsidRPr="00AE489A" w:rsidRDefault="00F94B68" w:rsidP="007F2849">
            <w:pPr>
              <w:pStyle w:val="BlockText"/>
              <w:rPr>
                <w:b/>
                <w:i/>
                <w:sz w:val="20"/>
              </w:rPr>
            </w:pPr>
            <w:r w:rsidRPr="00AE489A">
              <w:rPr>
                <w:b/>
                <w:sz w:val="20"/>
              </w:rPr>
              <w:t xml:space="preserve">Do the rules affect individuals, small businesses or small communities?  If so, what alternatives have been or will be explored to minimize costs, including different requirements for these entities?  Have we evaluated the cumulative effect of DEQ requirements and considered existing requirements that could be repealed or modified as these new requirements are adopted? </w:t>
            </w:r>
            <w:r w:rsidR="002D2AF4" w:rsidRPr="002D2AF4">
              <w:rPr>
                <w:sz w:val="20"/>
              </w:rPr>
              <w:t>No change</w:t>
            </w:r>
          </w:p>
          <w:p w:rsidR="00F94B68" w:rsidRPr="007F2849" w:rsidRDefault="00F94B68">
            <w:pPr>
              <w:pStyle w:val="BlockText"/>
            </w:pPr>
          </w:p>
          <w:p w:rsidR="00F94B68" w:rsidRPr="007F2849" w:rsidRDefault="00F94B68">
            <w:pPr>
              <w:pStyle w:val="BlockText"/>
            </w:pPr>
          </w:p>
        </w:tc>
      </w:tr>
      <w:tr w:rsidR="00F94B68" w:rsidRPr="007F2849" w:rsidTr="00F34F60">
        <w:trPr>
          <w:cantSplit/>
          <w:trHeight w:val="510"/>
        </w:trPr>
        <w:tc>
          <w:tcPr>
            <w:tcW w:w="9558" w:type="dxa"/>
            <w:gridSpan w:val="6"/>
            <w:shd w:val="clear" w:color="auto" w:fill="auto"/>
          </w:tcPr>
          <w:p w:rsidR="00F94B68" w:rsidRPr="007F2849" w:rsidRDefault="00F94B68">
            <w:pPr>
              <w:pStyle w:val="MapTitleContinued"/>
            </w:pPr>
            <w:r w:rsidRPr="007F2849">
              <w:t>Rulemaking Process</w:t>
            </w:r>
          </w:p>
        </w:tc>
      </w:tr>
      <w:tr w:rsidR="00F94B68" w:rsidRPr="007F2849" w:rsidTr="00F34F60">
        <w:trPr>
          <w:cantSplit/>
        </w:trPr>
        <w:tc>
          <w:tcPr>
            <w:tcW w:w="1728" w:type="dxa"/>
            <w:shd w:val="clear" w:color="auto" w:fill="auto"/>
          </w:tcPr>
          <w:p w:rsidR="00F94B68" w:rsidRPr="007F2849" w:rsidRDefault="00F94B68">
            <w:pPr>
              <w:pStyle w:val="Heading5"/>
            </w:pPr>
            <w:r w:rsidRPr="007F2849">
              <w:t xml:space="preserve">Rulemaking Team </w:t>
            </w:r>
          </w:p>
        </w:tc>
        <w:tc>
          <w:tcPr>
            <w:tcW w:w="7830" w:type="dxa"/>
            <w:gridSpan w:val="5"/>
            <w:shd w:val="clear" w:color="auto" w:fill="auto"/>
          </w:tcPr>
          <w:p w:rsidR="00F94B68" w:rsidRPr="007F2849" w:rsidRDefault="00F94B68">
            <w:pPr>
              <w:pStyle w:val="BlockText"/>
              <w:rPr>
                <w:i/>
              </w:rPr>
            </w:pPr>
            <w:r w:rsidRPr="007F2849">
              <w:rPr>
                <w:i/>
                <w:sz w:val="20"/>
              </w:rPr>
              <w:t xml:space="preserve">Identify persons who will be involved in the rulemaking team.  Others may be added through </w:t>
            </w:r>
            <w:r>
              <w:rPr>
                <w:i/>
                <w:sz w:val="20"/>
              </w:rPr>
              <w:t xml:space="preserve">the </w:t>
            </w:r>
            <w:r w:rsidR="00506AAE">
              <w:rPr>
                <w:i/>
                <w:sz w:val="20"/>
              </w:rPr>
              <w:t>EMT</w:t>
            </w:r>
            <w:r w:rsidRPr="007F2849">
              <w:rPr>
                <w:i/>
                <w:sz w:val="20"/>
              </w:rPr>
              <w:t xml:space="preserve"> opt in/out process.  Estimate hours or FTE and time period for each.  At a minimum, identify the sponsoring DA, lead manager, and </w:t>
            </w:r>
            <w:r w:rsidR="00796073">
              <w:rPr>
                <w:i/>
                <w:sz w:val="20"/>
              </w:rPr>
              <w:t>rule writer</w:t>
            </w:r>
            <w:r w:rsidRPr="007F2849">
              <w:rPr>
                <w:i/>
              </w:rPr>
              <w:t>.</w:t>
            </w:r>
          </w:p>
          <w:p w:rsidR="00F94B68" w:rsidRPr="007F2849" w:rsidRDefault="00F94B68">
            <w:pPr>
              <w:pStyle w:val="Block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HeaderText"/>
            </w:pPr>
            <w:r w:rsidRPr="007F2849">
              <w:t xml:space="preserve">Rulemaking Team </w:t>
            </w:r>
          </w:p>
        </w:tc>
        <w:tc>
          <w:tcPr>
            <w:tcW w:w="2070" w:type="dxa"/>
            <w:shd w:val="clear" w:color="auto" w:fill="auto"/>
          </w:tcPr>
          <w:p w:rsidR="00F94B68" w:rsidRPr="007F2849" w:rsidRDefault="00F94B68">
            <w:pPr>
              <w:pStyle w:val="TableHeaderText"/>
            </w:pPr>
            <w:r w:rsidRPr="007F2849">
              <w:t>Member Name</w:t>
            </w:r>
          </w:p>
        </w:tc>
        <w:tc>
          <w:tcPr>
            <w:tcW w:w="1620" w:type="dxa"/>
            <w:gridSpan w:val="2"/>
            <w:shd w:val="clear" w:color="auto" w:fill="auto"/>
          </w:tcPr>
          <w:p w:rsidR="00F94B68" w:rsidRPr="007F2849" w:rsidRDefault="00F94B68">
            <w:pPr>
              <w:pStyle w:val="TableHeaderText"/>
            </w:pPr>
            <w:r w:rsidRPr="007F2849">
              <w:t>Time estimate</w:t>
            </w:r>
          </w:p>
        </w:tc>
        <w:tc>
          <w:tcPr>
            <w:tcW w:w="1710" w:type="dxa"/>
            <w:shd w:val="clear" w:color="auto" w:fill="auto"/>
          </w:tcPr>
          <w:p w:rsidR="00F94B68" w:rsidRPr="007F2849" w:rsidRDefault="00F94B68">
            <w:pPr>
              <w:pStyle w:val="TableHeaderText"/>
            </w:pPr>
            <w:r w:rsidRPr="007F2849">
              <w:t>Duration</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Sponsoring DA</w:t>
            </w:r>
          </w:p>
        </w:tc>
        <w:tc>
          <w:tcPr>
            <w:tcW w:w="2070" w:type="dxa"/>
            <w:shd w:val="clear" w:color="auto" w:fill="auto"/>
          </w:tcPr>
          <w:p w:rsidR="00F94B68" w:rsidRPr="007F2849" w:rsidRDefault="002D2AF4">
            <w:pPr>
              <w:pStyle w:val="TableText"/>
            </w:pPr>
            <w:r>
              <w:t>Kerri Nelson</w:t>
            </w:r>
          </w:p>
        </w:tc>
        <w:tc>
          <w:tcPr>
            <w:tcW w:w="1620" w:type="dxa"/>
            <w:gridSpan w:val="2"/>
            <w:shd w:val="clear" w:color="auto" w:fill="auto"/>
          </w:tcPr>
          <w:p w:rsidR="00F94B68" w:rsidRPr="007F2849" w:rsidRDefault="002D2AF4">
            <w:pPr>
              <w:pStyle w:val="TableText"/>
            </w:pPr>
            <w:r>
              <w:t>½ hr</w:t>
            </w:r>
          </w:p>
        </w:tc>
        <w:tc>
          <w:tcPr>
            <w:tcW w:w="1710" w:type="dxa"/>
            <w:shd w:val="clear" w:color="auto" w:fill="auto"/>
          </w:tcPr>
          <w:p w:rsidR="00F94B68" w:rsidRPr="007F2849" w:rsidRDefault="002D2AF4">
            <w:pPr>
              <w:pStyle w:val="TableText"/>
            </w:pPr>
            <w:r>
              <w:t>Dec. 2010</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Lead Manager</w:t>
            </w:r>
          </w:p>
        </w:tc>
        <w:tc>
          <w:tcPr>
            <w:tcW w:w="2070" w:type="dxa"/>
            <w:shd w:val="clear" w:color="auto" w:fill="auto"/>
          </w:tcPr>
          <w:p w:rsidR="00F94B68" w:rsidRPr="007F2849" w:rsidRDefault="002D2AF4">
            <w:pPr>
              <w:pStyle w:val="TableText"/>
            </w:pPr>
            <w:r>
              <w:t>Greg Aldrich</w:t>
            </w:r>
          </w:p>
        </w:tc>
        <w:tc>
          <w:tcPr>
            <w:tcW w:w="1620" w:type="dxa"/>
            <w:gridSpan w:val="2"/>
            <w:shd w:val="clear" w:color="auto" w:fill="auto"/>
          </w:tcPr>
          <w:p w:rsidR="00F94B68" w:rsidRPr="007F2849" w:rsidRDefault="002D2AF4">
            <w:pPr>
              <w:pStyle w:val="TableText"/>
            </w:pPr>
            <w:r>
              <w:t>1 hour</w:t>
            </w:r>
          </w:p>
        </w:tc>
        <w:tc>
          <w:tcPr>
            <w:tcW w:w="1710" w:type="dxa"/>
            <w:shd w:val="clear" w:color="auto" w:fill="auto"/>
          </w:tcPr>
          <w:p w:rsidR="00F94B68" w:rsidRPr="007F2849" w:rsidRDefault="002D2AF4">
            <w:pPr>
              <w:pStyle w:val="TableText"/>
            </w:pPr>
            <w:r>
              <w:t>Dec. 2010</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796073">
            <w:pPr>
              <w:pStyle w:val="TableText"/>
              <w:rPr>
                <w:sz w:val="22"/>
              </w:rPr>
            </w:pPr>
            <w:r>
              <w:rPr>
                <w:sz w:val="22"/>
              </w:rPr>
              <w:t>Rule writer</w:t>
            </w:r>
          </w:p>
        </w:tc>
        <w:tc>
          <w:tcPr>
            <w:tcW w:w="2070" w:type="dxa"/>
            <w:shd w:val="clear" w:color="auto" w:fill="auto"/>
          </w:tcPr>
          <w:p w:rsidR="00F94B68" w:rsidRPr="007F2849" w:rsidRDefault="002D2AF4">
            <w:pPr>
              <w:pStyle w:val="TableText"/>
            </w:pPr>
            <w:r>
              <w:t>Maggie Vandehey</w:t>
            </w:r>
          </w:p>
        </w:tc>
        <w:tc>
          <w:tcPr>
            <w:tcW w:w="1620" w:type="dxa"/>
            <w:gridSpan w:val="2"/>
            <w:shd w:val="clear" w:color="auto" w:fill="auto"/>
          </w:tcPr>
          <w:p w:rsidR="00F94B68" w:rsidRPr="007F2849" w:rsidRDefault="002D2AF4">
            <w:pPr>
              <w:pStyle w:val="TableText"/>
            </w:pPr>
            <w:r>
              <w:t>12 hours</w:t>
            </w:r>
          </w:p>
        </w:tc>
        <w:tc>
          <w:tcPr>
            <w:tcW w:w="1710" w:type="dxa"/>
            <w:shd w:val="clear" w:color="auto" w:fill="auto"/>
          </w:tcPr>
          <w:p w:rsidR="00F94B68" w:rsidRPr="007F2849" w:rsidRDefault="002D2AF4" w:rsidP="002D2AF4">
            <w:pPr>
              <w:pStyle w:val="TableText"/>
            </w:pPr>
            <w:r>
              <w:t>Dec. 2010</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Regional Manager</w:t>
            </w:r>
          </w:p>
        </w:tc>
        <w:tc>
          <w:tcPr>
            <w:tcW w:w="2070" w:type="dxa"/>
            <w:shd w:val="clear" w:color="auto" w:fill="auto"/>
          </w:tcPr>
          <w:p w:rsidR="00F94B68" w:rsidRPr="007F2849" w:rsidRDefault="002D2AF4">
            <w:pPr>
              <w:pStyle w:val="TableText"/>
            </w:pPr>
            <w:r>
              <w:t>None</w:t>
            </w: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Regional staff</w:t>
            </w:r>
          </w:p>
        </w:tc>
        <w:tc>
          <w:tcPr>
            <w:tcW w:w="2070" w:type="dxa"/>
            <w:shd w:val="clear" w:color="auto" w:fill="auto"/>
          </w:tcPr>
          <w:p w:rsidR="00F94B68" w:rsidRPr="007F2849" w:rsidRDefault="002D2AF4">
            <w:pPr>
              <w:pStyle w:val="TableText"/>
            </w:pPr>
            <w:r>
              <w:t>None</w:t>
            </w: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Other programs/divisions</w:t>
            </w:r>
          </w:p>
        </w:tc>
        <w:tc>
          <w:tcPr>
            <w:tcW w:w="2070" w:type="dxa"/>
            <w:shd w:val="clear" w:color="auto" w:fill="auto"/>
          </w:tcPr>
          <w:p w:rsidR="00F94B68" w:rsidRPr="007F2849" w:rsidRDefault="002D2AF4">
            <w:pPr>
              <w:pStyle w:val="TableText"/>
            </w:pPr>
            <w:r>
              <w:t>None</w:t>
            </w: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Other agencies</w:t>
            </w:r>
          </w:p>
        </w:tc>
        <w:tc>
          <w:tcPr>
            <w:tcW w:w="2070" w:type="dxa"/>
            <w:shd w:val="clear" w:color="auto" w:fill="auto"/>
          </w:tcPr>
          <w:p w:rsidR="00F94B68" w:rsidRPr="007F2849" w:rsidRDefault="002D2AF4">
            <w:pPr>
              <w:pStyle w:val="TableText"/>
            </w:pPr>
            <w:r>
              <w:t>Dept. of Revenue</w:t>
            </w:r>
          </w:p>
        </w:tc>
        <w:tc>
          <w:tcPr>
            <w:tcW w:w="1620" w:type="dxa"/>
            <w:gridSpan w:val="2"/>
            <w:shd w:val="clear" w:color="auto" w:fill="auto"/>
          </w:tcPr>
          <w:p w:rsidR="00F94B68" w:rsidRPr="007F2849" w:rsidRDefault="002D2AF4">
            <w:pPr>
              <w:pStyle w:val="TableText"/>
            </w:pPr>
            <w:r>
              <w:t>1 hour</w:t>
            </w:r>
          </w:p>
        </w:tc>
        <w:tc>
          <w:tcPr>
            <w:tcW w:w="1710" w:type="dxa"/>
            <w:shd w:val="clear" w:color="auto" w:fill="auto"/>
          </w:tcPr>
          <w:p w:rsidR="00F94B68" w:rsidRPr="007F2849" w:rsidRDefault="00506AAE">
            <w:pPr>
              <w:pStyle w:val="TableText"/>
            </w:pPr>
            <w:r>
              <w:t>Dec. 2010</w:t>
            </w:r>
          </w:p>
        </w:tc>
      </w:tr>
      <w:tr w:rsidR="00F94B68" w:rsidRPr="007F2849" w:rsidTr="00F34F60">
        <w:trPr>
          <w:cantSplit/>
        </w:trPr>
        <w:tc>
          <w:tcPr>
            <w:tcW w:w="1728" w:type="dxa"/>
            <w:shd w:val="clear" w:color="auto" w:fill="auto"/>
          </w:tcPr>
          <w:p w:rsidR="00F94B68" w:rsidRPr="007F2849" w:rsidRDefault="00F94B68">
            <w:pPr>
              <w:pStyle w:val="Heading5"/>
            </w:pPr>
          </w:p>
          <w:p w:rsidR="00F94B68" w:rsidRPr="007F2849" w:rsidRDefault="00F94B68">
            <w:pPr>
              <w:pStyle w:val="Heading5"/>
            </w:pPr>
            <w:r w:rsidRPr="007F2849">
              <w:t>Advisory Process</w:t>
            </w:r>
          </w:p>
        </w:tc>
        <w:tc>
          <w:tcPr>
            <w:tcW w:w="7830" w:type="dxa"/>
            <w:gridSpan w:val="5"/>
            <w:shd w:val="clear" w:color="auto" w:fill="auto"/>
          </w:tcPr>
          <w:p w:rsidR="00F94B68" w:rsidRPr="007F2849" w:rsidRDefault="00F94B68">
            <w:pPr>
              <w:pStyle w:val="BlockText"/>
            </w:pPr>
          </w:p>
          <w:p w:rsidR="00F94B68" w:rsidRPr="002D2AF4" w:rsidRDefault="002D2AF4" w:rsidP="002D2AF4">
            <w:pPr>
              <w:pStyle w:val="BlockText"/>
              <w:rPr>
                <w:sz w:val="20"/>
              </w:rPr>
            </w:pPr>
            <w:r w:rsidRPr="002D2AF4">
              <w:rPr>
                <w:sz w:val="20"/>
              </w:rPr>
              <w:t>This minor rulemaking requires no public advisory process. The program already obtained legal advice about sub-delegation of EQC authority</w:t>
            </w:r>
            <w:r>
              <w:rPr>
                <w:sz w:val="20"/>
              </w:rPr>
              <w:t xml:space="preserve"> and proposed language</w:t>
            </w:r>
            <w:r w:rsidRPr="002D2AF4">
              <w:rPr>
                <w:sz w:val="20"/>
              </w:rPr>
              <w:t>.</w:t>
            </w:r>
          </w:p>
          <w:p w:rsidR="002D2AF4" w:rsidRPr="007F2849" w:rsidRDefault="002D2AF4" w:rsidP="002D2AF4">
            <w:pPr>
              <w:pStyle w:val="BlockText"/>
            </w:pPr>
          </w:p>
        </w:tc>
      </w:tr>
      <w:tr w:rsidR="00F94B68" w:rsidRPr="007F2849" w:rsidTr="00F34F60">
        <w:trPr>
          <w:cantSplit/>
        </w:trPr>
        <w:tc>
          <w:tcPr>
            <w:tcW w:w="1728" w:type="dxa"/>
            <w:shd w:val="clear" w:color="auto" w:fill="auto"/>
          </w:tcPr>
          <w:p w:rsidR="00F94B68" w:rsidRPr="007F2849" w:rsidRDefault="00F94B68">
            <w:pPr>
              <w:pStyle w:val="Heading5"/>
            </w:pPr>
            <w:r w:rsidRPr="007F2849">
              <w:t>Public Involvement</w:t>
            </w:r>
          </w:p>
        </w:tc>
        <w:tc>
          <w:tcPr>
            <w:tcW w:w="7830" w:type="dxa"/>
            <w:gridSpan w:val="5"/>
            <w:shd w:val="clear" w:color="auto" w:fill="auto"/>
          </w:tcPr>
          <w:p w:rsidR="00F94B68" w:rsidRPr="00302ADD" w:rsidRDefault="00302ADD">
            <w:pPr>
              <w:pStyle w:val="BlockText"/>
              <w:rPr>
                <w:sz w:val="20"/>
              </w:rPr>
            </w:pPr>
            <w:r w:rsidRPr="00302ADD">
              <w:rPr>
                <w:sz w:val="20"/>
              </w:rPr>
              <w:t>This rulemaking will</w:t>
            </w:r>
            <w:r>
              <w:rPr>
                <w:sz w:val="20"/>
              </w:rPr>
              <w:t xml:space="preserve"> </w:t>
            </w:r>
            <w:r w:rsidRPr="00302ADD">
              <w:rPr>
                <w:sz w:val="20"/>
              </w:rPr>
              <w:t xml:space="preserve">go through the </w:t>
            </w:r>
            <w:r w:rsidR="00F94B68" w:rsidRPr="00302ADD">
              <w:rPr>
                <w:sz w:val="20"/>
              </w:rPr>
              <w:t>p</w:t>
            </w:r>
            <w:r w:rsidRPr="00302ADD">
              <w:rPr>
                <w:sz w:val="20"/>
              </w:rPr>
              <w:t xml:space="preserve">ublic notice and comment process. </w:t>
            </w:r>
            <w:r>
              <w:rPr>
                <w:sz w:val="20"/>
              </w:rPr>
              <w:t>It</w:t>
            </w:r>
            <w:r w:rsidRPr="00302ADD">
              <w:rPr>
                <w:sz w:val="20"/>
              </w:rPr>
              <w:t xml:space="preserve"> requires no additional </w:t>
            </w:r>
            <w:r w:rsidR="00F94B68" w:rsidRPr="00302ADD">
              <w:rPr>
                <w:sz w:val="20"/>
              </w:rPr>
              <w:t>education</w:t>
            </w:r>
            <w:r w:rsidRPr="00302ADD">
              <w:rPr>
                <w:sz w:val="20"/>
              </w:rPr>
              <w:t xml:space="preserve"> or </w:t>
            </w:r>
            <w:r w:rsidR="00F94B68" w:rsidRPr="00302ADD">
              <w:rPr>
                <w:sz w:val="20"/>
              </w:rPr>
              <w:t>outreach.</w:t>
            </w:r>
          </w:p>
          <w:p w:rsidR="00F94B68" w:rsidRPr="007F2849" w:rsidRDefault="00F94B68">
            <w:pPr>
              <w:pStyle w:val="BlockText"/>
            </w:pPr>
          </w:p>
        </w:tc>
      </w:tr>
      <w:tr w:rsidR="00F94B68" w:rsidRPr="007F2849" w:rsidTr="00F34F60">
        <w:trPr>
          <w:cantSplit/>
        </w:trPr>
        <w:tc>
          <w:tcPr>
            <w:tcW w:w="1728" w:type="dxa"/>
            <w:shd w:val="clear" w:color="auto" w:fill="auto"/>
          </w:tcPr>
          <w:p w:rsidR="00F94B68" w:rsidRPr="007F2849" w:rsidRDefault="00F94B68">
            <w:pPr>
              <w:pStyle w:val="Heading5"/>
            </w:pPr>
            <w:r w:rsidRPr="007F2849">
              <w:t>EQC Involvement</w:t>
            </w:r>
          </w:p>
        </w:tc>
        <w:tc>
          <w:tcPr>
            <w:tcW w:w="7830" w:type="dxa"/>
            <w:gridSpan w:val="5"/>
            <w:shd w:val="clear" w:color="auto" w:fill="auto"/>
          </w:tcPr>
          <w:p w:rsidR="00F94B68" w:rsidRPr="00302ADD" w:rsidRDefault="00302ADD">
            <w:pPr>
              <w:pStyle w:val="BlockText"/>
              <w:rPr>
                <w:sz w:val="20"/>
              </w:rPr>
            </w:pPr>
            <w:r>
              <w:rPr>
                <w:sz w:val="20"/>
              </w:rPr>
              <w:t>The EQC indicated no additional involvement prior to the adoption meeting.</w:t>
            </w:r>
          </w:p>
          <w:p w:rsidR="00F94B68" w:rsidRPr="007F2849" w:rsidRDefault="00F94B68">
            <w:pPr>
              <w:pStyle w:val="BlockText"/>
            </w:pPr>
          </w:p>
        </w:tc>
      </w:tr>
      <w:tr w:rsidR="00F94B68" w:rsidRPr="007F2849" w:rsidTr="00F34F60">
        <w:trPr>
          <w:cantSplit/>
        </w:trPr>
        <w:tc>
          <w:tcPr>
            <w:tcW w:w="1728" w:type="dxa"/>
            <w:shd w:val="clear" w:color="auto" w:fill="auto"/>
          </w:tcPr>
          <w:p w:rsidR="00F94B68" w:rsidRPr="007F2849" w:rsidRDefault="00F94B68">
            <w:pPr>
              <w:rPr>
                <w:b/>
              </w:rPr>
            </w:pPr>
            <w:r w:rsidRPr="007F2849">
              <w:rPr>
                <w:b/>
              </w:rPr>
              <w:t>Rulemaking Target Dates</w:t>
            </w:r>
          </w:p>
        </w:tc>
        <w:tc>
          <w:tcPr>
            <w:tcW w:w="7830" w:type="dxa"/>
            <w:gridSpan w:val="5"/>
            <w:shd w:val="clear" w:color="auto" w:fill="auto"/>
          </w:tcPr>
          <w:p w:rsidR="00F94B68" w:rsidRPr="007F2849" w:rsidRDefault="00F94B68"/>
        </w:tc>
      </w:tr>
      <w:tr w:rsidR="00F94B68" w:rsidRPr="007F2849" w:rsidTr="00F34F60">
        <w:trPr>
          <w:cantSplit/>
        </w:trPr>
        <w:tc>
          <w:tcPr>
            <w:tcW w:w="1728" w:type="dxa"/>
            <w:vMerge w:val="restart"/>
            <w:shd w:val="clear" w:color="auto" w:fill="auto"/>
          </w:tcPr>
          <w:p w:rsidR="00F94B68" w:rsidRPr="007F2849" w:rsidRDefault="00F94B68"/>
        </w:tc>
        <w:tc>
          <w:tcPr>
            <w:tcW w:w="4656" w:type="dxa"/>
            <w:gridSpan w:val="3"/>
            <w:shd w:val="clear" w:color="auto" w:fill="auto"/>
          </w:tcPr>
          <w:p w:rsidR="00F94B68" w:rsidRPr="007F2849" w:rsidRDefault="00F94B68">
            <w:pPr>
              <w:pStyle w:val="TableHeaderText"/>
            </w:pPr>
            <w:r w:rsidRPr="007F2849">
              <w:t xml:space="preserve"> Milestone</w:t>
            </w:r>
          </w:p>
        </w:tc>
        <w:tc>
          <w:tcPr>
            <w:tcW w:w="3174" w:type="dxa"/>
            <w:gridSpan w:val="2"/>
            <w:shd w:val="clear" w:color="auto" w:fill="auto"/>
          </w:tcPr>
          <w:p w:rsidR="00F94B68" w:rsidRPr="007F2849" w:rsidRDefault="00F94B68">
            <w:pPr>
              <w:pStyle w:val="TableHeaderText"/>
            </w:pPr>
            <w:r w:rsidRPr="007F2849">
              <w:t>Target Dates</w:t>
            </w:r>
          </w:p>
        </w:tc>
      </w:tr>
      <w:tr w:rsidR="00F94B68" w:rsidRPr="007F2849" w:rsidTr="00F34F60">
        <w:trPr>
          <w:cantSplit/>
        </w:trPr>
        <w:tc>
          <w:tcPr>
            <w:tcW w:w="1728" w:type="dxa"/>
            <w:vMerge/>
            <w:shd w:val="clear" w:color="auto" w:fill="auto"/>
          </w:tcPr>
          <w:p w:rsidR="00F94B68" w:rsidRPr="007F2849" w:rsidRDefault="00F94B68"/>
        </w:tc>
        <w:tc>
          <w:tcPr>
            <w:tcW w:w="4656" w:type="dxa"/>
            <w:gridSpan w:val="3"/>
            <w:shd w:val="clear" w:color="auto" w:fill="auto"/>
          </w:tcPr>
          <w:p w:rsidR="00F94B68" w:rsidRPr="007F2849" w:rsidRDefault="00F94B68">
            <w:pPr>
              <w:pStyle w:val="TableText"/>
              <w:rPr>
                <w:sz w:val="22"/>
              </w:rPr>
            </w:pPr>
            <w:r w:rsidRPr="007F2849">
              <w:rPr>
                <w:sz w:val="22"/>
              </w:rPr>
              <w:t>Advisory Process (e.g., committees; workgroups)</w:t>
            </w:r>
          </w:p>
        </w:tc>
        <w:tc>
          <w:tcPr>
            <w:tcW w:w="3174" w:type="dxa"/>
            <w:gridSpan w:val="2"/>
            <w:shd w:val="clear" w:color="auto" w:fill="auto"/>
          </w:tcPr>
          <w:p w:rsidR="00F94B68" w:rsidRPr="007F2849" w:rsidRDefault="00F94B68">
            <w:pPr>
              <w:pStyle w:val="TableHeaderText"/>
            </w:pPr>
          </w:p>
        </w:tc>
      </w:tr>
      <w:tr w:rsidR="00F94B68" w:rsidRPr="007F2849" w:rsidTr="00F34F60">
        <w:trPr>
          <w:cantSplit/>
        </w:trPr>
        <w:tc>
          <w:tcPr>
            <w:tcW w:w="1728" w:type="dxa"/>
            <w:vMerge/>
            <w:shd w:val="clear" w:color="auto" w:fill="auto"/>
          </w:tcPr>
          <w:p w:rsidR="00F94B68" w:rsidRPr="007F2849" w:rsidRDefault="00F94B68"/>
        </w:tc>
        <w:tc>
          <w:tcPr>
            <w:tcW w:w="4656" w:type="dxa"/>
            <w:gridSpan w:val="3"/>
            <w:shd w:val="clear" w:color="auto" w:fill="auto"/>
          </w:tcPr>
          <w:p w:rsidR="00F94B68" w:rsidRPr="007F2849" w:rsidRDefault="00F94B68">
            <w:pPr>
              <w:pStyle w:val="TableText"/>
              <w:rPr>
                <w:sz w:val="22"/>
              </w:rPr>
            </w:pPr>
            <w:r w:rsidRPr="007F2849">
              <w:rPr>
                <w:sz w:val="22"/>
              </w:rPr>
              <w:t>Publication in SOS Bulletin</w:t>
            </w:r>
          </w:p>
        </w:tc>
        <w:tc>
          <w:tcPr>
            <w:tcW w:w="3174" w:type="dxa"/>
            <w:gridSpan w:val="2"/>
            <w:shd w:val="clear" w:color="auto" w:fill="auto"/>
          </w:tcPr>
          <w:p w:rsidR="00F94B68" w:rsidRPr="007F2849" w:rsidRDefault="00506AAE">
            <w:pPr>
              <w:pStyle w:val="TableText"/>
            </w:pPr>
            <w:r>
              <w:t>8/1/2010</w:t>
            </w:r>
          </w:p>
        </w:tc>
      </w:tr>
      <w:tr w:rsidR="00126178" w:rsidRPr="007F2849" w:rsidTr="00F34F60">
        <w:trPr>
          <w:cantSplit/>
          <w:trHeight w:val="737"/>
        </w:trPr>
        <w:tc>
          <w:tcPr>
            <w:tcW w:w="1728" w:type="dxa"/>
            <w:vMerge/>
            <w:shd w:val="clear" w:color="auto" w:fill="auto"/>
          </w:tcPr>
          <w:p w:rsidR="00126178" w:rsidRPr="007F2849" w:rsidRDefault="00126178"/>
        </w:tc>
        <w:tc>
          <w:tcPr>
            <w:tcW w:w="4656" w:type="dxa"/>
            <w:gridSpan w:val="3"/>
            <w:shd w:val="clear" w:color="auto" w:fill="auto"/>
          </w:tcPr>
          <w:p w:rsidR="00126178" w:rsidRPr="007F2849" w:rsidRDefault="00126178" w:rsidP="003E6B14">
            <w:pPr>
              <w:pStyle w:val="TableText"/>
              <w:rPr>
                <w:sz w:val="22"/>
              </w:rPr>
            </w:pPr>
            <w:r w:rsidRPr="007F2849">
              <w:rPr>
                <w:sz w:val="22"/>
              </w:rPr>
              <w:t>EQC rule adoption</w:t>
            </w:r>
          </w:p>
        </w:tc>
        <w:tc>
          <w:tcPr>
            <w:tcW w:w="3174" w:type="dxa"/>
            <w:gridSpan w:val="2"/>
            <w:shd w:val="clear" w:color="auto" w:fill="auto"/>
          </w:tcPr>
          <w:p w:rsidR="00126178" w:rsidRPr="007F2849" w:rsidRDefault="00506AAE">
            <w:pPr>
              <w:pStyle w:val="TableText"/>
            </w:pPr>
            <w:r>
              <w:t>10/21/2010</w:t>
            </w:r>
          </w:p>
        </w:tc>
      </w:tr>
    </w:tbl>
    <w:p w:rsidR="00A91039" w:rsidRPr="007F2849" w:rsidRDefault="00A91039"/>
    <w:p w:rsidR="00A91039" w:rsidRDefault="00A91039">
      <w:pPr>
        <w:rPr>
          <w:b/>
          <w:sz w:val="22"/>
          <w:szCs w:val="22"/>
        </w:rPr>
      </w:pPr>
      <w:r w:rsidRPr="007F2849">
        <w:rPr>
          <w:b/>
        </w:rPr>
        <w:t xml:space="preserve">Attachment:  </w:t>
      </w:r>
      <w:r w:rsidRPr="007F2849">
        <w:rPr>
          <w:b/>
          <w:sz w:val="22"/>
          <w:szCs w:val="22"/>
        </w:rPr>
        <w:t>Opt In/Out Form</w:t>
      </w:r>
    </w:p>
    <w:p w:rsidR="00B11D4A" w:rsidRDefault="00B11D4A">
      <w:pPr>
        <w:rPr>
          <w:b/>
          <w:sz w:val="22"/>
          <w:szCs w:val="22"/>
        </w:rPr>
      </w:pPr>
    </w:p>
    <w:p w:rsidR="00B11D4A" w:rsidRPr="007F2849" w:rsidRDefault="00B11D4A">
      <w:pPr>
        <w:rPr>
          <w:b/>
        </w:rPr>
      </w:pPr>
    </w:p>
    <w:sectPr w:rsidR="00B11D4A" w:rsidRPr="007F2849" w:rsidSect="001E431D">
      <w:headerReference w:type="even" r:id="rId7"/>
      <w:headerReference w:type="default" r:id="rId8"/>
      <w:footerReference w:type="even"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C01" w:rsidRDefault="00E81C01">
      <w:r>
        <w:separator/>
      </w:r>
    </w:p>
  </w:endnote>
  <w:endnote w:type="continuationSeparator" w:id="0">
    <w:p w:rsidR="00E81C01" w:rsidRDefault="00E81C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AE" w:rsidRDefault="002C3E5E">
    <w:pPr>
      <w:pStyle w:val="Footer"/>
      <w:framePr w:wrap="around" w:vAnchor="text" w:hAnchor="margin" w:xAlign="right" w:y="1"/>
    </w:pPr>
    <w:r>
      <w:fldChar w:fldCharType="begin"/>
    </w:r>
    <w:r w:rsidR="00506AAE">
      <w:instrText xml:space="preserve">PAGE  </w:instrText>
    </w:r>
    <w:r>
      <w:fldChar w:fldCharType="end"/>
    </w:r>
  </w:p>
  <w:p w:rsidR="00506AAE" w:rsidRDefault="00506AA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AE" w:rsidRPr="00BB1B35" w:rsidRDefault="00506AAE">
    <w:pPr>
      <w:pStyle w:val="Footer"/>
      <w:tabs>
        <w:tab w:val="clear" w:pos="4320"/>
        <w:tab w:val="clear" w:pos="8640"/>
        <w:tab w:val="center" w:pos="4680"/>
      </w:tabs>
      <w:ind w:right="90"/>
      <w:rPr>
        <w:color w:val="808080"/>
        <w:sz w:val="20"/>
      </w:rPr>
    </w:pPr>
    <w:r>
      <w:rPr>
        <w:color w:val="808080"/>
        <w:sz w:val="20"/>
      </w:rPr>
      <w:t>8/11/09</w:t>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sidR="002C3E5E" w:rsidRPr="00BB1B35">
      <w:rPr>
        <w:rStyle w:val="PageNumber"/>
        <w:sz w:val="20"/>
      </w:rPr>
      <w:fldChar w:fldCharType="begin"/>
    </w:r>
    <w:r w:rsidRPr="00BB1B35">
      <w:rPr>
        <w:rStyle w:val="PageNumber"/>
        <w:sz w:val="20"/>
      </w:rPr>
      <w:instrText xml:space="preserve"> PAGE </w:instrText>
    </w:r>
    <w:r w:rsidR="002C3E5E" w:rsidRPr="00BB1B35">
      <w:rPr>
        <w:rStyle w:val="PageNumber"/>
        <w:sz w:val="20"/>
      </w:rPr>
      <w:fldChar w:fldCharType="separate"/>
    </w:r>
    <w:r w:rsidR="00F823A9">
      <w:rPr>
        <w:rStyle w:val="PageNumber"/>
        <w:noProof/>
        <w:sz w:val="20"/>
      </w:rPr>
      <w:t>1</w:t>
    </w:r>
    <w:r w:rsidR="002C3E5E" w:rsidRPr="00BB1B35">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C01" w:rsidRDefault="00E81C01">
      <w:r>
        <w:separator/>
      </w:r>
    </w:p>
  </w:footnote>
  <w:footnote w:type="continuationSeparator" w:id="0">
    <w:p w:rsidR="00E81C01" w:rsidRDefault="00E81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AE" w:rsidRDefault="002C3E5E">
    <w:pPr>
      <w:pStyle w:val="Header"/>
      <w:framePr w:wrap="around" w:vAnchor="text" w:hAnchor="margin" w:xAlign="center" w:y="1"/>
      <w:rPr>
        <w:rStyle w:val="PageNumber"/>
      </w:rPr>
    </w:pPr>
    <w:r>
      <w:rPr>
        <w:rStyle w:val="PageNumber"/>
      </w:rPr>
      <w:fldChar w:fldCharType="begin"/>
    </w:r>
    <w:r w:rsidR="00506AAE">
      <w:rPr>
        <w:rStyle w:val="PageNumber"/>
      </w:rPr>
      <w:instrText xml:space="preserve">PAGE  </w:instrText>
    </w:r>
    <w:r>
      <w:rPr>
        <w:rStyle w:val="PageNumber"/>
      </w:rPr>
      <w:fldChar w:fldCharType="separate"/>
    </w:r>
    <w:r w:rsidR="00506AAE">
      <w:rPr>
        <w:rStyle w:val="PageNumber"/>
        <w:noProof/>
      </w:rPr>
      <w:t>1</w:t>
    </w:r>
    <w:r>
      <w:rPr>
        <w:rStyle w:val="PageNumber"/>
      </w:rPr>
      <w:fldChar w:fldCharType="end"/>
    </w:r>
  </w:p>
  <w:p w:rsidR="00506AAE" w:rsidRDefault="00506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AE" w:rsidRDefault="00506AAE">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0CB6EB1"/>
    <w:multiLevelType w:val="singleLevel"/>
    <w:tmpl w:val="DAD6EE5E"/>
    <w:lvl w:ilvl="0">
      <w:start w:val="1"/>
      <w:numFmt w:val="bullet"/>
      <w:pStyle w:val="BulletText2"/>
      <w:lvlText w:val=""/>
      <w:lvlJc w:val="left"/>
      <w:pPr>
        <w:tabs>
          <w:tab w:val="num" w:pos="533"/>
        </w:tabs>
        <w:ind w:left="360" w:hanging="187"/>
      </w:pPr>
      <w:rPr>
        <w:rFonts w:ascii="Symbol" w:hAnsi="Symbol" w:hint="default"/>
      </w:rPr>
    </w:lvl>
  </w:abstractNum>
  <w:abstractNum w:abstractNumId="2">
    <w:nsid w:val="18DF4AB5"/>
    <w:multiLevelType w:val="hybridMultilevel"/>
    <w:tmpl w:val="804E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4">
    <w:nsid w:val="36CE47DB"/>
    <w:multiLevelType w:val="hybridMultilevel"/>
    <w:tmpl w:val="B896D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A06BB5"/>
    <w:multiLevelType w:val="hybridMultilevel"/>
    <w:tmpl w:val="BBD089A2"/>
    <w:lvl w:ilvl="0" w:tplc="E1786FDE">
      <w:start w:val="1"/>
      <w:numFmt w:val="bullet"/>
      <w:lvlText w:val=""/>
      <w:lvlJc w:val="left"/>
      <w:pPr>
        <w:tabs>
          <w:tab w:val="num" w:pos="261"/>
        </w:tabs>
        <w:ind w:left="261" w:hanging="216"/>
      </w:pPr>
      <w:rPr>
        <w:rFonts w:ascii="Wingdings" w:hAnsi="Wingdings" w:hint="default"/>
        <w:b w:val="0"/>
        <w:i w:val="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4E432EA9"/>
    <w:multiLevelType w:val="hybridMultilevel"/>
    <w:tmpl w:val="CE7ABE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512126E3"/>
    <w:multiLevelType w:val="hybridMultilevel"/>
    <w:tmpl w:val="3188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67548D"/>
    <w:multiLevelType w:val="hybridMultilevel"/>
    <w:tmpl w:val="F546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abstractNumId w:val="3"/>
  </w:num>
  <w:num w:numId="5">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abstractNumId w:val="1"/>
  </w:num>
  <w:num w:numId="8">
    <w:abstractNumId w:val="7"/>
  </w:num>
  <w:num w:numId="9">
    <w:abstractNumId w:val="2"/>
  </w:num>
  <w:num w:numId="10">
    <w:abstractNumId w:val="8"/>
  </w:num>
  <w:num w:numId="11">
    <w:abstractNumId w:val="4"/>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91039"/>
    <w:rsid w:val="00030A30"/>
    <w:rsid w:val="00052E43"/>
    <w:rsid w:val="00053D21"/>
    <w:rsid w:val="00096033"/>
    <w:rsid w:val="0011284C"/>
    <w:rsid w:val="00126178"/>
    <w:rsid w:val="00142677"/>
    <w:rsid w:val="001A2461"/>
    <w:rsid w:val="001A25D5"/>
    <w:rsid w:val="001A3C6D"/>
    <w:rsid w:val="001E2CE4"/>
    <w:rsid w:val="001E34FE"/>
    <w:rsid w:val="001E431D"/>
    <w:rsid w:val="002013C0"/>
    <w:rsid w:val="0021413A"/>
    <w:rsid w:val="00226464"/>
    <w:rsid w:val="00251606"/>
    <w:rsid w:val="002A277D"/>
    <w:rsid w:val="002A6301"/>
    <w:rsid w:val="002A7771"/>
    <w:rsid w:val="002B3EC9"/>
    <w:rsid w:val="002C3E5E"/>
    <w:rsid w:val="002D2AF4"/>
    <w:rsid w:val="00302ADD"/>
    <w:rsid w:val="003060B3"/>
    <w:rsid w:val="00323B00"/>
    <w:rsid w:val="00332295"/>
    <w:rsid w:val="00372E34"/>
    <w:rsid w:val="003960C3"/>
    <w:rsid w:val="003B6373"/>
    <w:rsid w:val="003C15F3"/>
    <w:rsid w:val="003C2F54"/>
    <w:rsid w:val="003E6B14"/>
    <w:rsid w:val="00410F7E"/>
    <w:rsid w:val="00457546"/>
    <w:rsid w:val="00470C1A"/>
    <w:rsid w:val="00472823"/>
    <w:rsid w:val="004748B0"/>
    <w:rsid w:val="00486423"/>
    <w:rsid w:val="004869EF"/>
    <w:rsid w:val="004B5903"/>
    <w:rsid w:val="004C5041"/>
    <w:rsid w:val="004C69E7"/>
    <w:rsid w:val="004E30D6"/>
    <w:rsid w:val="00506AAE"/>
    <w:rsid w:val="00543B07"/>
    <w:rsid w:val="00557D17"/>
    <w:rsid w:val="005E35AF"/>
    <w:rsid w:val="00604E4B"/>
    <w:rsid w:val="00664C8B"/>
    <w:rsid w:val="006978DD"/>
    <w:rsid w:val="006A54A6"/>
    <w:rsid w:val="006B17C9"/>
    <w:rsid w:val="006B7B92"/>
    <w:rsid w:val="006E26DB"/>
    <w:rsid w:val="00724560"/>
    <w:rsid w:val="00745E2B"/>
    <w:rsid w:val="00751F43"/>
    <w:rsid w:val="00775E80"/>
    <w:rsid w:val="00795061"/>
    <w:rsid w:val="00796073"/>
    <w:rsid w:val="007A0613"/>
    <w:rsid w:val="007A7FFB"/>
    <w:rsid w:val="007B5C01"/>
    <w:rsid w:val="007F2849"/>
    <w:rsid w:val="00813F7E"/>
    <w:rsid w:val="00834505"/>
    <w:rsid w:val="00843105"/>
    <w:rsid w:val="008621D5"/>
    <w:rsid w:val="008811D6"/>
    <w:rsid w:val="0088748B"/>
    <w:rsid w:val="008B3F27"/>
    <w:rsid w:val="008C6917"/>
    <w:rsid w:val="008D1781"/>
    <w:rsid w:val="008E6A4E"/>
    <w:rsid w:val="009114F8"/>
    <w:rsid w:val="00937BDF"/>
    <w:rsid w:val="00950060"/>
    <w:rsid w:val="00970B63"/>
    <w:rsid w:val="00986A5B"/>
    <w:rsid w:val="0099457A"/>
    <w:rsid w:val="009C21A4"/>
    <w:rsid w:val="009C4EAA"/>
    <w:rsid w:val="00A11734"/>
    <w:rsid w:val="00A6008A"/>
    <w:rsid w:val="00A61D1C"/>
    <w:rsid w:val="00A91039"/>
    <w:rsid w:val="00AA54EA"/>
    <w:rsid w:val="00AC0647"/>
    <w:rsid w:val="00AC103B"/>
    <w:rsid w:val="00AD7B08"/>
    <w:rsid w:val="00AE489A"/>
    <w:rsid w:val="00AE65D1"/>
    <w:rsid w:val="00AF3D1A"/>
    <w:rsid w:val="00B076D7"/>
    <w:rsid w:val="00B11D4A"/>
    <w:rsid w:val="00B155A4"/>
    <w:rsid w:val="00B3149B"/>
    <w:rsid w:val="00B874B7"/>
    <w:rsid w:val="00B92E2A"/>
    <w:rsid w:val="00BB1B35"/>
    <w:rsid w:val="00BE10AB"/>
    <w:rsid w:val="00C07FF2"/>
    <w:rsid w:val="00C2550E"/>
    <w:rsid w:val="00C5065F"/>
    <w:rsid w:val="00C56EEF"/>
    <w:rsid w:val="00C76CEB"/>
    <w:rsid w:val="00C9031D"/>
    <w:rsid w:val="00CC1205"/>
    <w:rsid w:val="00CD72FB"/>
    <w:rsid w:val="00D46DEB"/>
    <w:rsid w:val="00D5734A"/>
    <w:rsid w:val="00D74AAA"/>
    <w:rsid w:val="00D778DD"/>
    <w:rsid w:val="00D94B1F"/>
    <w:rsid w:val="00DC5522"/>
    <w:rsid w:val="00E1798B"/>
    <w:rsid w:val="00E26C5A"/>
    <w:rsid w:val="00E275C6"/>
    <w:rsid w:val="00E67E70"/>
    <w:rsid w:val="00E72DAA"/>
    <w:rsid w:val="00E7686E"/>
    <w:rsid w:val="00E81836"/>
    <w:rsid w:val="00E81C01"/>
    <w:rsid w:val="00E82BD9"/>
    <w:rsid w:val="00E84E69"/>
    <w:rsid w:val="00E972E8"/>
    <w:rsid w:val="00EC4535"/>
    <w:rsid w:val="00EE2559"/>
    <w:rsid w:val="00F34F60"/>
    <w:rsid w:val="00F527F2"/>
    <w:rsid w:val="00F67FDF"/>
    <w:rsid w:val="00F7413B"/>
    <w:rsid w:val="00F823A9"/>
    <w:rsid w:val="00F94B68"/>
    <w:rsid w:val="00F9764E"/>
    <w:rsid w:val="00FA4BE5"/>
    <w:rsid w:val="00FA701C"/>
    <w:rsid w:val="00FB7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1D"/>
    <w:rPr>
      <w:sz w:val="24"/>
    </w:rPr>
  </w:style>
  <w:style w:type="paragraph" w:styleId="Heading1">
    <w:name w:val="heading 1"/>
    <w:aliases w:val="Part"/>
    <w:basedOn w:val="Normal"/>
    <w:next w:val="Heading2"/>
    <w:qFormat/>
    <w:rsid w:val="001E431D"/>
    <w:pPr>
      <w:spacing w:after="240"/>
      <w:jc w:val="center"/>
      <w:outlineLvl w:val="0"/>
    </w:pPr>
    <w:rPr>
      <w:rFonts w:ascii="Arial" w:hAnsi="Arial"/>
      <w:b/>
      <w:sz w:val="32"/>
    </w:rPr>
  </w:style>
  <w:style w:type="paragraph" w:styleId="Heading2">
    <w:name w:val="heading 2"/>
    <w:aliases w:val="Chapter Title"/>
    <w:basedOn w:val="Normal"/>
    <w:next w:val="Heading4"/>
    <w:qFormat/>
    <w:rsid w:val="001E431D"/>
    <w:pPr>
      <w:spacing w:after="240"/>
      <w:jc w:val="center"/>
      <w:outlineLvl w:val="1"/>
    </w:pPr>
    <w:rPr>
      <w:rFonts w:ascii="Arial" w:hAnsi="Arial"/>
      <w:b/>
      <w:sz w:val="32"/>
    </w:rPr>
  </w:style>
  <w:style w:type="paragraph" w:styleId="Heading3">
    <w:name w:val="heading 3"/>
    <w:aliases w:val="Section"/>
    <w:basedOn w:val="Normal"/>
    <w:next w:val="Heading4"/>
    <w:qFormat/>
    <w:rsid w:val="001E431D"/>
    <w:pPr>
      <w:spacing w:after="240"/>
      <w:jc w:val="center"/>
      <w:outlineLvl w:val="2"/>
    </w:pPr>
    <w:rPr>
      <w:rFonts w:ascii="Arial" w:hAnsi="Arial"/>
      <w:b/>
      <w:sz w:val="32"/>
    </w:rPr>
  </w:style>
  <w:style w:type="paragraph" w:styleId="Heading4">
    <w:name w:val="heading 4"/>
    <w:aliases w:val="Map Title"/>
    <w:basedOn w:val="Normal"/>
    <w:next w:val="Normal"/>
    <w:qFormat/>
    <w:rsid w:val="001E431D"/>
    <w:pPr>
      <w:spacing w:after="240"/>
      <w:outlineLvl w:val="3"/>
    </w:pPr>
    <w:rPr>
      <w:rFonts w:ascii="Arial" w:hAnsi="Arial"/>
      <w:b/>
      <w:sz w:val="32"/>
    </w:rPr>
  </w:style>
  <w:style w:type="paragraph" w:styleId="Heading5">
    <w:name w:val="heading 5"/>
    <w:aliases w:val="Block Label"/>
    <w:basedOn w:val="Normal"/>
    <w:next w:val="Normal"/>
    <w:qFormat/>
    <w:rsid w:val="001E431D"/>
    <w:pPr>
      <w:outlineLvl w:val="4"/>
    </w:pPr>
    <w:rPr>
      <w:b/>
      <w:sz w:val="22"/>
    </w:rPr>
  </w:style>
  <w:style w:type="paragraph" w:styleId="Heading6">
    <w:name w:val="heading 6"/>
    <w:basedOn w:val="Normal"/>
    <w:next w:val="Normal"/>
    <w:qFormat/>
    <w:rsid w:val="001E431D"/>
    <w:pPr>
      <w:spacing w:before="240" w:after="60"/>
      <w:outlineLvl w:val="5"/>
    </w:pPr>
    <w:rPr>
      <w:i/>
      <w:sz w:val="22"/>
    </w:rPr>
  </w:style>
  <w:style w:type="paragraph" w:styleId="Heading7">
    <w:name w:val="heading 7"/>
    <w:basedOn w:val="Normal"/>
    <w:next w:val="Normal"/>
    <w:qFormat/>
    <w:rsid w:val="001E431D"/>
    <w:pPr>
      <w:spacing w:before="240" w:after="60"/>
      <w:outlineLvl w:val="6"/>
    </w:pPr>
    <w:rPr>
      <w:rFonts w:ascii="Arial" w:hAnsi="Arial"/>
      <w:sz w:val="20"/>
    </w:rPr>
  </w:style>
  <w:style w:type="paragraph" w:styleId="Heading8">
    <w:name w:val="heading 8"/>
    <w:basedOn w:val="Normal"/>
    <w:next w:val="Normal"/>
    <w:qFormat/>
    <w:rsid w:val="001E431D"/>
    <w:pPr>
      <w:spacing w:before="240" w:after="60"/>
      <w:outlineLvl w:val="7"/>
    </w:pPr>
    <w:rPr>
      <w:rFonts w:ascii="Arial" w:hAnsi="Arial"/>
      <w:i/>
      <w:sz w:val="20"/>
    </w:rPr>
  </w:style>
  <w:style w:type="paragraph" w:styleId="Heading9">
    <w:name w:val="heading 9"/>
    <w:basedOn w:val="Normal"/>
    <w:next w:val="Normal"/>
    <w:qFormat/>
    <w:rsid w:val="001E431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431D"/>
    <w:pPr>
      <w:tabs>
        <w:tab w:val="center" w:pos="4320"/>
        <w:tab w:val="right" w:pos="8640"/>
      </w:tabs>
    </w:pPr>
  </w:style>
  <w:style w:type="paragraph" w:styleId="MacroText">
    <w:name w:val="macro"/>
    <w:semiHidden/>
    <w:rsid w:val="001E431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1E431D"/>
    <w:pPr>
      <w:pBdr>
        <w:top w:val="single" w:sz="6" w:space="1" w:color="auto"/>
        <w:between w:val="single" w:sz="6" w:space="1" w:color="auto"/>
      </w:pBdr>
      <w:spacing w:before="240"/>
      <w:ind w:left="1700"/>
    </w:pPr>
  </w:style>
  <w:style w:type="paragraph" w:styleId="BlockText">
    <w:name w:val="Block Text"/>
    <w:basedOn w:val="Normal"/>
    <w:rsid w:val="001E431D"/>
  </w:style>
  <w:style w:type="paragraph" w:customStyle="1" w:styleId="BulletText1">
    <w:name w:val="Bullet Text 1"/>
    <w:basedOn w:val="Normal"/>
    <w:rsid w:val="001E431D"/>
    <w:pPr>
      <w:numPr>
        <w:numId w:val="2"/>
      </w:numPr>
      <w:tabs>
        <w:tab w:val="clear" w:pos="360"/>
      </w:tabs>
      <w:ind w:left="187" w:hanging="187"/>
    </w:pPr>
  </w:style>
  <w:style w:type="paragraph" w:customStyle="1" w:styleId="BulletText2">
    <w:name w:val="Bullet Text 2"/>
    <w:basedOn w:val="BulletText1"/>
    <w:rsid w:val="001E431D"/>
    <w:pPr>
      <w:numPr>
        <w:numId w:val="7"/>
      </w:numPr>
      <w:tabs>
        <w:tab w:val="clear" w:pos="533"/>
      </w:tabs>
    </w:pPr>
  </w:style>
  <w:style w:type="paragraph" w:customStyle="1" w:styleId="ContinuedOnNextPa">
    <w:name w:val="Continued On Next Pa"/>
    <w:basedOn w:val="Normal"/>
    <w:next w:val="Normal"/>
    <w:rsid w:val="001E431D"/>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1E431D"/>
    <w:rPr>
      <w:sz w:val="22"/>
    </w:rPr>
  </w:style>
  <w:style w:type="paragraph" w:customStyle="1" w:styleId="MapTitleContinued">
    <w:name w:val="Map Title. Continued"/>
    <w:basedOn w:val="Normal"/>
    <w:rsid w:val="001E431D"/>
    <w:pPr>
      <w:spacing w:after="240"/>
    </w:pPr>
    <w:rPr>
      <w:rFonts w:ascii="Arial" w:hAnsi="Arial"/>
      <w:b/>
      <w:sz w:val="32"/>
    </w:rPr>
  </w:style>
  <w:style w:type="paragraph" w:customStyle="1" w:styleId="MemoLine">
    <w:name w:val="Memo Line"/>
    <w:basedOn w:val="BlockLine"/>
    <w:next w:val="Normal"/>
    <w:rsid w:val="001E431D"/>
    <w:pPr>
      <w:ind w:left="0"/>
    </w:pPr>
  </w:style>
  <w:style w:type="paragraph" w:styleId="Footer">
    <w:name w:val="footer"/>
    <w:basedOn w:val="Normal"/>
    <w:rsid w:val="001E431D"/>
    <w:pPr>
      <w:tabs>
        <w:tab w:val="center" w:pos="4320"/>
        <w:tab w:val="right" w:pos="8640"/>
      </w:tabs>
    </w:pPr>
  </w:style>
  <w:style w:type="character" w:styleId="PageNumber">
    <w:name w:val="page number"/>
    <w:basedOn w:val="DefaultParagraphFont"/>
    <w:rsid w:val="001E431D"/>
  </w:style>
  <w:style w:type="paragraph" w:customStyle="1" w:styleId="TableText">
    <w:name w:val="Table Text"/>
    <w:basedOn w:val="Normal"/>
    <w:rsid w:val="001E431D"/>
  </w:style>
  <w:style w:type="paragraph" w:customStyle="1" w:styleId="NoteText">
    <w:name w:val="Note Text"/>
    <w:basedOn w:val="BlockText"/>
    <w:rsid w:val="001E431D"/>
  </w:style>
  <w:style w:type="paragraph" w:customStyle="1" w:styleId="TableHeaderText">
    <w:name w:val="Table Header Text"/>
    <w:basedOn w:val="TableText"/>
    <w:rsid w:val="001E431D"/>
    <w:pPr>
      <w:jc w:val="center"/>
    </w:pPr>
    <w:rPr>
      <w:b/>
    </w:rPr>
  </w:style>
  <w:style w:type="paragraph" w:customStyle="1" w:styleId="EmbeddedText">
    <w:name w:val="Embedded Text"/>
    <w:basedOn w:val="TableText"/>
    <w:rsid w:val="001E431D"/>
  </w:style>
  <w:style w:type="paragraph" w:styleId="TOC1">
    <w:name w:val="toc 1"/>
    <w:basedOn w:val="Normal"/>
    <w:next w:val="Normal"/>
    <w:autoRedefine/>
    <w:semiHidden/>
    <w:rsid w:val="001E431D"/>
  </w:style>
  <w:style w:type="paragraph" w:styleId="TOC2">
    <w:name w:val="toc 2"/>
    <w:basedOn w:val="Normal"/>
    <w:next w:val="Normal"/>
    <w:autoRedefine/>
    <w:semiHidden/>
    <w:rsid w:val="001E431D"/>
    <w:pPr>
      <w:ind w:left="240"/>
    </w:pPr>
  </w:style>
  <w:style w:type="paragraph" w:styleId="TOC3">
    <w:name w:val="toc 3"/>
    <w:basedOn w:val="Normal"/>
    <w:next w:val="Normal"/>
    <w:autoRedefine/>
    <w:semiHidden/>
    <w:rsid w:val="001E431D"/>
    <w:pPr>
      <w:ind w:left="480"/>
    </w:pPr>
  </w:style>
  <w:style w:type="paragraph" w:styleId="TOC4">
    <w:name w:val="toc 4"/>
    <w:basedOn w:val="Normal"/>
    <w:next w:val="Normal"/>
    <w:autoRedefine/>
    <w:semiHidden/>
    <w:rsid w:val="001E431D"/>
    <w:pPr>
      <w:ind w:left="720"/>
    </w:pPr>
  </w:style>
  <w:style w:type="paragraph" w:styleId="TOC5">
    <w:name w:val="toc 5"/>
    <w:basedOn w:val="Normal"/>
    <w:next w:val="Normal"/>
    <w:autoRedefine/>
    <w:semiHidden/>
    <w:rsid w:val="001E431D"/>
    <w:pPr>
      <w:ind w:left="960"/>
    </w:pPr>
  </w:style>
  <w:style w:type="paragraph" w:styleId="TOC6">
    <w:name w:val="toc 6"/>
    <w:basedOn w:val="Normal"/>
    <w:next w:val="Normal"/>
    <w:autoRedefine/>
    <w:semiHidden/>
    <w:rsid w:val="001E431D"/>
    <w:pPr>
      <w:ind w:left="1200"/>
    </w:pPr>
  </w:style>
  <w:style w:type="paragraph" w:styleId="TOC7">
    <w:name w:val="toc 7"/>
    <w:basedOn w:val="Normal"/>
    <w:next w:val="Normal"/>
    <w:autoRedefine/>
    <w:semiHidden/>
    <w:rsid w:val="001E431D"/>
    <w:pPr>
      <w:ind w:left="1440"/>
    </w:pPr>
  </w:style>
  <w:style w:type="paragraph" w:styleId="TOC8">
    <w:name w:val="toc 8"/>
    <w:basedOn w:val="Normal"/>
    <w:next w:val="Normal"/>
    <w:autoRedefine/>
    <w:semiHidden/>
    <w:rsid w:val="001E431D"/>
    <w:pPr>
      <w:ind w:left="1680"/>
    </w:pPr>
  </w:style>
  <w:style w:type="paragraph" w:styleId="TOC9">
    <w:name w:val="toc 9"/>
    <w:basedOn w:val="Normal"/>
    <w:next w:val="Normal"/>
    <w:autoRedefine/>
    <w:semiHidden/>
    <w:rsid w:val="001E431D"/>
    <w:pPr>
      <w:ind w:left="1920"/>
    </w:pPr>
  </w:style>
  <w:style w:type="paragraph" w:styleId="BodyText">
    <w:name w:val="Body Text"/>
    <w:basedOn w:val="Normal"/>
    <w:rsid w:val="001E431D"/>
    <w:rPr>
      <w:i/>
      <w:sz w:val="22"/>
    </w:rPr>
  </w:style>
  <w:style w:type="character" w:styleId="Hyperlink">
    <w:name w:val="Hyperlink"/>
    <w:basedOn w:val="DefaultParagraphFont"/>
    <w:uiPriority w:val="99"/>
    <w:semiHidden/>
    <w:unhideWhenUsed/>
    <w:rsid w:val="00604E4B"/>
    <w:rPr>
      <w:color w:val="0000FF"/>
      <w:u w:val="single"/>
    </w:rPr>
  </w:style>
  <w:style w:type="paragraph" w:styleId="NormalWeb">
    <w:name w:val="Normal (Web)"/>
    <w:basedOn w:val="Normal"/>
    <w:uiPriority w:val="99"/>
    <w:unhideWhenUsed/>
    <w:rsid w:val="00F67FDF"/>
    <w:pPr>
      <w:spacing w:before="100" w:beforeAutospacing="1" w:after="100" w:afterAutospacing="1"/>
    </w:pPr>
    <w:rPr>
      <w:szCs w:val="24"/>
    </w:rPr>
  </w:style>
  <w:style w:type="paragraph" w:styleId="ListParagraph">
    <w:name w:val="List Paragraph"/>
    <w:basedOn w:val="Normal"/>
    <w:uiPriority w:val="34"/>
    <w:qFormat/>
    <w:rsid w:val="00142677"/>
    <w:pPr>
      <w:ind w:left="720"/>
      <w:contextualSpacing/>
    </w:pPr>
  </w:style>
  <w:style w:type="paragraph" w:styleId="BalloonText">
    <w:name w:val="Balloon Text"/>
    <w:basedOn w:val="Normal"/>
    <w:link w:val="BalloonTextChar"/>
    <w:uiPriority w:val="99"/>
    <w:semiHidden/>
    <w:unhideWhenUsed/>
    <w:rsid w:val="00F823A9"/>
    <w:rPr>
      <w:rFonts w:ascii="Tahoma" w:hAnsi="Tahoma" w:cs="Tahoma"/>
      <w:sz w:val="16"/>
      <w:szCs w:val="16"/>
    </w:rPr>
  </w:style>
  <w:style w:type="character" w:customStyle="1" w:styleId="BalloonTextChar">
    <w:name w:val="Balloon Text Char"/>
    <w:basedOn w:val="DefaultParagraphFont"/>
    <w:link w:val="BalloonText"/>
    <w:uiPriority w:val="99"/>
    <w:semiHidden/>
    <w:rsid w:val="00F82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00662">
      <w:bodyDiv w:val="1"/>
      <w:marLeft w:val="0"/>
      <w:marRight w:val="0"/>
      <w:marTop w:val="0"/>
      <w:marBottom w:val="0"/>
      <w:divBdr>
        <w:top w:val="none" w:sz="0" w:space="0" w:color="auto"/>
        <w:left w:val="none" w:sz="0" w:space="0" w:color="auto"/>
        <w:bottom w:val="none" w:sz="0" w:space="0" w:color="auto"/>
        <w:right w:val="none" w:sz="0" w:space="0" w:color="auto"/>
      </w:divBdr>
    </w:div>
    <w:div w:id="7493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infomap.dot</Template>
  <TotalTime>8</TotalTime>
  <Pages>4</Pages>
  <Words>1018</Words>
  <Characters>5994</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Start Rulemaking Proposal (SRP)</vt:lpstr>
      <vt:lpstr>    Start Rulemaking Proposal (SRP)</vt:lpstr>
    </vt:vector>
  </TitlesOfParts>
  <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Rulemaking Proposal (SRP)</dc:title>
  <dc:subject>Rulemaking Docket</dc:subject>
  <dc:creator>DEQ</dc:creator>
  <cp:keywords/>
  <dc:description/>
  <cp:lastModifiedBy>Maggie Vandehey</cp:lastModifiedBy>
  <cp:revision>3</cp:revision>
  <cp:lastPrinted>2010-03-22T18:27:00Z</cp:lastPrinted>
  <dcterms:created xsi:type="dcterms:W3CDTF">2010-04-22T00:06:00Z</dcterms:created>
  <dcterms:modified xsi:type="dcterms:W3CDTF">2010-04-22T15:46:00Z</dcterms:modified>
</cp:coreProperties>
</file>