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AC" w:rsidRDefault="00E107AC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E107AC" w:rsidRDefault="00E107AC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E107AC" w:rsidRDefault="00941284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E107AC" w:rsidRDefault="00E107AC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  <w:b/>
        </w:rPr>
      </w:pPr>
    </w:p>
    <w:p w:rsidR="00E107AC" w:rsidRDefault="00E107AC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941284" w:rsidRPr="0057216E">
        <w:rPr>
          <w:rFonts w:ascii="Times New Roman" w:hAnsi="Times New Roman"/>
        </w:rPr>
        <w:t>November 15, 2010</w:t>
      </w:r>
    </w:p>
    <w:p w:rsidR="00E107AC" w:rsidRDefault="00E107AC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E107AC" w:rsidRDefault="00E107A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smartTag w:uri="urn:schemas-microsoft-com:office:smarttags" w:element="PersonName">
        <w:r>
          <w:rPr>
            <w:rFonts w:ascii="Times New Roman" w:hAnsi="Times New Roman"/>
          </w:rPr>
          <w:t>Environmental Quality Commission</w:t>
        </w:r>
      </w:smartTag>
    </w:p>
    <w:p w:rsidR="00E107AC" w:rsidRDefault="00E107AC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E107AC" w:rsidRDefault="00E107A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Dick Pedersen, Director</w:t>
      </w:r>
    </w:p>
    <w:p w:rsidR="00E107AC" w:rsidRDefault="00E107AC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B418BB" w:rsidRPr="00B418BB" w:rsidRDefault="00E107AC" w:rsidP="004E0A40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540" w:hanging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bookmarkStart w:id="0" w:name="AgendaInfo"/>
      <w:r w:rsidR="00AD733D">
        <w:rPr>
          <w:rFonts w:ascii="Times New Roman" w:hAnsi="Times New Roman"/>
          <w:szCs w:val="24"/>
        </w:rPr>
        <w:t>Agenda i</w:t>
      </w:r>
      <w:r w:rsidRPr="00425556">
        <w:rPr>
          <w:rFonts w:ascii="Times New Roman" w:hAnsi="Times New Roman"/>
          <w:szCs w:val="24"/>
        </w:rPr>
        <w:t>tem</w:t>
      </w:r>
      <w:r>
        <w:rPr>
          <w:rFonts w:ascii="Times New Roman" w:hAnsi="Times New Roman"/>
          <w:szCs w:val="24"/>
        </w:rPr>
        <w:t xml:space="preserve"> </w:t>
      </w:r>
      <w:r w:rsidR="000100FC" w:rsidRPr="000100FC">
        <w:rPr>
          <w:rFonts w:ascii="Times New Roman" w:hAnsi="Times New Roman"/>
          <w:szCs w:val="24"/>
        </w:rPr>
        <w:t>S</w:t>
      </w:r>
      <w:r w:rsidRPr="000100FC">
        <w:rPr>
          <w:rFonts w:ascii="Times New Roman" w:hAnsi="Times New Roman"/>
          <w:szCs w:val="24"/>
        </w:rPr>
        <w:t>,</w:t>
      </w:r>
      <w:r w:rsidRPr="00425556">
        <w:rPr>
          <w:rFonts w:ascii="Times New Roman" w:hAnsi="Times New Roman"/>
          <w:szCs w:val="24"/>
        </w:rPr>
        <w:t xml:space="preserve"> </w:t>
      </w:r>
      <w:bookmarkEnd w:id="0"/>
      <w:r w:rsidR="00AD733D">
        <w:rPr>
          <w:rFonts w:ascii="Times New Roman" w:hAnsi="Times New Roman"/>
          <w:szCs w:val="24"/>
        </w:rPr>
        <w:t>Action i</w:t>
      </w:r>
      <w:r w:rsidRPr="00425556">
        <w:rPr>
          <w:rFonts w:ascii="Times New Roman" w:hAnsi="Times New Roman"/>
          <w:szCs w:val="24"/>
        </w:rPr>
        <w:t xml:space="preserve">tem: </w:t>
      </w:r>
      <w:r w:rsidR="00AD733D">
        <w:rPr>
          <w:rFonts w:ascii="Times New Roman" w:hAnsi="Times New Roman"/>
          <w:color w:val="000000"/>
          <w:szCs w:val="24"/>
        </w:rPr>
        <w:t>Housekeeping and s</w:t>
      </w:r>
      <w:r w:rsidR="00B418BB" w:rsidRPr="00B418BB">
        <w:rPr>
          <w:rFonts w:ascii="Times New Roman" w:hAnsi="Times New Roman"/>
          <w:color w:val="000000"/>
          <w:szCs w:val="24"/>
        </w:rPr>
        <w:t>tr</w:t>
      </w:r>
      <w:r w:rsidR="00AD733D">
        <w:rPr>
          <w:rFonts w:ascii="Times New Roman" w:hAnsi="Times New Roman"/>
          <w:color w:val="000000"/>
          <w:szCs w:val="24"/>
        </w:rPr>
        <w:t>eamlining for DEQ-administered t</w:t>
      </w:r>
      <w:r w:rsidR="00B418BB" w:rsidRPr="00B418BB">
        <w:rPr>
          <w:rFonts w:ascii="Times New Roman" w:hAnsi="Times New Roman"/>
          <w:color w:val="000000"/>
          <w:szCs w:val="24"/>
        </w:rPr>
        <w:t xml:space="preserve">ax </w:t>
      </w:r>
      <w:r w:rsidR="00AD733D">
        <w:rPr>
          <w:rFonts w:ascii="Times New Roman" w:hAnsi="Times New Roman"/>
          <w:color w:val="000000"/>
          <w:szCs w:val="24"/>
        </w:rPr>
        <w:t>c</w:t>
      </w:r>
      <w:r w:rsidR="00B418BB" w:rsidRPr="00B418BB">
        <w:rPr>
          <w:rFonts w:ascii="Times New Roman" w:hAnsi="Times New Roman"/>
          <w:color w:val="000000"/>
          <w:szCs w:val="24"/>
        </w:rPr>
        <w:t>redits</w:t>
      </w:r>
    </w:p>
    <w:p w:rsidR="00E107AC" w:rsidRPr="00425556" w:rsidRDefault="00B418BB" w:rsidP="004E0A40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right="-5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B1154">
        <w:rPr>
          <w:rFonts w:ascii="Times New Roman" w:hAnsi="Times New Roman"/>
          <w:szCs w:val="24"/>
        </w:rPr>
        <w:t xml:space="preserve">December </w:t>
      </w:r>
      <w:r>
        <w:rPr>
          <w:rFonts w:ascii="Times New Roman" w:hAnsi="Times New Roman"/>
          <w:szCs w:val="24"/>
        </w:rPr>
        <w:t>9-10</w:t>
      </w:r>
      <w:r w:rsidR="00E107AC">
        <w:rPr>
          <w:rFonts w:ascii="Times New Roman" w:hAnsi="Times New Roman"/>
          <w:szCs w:val="24"/>
        </w:rPr>
        <w:t xml:space="preserve">, </w:t>
      </w:r>
      <w:r w:rsidR="0030066C" w:rsidRPr="00425556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10</w:t>
      </w:r>
      <w:r w:rsidR="00AD733D">
        <w:rPr>
          <w:rFonts w:ascii="Times New Roman" w:hAnsi="Times New Roman"/>
          <w:szCs w:val="24"/>
        </w:rPr>
        <w:t>,</w:t>
      </w:r>
      <w:r w:rsidR="0030066C" w:rsidRPr="00425556">
        <w:rPr>
          <w:rFonts w:ascii="Times New Roman" w:hAnsi="Times New Roman"/>
          <w:szCs w:val="24"/>
        </w:rPr>
        <w:t xml:space="preserve"> </w:t>
      </w:r>
      <w:r w:rsidR="00AD733D">
        <w:rPr>
          <w:rFonts w:ascii="Times New Roman" w:hAnsi="Times New Roman"/>
          <w:szCs w:val="24"/>
        </w:rPr>
        <w:t>EQC m</w:t>
      </w:r>
      <w:r w:rsidR="00E107AC" w:rsidRPr="00425556">
        <w:rPr>
          <w:rFonts w:ascii="Times New Roman" w:hAnsi="Times New Roman"/>
          <w:szCs w:val="24"/>
        </w:rPr>
        <w:t xml:space="preserve">eeting </w:t>
      </w:r>
    </w:p>
    <w:p w:rsidR="00E107AC" w:rsidRDefault="00E107AC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728"/>
        <w:gridCol w:w="7380"/>
      </w:tblGrid>
      <w:tr w:rsidR="00E107AC" w:rsidRPr="002A0BC4" w:rsidTr="00854509">
        <w:trPr>
          <w:trHeight w:val="810"/>
        </w:trPr>
        <w:tc>
          <w:tcPr>
            <w:tcW w:w="1728" w:type="dxa"/>
          </w:tcPr>
          <w:p w:rsidR="00E107AC" w:rsidRPr="002A0BC4" w:rsidDel="00153B8C" w:rsidRDefault="000100F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Why this is i</w:t>
            </w:r>
            <w:r w:rsidR="00E107AC" w:rsidRPr="002A0BC4">
              <w:rPr>
                <w:rFonts w:ascii="Times New Roman" w:hAnsi="Times New Roman"/>
                <w:b/>
                <w:spacing w:val="-3"/>
                <w:sz w:val="22"/>
              </w:rPr>
              <w:t>mportant</w:t>
            </w:r>
          </w:p>
        </w:tc>
        <w:tc>
          <w:tcPr>
            <w:tcW w:w="7380" w:type="dxa"/>
          </w:tcPr>
          <w:p w:rsidR="00941284" w:rsidRDefault="00941284" w:rsidP="00941284">
            <w:r w:rsidRPr="00941284">
              <w:rPr>
                <w:rFonts w:ascii="Times New Roman" w:hAnsi="Times New Roman"/>
                <w:color w:val="000000"/>
                <w:szCs w:val="24"/>
              </w:rPr>
              <w:t>Changes to tax credit program rules under division 16 would achieve efficiencies by</w:t>
            </w:r>
            <w:r w:rsidR="00204BF8" w:rsidRPr="00204BF8">
              <w:rPr>
                <w:szCs w:val="24"/>
              </w:rPr>
              <w:t xml:space="preserve"> </w:t>
            </w:r>
            <w:r w:rsidR="00854509">
              <w:t>r</w:t>
            </w:r>
            <w:r w:rsidR="00580A9B">
              <w:t>educ</w:t>
            </w:r>
            <w:r w:rsidR="0002028C">
              <w:t>ing</w:t>
            </w:r>
            <w:r w:rsidR="00580A9B">
              <w:t xml:space="preserve"> </w:t>
            </w:r>
            <w:r w:rsidR="00854509">
              <w:t xml:space="preserve">DEQ and EQC </w:t>
            </w:r>
            <w:r w:rsidR="0002028C">
              <w:t>resources spent</w:t>
            </w:r>
            <w:r w:rsidR="00580A9B">
              <w:t xml:space="preserve"> administering pollution control facilities certificate</w:t>
            </w:r>
            <w:r w:rsidR="009E4A50">
              <w:t>s</w:t>
            </w:r>
            <w:r w:rsidR="0002028C">
              <w:t>,</w:t>
            </w:r>
            <w:r w:rsidR="00854509">
              <w:t xml:space="preserve"> r</w:t>
            </w:r>
            <w:r w:rsidR="00B418BB" w:rsidRPr="00B418BB">
              <w:t>educe Secretary of State c</w:t>
            </w:r>
            <w:r w:rsidR="0002028C">
              <w:t xml:space="preserve">harges </w:t>
            </w:r>
            <w:r w:rsidR="00DA1310">
              <w:t>to</w:t>
            </w:r>
            <w:r w:rsidR="0002028C">
              <w:t xml:space="preserve"> </w:t>
            </w:r>
            <w:r w:rsidR="009E4A50">
              <w:t>maintain</w:t>
            </w:r>
            <w:r w:rsidR="0002028C">
              <w:t xml:space="preserve"> </w:t>
            </w:r>
            <w:r w:rsidR="00DA1310">
              <w:t xml:space="preserve">rules for </w:t>
            </w:r>
            <w:r w:rsidR="0002028C">
              <w:t xml:space="preserve">the </w:t>
            </w:r>
            <w:r w:rsidR="009E4A50">
              <w:t xml:space="preserve">pollution prevention </w:t>
            </w:r>
            <w:r w:rsidR="0002028C">
              <w:t xml:space="preserve">pilot </w:t>
            </w:r>
            <w:r w:rsidR="009E4A50">
              <w:t xml:space="preserve">program </w:t>
            </w:r>
            <w:r w:rsidR="005E7AE1">
              <w:t>that</w:t>
            </w:r>
            <w:r w:rsidR="0052145B">
              <w:t xml:space="preserve"> ended in 1999</w:t>
            </w:r>
            <w:r w:rsidR="00854509">
              <w:t xml:space="preserve"> and a</w:t>
            </w:r>
            <w:r w:rsidR="009E4A50">
              <w:t xml:space="preserve">lign new truck engine rules </w:t>
            </w:r>
            <w:r w:rsidR="00DA1310">
              <w:t xml:space="preserve">to the </w:t>
            </w:r>
            <w:r w:rsidR="005E7AE1">
              <w:t xml:space="preserve">2009 </w:t>
            </w:r>
            <w:r w:rsidR="00B418BB" w:rsidRPr="00B418BB">
              <w:t>Oregon law.</w:t>
            </w:r>
          </w:p>
          <w:p w:rsidR="002211D4" w:rsidRPr="002A0BC4" w:rsidRDefault="002211D4" w:rsidP="002211D4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107AC" w:rsidRPr="002A0BC4" w:rsidTr="00854509">
        <w:trPr>
          <w:trHeight w:val="153"/>
        </w:trPr>
        <w:tc>
          <w:tcPr>
            <w:tcW w:w="1728" w:type="dxa"/>
          </w:tcPr>
          <w:p w:rsidR="00E107AC" w:rsidRPr="002A0BC4" w:rsidRDefault="00E107A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2A0BC4">
              <w:rPr>
                <w:rFonts w:ascii="Times New Roman" w:hAnsi="Times New Roman"/>
                <w:b/>
                <w:spacing w:val="-3"/>
                <w:sz w:val="22"/>
              </w:rPr>
              <w:t>Background</w:t>
            </w:r>
          </w:p>
          <w:p w:rsidR="00E107AC" w:rsidRPr="002A0BC4" w:rsidRDefault="00E107A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color w:val="FF0000"/>
                <w:spacing w:val="-3"/>
                <w:sz w:val="22"/>
              </w:rPr>
            </w:pPr>
          </w:p>
        </w:tc>
        <w:tc>
          <w:tcPr>
            <w:tcW w:w="7380" w:type="dxa"/>
          </w:tcPr>
          <w:p w:rsidR="000100FC" w:rsidRDefault="0002028C" w:rsidP="0002028C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E7AE1">
              <w:rPr>
                <w:rFonts w:ascii="Times New Roman" w:hAnsi="Times New Roman"/>
                <w:color w:val="000000"/>
                <w:szCs w:val="24"/>
                <w:u w:val="single"/>
              </w:rPr>
              <w:t>Pollution control tax credit</w:t>
            </w:r>
            <w:r w:rsidR="000100FC">
              <w:rPr>
                <w:rFonts w:ascii="Times New Roman" w:hAnsi="Times New Roman"/>
                <w:color w:val="000000"/>
                <w:szCs w:val="24"/>
                <w:u w:val="single"/>
              </w:rPr>
              <w:t>s</w:t>
            </w:r>
            <w:r w:rsidRPr="0002028C">
              <w:rPr>
                <w:rFonts w:ascii="Times New Roman" w:hAnsi="Times New Roman"/>
                <w:b/>
                <w:color w:val="000000"/>
                <w:szCs w:val="24"/>
              </w:rPr>
              <w:tab/>
            </w:r>
          </w:p>
          <w:p w:rsidR="0002028C" w:rsidRPr="000100FC" w:rsidRDefault="0002028C" w:rsidP="0002028C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EQC approved the last new facility certification under </w:t>
            </w:r>
            <w:r w:rsidRPr="0002028C">
              <w:rPr>
                <w:rFonts w:ascii="Times New Roman" w:hAnsi="Times New Roman"/>
                <w:szCs w:val="24"/>
              </w:rPr>
              <w:t>ORS 468.150-190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 and asked DEQ to take over certificate administration in 2009. </w:t>
            </w:r>
            <w:r w:rsidR="00DA1310">
              <w:rPr>
                <w:rFonts w:ascii="Times New Roman" w:hAnsi="Times New Roman"/>
                <w:color w:val="000000"/>
                <w:szCs w:val="24"/>
              </w:rPr>
              <w:t xml:space="preserve">Responsibility for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certificate administration </w:t>
            </w:r>
            <w:r w:rsidR="00DA1310">
              <w:rPr>
                <w:rFonts w:ascii="Times New Roman" w:hAnsi="Times New Roman"/>
                <w:color w:val="000000"/>
                <w:szCs w:val="24"/>
              </w:rPr>
              <w:t xml:space="preserve">continues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through 2018 </w:t>
            </w:r>
            <w:r w:rsidR="00DA1310">
              <w:rPr>
                <w:rFonts w:ascii="Times New Roman" w:hAnsi="Times New Roman"/>
                <w:color w:val="000000"/>
                <w:szCs w:val="24"/>
              </w:rPr>
              <w:t xml:space="preserve">and reporting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>responsibilit</w:t>
            </w:r>
            <w:r w:rsidR="00DA1310">
              <w:rPr>
                <w:rFonts w:ascii="Times New Roman" w:hAnsi="Times New Roman"/>
                <w:color w:val="000000"/>
                <w:szCs w:val="24"/>
              </w:rPr>
              <w:t xml:space="preserve">ies continues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>through 2023. Certificate administration includes certificate transfers, reissuance, revocations or reinstatements after a certificate holder sells a pollution control facility, changes their legal name or changes the facility’s operating status.</w:t>
            </w:r>
          </w:p>
          <w:p w:rsidR="0002028C" w:rsidRPr="0002028C" w:rsidRDefault="0002028C" w:rsidP="0002028C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0100FC" w:rsidRDefault="0002028C" w:rsidP="0002028C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E7AE1">
              <w:rPr>
                <w:rFonts w:ascii="Times New Roman" w:hAnsi="Times New Roman"/>
                <w:color w:val="000000"/>
                <w:szCs w:val="24"/>
                <w:u w:val="single"/>
              </w:rPr>
              <w:t>Pollution prevention tax credit</w:t>
            </w:r>
            <w:r w:rsidR="005E7AE1">
              <w:rPr>
                <w:rFonts w:ascii="Times New Roman" w:hAnsi="Times New Roman"/>
                <w:color w:val="000000"/>
                <w:szCs w:val="24"/>
                <w:u w:val="single"/>
              </w:rPr>
              <w:t>s</w:t>
            </w:r>
            <w:r w:rsidRPr="0002028C">
              <w:rPr>
                <w:rFonts w:ascii="Times New Roman" w:hAnsi="Times New Roman"/>
                <w:b/>
                <w:color w:val="000000"/>
                <w:szCs w:val="24"/>
              </w:rPr>
              <w:tab/>
            </w:r>
          </w:p>
          <w:p w:rsidR="0002028C" w:rsidRPr="0002028C" w:rsidRDefault="0002028C" w:rsidP="0002028C">
            <w:pPr>
              <w:rPr>
                <w:rFonts w:ascii="Times New Roman" w:hAnsi="Times New Roman"/>
                <w:color w:val="000000"/>
                <w:szCs w:val="24"/>
              </w:rPr>
            </w:pP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After the </w:t>
            </w:r>
            <w:r w:rsidR="00854509">
              <w:rPr>
                <w:rFonts w:ascii="Times New Roman" w:hAnsi="Times New Roman"/>
                <w:color w:val="000000"/>
                <w:szCs w:val="24"/>
              </w:rPr>
              <w:t>four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-year pilot project </w:t>
            </w:r>
            <w:r w:rsidR="00854509">
              <w:rPr>
                <w:rFonts w:ascii="Times New Roman" w:hAnsi="Times New Roman"/>
                <w:color w:val="000000"/>
                <w:szCs w:val="24"/>
              </w:rPr>
              <w:t>ended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854509" w:rsidRPr="0002028C">
              <w:rPr>
                <w:rFonts w:ascii="Times New Roman" w:hAnsi="Times New Roman"/>
                <w:color w:val="000000"/>
                <w:szCs w:val="24"/>
              </w:rPr>
              <w:t>Dec</w:t>
            </w:r>
            <w:r w:rsidR="00854509">
              <w:rPr>
                <w:rFonts w:ascii="Times New Roman" w:hAnsi="Times New Roman"/>
                <w:color w:val="000000"/>
                <w:szCs w:val="24"/>
              </w:rPr>
              <w:t>.</w:t>
            </w:r>
            <w:r w:rsidR="00854509" w:rsidRPr="0002028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>31, 1999, EQC issued the last tax credit certificate in</w:t>
            </w:r>
            <w:r w:rsidR="00DA131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2000 under </w:t>
            </w:r>
            <w:r w:rsidRPr="0002028C">
              <w:rPr>
                <w:rFonts w:ascii="Times New Roman" w:hAnsi="Times New Roman"/>
                <w:szCs w:val="24"/>
              </w:rPr>
              <w:t>ORS 468A.095 through 468A.098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. Certificate holders could claim the credit over </w:t>
            </w:r>
            <w:r w:rsidR="00854509">
              <w:rPr>
                <w:rFonts w:ascii="Times New Roman" w:hAnsi="Times New Roman"/>
                <w:color w:val="000000"/>
                <w:szCs w:val="24"/>
              </w:rPr>
              <w:t>five</w:t>
            </w:r>
            <w:r w:rsidR="00854509" w:rsidRPr="0002028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years and </w:t>
            </w:r>
            <w:r w:rsidRPr="0002028C">
              <w:rPr>
                <w:rFonts w:ascii="Times New Roman" w:hAnsi="Times New Roman"/>
                <w:szCs w:val="24"/>
              </w:rPr>
              <w:t>ORS 315.311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 provided a </w:t>
            </w:r>
            <w:r w:rsidR="00854509">
              <w:rPr>
                <w:rFonts w:ascii="Times New Roman" w:hAnsi="Times New Roman"/>
                <w:color w:val="000000"/>
                <w:szCs w:val="24"/>
              </w:rPr>
              <w:t>four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-year carry forward of any unused credits. The last year to claim unused credits was 2008. </w:t>
            </w:r>
          </w:p>
          <w:p w:rsidR="0002028C" w:rsidRPr="0002028C" w:rsidRDefault="0002028C" w:rsidP="0002028C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0100FC" w:rsidRDefault="0002028C" w:rsidP="0002028C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E7AE1">
              <w:rPr>
                <w:rFonts w:ascii="Times New Roman" w:hAnsi="Times New Roman"/>
                <w:color w:val="000000"/>
                <w:szCs w:val="24"/>
                <w:u w:val="single"/>
              </w:rPr>
              <w:t>Truck engine tax credit</w:t>
            </w:r>
            <w:r w:rsidR="005E7AE1">
              <w:rPr>
                <w:rFonts w:ascii="Times New Roman" w:hAnsi="Times New Roman"/>
                <w:color w:val="000000"/>
                <w:szCs w:val="24"/>
                <w:u w:val="single"/>
              </w:rPr>
              <w:t>s</w:t>
            </w:r>
            <w:r w:rsidRPr="0002028C">
              <w:rPr>
                <w:rFonts w:ascii="Times New Roman" w:hAnsi="Times New Roman"/>
                <w:b/>
                <w:color w:val="000000"/>
                <w:szCs w:val="24"/>
              </w:rPr>
              <w:tab/>
            </w:r>
            <w:r w:rsidR="005E7AE1">
              <w:rPr>
                <w:rFonts w:ascii="Times New Roman" w:hAnsi="Times New Roman"/>
                <w:b/>
                <w:color w:val="000000"/>
                <w:szCs w:val="24"/>
              </w:rPr>
              <w:tab/>
            </w:r>
          </w:p>
          <w:p w:rsidR="00E107AC" w:rsidRPr="0002028C" w:rsidRDefault="0002028C" w:rsidP="0002028C">
            <w:pPr>
              <w:rPr>
                <w:spacing w:val="-3"/>
              </w:rPr>
            </w:pP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The rules do not align with </w:t>
            </w:r>
            <w:r w:rsidR="009F73EC">
              <w:rPr>
                <w:rFonts w:ascii="Times New Roman" w:hAnsi="Times New Roman"/>
                <w:color w:val="000000"/>
                <w:szCs w:val="24"/>
              </w:rPr>
              <w:t xml:space="preserve">the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>2009</w:t>
            </w:r>
            <w:r w:rsidR="009F73EC">
              <w:rPr>
                <w:rFonts w:ascii="Times New Roman" w:hAnsi="Times New Roman"/>
                <w:color w:val="000000"/>
                <w:szCs w:val="24"/>
              </w:rPr>
              <w:t xml:space="preserve"> law that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>extend</w:t>
            </w:r>
            <w:r w:rsidR="009F73EC">
              <w:rPr>
                <w:rFonts w:ascii="Times New Roman" w:hAnsi="Times New Roman"/>
                <w:color w:val="000000"/>
                <w:szCs w:val="24"/>
              </w:rPr>
              <w:t>ed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 new truck engine certification to </w:t>
            </w:r>
            <w:r w:rsidR="00854509" w:rsidRPr="0002028C">
              <w:rPr>
                <w:rFonts w:ascii="Times New Roman" w:hAnsi="Times New Roman"/>
                <w:color w:val="000000"/>
                <w:szCs w:val="24"/>
              </w:rPr>
              <w:t>Dec</w:t>
            </w:r>
            <w:r w:rsidR="00854509">
              <w:rPr>
                <w:rFonts w:ascii="Times New Roman" w:hAnsi="Times New Roman"/>
                <w:color w:val="000000"/>
                <w:szCs w:val="24"/>
              </w:rPr>
              <w:t>.</w:t>
            </w:r>
            <w:r w:rsidR="00854509" w:rsidRPr="0002028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31, 2013. Chapter 618, Oregon Laws 2003 is in a legislative note after </w:t>
            </w:r>
            <w:r w:rsidRPr="0002028C">
              <w:rPr>
                <w:rFonts w:ascii="Times New Roman" w:hAnsi="Times New Roman"/>
                <w:szCs w:val="24"/>
              </w:rPr>
              <w:t xml:space="preserve">ORS 315.356 </w:t>
            </w:r>
            <w:r w:rsidRPr="0002028C">
              <w:rPr>
                <w:rFonts w:ascii="Times New Roman" w:hAnsi="Times New Roman"/>
                <w:color w:val="000000"/>
                <w:szCs w:val="24"/>
              </w:rPr>
              <w:t xml:space="preserve">rather than in statute. </w:t>
            </w:r>
          </w:p>
        </w:tc>
      </w:tr>
      <w:tr w:rsidR="00B74693" w:rsidRPr="002A0BC4" w:rsidTr="00854509">
        <w:tc>
          <w:tcPr>
            <w:tcW w:w="1728" w:type="dxa"/>
          </w:tcPr>
          <w:p w:rsidR="003B38DC" w:rsidRDefault="003B38DC" w:rsidP="00B7469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74693" w:rsidRDefault="000100FC" w:rsidP="00B7469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Public p</w:t>
            </w:r>
            <w:r w:rsidR="00B74693">
              <w:rPr>
                <w:rFonts w:ascii="Times New Roman" w:hAnsi="Times New Roman"/>
                <w:b/>
                <w:spacing w:val="-3"/>
                <w:sz w:val="22"/>
              </w:rPr>
              <w:t>articipation</w:t>
            </w:r>
          </w:p>
          <w:p w:rsidR="00B74693" w:rsidRPr="002A0BC4" w:rsidRDefault="00B74693" w:rsidP="00B7469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380" w:type="dxa"/>
          </w:tcPr>
          <w:p w:rsidR="003B38DC" w:rsidRDefault="003B38DC" w:rsidP="00375B9F">
            <w:pPr>
              <w:pStyle w:val="BlockText"/>
              <w:rPr>
                <w:szCs w:val="24"/>
              </w:rPr>
            </w:pPr>
          </w:p>
          <w:p w:rsidR="00B74693" w:rsidRDefault="00154E38" w:rsidP="00375B9F">
            <w:pPr>
              <w:pStyle w:val="BlockText"/>
              <w:rPr>
                <w:szCs w:val="24"/>
              </w:rPr>
            </w:pPr>
            <w:r>
              <w:rPr>
                <w:szCs w:val="24"/>
              </w:rPr>
              <w:t xml:space="preserve">This is a minor housekeeping and streamlining rulemaking; therefore, </w:t>
            </w:r>
            <w:r w:rsidR="00B74693">
              <w:rPr>
                <w:szCs w:val="24"/>
              </w:rPr>
              <w:t xml:space="preserve">DEQ did not hold a public hearing. The Secretary of State published </w:t>
            </w:r>
            <w:r w:rsidR="006F4588">
              <w:rPr>
                <w:szCs w:val="24"/>
              </w:rPr>
              <w:t xml:space="preserve">public </w:t>
            </w:r>
            <w:r w:rsidR="00B74693">
              <w:rPr>
                <w:szCs w:val="24"/>
              </w:rPr>
              <w:t xml:space="preserve">notice of the proposed rulemaking in the </w:t>
            </w:r>
            <w:r w:rsidR="00854509">
              <w:rPr>
                <w:szCs w:val="24"/>
              </w:rPr>
              <w:t xml:space="preserve">Oct. </w:t>
            </w:r>
            <w:r w:rsidR="00B74693">
              <w:rPr>
                <w:szCs w:val="24"/>
              </w:rPr>
              <w:t>1</w:t>
            </w:r>
            <w:r w:rsidR="006F4588">
              <w:rPr>
                <w:szCs w:val="24"/>
              </w:rPr>
              <w:t>, 2010</w:t>
            </w:r>
            <w:r w:rsidR="00854509">
              <w:rPr>
                <w:szCs w:val="24"/>
              </w:rPr>
              <w:t>,</w:t>
            </w:r>
            <w:r w:rsidR="00B74693">
              <w:rPr>
                <w:szCs w:val="24"/>
              </w:rPr>
              <w:t xml:space="preserve"> </w:t>
            </w:r>
            <w:r w:rsidR="00B74693" w:rsidRPr="00B74693">
              <w:rPr>
                <w:i/>
                <w:szCs w:val="24"/>
              </w:rPr>
              <w:t>Bulletin</w:t>
            </w:r>
            <w:r w:rsidR="0052145B">
              <w:rPr>
                <w:szCs w:val="24"/>
              </w:rPr>
              <w:t xml:space="preserve"> and</w:t>
            </w:r>
            <w:r w:rsidR="00375B9F">
              <w:rPr>
                <w:szCs w:val="24"/>
              </w:rPr>
              <w:t xml:space="preserve"> D</w:t>
            </w:r>
            <w:r w:rsidR="00B74693">
              <w:rPr>
                <w:szCs w:val="24"/>
              </w:rPr>
              <w:t>EQ noti</w:t>
            </w:r>
            <w:r w:rsidR="00375B9F">
              <w:rPr>
                <w:szCs w:val="24"/>
              </w:rPr>
              <w:t xml:space="preserve">fied interested parties about the rulemaking by mail and through </w:t>
            </w:r>
            <w:r w:rsidR="00375B9F" w:rsidRPr="00375B9F">
              <w:rPr>
                <w:bCs/>
                <w:szCs w:val="24"/>
              </w:rPr>
              <w:t>GovDelivery</w:t>
            </w:r>
            <w:r w:rsidR="00375B9F" w:rsidRPr="00375B9F">
              <w:rPr>
                <w:szCs w:val="24"/>
              </w:rPr>
              <w:t>® Email</w:t>
            </w:r>
            <w:r w:rsidR="00375B9F">
              <w:rPr>
                <w:szCs w:val="24"/>
              </w:rPr>
              <w:t>. The public comment period closed Oct</w:t>
            </w:r>
            <w:r w:rsidR="00854509">
              <w:rPr>
                <w:szCs w:val="24"/>
              </w:rPr>
              <w:t>.</w:t>
            </w:r>
            <w:r w:rsidR="00375B9F">
              <w:rPr>
                <w:szCs w:val="24"/>
              </w:rPr>
              <w:t xml:space="preserve"> 25, 2010. DEQ did not receive any comments. </w:t>
            </w:r>
          </w:p>
          <w:p w:rsidR="00375B9F" w:rsidRDefault="00375B9F" w:rsidP="00375B9F">
            <w:pPr>
              <w:pStyle w:val="BlockText"/>
              <w:rPr>
                <w:szCs w:val="24"/>
              </w:rPr>
            </w:pPr>
          </w:p>
        </w:tc>
      </w:tr>
      <w:tr w:rsidR="00E107AC" w:rsidRPr="002A0BC4" w:rsidTr="00854509">
        <w:tc>
          <w:tcPr>
            <w:tcW w:w="1728" w:type="dxa"/>
          </w:tcPr>
          <w:p w:rsidR="00E107AC" w:rsidRPr="002A0BC4" w:rsidRDefault="000100F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1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DEQ r</w:t>
            </w:r>
            <w:r w:rsidR="00E107AC" w:rsidRPr="002A0BC4">
              <w:rPr>
                <w:rFonts w:ascii="Times New Roman" w:hAnsi="Times New Roman"/>
                <w:b/>
                <w:spacing w:val="-3"/>
                <w:sz w:val="21"/>
              </w:rPr>
              <w:t>ecommendation</w:t>
            </w:r>
            <w:r>
              <w:rPr>
                <w:rFonts w:ascii="Times New Roman" w:hAnsi="Times New Roman"/>
                <w:b/>
                <w:spacing w:val="-3"/>
                <w:sz w:val="21"/>
              </w:rPr>
              <w:t xml:space="preserve"> and EQC motion</w:t>
            </w:r>
          </w:p>
          <w:p w:rsidR="00E107AC" w:rsidRPr="002A0BC4" w:rsidRDefault="00E107A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380" w:type="dxa"/>
          </w:tcPr>
          <w:p w:rsidR="0002028C" w:rsidRDefault="0002028C" w:rsidP="0002028C">
            <w:pPr>
              <w:pStyle w:val="BlockText"/>
              <w:rPr>
                <w:szCs w:val="24"/>
              </w:rPr>
            </w:pPr>
            <w:r>
              <w:rPr>
                <w:szCs w:val="24"/>
              </w:rPr>
              <w:t xml:space="preserve">DEQ recommends </w:t>
            </w:r>
            <w:r w:rsidR="00854509">
              <w:rPr>
                <w:szCs w:val="24"/>
              </w:rPr>
              <w:t>that the commission</w:t>
            </w:r>
            <w:r>
              <w:rPr>
                <w:szCs w:val="24"/>
              </w:rPr>
              <w:t>:</w:t>
            </w:r>
          </w:p>
          <w:p w:rsidR="0052145B" w:rsidRDefault="0052145B" w:rsidP="0002028C">
            <w:pPr>
              <w:pStyle w:val="BlockText"/>
              <w:rPr>
                <w:szCs w:val="24"/>
              </w:rPr>
            </w:pPr>
          </w:p>
          <w:p w:rsidR="0002028C" w:rsidRPr="0052145B" w:rsidRDefault="0002028C" w:rsidP="0002028C">
            <w:pPr>
              <w:pStyle w:val="BlockText"/>
              <w:numPr>
                <w:ilvl w:val="0"/>
                <w:numId w:val="22"/>
              </w:numPr>
              <w:ind w:left="342"/>
              <w:rPr>
                <w:color w:val="000000"/>
                <w:szCs w:val="24"/>
                <w:u w:val="single"/>
              </w:rPr>
            </w:pPr>
            <w:r w:rsidRPr="00B418BB">
              <w:rPr>
                <w:szCs w:val="24"/>
              </w:rPr>
              <w:t>A</w:t>
            </w:r>
            <w:r w:rsidR="0052145B">
              <w:rPr>
                <w:szCs w:val="24"/>
              </w:rPr>
              <w:t xml:space="preserve">mend OAR 340-016-0080 </w:t>
            </w:r>
            <w:r w:rsidRPr="00B418BB">
              <w:rPr>
                <w:szCs w:val="24"/>
              </w:rPr>
              <w:t>and a</w:t>
            </w:r>
            <w:r w:rsidR="0052145B">
              <w:rPr>
                <w:szCs w:val="24"/>
              </w:rPr>
              <w:t xml:space="preserve">dopt OAR 340-016-0088 </w:t>
            </w:r>
            <w:r w:rsidR="009F73EC">
              <w:rPr>
                <w:szCs w:val="24"/>
              </w:rPr>
              <w:t xml:space="preserve">to </w:t>
            </w:r>
            <w:r w:rsidR="006F4588">
              <w:rPr>
                <w:szCs w:val="24"/>
              </w:rPr>
              <w:t>allow DEQ to perform</w:t>
            </w:r>
            <w:r w:rsidR="009F73EC">
              <w:rPr>
                <w:szCs w:val="24"/>
              </w:rPr>
              <w:t xml:space="preserve"> </w:t>
            </w:r>
            <w:r w:rsidRPr="00B418BB">
              <w:rPr>
                <w:szCs w:val="24"/>
              </w:rPr>
              <w:t>pollution control tax credit</w:t>
            </w:r>
            <w:r w:rsidR="009F73EC">
              <w:rPr>
                <w:szCs w:val="24"/>
              </w:rPr>
              <w:t xml:space="preserve"> certificate </w:t>
            </w:r>
            <w:r w:rsidR="006F4588">
              <w:rPr>
                <w:szCs w:val="24"/>
              </w:rPr>
              <w:t>a</w:t>
            </w:r>
            <w:r w:rsidR="009F73EC">
              <w:rPr>
                <w:szCs w:val="24"/>
              </w:rPr>
              <w:t xml:space="preserve">dministration </w:t>
            </w:r>
            <w:r w:rsidR="006F4588">
              <w:rPr>
                <w:szCs w:val="24"/>
              </w:rPr>
              <w:t>tasks</w:t>
            </w:r>
            <w:r w:rsidR="005A57C5">
              <w:rPr>
                <w:szCs w:val="24"/>
              </w:rPr>
              <w:t>,</w:t>
            </w:r>
          </w:p>
          <w:p w:rsidR="0052145B" w:rsidRPr="00B418BB" w:rsidRDefault="0052145B" w:rsidP="0052145B">
            <w:pPr>
              <w:pStyle w:val="BlockText"/>
              <w:ind w:left="342"/>
              <w:rPr>
                <w:color w:val="000000"/>
                <w:szCs w:val="24"/>
                <w:u w:val="single"/>
              </w:rPr>
            </w:pPr>
          </w:p>
          <w:p w:rsidR="0052145B" w:rsidRPr="00DA507C" w:rsidRDefault="0052145B" w:rsidP="0052145B">
            <w:pPr>
              <w:pStyle w:val="ListParagraph"/>
              <w:numPr>
                <w:ilvl w:val="0"/>
                <w:numId w:val="22"/>
              </w:numPr>
              <w:ind w:left="360"/>
              <w:rPr>
                <w:color w:val="000000"/>
                <w:szCs w:val="24"/>
                <w:u w:val="single"/>
              </w:rPr>
            </w:pPr>
            <w:r w:rsidRPr="00DA507C">
              <w:rPr>
                <w:color w:val="000000"/>
                <w:szCs w:val="24"/>
              </w:rPr>
              <w:t>R</w:t>
            </w:r>
            <w:r w:rsidR="0002028C" w:rsidRPr="00DA507C">
              <w:rPr>
                <w:color w:val="000000"/>
                <w:szCs w:val="24"/>
              </w:rPr>
              <w:t xml:space="preserve">epeal </w:t>
            </w:r>
            <w:r w:rsidRPr="00DA507C">
              <w:rPr>
                <w:color w:val="000000"/>
                <w:szCs w:val="24"/>
              </w:rPr>
              <w:t xml:space="preserve">OAR 340-016-0100 through 340-016-0150 for </w:t>
            </w:r>
            <w:r w:rsidR="0002028C" w:rsidRPr="00DA507C">
              <w:rPr>
                <w:color w:val="000000"/>
                <w:szCs w:val="24"/>
              </w:rPr>
              <w:t>the pollution prevention tax credit pilot program</w:t>
            </w:r>
            <w:r w:rsidR="00DA507C">
              <w:rPr>
                <w:color w:val="000000"/>
                <w:szCs w:val="24"/>
              </w:rPr>
              <w:t xml:space="preserve">, and </w:t>
            </w:r>
          </w:p>
          <w:p w:rsidR="00DA507C" w:rsidRPr="00DA507C" w:rsidRDefault="00DA507C" w:rsidP="00DA507C">
            <w:pPr>
              <w:pStyle w:val="ListParagraph"/>
              <w:rPr>
                <w:color w:val="000000"/>
                <w:szCs w:val="24"/>
                <w:u w:val="single"/>
              </w:rPr>
            </w:pPr>
          </w:p>
          <w:p w:rsidR="00B418BB" w:rsidRPr="00375B9F" w:rsidRDefault="0002028C" w:rsidP="009F73EC">
            <w:pPr>
              <w:pStyle w:val="ListParagraph"/>
              <w:numPr>
                <w:ilvl w:val="0"/>
                <w:numId w:val="22"/>
              </w:numPr>
              <w:ind w:left="360"/>
              <w:rPr>
                <w:color w:val="000000"/>
                <w:szCs w:val="24"/>
                <w:u w:val="single"/>
              </w:rPr>
            </w:pPr>
            <w:r w:rsidRPr="00B418BB">
              <w:rPr>
                <w:color w:val="000000"/>
                <w:szCs w:val="24"/>
              </w:rPr>
              <w:t xml:space="preserve">Amend </w:t>
            </w:r>
            <w:r w:rsidR="00DA507C">
              <w:rPr>
                <w:color w:val="000000"/>
                <w:szCs w:val="24"/>
              </w:rPr>
              <w:t>OAR 340-016-0</w:t>
            </w:r>
            <w:r w:rsidR="009F73EC">
              <w:rPr>
                <w:color w:val="000000"/>
                <w:szCs w:val="24"/>
              </w:rPr>
              <w:t xml:space="preserve">210 for the </w:t>
            </w:r>
            <w:r w:rsidRPr="005A57C5">
              <w:rPr>
                <w:color w:val="000000"/>
                <w:szCs w:val="24"/>
              </w:rPr>
              <w:t>truck engine tax credit</w:t>
            </w:r>
            <w:r w:rsidR="009F73EC" w:rsidRPr="005A57C5">
              <w:rPr>
                <w:color w:val="000000"/>
                <w:szCs w:val="24"/>
              </w:rPr>
              <w:t>s</w:t>
            </w:r>
            <w:r w:rsidRPr="00B418BB">
              <w:rPr>
                <w:color w:val="000000"/>
                <w:szCs w:val="24"/>
              </w:rPr>
              <w:t xml:space="preserve"> </w:t>
            </w:r>
            <w:r w:rsidR="009F73EC">
              <w:rPr>
                <w:color w:val="000000"/>
                <w:szCs w:val="24"/>
              </w:rPr>
              <w:t>program</w:t>
            </w:r>
            <w:r w:rsidR="005A57C5">
              <w:rPr>
                <w:color w:val="000000"/>
                <w:szCs w:val="24"/>
              </w:rPr>
              <w:t xml:space="preserve"> to align with the 2009 law.</w:t>
            </w:r>
            <w:r w:rsidR="009F73EC">
              <w:rPr>
                <w:color w:val="000000"/>
                <w:szCs w:val="24"/>
              </w:rPr>
              <w:t xml:space="preserve"> </w:t>
            </w:r>
            <w:r w:rsidRPr="00B418BB">
              <w:rPr>
                <w:color w:val="000000"/>
                <w:szCs w:val="24"/>
              </w:rPr>
              <w:t xml:space="preserve"> </w:t>
            </w:r>
          </w:p>
        </w:tc>
      </w:tr>
      <w:tr w:rsidR="00B74693" w:rsidRPr="002A0BC4" w:rsidTr="00854509">
        <w:tc>
          <w:tcPr>
            <w:tcW w:w="1728" w:type="dxa"/>
          </w:tcPr>
          <w:p w:rsidR="00B74693" w:rsidRPr="002A0BC4" w:rsidRDefault="00B74693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380" w:type="dxa"/>
          </w:tcPr>
          <w:p w:rsidR="00B74693" w:rsidRDefault="00B74693" w:rsidP="0002028C">
            <w:pPr>
              <w:pStyle w:val="BlockText"/>
              <w:rPr>
                <w:szCs w:val="24"/>
              </w:rPr>
            </w:pPr>
          </w:p>
        </w:tc>
      </w:tr>
      <w:tr w:rsidR="00E107AC" w:rsidRPr="002A0BC4" w:rsidTr="00854509">
        <w:trPr>
          <w:trHeight w:val="882"/>
        </w:trPr>
        <w:tc>
          <w:tcPr>
            <w:tcW w:w="1728" w:type="dxa"/>
          </w:tcPr>
          <w:p w:rsidR="00E107AC" w:rsidRPr="002A0BC4" w:rsidRDefault="000100FC" w:rsidP="00FC01D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EQC action a</w:t>
            </w:r>
            <w:r w:rsidR="00E107AC" w:rsidRPr="002A0BC4">
              <w:rPr>
                <w:rFonts w:ascii="Times New Roman" w:hAnsi="Times New Roman"/>
                <w:b/>
                <w:spacing w:val="-3"/>
                <w:sz w:val="22"/>
              </w:rPr>
              <w:t>lternatives</w:t>
            </w:r>
          </w:p>
        </w:tc>
        <w:tc>
          <w:tcPr>
            <w:tcW w:w="7380" w:type="dxa"/>
          </w:tcPr>
          <w:p w:rsidR="00941284" w:rsidRDefault="00E107AC">
            <w:pPr>
              <w:tabs>
                <w:tab w:val="left" w:pos="-1440"/>
                <w:tab w:val="left" w:pos="-720"/>
                <w:tab w:val="left" w:pos="90"/>
                <w:tab w:val="left" w:pos="2862"/>
              </w:tabs>
              <w:suppressAutoHyphens/>
              <w:spacing w:after="200"/>
              <w:rPr>
                <w:rFonts w:ascii="Times New Roman" w:hAnsi="Times New Roman"/>
              </w:rPr>
            </w:pPr>
            <w:r w:rsidRPr="002A0BC4">
              <w:rPr>
                <w:rFonts w:ascii="Times New Roman" w:hAnsi="Times New Roman"/>
                <w:szCs w:val="24"/>
              </w:rPr>
              <w:t xml:space="preserve">EQC may postpone </w:t>
            </w:r>
            <w:r w:rsidR="00FC01D4">
              <w:rPr>
                <w:rFonts w:ascii="Times New Roman" w:hAnsi="Times New Roman"/>
                <w:szCs w:val="24"/>
              </w:rPr>
              <w:t>t</w:t>
            </w:r>
            <w:r w:rsidR="00B74693">
              <w:rPr>
                <w:rFonts w:ascii="Times New Roman" w:hAnsi="Times New Roman"/>
                <w:szCs w:val="24"/>
              </w:rPr>
              <w:t xml:space="preserve">aking action on any one tax credit program if </w:t>
            </w:r>
            <w:r w:rsidR="000100FC">
              <w:rPr>
                <w:rFonts w:ascii="Times New Roman" w:hAnsi="Times New Roman"/>
                <w:szCs w:val="24"/>
              </w:rPr>
              <w:t xml:space="preserve">commissioners </w:t>
            </w:r>
            <w:r w:rsidR="00154E38">
              <w:rPr>
                <w:rFonts w:ascii="Times New Roman" w:hAnsi="Times New Roman"/>
                <w:szCs w:val="24"/>
              </w:rPr>
              <w:t xml:space="preserve">would like </w:t>
            </w:r>
            <w:r w:rsidR="00B74693">
              <w:rPr>
                <w:rFonts w:ascii="Times New Roman" w:hAnsi="Times New Roman"/>
                <w:szCs w:val="24"/>
              </w:rPr>
              <w:t xml:space="preserve">additional </w:t>
            </w:r>
            <w:r w:rsidRPr="002A0BC4">
              <w:rPr>
                <w:rFonts w:ascii="Times New Roman" w:hAnsi="Times New Roman"/>
                <w:szCs w:val="24"/>
              </w:rPr>
              <w:t>information</w:t>
            </w:r>
            <w:r w:rsidR="00FC01D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107AC" w:rsidRPr="002A0BC4" w:rsidTr="00854509">
        <w:trPr>
          <w:trHeight w:val="558"/>
        </w:trPr>
        <w:tc>
          <w:tcPr>
            <w:tcW w:w="1728" w:type="dxa"/>
          </w:tcPr>
          <w:p w:rsidR="00E107AC" w:rsidRPr="002A0BC4" w:rsidRDefault="000100F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A</w:t>
            </w:r>
            <w:r w:rsidR="00E107AC" w:rsidRPr="002A0BC4">
              <w:rPr>
                <w:rFonts w:ascii="Times New Roman" w:hAnsi="Times New Roman"/>
                <w:b/>
                <w:spacing w:val="-3"/>
                <w:sz w:val="22"/>
              </w:rPr>
              <w:t>ttachments</w:t>
            </w:r>
          </w:p>
        </w:tc>
        <w:tc>
          <w:tcPr>
            <w:tcW w:w="7380" w:type="dxa"/>
          </w:tcPr>
          <w:p w:rsidR="00E107AC" w:rsidRDefault="000100FC" w:rsidP="00B74693">
            <w:pPr>
              <w:pStyle w:val="EndnoteText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A. </w:t>
            </w:r>
            <w:r w:rsidR="00B74693">
              <w:rPr>
                <w:rFonts w:ascii="Times New Roman" w:hAnsi="Times New Roman"/>
                <w:szCs w:val="24"/>
              </w:rPr>
              <w:t xml:space="preserve">Division 16 </w:t>
            </w:r>
            <w:r w:rsidR="00854509">
              <w:rPr>
                <w:rFonts w:ascii="Times New Roman" w:hAnsi="Times New Roman"/>
                <w:szCs w:val="24"/>
              </w:rPr>
              <w:t>r</w:t>
            </w:r>
            <w:r w:rsidR="00B74693">
              <w:rPr>
                <w:rFonts w:ascii="Times New Roman" w:hAnsi="Times New Roman"/>
                <w:szCs w:val="24"/>
              </w:rPr>
              <w:t>edline/</w:t>
            </w:r>
            <w:r w:rsidR="00854509">
              <w:rPr>
                <w:rFonts w:ascii="Times New Roman" w:hAnsi="Times New Roman"/>
                <w:szCs w:val="24"/>
              </w:rPr>
              <w:t>s</w:t>
            </w:r>
            <w:r w:rsidR="00B74693">
              <w:rPr>
                <w:rFonts w:ascii="Times New Roman" w:hAnsi="Times New Roman"/>
                <w:szCs w:val="24"/>
              </w:rPr>
              <w:t xml:space="preserve">trikeout </w:t>
            </w:r>
            <w:r w:rsidR="00854509">
              <w:rPr>
                <w:rFonts w:ascii="Times New Roman" w:hAnsi="Times New Roman"/>
                <w:szCs w:val="24"/>
              </w:rPr>
              <w:t>r</w:t>
            </w:r>
            <w:r w:rsidR="00B74693">
              <w:rPr>
                <w:rFonts w:ascii="Times New Roman" w:hAnsi="Times New Roman"/>
                <w:szCs w:val="24"/>
              </w:rPr>
              <w:t>ule</w:t>
            </w:r>
          </w:p>
          <w:p w:rsidR="00B74693" w:rsidRDefault="00B74693" w:rsidP="00B74693">
            <w:pPr>
              <w:pStyle w:val="EndnoteText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  <w:r w:rsidR="000100FC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Statement of Need and Fiscal and Economic Impact</w:t>
            </w:r>
          </w:p>
          <w:p w:rsidR="00375B9F" w:rsidRDefault="000100FC" w:rsidP="00B74693">
            <w:pPr>
              <w:pStyle w:val="EndnoteText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C. </w:t>
            </w:r>
            <w:r w:rsidR="00375B9F">
              <w:rPr>
                <w:rFonts w:ascii="Times New Roman" w:hAnsi="Times New Roman"/>
                <w:szCs w:val="24"/>
              </w:rPr>
              <w:t>Relationship to Federal Requirements</w:t>
            </w:r>
          </w:p>
          <w:p w:rsidR="00375B9F" w:rsidRDefault="00375B9F" w:rsidP="00B74693">
            <w:pPr>
              <w:pStyle w:val="EndnoteText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0100FC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Land Use Statement</w:t>
            </w:r>
          </w:p>
          <w:p w:rsidR="00B74693" w:rsidRPr="0018579D" w:rsidDel="0072022B" w:rsidRDefault="00B74693" w:rsidP="00B74693">
            <w:pPr>
              <w:pStyle w:val="EndnoteText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E107AC" w:rsidRPr="002A0BC4" w:rsidTr="00854509">
        <w:trPr>
          <w:trHeight w:val="747"/>
        </w:trPr>
        <w:tc>
          <w:tcPr>
            <w:tcW w:w="1728" w:type="dxa"/>
          </w:tcPr>
          <w:p w:rsidR="00E107AC" w:rsidRPr="002A0BC4" w:rsidRDefault="000100F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Available u</w:t>
            </w:r>
            <w:r w:rsidR="00E107AC" w:rsidRPr="002A0BC4">
              <w:rPr>
                <w:rFonts w:ascii="Times New Roman" w:hAnsi="Times New Roman"/>
                <w:b/>
                <w:spacing w:val="-3"/>
                <w:sz w:val="22"/>
              </w:rPr>
              <w:t xml:space="preserve">pon </w:t>
            </w:r>
          </w:p>
          <w:p w:rsidR="00E107AC" w:rsidRPr="002A0BC4" w:rsidRDefault="000100FC" w:rsidP="002A0BC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r</w:t>
            </w:r>
            <w:r w:rsidR="00E107AC" w:rsidRPr="002A0BC4">
              <w:rPr>
                <w:rFonts w:ascii="Times New Roman" w:hAnsi="Times New Roman"/>
                <w:b/>
                <w:spacing w:val="-3"/>
                <w:sz w:val="22"/>
              </w:rPr>
              <w:t>equest</w:t>
            </w:r>
          </w:p>
        </w:tc>
        <w:tc>
          <w:tcPr>
            <w:tcW w:w="7380" w:type="dxa"/>
          </w:tcPr>
          <w:p w:rsidR="00E107AC" w:rsidRPr="00425556" w:rsidRDefault="00E107AC" w:rsidP="00DA1310">
            <w:pPr>
              <w:tabs>
                <w:tab w:val="left" w:pos="-1440"/>
                <w:tab w:val="left" w:pos="-720"/>
              </w:tabs>
              <w:suppressAutoHyphens/>
            </w:pPr>
            <w:r w:rsidRPr="002A0BC4">
              <w:rPr>
                <w:rFonts w:ascii="Times New Roman" w:hAnsi="Times New Roman"/>
                <w:szCs w:val="24"/>
              </w:rPr>
              <w:t>ORS 468.150 to 468.190</w:t>
            </w:r>
            <w:r w:rsidR="00DA1310">
              <w:rPr>
                <w:rFonts w:ascii="Times New Roman" w:hAnsi="Times New Roman"/>
                <w:szCs w:val="24"/>
              </w:rPr>
              <w:t>;</w:t>
            </w:r>
            <w:r w:rsidR="009F73EC">
              <w:rPr>
                <w:rFonts w:ascii="Times New Roman" w:hAnsi="Times New Roman"/>
                <w:szCs w:val="24"/>
              </w:rPr>
              <w:t xml:space="preserve"> </w:t>
            </w:r>
            <w:r w:rsidR="00DA1310" w:rsidRPr="0002028C">
              <w:rPr>
                <w:rFonts w:ascii="Times New Roman" w:hAnsi="Times New Roman"/>
                <w:szCs w:val="24"/>
              </w:rPr>
              <w:t>ORS 468A.095 through 468A.098</w:t>
            </w:r>
            <w:r w:rsidR="00DA1310">
              <w:rPr>
                <w:rFonts w:ascii="Times New Roman" w:hAnsi="Times New Roman"/>
                <w:szCs w:val="24"/>
              </w:rPr>
              <w:t>;</w:t>
            </w:r>
            <w:r w:rsidR="00DA131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DA1310" w:rsidRPr="0002028C">
              <w:rPr>
                <w:rFonts w:ascii="Times New Roman" w:hAnsi="Times New Roman"/>
                <w:szCs w:val="24"/>
              </w:rPr>
              <w:t xml:space="preserve">ORS </w:t>
            </w:r>
            <w:r w:rsidR="00DA1310">
              <w:rPr>
                <w:rFonts w:ascii="Times New Roman" w:hAnsi="Times New Roman"/>
                <w:szCs w:val="24"/>
              </w:rPr>
              <w:t xml:space="preserve">315.304, </w:t>
            </w:r>
            <w:r w:rsidR="00DA1310" w:rsidRPr="0002028C">
              <w:rPr>
                <w:rFonts w:ascii="Times New Roman" w:hAnsi="Times New Roman"/>
                <w:szCs w:val="24"/>
              </w:rPr>
              <w:t>315.311</w:t>
            </w:r>
            <w:r w:rsidR="00DA1310">
              <w:rPr>
                <w:rFonts w:ascii="Times New Roman" w:hAnsi="Times New Roman"/>
                <w:szCs w:val="24"/>
              </w:rPr>
              <w:t>, 315.</w:t>
            </w:r>
            <w:r w:rsidR="009F73EC" w:rsidRPr="0002028C">
              <w:rPr>
                <w:rFonts w:ascii="Times New Roman" w:hAnsi="Times New Roman"/>
                <w:szCs w:val="24"/>
              </w:rPr>
              <w:t>356</w:t>
            </w:r>
            <w:r w:rsidR="00DA1310">
              <w:rPr>
                <w:rFonts w:ascii="Times New Roman" w:hAnsi="Times New Roman"/>
                <w:szCs w:val="24"/>
              </w:rPr>
              <w:t xml:space="preserve"> and 315.405</w:t>
            </w:r>
            <w:r w:rsidR="009F73EC" w:rsidRPr="0002028C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E107AC" w:rsidRDefault="00E107AC"/>
    <w:p w:rsidR="00E107AC" w:rsidRDefault="000100F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107AC">
        <w:rPr>
          <w:rFonts w:ascii="Times New Roman" w:hAnsi="Times New Roman"/>
        </w:rPr>
        <w:t>Approved:</w:t>
      </w:r>
    </w:p>
    <w:p w:rsidR="00E107AC" w:rsidRDefault="00E107A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E107AC" w:rsidRDefault="000100FC" w:rsidP="000100FC">
      <w:pPr>
        <w:tabs>
          <w:tab w:val="left" w:pos="-1440"/>
          <w:tab w:val="left" w:pos="-720"/>
          <w:tab w:val="left" w:pos="0"/>
          <w:tab w:val="left" w:pos="2880"/>
          <w:tab w:val="left" w:pos="3600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Division: </w:t>
      </w:r>
      <w:r w:rsidR="00E107AC">
        <w:rPr>
          <w:rFonts w:ascii="Times New Roman" w:hAnsi="Times New Roman"/>
        </w:rPr>
        <w:t>___________________________</w:t>
      </w:r>
    </w:p>
    <w:p w:rsidR="00E107AC" w:rsidRDefault="00E107AC" w:rsidP="000100FC">
      <w:pPr>
        <w:tabs>
          <w:tab w:val="left" w:pos="-1440"/>
          <w:tab w:val="left" w:pos="-720"/>
          <w:tab w:val="left" w:pos="0"/>
          <w:tab w:val="left" w:pos="2880"/>
          <w:tab w:val="left" w:pos="3600"/>
        </w:tabs>
        <w:suppressAutoHyphens/>
        <w:ind w:left="5184" w:hanging="5184"/>
        <w:jc w:val="right"/>
        <w:rPr>
          <w:rFonts w:ascii="Times New Roman" w:hAnsi="Times New Roman"/>
        </w:rPr>
      </w:pPr>
    </w:p>
    <w:p w:rsidR="000100FC" w:rsidRDefault="000100FC" w:rsidP="000100FC">
      <w:pPr>
        <w:tabs>
          <w:tab w:val="left" w:pos="-1440"/>
          <w:tab w:val="left" w:pos="-720"/>
          <w:tab w:val="left" w:pos="0"/>
          <w:tab w:val="left" w:pos="2880"/>
          <w:tab w:val="left" w:pos="3600"/>
        </w:tabs>
        <w:suppressAutoHyphens/>
        <w:ind w:left="5184" w:hanging="5184"/>
        <w:jc w:val="right"/>
        <w:rPr>
          <w:rFonts w:ascii="Times New Roman" w:hAnsi="Times New Roman"/>
        </w:rPr>
      </w:pPr>
    </w:p>
    <w:p w:rsidR="000100FC" w:rsidRDefault="00E107AC" w:rsidP="000100FC">
      <w:pPr>
        <w:tabs>
          <w:tab w:val="left" w:pos="-1440"/>
          <w:tab w:val="left" w:pos="-720"/>
          <w:tab w:val="left" w:pos="0"/>
          <w:tab w:val="left" w:pos="2880"/>
          <w:tab w:val="left" w:pos="3600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100FC">
        <w:rPr>
          <w:rFonts w:ascii="Times New Roman" w:hAnsi="Times New Roman"/>
        </w:rPr>
        <w:t xml:space="preserve">Section: </w:t>
      </w:r>
      <w:r>
        <w:rPr>
          <w:rFonts w:ascii="Times New Roman" w:hAnsi="Times New Roman"/>
        </w:rPr>
        <w:t>___________________________</w:t>
      </w:r>
    </w:p>
    <w:p w:rsidR="000100FC" w:rsidRDefault="000100FC" w:rsidP="000100FC">
      <w:pPr>
        <w:tabs>
          <w:tab w:val="left" w:pos="-1440"/>
          <w:tab w:val="left" w:pos="-720"/>
          <w:tab w:val="left" w:pos="0"/>
          <w:tab w:val="left" w:pos="2880"/>
          <w:tab w:val="left" w:pos="3600"/>
        </w:tabs>
        <w:suppressAutoHyphens/>
        <w:ind w:left="5184" w:hanging="5184"/>
        <w:jc w:val="right"/>
        <w:rPr>
          <w:rFonts w:ascii="Times New Roman" w:hAnsi="Times New Roman"/>
        </w:rPr>
      </w:pPr>
    </w:p>
    <w:p w:rsidR="00E107AC" w:rsidRDefault="000100FC" w:rsidP="000100FC">
      <w:pPr>
        <w:tabs>
          <w:tab w:val="left" w:pos="-1440"/>
          <w:tab w:val="left" w:pos="-720"/>
          <w:tab w:val="left" w:pos="0"/>
          <w:tab w:val="left" w:pos="2880"/>
          <w:tab w:val="left" w:pos="3600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 prepared by: </w:t>
      </w:r>
      <w:r w:rsidR="00E107AC">
        <w:rPr>
          <w:rFonts w:ascii="Times New Roman" w:hAnsi="Times New Roman"/>
        </w:rPr>
        <w:t>Maggie Vandehey</w:t>
      </w:r>
    </w:p>
    <w:p w:rsidR="00E107AC" w:rsidRDefault="000100FC" w:rsidP="000100F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</w:pPr>
      <w:r>
        <w:rPr>
          <w:rFonts w:ascii="Times New Roman" w:hAnsi="Times New Roman"/>
        </w:rPr>
        <w:t>Ph</w:t>
      </w:r>
      <w:r w:rsidR="00E107AC">
        <w:rPr>
          <w:rFonts w:ascii="Times New Roman" w:hAnsi="Times New Roman"/>
        </w:rPr>
        <w:t>one: (503) 229-6878</w:t>
      </w:r>
    </w:p>
    <w:sectPr w:rsidR="00E107AC" w:rsidSect="008A2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8DC" w:rsidRDefault="003B38DC">
      <w:r>
        <w:separator/>
      </w:r>
    </w:p>
  </w:endnote>
  <w:endnote w:type="continuationSeparator" w:id="0">
    <w:p w:rsidR="003B38DC" w:rsidRDefault="003B3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A9" w:rsidRDefault="00E618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A9" w:rsidRDefault="00E618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A9" w:rsidRDefault="00E61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8DC" w:rsidRDefault="003B38DC">
      <w:r>
        <w:separator/>
      </w:r>
    </w:p>
  </w:footnote>
  <w:footnote w:type="continuationSeparator" w:id="0">
    <w:p w:rsidR="003B38DC" w:rsidRDefault="003B3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A9" w:rsidRDefault="00E618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8DC" w:rsidRPr="000100FC" w:rsidRDefault="000100FC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Action </w:t>
    </w:r>
    <w:r w:rsidR="00E618A9">
      <w:rPr>
        <w:rFonts w:ascii="Arial" w:hAnsi="Arial" w:cs="Arial"/>
        <w:sz w:val="20"/>
      </w:rPr>
      <w:t>i</w:t>
    </w:r>
    <w:r>
      <w:rPr>
        <w:rFonts w:ascii="Arial" w:hAnsi="Arial" w:cs="Arial"/>
        <w:sz w:val="20"/>
      </w:rPr>
      <w:t xml:space="preserve">tem: </w:t>
    </w:r>
    <w:r w:rsidR="003B38DC" w:rsidRPr="000100FC">
      <w:rPr>
        <w:rFonts w:ascii="Arial" w:hAnsi="Arial" w:cs="Arial"/>
        <w:sz w:val="20"/>
      </w:rPr>
      <w:t>Pollution Control Facility Certificate Administration</w:t>
    </w:r>
  </w:p>
  <w:p w:rsidR="003B38DC" w:rsidRPr="000100FC" w:rsidRDefault="000100FC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December 9-10, 2010,</w:t>
    </w:r>
    <w:r w:rsidR="003B38DC" w:rsidRPr="000100F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EQC m</w:t>
    </w:r>
    <w:r w:rsidR="003B38DC" w:rsidRPr="000100FC">
      <w:rPr>
        <w:rFonts w:ascii="Arial" w:hAnsi="Arial" w:cs="Arial"/>
        <w:sz w:val="20"/>
      </w:rPr>
      <w:t>eeting</w:t>
    </w:r>
  </w:p>
  <w:p w:rsidR="003B38DC" w:rsidRPr="000100FC" w:rsidRDefault="003B38DC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0100FC">
      <w:rPr>
        <w:rFonts w:ascii="Arial" w:hAnsi="Arial" w:cs="Arial"/>
        <w:sz w:val="20"/>
      </w:rPr>
      <w:t xml:space="preserve">Page </w:t>
    </w:r>
    <w:r w:rsidR="00941284" w:rsidRPr="000100FC">
      <w:rPr>
        <w:rStyle w:val="PageNumber"/>
        <w:rFonts w:ascii="Arial" w:hAnsi="Arial" w:cs="Arial"/>
        <w:sz w:val="20"/>
      </w:rPr>
      <w:fldChar w:fldCharType="begin"/>
    </w:r>
    <w:r w:rsidRPr="000100FC">
      <w:rPr>
        <w:rStyle w:val="PageNumber"/>
        <w:rFonts w:ascii="Arial" w:hAnsi="Arial" w:cs="Arial"/>
        <w:sz w:val="20"/>
      </w:rPr>
      <w:instrText xml:space="preserve"> PAGE </w:instrText>
    </w:r>
    <w:r w:rsidR="00941284" w:rsidRPr="000100FC">
      <w:rPr>
        <w:rStyle w:val="PageNumber"/>
        <w:rFonts w:ascii="Arial" w:hAnsi="Arial" w:cs="Arial"/>
        <w:sz w:val="20"/>
      </w:rPr>
      <w:fldChar w:fldCharType="separate"/>
    </w:r>
    <w:r w:rsidR="00CD05B6">
      <w:rPr>
        <w:rStyle w:val="PageNumber"/>
        <w:rFonts w:ascii="Arial" w:hAnsi="Arial" w:cs="Arial"/>
        <w:noProof/>
        <w:sz w:val="20"/>
      </w:rPr>
      <w:t>2</w:t>
    </w:r>
    <w:r w:rsidR="00941284" w:rsidRPr="000100FC">
      <w:rPr>
        <w:rStyle w:val="PageNumber"/>
        <w:rFonts w:ascii="Arial" w:hAnsi="Arial" w:cs="Arial"/>
        <w:sz w:val="20"/>
      </w:rPr>
      <w:fldChar w:fldCharType="end"/>
    </w:r>
    <w:r w:rsidRPr="000100FC">
      <w:rPr>
        <w:rFonts w:ascii="Arial" w:hAnsi="Arial" w:cs="Arial"/>
        <w:sz w:val="20"/>
      </w:rPr>
      <w:t xml:space="preserve"> </w:t>
    </w:r>
    <w:r w:rsidR="000100FC">
      <w:rPr>
        <w:rFonts w:ascii="Arial" w:hAnsi="Arial" w:cs="Arial"/>
        <w:sz w:val="20"/>
      </w:rPr>
      <w:t>of 2</w:t>
    </w:r>
  </w:p>
  <w:p w:rsidR="003B38DC" w:rsidRDefault="003B38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A9" w:rsidRDefault="00E618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13C"/>
    <w:multiLevelType w:val="hybridMultilevel"/>
    <w:tmpl w:val="085E653A"/>
    <w:lvl w:ilvl="0" w:tplc="B6546D04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03F4557B"/>
    <w:multiLevelType w:val="hybridMultilevel"/>
    <w:tmpl w:val="C3123BC8"/>
    <w:lvl w:ilvl="0" w:tplc="F8BE41D8">
      <w:start w:val="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67440"/>
    <w:multiLevelType w:val="multilevel"/>
    <w:tmpl w:val="C030A8F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8D3FFD"/>
    <w:multiLevelType w:val="multilevel"/>
    <w:tmpl w:val="C3AE708C"/>
    <w:lvl w:ilvl="0">
      <w:start w:val="4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C6586E"/>
    <w:multiLevelType w:val="multilevel"/>
    <w:tmpl w:val="B33CBC40"/>
    <w:lvl w:ilvl="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610A85"/>
    <w:multiLevelType w:val="multilevel"/>
    <w:tmpl w:val="77EAE81A"/>
    <w:lvl w:ilvl="0">
      <w:start w:val="2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70949"/>
    <w:multiLevelType w:val="hybridMultilevel"/>
    <w:tmpl w:val="EC66B6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6087529"/>
    <w:multiLevelType w:val="hybridMultilevel"/>
    <w:tmpl w:val="ECF62820"/>
    <w:lvl w:ilvl="0" w:tplc="04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>
    <w:nsid w:val="210A25B6"/>
    <w:multiLevelType w:val="hybridMultilevel"/>
    <w:tmpl w:val="C030A8F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1E0624"/>
    <w:multiLevelType w:val="multilevel"/>
    <w:tmpl w:val="C030A8F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D25B9F"/>
    <w:multiLevelType w:val="multilevel"/>
    <w:tmpl w:val="ECF62820"/>
    <w:lvl w:ilvl="0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>
    <w:nsid w:val="3C4A1467"/>
    <w:multiLevelType w:val="hybridMultilevel"/>
    <w:tmpl w:val="B33CBC40"/>
    <w:lvl w:ilvl="0" w:tplc="5686CB66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951044"/>
    <w:multiLevelType w:val="hybridMultilevel"/>
    <w:tmpl w:val="78943CE2"/>
    <w:lvl w:ilvl="0" w:tplc="24ECE5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9F0E54"/>
    <w:multiLevelType w:val="hybridMultilevel"/>
    <w:tmpl w:val="AA40E902"/>
    <w:lvl w:ilvl="0" w:tplc="04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>
    <w:nsid w:val="4491340D"/>
    <w:multiLevelType w:val="hybridMultilevel"/>
    <w:tmpl w:val="44887D22"/>
    <w:lvl w:ilvl="0" w:tplc="F8BE41D8">
      <w:start w:val="4"/>
      <w:numFmt w:val="bullet"/>
      <w:lvlText w:val=""/>
      <w:lvlJc w:val="left"/>
      <w:pPr>
        <w:tabs>
          <w:tab w:val="num" w:pos="810"/>
        </w:tabs>
        <w:ind w:left="810" w:hanging="360"/>
      </w:pPr>
      <w:rPr>
        <w:rFonts w:ascii="Wingdings 2" w:hAnsi="Wingdings 2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16">
    <w:nsid w:val="4759579D"/>
    <w:multiLevelType w:val="hybridMultilevel"/>
    <w:tmpl w:val="C3AE708C"/>
    <w:lvl w:ilvl="0" w:tplc="F520887A">
      <w:start w:val="4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961F90"/>
    <w:multiLevelType w:val="hybridMultilevel"/>
    <w:tmpl w:val="E3B68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F2384E"/>
    <w:multiLevelType w:val="hybridMultilevel"/>
    <w:tmpl w:val="95824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696641"/>
    <w:multiLevelType w:val="hybridMultilevel"/>
    <w:tmpl w:val="7ACAFAD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676C735B"/>
    <w:multiLevelType w:val="hybridMultilevel"/>
    <w:tmpl w:val="77EAE81A"/>
    <w:lvl w:ilvl="0" w:tplc="B6546D04">
      <w:start w:val="2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A7C46"/>
    <w:multiLevelType w:val="hybridMultilevel"/>
    <w:tmpl w:val="CA34C7A8"/>
    <w:lvl w:ilvl="0" w:tplc="F8BE41D8">
      <w:start w:val="4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>
    <w:nsid w:val="792001BD"/>
    <w:multiLevelType w:val="hybridMultilevel"/>
    <w:tmpl w:val="6BE49A36"/>
    <w:lvl w:ilvl="0" w:tplc="227A2764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D25DD3"/>
    <w:multiLevelType w:val="hybridMultilevel"/>
    <w:tmpl w:val="EC7A95BA"/>
    <w:lvl w:ilvl="0" w:tplc="4DE48EF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15"/>
  </w:num>
  <w:num w:numId="5">
    <w:abstractNumId w:val="21"/>
  </w:num>
  <w:num w:numId="6">
    <w:abstractNumId w:val="0"/>
  </w:num>
  <w:num w:numId="7">
    <w:abstractNumId w:val="18"/>
  </w:num>
  <w:num w:numId="8">
    <w:abstractNumId w:val="20"/>
  </w:num>
  <w:num w:numId="9">
    <w:abstractNumId w:val="5"/>
  </w:num>
  <w:num w:numId="10">
    <w:abstractNumId w:val="13"/>
  </w:num>
  <w:num w:numId="11">
    <w:abstractNumId w:val="23"/>
  </w:num>
  <w:num w:numId="12">
    <w:abstractNumId w:val="12"/>
  </w:num>
  <w:num w:numId="13">
    <w:abstractNumId w:val="4"/>
  </w:num>
  <w:num w:numId="14">
    <w:abstractNumId w:val="16"/>
  </w:num>
  <w:num w:numId="15">
    <w:abstractNumId w:val="3"/>
  </w:num>
  <w:num w:numId="16">
    <w:abstractNumId w:val="8"/>
  </w:num>
  <w:num w:numId="17">
    <w:abstractNumId w:val="2"/>
  </w:num>
  <w:num w:numId="18">
    <w:abstractNumId w:val="7"/>
  </w:num>
  <w:num w:numId="19">
    <w:abstractNumId w:val="11"/>
  </w:num>
  <w:num w:numId="20">
    <w:abstractNumId w:val="10"/>
  </w:num>
  <w:num w:numId="21">
    <w:abstractNumId w:val="14"/>
  </w:num>
  <w:num w:numId="22">
    <w:abstractNumId w:val="19"/>
  </w:num>
  <w:num w:numId="23">
    <w:abstractNumId w:val="1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FFF"/>
    <w:rsid w:val="0000235A"/>
    <w:rsid w:val="000029D7"/>
    <w:rsid w:val="000100FC"/>
    <w:rsid w:val="0002028C"/>
    <w:rsid w:val="00040BE9"/>
    <w:rsid w:val="00092119"/>
    <w:rsid w:val="000D055A"/>
    <w:rsid w:val="000E58F3"/>
    <w:rsid w:val="00144FFF"/>
    <w:rsid w:val="00154E38"/>
    <w:rsid w:val="0018579D"/>
    <w:rsid w:val="001F0500"/>
    <w:rsid w:val="00204BF8"/>
    <w:rsid w:val="00207CA7"/>
    <w:rsid w:val="002211D4"/>
    <w:rsid w:val="00257D27"/>
    <w:rsid w:val="002765D8"/>
    <w:rsid w:val="002A0BC4"/>
    <w:rsid w:val="002E7CA4"/>
    <w:rsid w:val="0030066C"/>
    <w:rsid w:val="0030656A"/>
    <w:rsid w:val="003154F2"/>
    <w:rsid w:val="00375B9F"/>
    <w:rsid w:val="003918D7"/>
    <w:rsid w:val="003954BE"/>
    <w:rsid w:val="003B1154"/>
    <w:rsid w:val="003B38DC"/>
    <w:rsid w:val="003E1D58"/>
    <w:rsid w:val="00400C0D"/>
    <w:rsid w:val="004645AC"/>
    <w:rsid w:val="00474D92"/>
    <w:rsid w:val="004A2141"/>
    <w:rsid w:val="004B4C29"/>
    <w:rsid w:val="004E0A40"/>
    <w:rsid w:val="0052145B"/>
    <w:rsid w:val="0057216E"/>
    <w:rsid w:val="00580A9B"/>
    <w:rsid w:val="005A57C5"/>
    <w:rsid w:val="005B31A5"/>
    <w:rsid w:val="005B7665"/>
    <w:rsid w:val="005E7AE1"/>
    <w:rsid w:val="00642CC2"/>
    <w:rsid w:val="00695978"/>
    <w:rsid w:val="006D25E2"/>
    <w:rsid w:val="006F4588"/>
    <w:rsid w:val="00706D50"/>
    <w:rsid w:val="007568AE"/>
    <w:rsid w:val="00775B6F"/>
    <w:rsid w:val="007862A2"/>
    <w:rsid w:val="007B79F0"/>
    <w:rsid w:val="00854509"/>
    <w:rsid w:val="00873AB0"/>
    <w:rsid w:val="008769B0"/>
    <w:rsid w:val="00880BF3"/>
    <w:rsid w:val="008A224D"/>
    <w:rsid w:val="008E7130"/>
    <w:rsid w:val="00941284"/>
    <w:rsid w:val="009D6766"/>
    <w:rsid w:val="009E4A50"/>
    <w:rsid w:val="009F73EC"/>
    <w:rsid w:val="00A46FB3"/>
    <w:rsid w:val="00AD733D"/>
    <w:rsid w:val="00B31C74"/>
    <w:rsid w:val="00B418BB"/>
    <w:rsid w:val="00B4629D"/>
    <w:rsid w:val="00B74693"/>
    <w:rsid w:val="00BF3841"/>
    <w:rsid w:val="00C22FFD"/>
    <w:rsid w:val="00CA010B"/>
    <w:rsid w:val="00CD05B6"/>
    <w:rsid w:val="00D2707A"/>
    <w:rsid w:val="00D347F5"/>
    <w:rsid w:val="00DA1310"/>
    <w:rsid w:val="00DA507C"/>
    <w:rsid w:val="00E107AC"/>
    <w:rsid w:val="00E4140A"/>
    <w:rsid w:val="00E618A9"/>
    <w:rsid w:val="00F835D7"/>
    <w:rsid w:val="00FC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4D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8A224D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A224D"/>
  </w:style>
  <w:style w:type="table" w:styleId="TableGrid">
    <w:name w:val="Table Grid"/>
    <w:basedOn w:val="TableNormal"/>
    <w:rsid w:val="008A2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A22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2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224D"/>
  </w:style>
  <w:style w:type="paragraph" w:styleId="BalloonText">
    <w:name w:val="Balloon Text"/>
    <w:basedOn w:val="Normal"/>
    <w:semiHidden/>
    <w:rsid w:val="008A22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A224D"/>
    <w:rPr>
      <w:sz w:val="16"/>
      <w:szCs w:val="16"/>
    </w:rPr>
  </w:style>
  <w:style w:type="paragraph" w:styleId="CommentText">
    <w:name w:val="annotation text"/>
    <w:basedOn w:val="Normal"/>
    <w:semiHidden/>
    <w:rsid w:val="008A224D"/>
    <w:rPr>
      <w:sz w:val="20"/>
    </w:rPr>
  </w:style>
  <w:style w:type="paragraph" w:styleId="CommentSubject">
    <w:name w:val="annotation subject"/>
    <w:basedOn w:val="CommentText"/>
    <w:next w:val="CommentText"/>
    <w:semiHidden/>
    <w:rsid w:val="008A224D"/>
    <w:rPr>
      <w:b/>
      <w:bCs/>
    </w:rPr>
  </w:style>
  <w:style w:type="character" w:styleId="Hyperlink">
    <w:name w:val="Hyperlink"/>
    <w:basedOn w:val="DefaultParagraphFont"/>
    <w:rsid w:val="00B418BB"/>
    <w:rPr>
      <w:color w:val="0000FF"/>
      <w:u w:val="single"/>
    </w:rPr>
  </w:style>
  <w:style w:type="paragraph" w:styleId="BlockText">
    <w:name w:val="Block Text"/>
    <w:basedOn w:val="Normal"/>
    <w:rsid w:val="00B418B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418BB"/>
    <w:pPr>
      <w:ind w:left="720"/>
      <w:contextualSpacing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418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75B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Action Item</vt:lpstr>
    </vt:vector>
  </TitlesOfParts>
  <Company>Department of Environmental Quality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 Staff Report Action Item</dc:title>
  <dc:subject/>
  <dc:creator>lmcalli</dc:creator>
  <cp:keywords/>
  <dc:description/>
  <cp:lastModifiedBy>mvandeh</cp:lastModifiedBy>
  <cp:revision>2</cp:revision>
  <cp:lastPrinted>2010-11-08T21:02:00Z</cp:lastPrinted>
  <dcterms:created xsi:type="dcterms:W3CDTF">2010-11-23T00:10:00Z</dcterms:created>
  <dcterms:modified xsi:type="dcterms:W3CDTF">2010-11-23T00:10:00Z</dcterms:modified>
</cp:coreProperties>
</file>