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39" w:rsidRPr="007F2849" w:rsidRDefault="00A91039" w:rsidP="00B66F9B">
      <w:pPr>
        <w:pStyle w:val="Heading2"/>
      </w:pPr>
      <w:r w:rsidRPr="007F2849">
        <w:t>Start Rulemaking Proposal</w:t>
      </w:r>
      <w:r w:rsidR="00843105" w:rsidRPr="007F2849">
        <w:t xml:space="preserve"> (SRP)</w:t>
      </w:r>
    </w:p>
    <w:p w:rsidR="00A91039" w:rsidRPr="005A5A29" w:rsidRDefault="00A91039">
      <w:pPr>
        <w:rPr>
          <w:i/>
          <w:sz w:val="22"/>
          <w:szCs w:val="22"/>
        </w:rPr>
      </w:pPr>
      <w:r w:rsidRPr="005A5A29">
        <w:rPr>
          <w:b/>
          <w:sz w:val="22"/>
          <w:szCs w:val="22"/>
        </w:rPr>
        <w:t>Date:</w:t>
      </w:r>
      <w:r w:rsidR="001F34E0" w:rsidRPr="005A5A29">
        <w:rPr>
          <w:b/>
          <w:sz w:val="22"/>
          <w:szCs w:val="22"/>
        </w:rPr>
        <w:t xml:space="preserve"> </w:t>
      </w:r>
      <w:r w:rsidR="006C24A7" w:rsidRPr="005A5A29">
        <w:rPr>
          <w:sz w:val="22"/>
          <w:szCs w:val="22"/>
        </w:rPr>
        <w:t>August 10-11, 2009</w:t>
      </w:r>
    </w:p>
    <w:p w:rsidR="00A91039" w:rsidRPr="005A5A29" w:rsidRDefault="00A91039">
      <w:pPr>
        <w:rPr>
          <w:sz w:val="22"/>
          <w:szCs w:val="22"/>
        </w:rPr>
      </w:pPr>
      <w:r w:rsidRPr="005A5A29">
        <w:rPr>
          <w:b/>
          <w:sz w:val="22"/>
          <w:szCs w:val="22"/>
        </w:rPr>
        <w:t>Contact Person/phone:</w:t>
      </w:r>
      <w:r w:rsidR="006C24A7" w:rsidRPr="005A5A29">
        <w:rPr>
          <w:b/>
          <w:sz w:val="22"/>
          <w:szCs w:val="22"/>
        </w:rPr>
        <w:t xml:space="preserve"> </w:t>
      </w:r>
      <w:r w:rsidR="006C24A7" w:rsidRPr="005A5A29">
        <w:rPr>
          <w:sz w:val="22"/>
          <w:szCs w:val="22"/>
        </w:rPr>
        <w:t>Andrea Curtis (503)-229-6866, Uri Papish (503) 229-6480</w:t>
      </w:r>
    </w:p>
    <w:p w:rsidR="00B30B29" w:rsidRPr="005A5A29" w:rsidRDefault="00B30B29">
      <w:pPr>
        <w:rPr>
          <w:sz w:val="22"/>
          <w:szCs w:val="22"/>
        </w:rPr>
      </w:pPr>
      <w:r w:rsidRPr="005A5A29">
        <w:rPr>
          <w:b/>
          <w:sz w:val="22"/>
          <w:szCs w:val="22"/>
        </w:rPr>
        <w:t>Rulemaking Title</w:t>
      </w:r>
      <w:r w:rsidRPr="005A5A29">
        <w:rPr>
          <w:sz w:val="22"/>
          <w:szCs w:val="22"/>
        </w:rPr>
        <w:t xml:space="preserve">: Adopt fees and </w:t>
      </w:r>
      <w:r w:rsidR="002536C4" w:rsidRPr="005A5A29">
        <w:rPr>
          <w:sz w:val="22"/>
          <w:szCs w:val="22"/>
        </w:rPr>
        <w:t xml:space="preserve">expand </w:t>
      </w:r>
      <w:r w:rsidRPr="005A5A29">
        <w:rPr>
          <w:sz w:val="22"/>
          <w:szCs w:val="22"/>
        </w:rPr>
        <w:t>greenhouse gas reporting requirements</w:t>
      </w:r>
    </w:p>
    <w:p w:rsidR="00A91039" w:rsidRPr="005A5A29" w:rsidRDefault="00A91039">
      <w:pPr>
        <w:rPr>
          <w:sz w:val="22"/>
          <w:szCs w:val="22"/>
        </w:rPr>
      </w:pPr>
    </w:p>
    <w:p w:rsidR="00A91039" w:rsidRPr="00CF1016" w:rsidRDefault="00A91039" w:rsidP="00057C19">
      <w:pPr>
        <w:pStyle w:val="Heading4"/>
        <w:spacing w:after="160"/>
        <w:rPr>
          <w:szCs w:val="32"/>
        </w:rPr>
      </w:pPr>
      <w:r w:rsidRPr="00CF1016">
        <w:rPr>
          <w:szCs w:val="32"/>
        </w:rPr>
        <w:t>Rulemaking Proposal</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bottom w:w="72" w:type="dxa"/>
          <w:right w:w="72" w:type="dxa"/>
        </w:tblCellMar>
        <w:tblLook w:val="0000"/>
      </w:tblPr>
      <w:tblGrid>
        <w:gridCol w:w="1818"/>
        <w:gridCol w:w="2430"/>
        <w:gridCol w:w="2070"/>
        <w:gridCol w:w="156"/>
        <w:gridCol w:w="1464"/>
        <w:gridCol w:w="2934"/>
      </w:tblGrid>
      <w:tr w:rsidR="00A91039" w:rsidRPr="005A5A29" w:rsidTr="008D0F39">
        <w:tc>
          <w:tcPr>
            <w:tcW w:w="1818" w:type="dxa"/>
            <w:shd w:val="clear" w:color="auto" w:fill="auto"/>
          </w:tcPr>
          <w:p w:rsidR="00A91039" w:rsidRPr="005A5A29" w:rsidRDefault="00A91039">
            <w:pPr>
              <w:pStyle w:val="Heading5"/>
              <w:rPr>
                <w:szCs w:val="22"/>
              </w:rPr>
            </w:pPr>
            <w:r w:rsidRPr="005A5A29">
              <w:rPr>
                <w:szCs w:val="22"/>
              </w:rPr>
              <w:t>Rule Number and Title</w:t>
            </w:r>
          </w:p>
        </w:tc>
        <w:tc>
          <w:tcPr>
            <w:tcW w:w="9054" w:type="dxa"/>
            <w:gridSpan w:val="5"/>
            <w:shd w:val="clear" w:color="auto" w:fill="auto"/>
          </w:tcPr>
          <w:p w:rsidR="00B66F9B" w:rsidRPr="000C413B" w:rsidRDefault="007B5908" w:rsidP="00B66F9B">
            <w:pPr>
              <w:pStyle w:val="BlockText"/>
              <w:tabs>
                <w:tab w:val="left" w:pos="1422"/>
              </w:tabs>
              <w:rPr>
                <w:sz w:val="22"/>
                <w:szCs w:val="22"/>
              </w:rPr>
            </w:pPr>
            <w:r w:rsidRPr="000C413B">
              <w:rPr>
                <w:sz w:val="22"/>
                <w:szCs w:val="22"/>
              </w:rPr>
              <w:t>Amend OARs</w:t>
            </w:r>
            <w:r w:rsidR="00B66F9B">
              <w:rPr>
                <w:sz w:val="22"/>
                <w:szCs w:val="22"/>
              </w:rPr>
              <w:t xml:space="preserve">:  </w:t>
            </w:r>
            <w:r w:rsidR="00B66F9B" w:rsidRPr="000C413B">
              <w:rPr>
                <w:sz w:val="22"/>
                <w:szCs w:val="22"/>
              </w:rPr>
              <w:t>340-210-</w:t>
            </w:r>
            <w:r w:rsidR="002809D4">
              <w:rPr>
                <w:sz w:val="22"/>
                <w:szCs w:val="22"/>
              </w:rPr>
              <w:t>0</w:t>
            </w:r>
            <w:r w:rsidR="00B66F9B" w:rsidRPr="000C413B">
              <w:rPr>
                <w:sz w:val="22"/>
                <w:szCs w:val="22"/>
              </w:rPr>
              <w:t>100</w:t>
            </w:r>
            <w:r w:rsidR="002809D4">
              <w:rPr>
                <w:sz w:val="22"/>
                <w:szCs w:val="22"/>
              </w:rPr>
              <w:t>:</w:t>
            </w:r>
            <w:r w:rsidR="00B66F9B" w:rsidRPr="000C413B">
              <w:rPr>
                <w:sz w:val="22"/>
                <w:szCs w:val="22"/>
              </w:rPr>
              <w:t xml:space="preserve"> Registration</w:t>
            </w:r>
            <w:r w:rsidR="00B66F9B">
              <w:rPr>
                <w:sz w:val="22"/>
                <w:szCs w:val="22"/>
              </w:rPr>
              <w:t xml:space="preserve"> (</w:t>
            </w:r>
            <w:r w:rsidR="00B66F9B" w:rsidRPr="000C413B">
              <w:rPr>
                <w:sz w:val="22"/>
                <w:szCs w:val="22"/>
              </w:rPr>
              <w:t>Stationary Source Notification Requirements</w:t>
            </w:r>
            <w:r w:rsidR="00B66F9B">
              <w:rPr>
                <w:sz w:val="22"/>
                <w:szCs w:val="22"/>
              </w:rPr>
              <w:t>)</w:t>
            </w:r>
          </w:p>
          <w:p w:rsidR="00B66F9B" w:rsidRPr="000C413B" w:rsidRDefault="00B66F9B" w:rsidP="00B66F9B">
            <w:pPr>
              <w:pStyle w:val="BlockText"/>
              <w:ind w:left="1422"/>
              <w:rPr>
                <w:sz w:val="22"/>
                <w:szCs w:val="22"/>
              </w:rPr>
            </w:pPr>
            <w:r w:rsidRPr="000C413B">
              <w:rPr>
                <w:sz w:val="22"/>
                <w:szCs w:val="22"/>
              </w:rPr>
              <w:t>340-215-0020: Definitions</w:t>
            </w:r>
            <w:r>
              <w:rPr>
                <w:sz w:val="22"/>
                <w:szCs w:val="22"/>
              </w:rPr>
              <w:t xml:space="preserve"> (</w:t>
            </w:r>
            <w:r w:rsidRPr="000C413B">
              <w:rPr>
                <w:sz w:val="22"/>
                <w:szCs w:val="22"/>
              </w:rPr>
              <w:t>Greenhouse Gas Reporting Requirements</w:t>
            </w:r>
            <w:r>
              <w:rPr>
                <w:sz w:val="22"/>
                <w:szCs w:val="22"/>
              </w:rPr>
              <w:t>)</w:t>
            </w:r>
          </w:p>
          <w:p w:rsidR="00B66F9B" w:rsidRPr="000C413B" w:rsidRDefault="00B66F9B" w:rsidP="00B66F9B">
            <w:pPr>
              <w:pStyle w:val="BlockText"/>
              <w:ind w:left="1422"/>
              <w:rPr>
                <w:sz w:val="22"/>
                <w:szCs w:val="22"/>
              </w:rPr>
            </w:pPr>
            <w:r w:rsidRPr="000C413B">
              <w:rPr>
                <w:sz w:val="22"/>
                <w:szCs w:val="22"/>
              </w:rPr>
              <w:t>340-215-0030: Applicability</w:t>
            </w:r>
            <w:r>
              <w:rPr>
                <w:sz w:val="22"/>
                <w:szCs w:val="22"/>
              </w:rPr>
              <w:t xml:space="preserve"> </w:t>
            </w:r>
            <w:r>
              <w:rPr>
                <w:sz w:val="22"/>
                <w:szCs w:val="22"/>
              </w:rPr>
              <w:t>(</w:t>
            </w:r>
            <w:r w:rsidRPr="000C413B">
              <w:rPr>
                <w:sz w:val="22"/>
                <w:szCs w:val="22"/>
              </w:rPr>
              <w:t>Greenhouse Gas Reporting Requirements</w:t>
            </w:r>
            <w:r>
              <w:rPr>
                <w:sz w:val="22"/>
                <w:szCs w:val="22"/>
              </w:rPr>
              <w:t>)</w:t>
            </w:r>
          </w:p>
          <w:p w:rsidR="00B66F9B" w:rsidRPr="000C413B" w:rsidRDefault="00B66F9B" w:rsidP="00B66F9B">
            <w:pPr>
              <w:pStyle w:val="BlockText"/>
              <w:ind w:left="1422"/>
              <w:rPr>
                <w:sz w:val="22"/>
                <w:szCs w:val="22"/>
              </w:rPr>
            </w:pPr>
            <w:r w:rsidRPr="000C413B">
              <w:rPr>
                <w:sz w:val="22"/>
                <w:szCs w:val="22"/>
              </w:rPr>
              <w:t>340-215-0040: Greenhouse Gas Registration and Reporting Requirements</w:t>
            </w:r>
          </w:p>
          <w:p w:rsidR="00B66F9B" w:rsidRPr="005A5A29" w:rsidRDefault="00B66F9B" w:rsidP="00B66F9B">
            <w:pPr>
              <w:pStyle w:val="BlockText"/>
              <w:ind w:left="1422"/>
              <w:rPr>
                <w:sz w:val="22"/>
                <w:szCs w:val="22"/>
              </w:rPr>
            </w:pPr>
            <w:r w:rsidRPr="000C413B">
              <w:rPr>
                <w:sz w:val="22"/>
                <w:szCs w:val="22"/>
              </w:rPr>
              <w:t>340-216-0020: Air Contaminant Discharge</w:t>
            </w:r>
            <w:r w:rsidRPr="005A5A29">
              <w:rPr>
                <w:sz w:val="22"/>
                <w:szCs w:val="22"/>
              </w:rPr>
              <w:t xml:space="preserve"> Permit Fees</w:t>
            </w:r>
          </w:p>
          <w:p w:rsidR="00B66F9B" w:rsidRPr="005A5A29" w:rsidRDefault="0070105D" w:rsidP="00B66F9B">
            <w:pPr>
              <w:pStyle w:val="BlockText"/>
              <w:ind w:left="1422"/>
              <w:rPr>
                <w:sz w:val="22"/>
                <w:szCs w:val="22"/>
              </w:rPr>
            </w:pPr>
            <w:r>
              <w:rPr>
                <w:sz w:val="22"/>
                <w:szCs w:val="22"/>
              </w:rPr>
              <w:t>340-220-</w:t>
            </w:r>
            <w:r w:rsidR="00B66F9B">
              <w:rPr>
                <w:sz w:val="22"/>
                <w:szCs w:val="22"/>
              </w:rPr>
              <w:t xml:space="preserve">0050: </w:t>
            </w:r>
            <w:r w:rsidR="00B66F9B" w:rsidRPr="005A5A29">
              <w:rPr>
                <w:sz w:val="22"/>
                <w:szCs w:val="22"/>
              </w:rPr>
              <w:t>Title V Operating Permit Fees</w:t>
            </w:r>
          </w:p>
          <w:p w:rsidR="007B5908" w:rsidRPr="005A5A29" w:rsidRDefault="007B5908" w:rsidP="007B5908">
            <w:pPr>
              <w:pStyle w:val="BlockText"/>
              <w:rPr>
                <w:sz w:val="22"/>
                <w:szCs w:val="22"/>
              </w:rPr>
            </w:pPr>
          </w:p>
          <w:p w:rsidR="00A91039" w:rsidRPr="005A5A29" w:rsidRDefault="00D81CBC" w:rsidP="007B5908">
            <w:pPr>
              <w:pStyle w:val="BlockText"/>
              <w:rPr>
                <w:sz w:val="22"/>
                <w:szCs w:val="22"/>
              </w:rPr>
            </w:pPr>
            <w:r w:rsidRPr="005A5A29">
              <w:rPr>
                <w:sz w:val="22"/>
                <w:szCs w:val="22"/>
              </w:rPr>
              <w:t>Add new</w:t>
            </w:r>
            <w:r w:rsidR="007B5908" w:rsidRPr="005A5A29">
              <w:rPr>
                <w:sz w:val="22"/>
                <w:szCs w:val="22"/>
              </w:rPr>
              <w:t xml:space="preserve"> OARs</w:t>
            </w:r>
            <w:r w:rsidRPr="005A5A29">
              <w:rPr>
                <w:sz w:val="22"/>
                <w:szCs w:val="22"/>
              </w:rPr>
              <w:t xml:space="preserve"> to Chapter </w:t>
            </w:r>
            <w:r w:rsidR="007B5908" w:rsidRPr="005A5A29">
              <w:rPr>
                <w:sz w:val="22"/>
                <w:szCs w:val="22"/>
              </w:rPr>
              <w:t>340</w:t>
            </w:r>
            <w:r w:rsidRPr="005A5A29">
              <w:rPr>
                <w:sz w:val="22"/>
                <w:szCs w:val="22"/>
              </w:rPr>
              <w:t xml:space="preserve"> Division </w:t>
            </w:r>
            <w:r w:rsidR="007B5908" w:rsidRPr="005A5A29">
              <w:rPr>
                <w:sz w:val="22"/>
                <w:szCs w:val="22"/>
              </w:rPr>
              <w:t>215</w:t>
            </w:r>
          </w:p>
        </w:tc>
      </w:tr>
      <w:tr w:rsidR="003960C3" w:rsidRPr="005A5A29" w:rsidTr="008D0F39">
        <w:tc>
          <w:tcPr>
            <w:tcW w:w="1818" w:type="dxa"/>
            <w:shd w:val="clear" w:color="auto" w:fill="auto"/>
          </w:tcPr>
          <w:p w:rsidR="003960C3" w:rsidRPr="005A5A29" w:rsidRDefault="003960C3">
            <w:pPr>
              <w:pStyle w:val="Heading5"/>
              <w:rPr>
                <w:szCs w:val="22"/>
              </w:rPr>
            </w:pPr>
            <w:r w:rsidRPr="005A5A29">
              <w:rPr>
                <w:szCs w:val="22"/>
              </w:rPr>
              <w:t>Objective of</w:t>
            </w:r>
            <w:r w:rsidR="001F34E0" w:rsidRPr="005A5A29">
              <w:rPr>
                <w:szCs w:val="22"/>
              </w:rPr>
              <w:t xml:space="preserve"> </w:t>
            </w:r>
            <w:r w:rsidRPr="005A5A29">
              <w:rPr>
                <w:szCs w:val="22"/>
              </w:rPr>
              <w:t>rulemaking</w:t>
            </w:r>
          </w:p>
          <w:p w:rsidR="003960C3" w:rsidRPr="005A5A29" w:rsidRDefault="003960C3">
            <w:pPr>
              <w:pStyle w:val="Heading5"/>
              <w:rPr>
                <w:szCs w:val="22"/>
              </w:rPr>
            </w:pPr>
          </w:p>
          <w:p w:rsidR="009C4EAA" w:rsidRPr="005A5A29" w:rsidRDefault="009C4EAA">
            <w:pPr>
              <w:pStyle w:val="Heading5"/>
              <w:rPr>
                <w:szCs w:val="22"/>
              </w:rPr>
            </w:pPr>
          </w:p>
          <w:p w:rsidR="0034350D" w:rsidRPr="005A5A29" w:rsidRDefault="0034350D">
            <w:pPr>
              <w:pStyle w:val="Heading5"/>
              <w:rPr>
                <w:szCs w:val="22"/>
              </w:rPr>
            </w:pPr>
          </w:p>
          <w:p w:rsidR="00C02AE1" w:rsidRDefault="00C02AE1" w:rsidP="00C02AE1">
            <w:pPr>
              <w:rPr>
                <w:sz w:val="22"/>
                <w:szCs w:val="22"/>
              </w:rPr>
            </w:pPr>
          </w:p>
          <w:p w:rsidR="00C923AD" w:rsidRDefault="00C923AD" w:rsidP="00C02AE1">
            <w:pPr>
              <w:rPr>
                <w:sz w:val="22"/>
                <w:szCs w:val="22"/>
              </w:rPr>
            </w:pPr>
          </w:p>
          <w:p w:rsidR="00C923AD" w:rsidRDefault="00C923AD" w:rsidP="00C02AE1">
            <w:pPr>
              <w:rPr>
                <w:sz w:val="22"/>
                <w:szCs w:val="22"/>
              </w:rPr>
            </w:pPr>
          </w:p>
          <w:p w:rsidR="00C923AD" w:rsidRDefault="00C923AD" w:rsidP="00C02AE1">
            <w:pPr>
              <w:rPr>
                <w:sz w:val="22"/>
                <w:szCs w:val="22"/>
              </w:rPr>
            </w:pPr>
          </w:p>
          <w:p w:rsidR="00E438E5" w:rsidRDefault="00E438E5">
            <w:pPr>
              <w:pStyle w:val="Heading5"/>
              <w:rPr>
                <w:szCs w:val="22"/>
              </w:rPr>
            </w:pPr>
          </w:p>
          <w:p w:rsidR="00E438E5" w:rsidRDefault="00E438E5">
            <w:pPr>
              <w:pStyle w:val="Heading5"/>
              <w:rPr>
                <w:szCs w:val="22"/>
              </w:rPr>
            </w:pPr>
          </w:p>
          <w:p w:rsidR="003960C3" w:rsidRPr="005A5A29" w:rsidRDefault="003960C3">
            <w:pPr>
              <w:pStyle w:val="Heading5"/>
              <w:rPr>
                <w:szCs w:val="22"/>
              </w:rPr>
            </w:pPr>
            <w:r w:rsidRPr="005A5A29">
              <w:rPr>
                <w:szCs w:val="22"/>
              </w:rPr>
              <w:t xml:space="preserve">Changes Proposed </w:t>
            </w:r>
          </w:p>
          <w:p w:rsidR="003960C3" w:rsidRPr="005A5A29" w:rsidRDefault="003960C3">
            <w:pPr>
              <w:rPr>
                <w:sz w:val="22"/>
                <w:szCs w:val="22"/>
              </w:rPr>
            </w:pPr>
          </w:p>
          <w:p w:rsidR="003960C3" w:rsidRPr="005A5A29" w:rsidRDefault="003960C3">
            <w:pPr>
              <w:rPr>
                <w:sz w:val="22"/>
                <w:szCs w:val="22"/>
              </w:rPr>
            </w:pPr>
          </w:p>
        </w:tc>
        <w:tc>
          <w:tcPr>
            <w:tcW w:w="9054" w:type="dxa"/>
            <w:gridSpan w:val="5"/>
            <w:shd w:val="clear" w:color="auto" w:fill="auto"/>
          </w:tcPr>
          <w:p w:rsidR="007B5908" w:rsidRDefault="00F4288E" w:rsidP="007B5908">
            <w:pPr>
              <w:pStyle w:val="BlockText"/>
              <w:rPr>
                <w:sz w:val="22"/>
                <w:szCs w:val="22"/>
              </w:rPr>
            </w:pPr>
            <w:r w:rsidRPr="005A5A29">
              <w:rPr>
                <w:sz w:val="22"/>
                <w:szCs w:val="22"/>
              </w:rPr>
              <w:t xml:space="preserve">The purpose of </w:t>
            </w:r>
            <w:r w:rsidR="00D81CBC" w:rsidRPr="005A5A29">
              <w:rPr>
                <w:sz w:val="22"/>
                <w:szCs w:val="22"/>
              </w:rPr>
              <w:t xml:space="preserve">Oregon’s greenhouse gas reporting rules </w:t>
            </w:r>
            <w:r w:rsidRPr="005A5A29">
              <w:rPr>
                <w:sz w:val="22"/>
                <w:szCs w:val="22"/>
              </w:rPr>
              <w:t>is for</w:t>
            </w:r>
            <w:r w:rsidR="00733D4F" w:rsidRPr="005A5A29">
              <w:rPr>
                <w:sz w:val="22"/>
                <w:szCs w:val="22"/>
              </w:rPr>
              <w:t xml:space="preserve"> DEQ to</w:t>
            </w:r>
            <w:r w:rsidR="00D81CBC" w:rsidRPr="005A5A29">
              <w:rPr>
                <w:sz w:val="22"/>
                <w:szCs w:val="22"/>
              </w:rPr>
              <w:t xml:space="preserve"> </w:t>
            </w:r>
            <w:r w:rsidR="007B5908" w:rsidRPr="005A5A29">
              <w:rPr>
                <w:sz w:val="22"/>
                <w:szCs w:val="22"/>
              </w:rPr>
              <w:t>collect and analyze greenhouse gas emissions data</w:t>
            </w:r>
            <w:r w:rsidR="00D81CBC" w:rsidRPr="005A5A29">
              <w:rPr>
                <w:sz w:val="22"/>
                <w:szCs w:val="22"/>
              </w:rPr>
              <w:t xml:space="preserve"> in Oregon</w:t>
            </w:r>
            <w:r w:rsidR="00D30019" w:rsidRPr="005A5A29">
              <w:rPr>
                <w:sz w:val="22"/>
                <w:szCs w:val="22"/>
              </w:rPr>
              <w:t xml:space="preserve"> </w:t>
            </w:r>
            <w:r w:rsidR="00B65B53" w:rsidRPr="005A5A29">
              <w:rPr>
                <w:sz w:val="22"/>
                <w:szCs w:val="22"/>
              </w:rPr>
              <w:t>and</w:t>
            </w:r>
            <w:r w:rsidR="007B5908" w:rsidRPr="005A5A29">
              <w:rPr>
                <w:sz w:val="22"/>
                <w:szCs w:val="22"/>
              </w:rPr>
              <w:t xml:space="preserve"> evaluate progress toward meeting emissions reduction goals</w:t>
            </w:r>
            <w:r w:rsidR="00E56C86" w:rsidRPr="005A5A29">
              <w:rPr>
                <w:sz w:val="22"/>
                <w:szCs w:val="22"/>
              </w:rPr>
              <w:t xml:space="preserve">. </w:t>
            </w:r>
            <w:r w:rsidR="00A96D61" w:rsidRPr="005A5A29">
              <w:rPr>
                <w:sz w:val="22"/>
                <w:szCs w:val="22"/>
              </w:rPr>
              <w:t>The objectives of this rulemaking are to provide DEQ with</w:t>
            </w:r>
            <w:r w:rsidR="00F857DE">
              <w:rPr>
                <w:sz w:val="22"/>
                <w:szCs w:val="22"/>
              </w:rPr>
              <w:t xml:space="preserve"> more</w:t>
            </w:r>
            <w:r w:rsidR="00A96D61" w:rsidRPr="005A5A29">
              <w:rPr>
                <w:sz w:val="22"/>
                <w:szCs w:val="22"/>
              </w:rPr>
              <w:t xml:space="preserve"> comprehensive emissions data, generate fee revenue to cover program costs, and </w:t>
            </w:r>
            <w:r w:rsidR="00F857DE">
              <w:rPr>
                <w:sz w:val="22"/>
                <w:szCs w:val="22"/>
              </w:rPr>
              <w:t>align</w:t>
            </w:r>
            <w:r w:rsidR="00A96D61" w:rsidRPr="005A5A29">
              <w:rPr>
                <w:sz w:val="22"/>
                <w:szCs w:val="22"/>
              </w:rPr>
              <w:t xml:space="preserve"> Oregon’s </w:t>
            </w:r>
            <w:r w:rsidR="001E2CA0">
              <w:rPr>
                <w:sz w:val="22"/>
                <w:szCs w:val="22"/>
              </w:rPr>
              <w:t>reporting program</w:t>
            </w:r>
            <w:r w:rsidR="00A96D61" w:rsidRPr="005A5A29">
              <w:rPr>
                <w:sz w:val="22"/>
                <w:szCs w:val="22"/>
              </w:rPr>
              <w:t xml:space="preserve"> </w:t>
            </w:r>
            <w:r w:rsidR="00F857DE">
              <w:rPr>
                <w:sz w:val="22"/>
                <w:szCs w:val="22"/>
              </w:rPr>
              <w:t>with</w:t>
            </w:r>
            <w:r w:rsidR="00A96D61" w:rsidRPr="005A5A29">
              <w:rPr>
                <w:sz w:val="22"/>
                <w:szCs w:val="22"/>
              </w:rPr>
              <w:t xml:space="preserve"> regional</w:t>
            </w:r>
            <w:r w:rsidR="00296CA9">
              <w:rPr>
                <w:sz w:val="22"/>
                <w:szCs w:val="22"/>
              </w:rPr>
              <w:t xml:space="preserve"> and federal</w:t>
            </w:r>
            <w:r w:rsidR="00A96D61" w:rsidRPr="005A5A29">
              <w:rPr>
                <w:sz w:val="22"/>
                <w:szCs w:val="22"/>
              </w:rPr>
              <w:t xml:space="preserve"> initiatives. </w:t>
            </w:r>
            <w:r w:rsidR="007510B2" w:rsidRPr="005A5A29">
              <w:rPr>
                <w:sz w:val="22"/>
                <w:szCs w:val="22"/>
              </w:rPr>
              <w:t xml:space="preserve">The Environmental Quality Commission adopted rules in 2008 that require certain industrial sources, in-state power generators, landfills and wastewater treatment plants to annually report greenhouse gas emissions. The commission recently received </w:t>
            </w:r>
            <w:r w:rsidR="00D1394F" w:rsidRPr="005A5A29">
              <w:rPr>
                <w:sz w:val="22"/>
                <w:szCs w:val="22"/>
              </w:rPr>
              <w:t xml:space="preserve">legislative </w:t>
            </w:r>
            <w:r w:rsidR="007510B2" w:rsidRPr="005A5A29">
              <w:rPr>
                <w:sz w:val="22"/>
                <w:szCs w:val="22"/>
              </w:rPr>
              <w:t xml:space="preserve">authority </w:t>
            </w:r>
            <w:r w:rsidR="00E438E5">
              <w:rPr>
                <w:sz w:val="22"/>
                <w:szCs w:val="22"/>
              </w:rPr>
              <w:t xml:space="preserve">through </w:t>
            </w:r>
            <w:r w:rsidR="00706C45">
              <w:rPr>
                <w:sz w:val="22"/>
                <w:szCs w:val="22"/>
              </w:rPr>
              <w:t xml:space="preserve">Senate Bill (SB) </w:t>
            </w:r>
            <w:r w:rsidR="00E438E5">
              <w:rPr>
                <w:sz w:val="22"/>
                <w:szCs w:val="22"/>
              </w:rPr>
              <w:t xml:space="preserve">103 (2009) to </w:t>
            </w:r>
            <w:r w:rsidR="00E438E5" w:rsidRPr="005A5A29">
              <w:rPr>
                <w:sz w:val="22"/>
                <w:szCs w:val="22"/>
              </w:rPr>
              <w:t>create reporting fees</w:t>
            </w:r>
            <w:r w:rsidR="00E438E5">
              <w:rPr>
                <w:sz w:val="22"/>
                <w:szCs w:val="22"/>
              </w:rPr>
              <w:t>, and through SB 38 (2009)</w:t>
            </w:r>
            <w:r w:rsidR="00296CA9">
              <w:rPr>
                <w:sz w:val="22"/>
                <w:szCs w:val="22"/>
              </w:rPr>
              <w:t xml:space="preserve"> </w:t>
            </w:r>
            <w:r w:rsidR="007510B2" w:rsidRPr="005A5A29">
              <w:rPr>
                <w:sz w:val="22"/>
                <w:szCs w:val="22"/>
              </w:rPr>
              <w:t>to require reporting from power importers and fuel distributors</w:t>
            </w:r>
            <w:r w:rsidR="00E438E5">
              <w:rPr>
                <w:sz w:val="22"/>
                <w:szCs w:val="22"/>
              </w:rPr>
              <w:t xml:space="preserve">; however, the commission </w:t>
            </w:r>
            <w:r w:rsidR="00845EF5">
              <w:rPr>
                <w:sz w:val="22"/>
                <w:szCs w:val="22"/>
              </w:rPr>
              <w:t xml:space="preserve">still lacks authority to </w:t>
            </w:r>
            <w:r w:rsidR="00E438E5">
              <w:rPr>
                <w:sz w:val="22"/>
                <w:szCs w:val="22"/>
              </w:rPr>
              <w:t>create reporting fees for the two emission categories</w:t>
            </w:r>
            <w:r w:rsidR="002809D4">
              <w:rPr>
                <w:sz w:val="22"/>
                <w:szCs w:val="22"/>
              </w:rPr>
              <w:t xml:space="preserve"> added </w:t>
            </w:r>
            <w:r w:rsidR="00C47880">
              <w:rPr>
                <w:sz w:val="22"/>
                <w:szCs w:val="22"/>
              </w:rPr>
              <w:t xml:space="preserve">by </w:t>
            </w:r>
            <w:r w:rsidR="002809D4">
              <w:rPr>
                <w:sz w:val="22"/>
                <w:szCs w:val="22"/>
              </w:rPr>
              <w:t>SB 38</w:t>
            </w:r>
            <w:r w:rsidR="00E438E5">
              <w:rPr>
                <w:sz w:val="22"/>
                <w:szCs w:val="22"/>
              </w:rPr>
              <w:t xml:space="preserve">. </w:t>
            </w:r>
          </w:p>
          <w:p w:rsidR="00E438E5" w:rsidRPr="00041B5B" w:rsidRDefault="00E438E5" w:rsidP="007B5908">
            <w:pPr>
              <w:pStyle w:val="BlockText"/>
              <w:rPr>
                <w:color w:val="FF0000"/>
                <w:sz w:val="22"/>
                <w:szCs w:val="22"/>
              </w:rPr>
            </w:pPr>
          </w:p>
          <w:p w:rsidR="007B5908" w:rsidRPr="005A5A29" w:rsidRDefault="00296CA9" w:rsidP="007B5908">
            <w:pPr>
              <w:pStyle w:val="BlockText"/>
              <w:spacing w:after="80"/>
              <w:rPr>
                <w:sz w:val="22"/>
                <w:szCs w:val="22"/>
              </w:rPr>
            </w:pPr>
            <w:r>
              <w:rPr>
                <w:sz w:val="22"/>
                <w:szCs w:val="22"/>
              </w:rPr>
              <w:t>DEQ would propose the changes</w:t>
            </w:r>
            <w:r w:rsidR="00845EF5">
              <w:rPr>
                <w:sz w:val="22"/>
                <w:szCs w:val="22"/>
              </w:rPr>
              <w:t xml:space="preserve"> described below</w:t>
            </w:r>
            <w:r>
              <w:rPr>
                <w:sz w:val="22"/>
                <w:szCs w:val="22"/>
              </w:rPr>
              <w:t xml:space="preserve"> in two phases</w:t>
            </w:r>
            <w:r w:rsidR="00E438E5">
              <w:rPr>
                <w:sz w:val="22"/>
                <w:szCs w:val="22"/>
              </w:rPr>
              <w:t xml:space="preserve">: It would propose the </w:t>
            </w:r>
            <w:r w:rsidR="00C35E8B">
              <w:rPr>
                <w:sz w:val="22"/>
                <w:szCs w:val="22"/>
              </w:rPr>
              <w:t xml:space="preserve">first year’s fees </w:t>
            </w:r>
            <w:r>
              <w:rPr>
                <w:sz w:val="22"/>
                <w:szCs w:val="22"/>
              </w:rPr>
              <w:t>through temporary rulemaking and later propos</w:t>
            </w:r>
            <w:r w:rsidR="00C35E8B">
              <w:rPr>
                <w:sz w:val="22"/>
                <w:szCs w:val="22"/>
              </w:rPr>
              <w:t>e all changes through regular</w:t>
            </w:r>
            <w:r>
              <w:rPr>
                <w:sz w:val="22"/>
                <w:szCs w:val="22"/>
              </w:rPr>
              <w:t xml:space="preserve"> rulemaking</w:t>
            </w:r>
            <w:r w:rsidR="00E438E5">
              <w:rPr>
                <w:sz w:val="22"/>
                <w:szCs w:val="22"/>
              </w:rPr>
              <w:t>.</w:t>
            </w:r>
          </w:p>
          <w:p w:rsidR="00E438E5" w:rsidRPr="005A5A29" w:rsidRDefault="00E438E5" w:rsidP="00E438E5">
            <w:pPr>
              <w:pStyle w:val="BlockText"/>
              <w:numPr>
                <w:ilvl w:val="0"/>
                <w:numId w:val="14"/>
              </w:numPr>
              <w:spacing w:after="80"/>
              <w:ind w:left="342" w:hanging="270"/>
              <w:rPr>
                <w:sz w:val="22"/>
                <w:szCs w:val="22"/>
              </w:rPr>
            </w:pPr>
            <w:r w:rsidRPr="005A5A29">
              <w:rPr>
                <w:sz w:val="22"/>
                <w:szCs w:val="22"/>
              </w:rPr>
              <w:t xml:space="preserve">Requirements for power importers and fuel distributors to report greenhouse gas emissions. </w:t>
            </w:r>
          </w:p>
          <w:p w:rsidR="00E438E5" w:rsidRPr="005A5A29" w:rsidRDefault="00E438E5" w:rsidP="00E438E5">
            <w:pPr>
              <w:pStyle w:val="BlockText"/>
              <w:numPr>
                <w:ilvl w:val="0"/>
                <w:numId w:val="14"/>
              </w:numPr>
              <w:spacing w:after="80"/>
              <w:ind w:left="342" w:hanging="270"/>
              <w:rPr>
                <w:sz w:val="22"/>
                <w:szCs w:val="22"/>
              </w:rPr>
            </w:pPr>
            <w:r w:rsidRPr="005A5A29">
              <w:rPr>
                <w:sz w:val="22"/>
                <w:szCs w:val="22"/>
              </w:rPr>
              <w:t>Requirements for businesses subject to the reporting rules to obtain a permit or regist</w:t>
            </w:r>
            <w:r>
              <w:rPr>
                <w:sz w:val="22"/>
                <w:szCs w:val="22"/>
              </w:rPr>
              <w:t>er.</w:t>
            </w:r>
          </w:p>
          <w:p w:rsidR="00BF1B35" w:rsidRDefault="00E438E5" w:rsidP="00BF1B35">
            <w:pPr>
              <w:pStyle w:val="BlockText"/>
              <w:numPr>
                <w:ilvl w:val="0"/>
                <w:numId w:val="14"/>
              </w:numPr>
              <w:spacing w:before="80" w:after="80"/>
              <w:ind w:left="346" w:hanging="274"/>
              <w:rPr>
                <w:sz w:val="22"/>
                <w:szCs w:val="22"/>
              </w:rPr>
            </w:pPr>
            <w:r w:rsidRPr="002430D6">
              <w:rPr>
                <w:sz w:val="22"/>
                <w:szCs w:val="22"/>
              </w:rPr>
              <w:t>Requirements for businesses subject to the reporting rules to pay annual fees. DEQ would base the fees on anticipated costs of the program and recommends a tiered fee schedule by quantity of source emissions. We do not yet have actual emissions information and would charge the first year’s fees based on estimated emissions from fuel use. We would have an appeal process to resolve cases where estimates were greater than a source’s actual emissions. The following table</w:t>
            </w:r>
            <w:r w:rsidR="00BF1B35" w:rsidRPr="002430D6">
              <w:rPr>
                <w:sz w:val="22"/>
                <w:szCs w:val="22"/>
              </w:rPr>
              <w:t>s</w:t>
            </w:r>
            <w:r w:rsidRPr="002430D6">
              <w:rPr>
                <w:sz w:val="22"/>
                <w:szCs w:val="22"/>
              </w:rPr>
              <w:t xml:space="preserve"> show </w:t>
            </w:r>
            <w:r w:rsidR="00C62556">
              <w:rPr>
                <w:sz w:val="22"/>
                <w:szCs w:val="22"/>
              </w:rPr>
              <w:t xml:space="preserve">two tiered-fee options, </w:t>
            </w:r>
            <w:r w:rsidRPr="002430D6">
              <w:rPr>
                <w:sz w:val="22"/>
                <w:szCs w:val="22"/>
              </w:rPr>
              <w:t>tentative numbers of sources</w:t>
            </w:r>
            <w:r w:rsidR="00C62556">
              <w:rPr>
                <w:sz w:val="22"/>
                <w:szCs w:val="22"/>
              </w:rPr>
              <w:t xml:space="preserve">, </w:t>
            </w:r>
            <w:r w:rsidR="0070105D" w:rsidRPr="002430D6">
              <w:rPr>
                <w:sz w:val="22"/>
                <w:szCs w:val="22"/>
              </w:rPr>
              <w:t>the</w:t>
            </w:r>
            <w:r w:rsidRPr="002430D6">
              <w:rPr>
                <w:sz w:val="22"/>
                <w:szCs w:val="22"/>
              </w:rPr>
              <w:t xml:space="preserve"> revenue </w:t>
            </w:r>
            <w:r w:rsidR="00C62556">
              <w:rPr>
                <w:sz w:val="22"/>
                <w:szCs w:val="22"/>
              </w:rPr>
              <w:t xml:space="preserve">generated, and anticipated costs of the program. </w:t>
            </w:r>
          </w:p>
          <w:p w:rsidR="002430D6" w:rsidRPr="002430D6" w:rsidRDefault="002430D6" w:rsidP="002430D6">
            <w:pPr>
              <w:pStyle w:val="BlockText"/>
              <w:spacing w:before="80" w:after="80"/>
              <w:ind w:left="346"/>
              <w:rPr>
                <w:sz w:val="22"/>
                <w:szCs w:val="22"/>
              </w:rPr>
            </w:pPr>
          </w:p>
          <w:tbl>
            <w:tblPr>
              <w:tblW w:w="5688" w:type="dxa"/>
              <w:jc w:val="center"/>
              <w:tblLayout w:type="fixed"/>
              <w:tblLook w:val="04A0"/>
            </w:tblPr>
            <w:tblGrid>
              <w:gridCol w:w="2129"/>
              <w:gridCol w:w="1339"/>
              <w:gridCol w:w="1100"/>
              <w:gridCol w:w="1120"/>
            </w:tblGrid>
            <w:tr w:rsidR="002430D6" w:rsidRPr="009F7ACB" w:rsidTr="009A266C">
              <w:trPr>
                <w:trHeight w:val="300"/>
                <w:jc w:val="center"/>
              </w:trPr>
              <w:tc>
                <w:tcPr>
                  <w:tcW w:w="5688" w:type="dxa"/>
                  <w:gridSpan w:val="4"/>
                  <w:tcBorders>
                    <w:top w:val="nil"/>
                    <w:left w:val="nil"/>
                    <w:bottom w:val="nil"/>
                    <w:right w:val="nil"/>
                  </w:tcBorders>
                  <w:shd w:val="clear" w:color="auto" w:fill="auto"/>
                  <w:noWrap/>
                  <w:vAlign w:val="bottom"/>
                  <w:hideMark/>
                </w:tcPr>
                <w:p w:rsidR="002430D6" w:rsidRPr="009F7ACB" w:rsidRDefault="002430D6" w:rsidP="00C62556">
                  <w:pPr>
                    <w:rPr>
                      <w:color w:val="000000"/>
                      <w:sz w:val="22"/>
                      <w:szCs w:val="22"/>
                    </w:rPr>
                  </w:pPr>
                  <w:r w:rsidRPr="009F7ACB">
                    <w:rPr>
                      <w:color w:val="000000"/>
                      <w:sz w:val="22"/>
                      <w:szCs w:val="22"/>
                    </w:rPr>
                    <w:t>Option 1</w:t>
                  </w:r>
                  <w:r>
                    <w:rPr>
                      <w:color w:val="000000"/>
                      <w:sz w:val="22"/>
                      <w:szCs w:val="22"/>
                    </w:rPr>
                    <w:t xml:space="preserve">: </w:t>
                  </w:r>
                  <w:r w:rsidR="00C62556">
                    <w:rPr>
                      <w:color w:val="000000"/>
                      <w:sz w:val="22"/>
                      <w:szCs w:val="22"/>
                    </w:rPr>
                    <w:t>Base f</w:t>
                  </w:r>
                  <w:r>
                    <w:rPr>
                      <w:color w:val="000000"/>
                      <w:sz w:val="22"/>
                      <w:szCs w:val="22"/>
                    </w:rPr>
                    <w:t>ee</w:t>
                  </w:r>
                  <w:r w:rsidR="00C62556">
                    <w:rPr>
                      <w:color w:val="000000"/>
                      <w:sz w:val="22"/>
                      <w:szCs w:val="22"/>
                    </w:rPr>
                    <w:t xml:space="preserve"> schedule on </w:t>
                  </w:r>
                  <w:r>
                    <w:rPr>
                      <w:color w:val="000000"/>
                      <w:sz w:val="22"/>
                      <w:szCs w:val="22"/>
                    </w:rPr>
                    <w:t>three emission tiers</w:t>
                  </w:r>
                </w:p>
              </w:tc>
            </w:tr>
            <w:tr w:rsidR="009F7ACB" w:rsidRPr="009F7ACB" w:rsidTr="00214A45">
              <w:trPr>
                <w:trHeight w:val="413"/>
                <w:jc w:val="center"/>
              </w:trPr>
              <w:tc>
                <w:tcPr>
                  <w:tcW w:w="21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7ACB" w:rsidRPr="009F7ACB" w:rsidRDefault="009F7ACB" w:rsidP="00C62556">
                  <w:pPr>
                    <w:jc w:val="center"/>
                    <w:rPr>
                      <w:color w:val="000000"/>
                      <w:sz w:val="22"/>
                      <w:szCs w:val="22"/>
                    </w:rPr>
                  </w:pPr>
                  <w:r w:rsidRPr="009F7ACB">
                    <w:rPr>
                      <w:color w:val="000000"/>
                      <w:sz w:val="22"/>
                      <w:szCs w:val="22"/>
                    </w:rPr>
                    <w:t>Emissions (annual tons)</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Annual Fees</w:t>
                  </w:r>
                  <w:r w:rsidR="00C62556">
                    <w:rPr>
                      <w:color w:val="000000"/>
                      <w:sz w:val="22"/>
                      <w:szCs w:val="22"/>
                    </w:rPr>
                    <w:t>*</w:t>
                  </w:r>
                </w:p>
              </w:tc>
              <w:tc>
                <w:tcPr>
                  <w:tcW w:w="2220" w:type="dxa"/>
                  <w:gridSpan w:val="2"/>
                  <w:tcBorders>
                    <w:top w:val="single" w:sz="4" w:space="0" w:color="auto"/>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Estimated no. of sources</w:t>
                  </w:r>
                </w:p>
              </w:tc>
            </w:tr>
            <w:tr w:rsidR="009F7ACB" w:rsidRPr="009F7ACB" w:rsidTr="00214A45">
              <w:trPr>
                <w:trHeight w:val="170"/>
                <w:jc w:val="center"/>
              </w:trPr>
              <w:tc>
                <w:tcPr>
                  <w:tcW w:w="2129" w:type="dxa"/>
                  <w:vMerge/>
                  <w:tcBorders>
                    <w:top w:val="single" w:sz="4" w:space="0" w:color="auto"/>
                    <w:left w:val="single" w:sz="4" w:space="0" w:color="auto"/>
                    <w:bottom w:val="single" w:sz="4" w:space="0" w:color="auto"/>
                    <w:right w:val="single" w:sz="4" w:space="0" w:color="auto"/>
                  </w:tcBorders>
                  <w:vAlign w:val="center"/>
                  <w:hideMark/>
                </w:tcPr>
                <w:p w:rsidR="009F7ACB" w:rsidRPr="009F7ACB" w:rsidRDefault="009F7ACB" w:rsidP="009F7ACB">
                  <w:pPr>
                    <w:rPr>
                      <w:color w:val="000000"/>
                      <w:sz w:val="22"/>
                      <w:szCs w:val="22"/>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9F7ACB" w:rsidRPr="009F7ACB" w:rsidRDefault="009F7ACB" w:rsidP="009F7ACB">
                  <w:pPr>
                    <w:rPr>
                      <w:color w:val="000000"/>
                      <w:sz w:val="22"/>
                      <w:szCs w:val="22"/>
                    </w:rPr>
                  </w:pPr>
                </w:p>
              </w:tc>
              <w:tc>
                <w:tcPr>
                  <w:tcW w:w="1100" w:type="dxa"/>
                  <w:tcBorders>
                    <w:top w:val="nil"/>
                    <w:left w:val="nil"/>
                    <w:bottom w:val="single" w:sz="4" w:space="0" w:color="auto"/>
                    <w:right w:val="single" w:sz="4" w:space="0" w:color="auto"/>
                  </w:tcBorders>
                  <w:shd w:val="clear" w:color="000000" w:fill="E0E0E0"/>
                  <w:noWrap/>
                  <w:vAlign w:val="bottom"/>
                  <w:hideMark/>
                </w:tcPr>
                <w:p w:rsidR="009F7ACB" w:rsidRPr="009F7ACB" w:rsidRDefault="009F7ACB" w:rsidP="009F7ACB">
                  <w:pPr>
                    <w:jc w:val="center"/>
                    <w:rPr>
                      <w:color w:val="000000"/>
                      <w:sz w:val="22"/>
                      <w:szCs w:val="22"/>
                    </w:rPr>
                  </w:pPr>
                  <w:r w:rsidRPr="009F7ACB">
                    <w:rPr>
                      <w:color w:val="000000"/>
                      <w:sz w:val="22"/>
                      <w:szCs w:val="22"/>
                    </w:rPr>
                    <w:t>2009</w:t>
                  </w:r>
                </w:p>
              </w:tc>
              <w:tc>
                <w:tcPr>
                  <w:tcW w:w="1120" w:type="dxa"/>
                  <w:tcBorders>
                    <w:top w:val="nil"/>
                    <w:left w:val="nil"/>
                    <w:bottom w:val="single" w:sz="4" w:space="0" w:color="auto"/>
                    <w:right w:val="single" w:sz="4" w:space="0" w:color="auto"/>
                  </w:tcBorders>
                  <w:shd w:val="clear" w:color="000000" w:fill="E0E0E0"/>
                  <w:noWrap/>
                  <w:vAlign w:val="bottom"/>
                  <w:hideMark/>
                </w:tcPr>
                <w:p w:rsidR="009F7ACB" w:rsidRPr="009F7ACB" w:rsidRDefault="009F7ACB" w:rsidP="009F7ACB">
                  <w:pPr>
                    <w:jc w:val="center"/>
                    <w:rPr>
                      <w:color w:val="000000"/>
                      <w:sz w:val="22"/>
                      <w:szCs w:val="22"/>
                    </w:rPr>
                  </w:pPr>
                  <w:r w:rsidRPr="009F7ACB">
                    <w:rPr>
                      <w:color w:val="000000"/>
                      <w:sz w:val="22"/>
                      <w:szCs w:val="22"/>
                    </w:rPr>
                    <w:t>2010</w:t>
                  </w:r>
                  <w:r w:rsidR="00C62556">
                    <w:rPr>
                      <w:color w:val="000000"/>
                      <w:sz w:val="22"/>
                      <w:szCs w:val="22"/>
                    </w:rPr>
                    <w:t>*</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2,500-10,000</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$500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72</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111</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10,000-25,000</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$1,500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27</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40</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25,000 and above</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$4,000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34</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52</w:t>
                  </w:r>
                </w:p>
              </w:tc>
            </w:tr>
            <w:tr w:rsidR="009F7ACB" w:rsidRPr="009F7ACB" w:rsidTr="002430D6">
              <w:trPr>
                <w:trHeight w:val="300"/>
                <w:jc w:val="center"/>
              </w:trPr>
              <w:tc>
                <w:tcPr>
                  <w:tcW w:w="2129" w:type="dxa"/>
                  <w:tcBorders>
                    <w:top w:val="nil"/>
                    <w:left w:val="nil"/>
                    <w:bottom w:val="nil"/>
                    <w:right w:val="nil"/>
                  </w:tcBorders>
                  <w:shd w:val="clear" w:color="auto" w:fill="auto"/>
                  <w:noWrap/>
                  <w:vAlign w:val="bottom"/>
                  <w:hideMark/>
                </w:tcPr>
                <w:p w:rsidR="009F7ACB" w:rsidRDefault="009F7ACB" w:rsidP="009F7ACB">
                  <w:pPr>
                    <w:rPr>
                      <w:color w:val="000000"/>
                      <w:sz w:val="22"/>
                      <w:szCs w:val="22"/>
                    </w:rPr>
                  </w:pPr>
                </w:p>
                <w:p w:rsidR="002430D6" w:rsidRDefault="002430D6" w:rsidP="009F7ACB">
                  <w:pPr>
                    <w:rPr>
                      <w:color w:val="000000"/>
                      <w:sz w:val="22"/>
                      <w:szCs w:val="22"/>
                    </w:rPr>
                  </w:pPr>
                </w:p>
                <w:p w:rsidR="00C62556" w:rsidRDefault="00C62556" w:rsidP="009F7ACB">
                  <w:pPr>
                    <w:rPr>
                      <w:color w:val="000000"/>
                      <w:sz w:val="22"/>
                      <w:szCs w:val="22"/>
                    </w:rPr>
                  </w:pPr>
                </w:p>
                <w:p w:rsidR="00C62556" w:rsidRDefault="00C62556" w:rsidP="009F7ACB">
                  <w:pPr>
                    <w:rPr>
                      <w:color w:val="000000"/>
                      <w:sz w:val="22"/>
                      <w:szCs w:val="22"/>
                    </w:rPr>
                  </w:pPr>
                </w:p>
                <w:p w:rsidR="00C62556" w:rsidRDefault="00C62556" w:rsidP="009F7ACB">
                  <w:pPr>
                    <w:rPr>
                      <w:color w:val="000000"/>
                      <w:sz w:val="22"/>
                      <w:szCs w:val="22"/>
                    </w:rPr>
                  </w:pPr>
                </w:p>
                <w:p w:rsidR="00C62556" w:rsidRPr="009F7ACB" w:rsidRDefault="00C62556" w:rsidP="009F7ACB">
                  <w:pPr>
                    <w:rPr>
                      <w:color w:val="000000"/>
                      <w:sz w:val="22"/>
                      <w:szCs w:val="22"/>
                    </w:rPr>
                  </w:pPr>
                </w:p>
              </w:tc>
              <w:tc>
                <w:tcPr>
                  <w:tcW w:w="1339" w:type="dxa"/>
                  <w:tcBorders>
                    <w:top w:val="nil"/>
                    <w:left w:val="nil"/>
                    <w:bottom w:val="nil"/>
                    <w:right w:val="nil"/>
                  </w:tcBorders>
                  <w:shd w:val="clear" w:color="auto" w:fill="auto"/>
                  <w:noWrap/>
                  <w:vAlign w:val="bottom"/>
                  <w:hideMark/>
                </w:tcPr>
                <w:p w:rsidR="009F7ACB" w:rsidRPr="009F7ACB" w:rsidRDefault="009F7ACB" w:rsidP="009F7ACB">
                  <w:pPr>
                    <w:rPr>
                      <w:color w:val="000000"/>
                      <w:sz w:val="22"/>
                      <w:szCs w:val="22"/>
                    </w:rPr>
                  </w:pPr>
                </w:p>
              </w:tc>
              <w:tc>
                <w:tcPr>
                  <w:tcW w:w="1100" w:type="dxa"/>
                  <w:tcBorders>
                    <w:top w:val="nil"/>
                    <w:left w:val="nil"/>
                    <w:bottom w:val="nil"/>
                    <w:right w:val="nil"/>
                  </w:tcBorders>
                  <w:shd w:val="clear" w:color="auto" w:fill="auto"/>
                  <w:noWrap/>
                  <w:vAlign w:val="bottom"/>
                  <w:hideMark/>
                </w:tcPr>
                <w:p w:rsidR="009F7ACB" w:rsidRPr="009F7ACB" w:rsidRDefault="009F7ACB" w:rsidP="009F7ACB">
                  <w:pPr>
                    <w:rPr>
                      <w:color w:val="000000"/>
                      <w:sz w:val="22"/>
                      <w:szCs w:val="22"/>
                    </w:rPr>
                  </w:pPr>
                </w:p>
              </w:tc>
              <w:tc>
                <w:tcPr>
                  <w:tcW w:w="1120" w:type="dxa"/>
                  <w:tcBorders>
                    <w:top w:val="nil"/>
                    <w:left w:val="nil"/>
                    <w:bottom w:val="nil"/>
                    <w:right w:val="nil"/>
                  </w:tcBorders>
                  <w:shd w:val="clear" w:color="auto" w:fill="auto"/>
                  <w:noWrap/>
                  <w:vAlign w:val="bottom"/>
                  <w:hideMark/>
                </w:tcPr>
                <w:p w:rsidR="009F7ACB" w:rsidRPr="009F7ACB" w:rsidRDefault="009F7ACB" w:rsidP="009F7ACB">
                  <w:pPr>
                    <w:rPr>
                      <w:color w:val="000000"/>
                      <w:sz w:val="22"/>
                      <w:szCs w:val="22"/>
                    </w:rPr>
                  </w:pPr>
                </w:p>
              </w:tc>
            </w:tr>
            <w:tr w:rsidR="002430D6" w:rsidRPr="009F7ACB" w:rsidTr="00C109F0">
              <w:trPr>
                <w:trHeight w:val="300"/>
                <w:jc w:val="center"/>
              </w:trPr>
              <w:tc>
                <w:tcPr>
                  <w:tcW w:w="5688" w:type="dxa"/>
                  <w:gridSpan w:val="4"/>
                  <w:tcBorders>
                    <w:top w:val="nil"/>
                    <w:left w:val="nil"/>
                    <w:bottom w:val="nil"/>
                    <w:right w:val="nil"/>
                  </w:tcBorders>
                  <w:shd w:val="clear" w:color="auto" w:fill="auto"/>
                  <w:noWrap/>
                  <w:vAlign w:val="bottom"/>
                  <w:hideMark/>
                </w:tcPr>
                <w:p w:rsidR="002430D6" w:rsidRPr="009F7ACB" w:rsidRDefault="002430D6" w:rsidP="00C62556">
                  <w:pPr>
                    <w:rPr>
                      <w:color w:val="000000"/>
                      <w:sz w:val="22"/>
                      <w:szCs w:val="22"/>
                    </w:rPr>
                  </w:pPr>
                  <w:r w:rsidRPr="009F7ACB">
                    <w:rPr>
                      <w:color w:val="000000"/>
                      <w:sz w:val="22"/>
                      <w:szCs w:val="22"/>
                    </w:rPr>
                    <w:lastRenderedPageBreak/>
                    <w:t>Option 2</w:t>
                  </w:r>
                  <w:r>
                    <w:rPr>
                      <w:color w:val="000000"/>
                      <w:sz w:val="22"/>
                      <w:szCs w:val="22"/>
                    </w:rPr>
                    <w:t xml:space="preserve">: </w:t>
                  </w:r>
                  <w:r w:rsidR="00C62556">
                    <w:rPr>
                      <w:color w:val="000000"/>
                      <w:sz w:val="22"/>
                      <w:szCs w:val="22"/>
                    </w:rPr>
                    <w:t xml:space="preserve">Base fee schedule on </w:t>
                  </w:r>
                  <w:r>
                    <w:rPr>
                      <w:color w:val="000000"/>
                      <w:sz w:val="22"/>
                      <w:szCs w:val="22"/>
                    </w:rPr>
                    <w:t>four emission tiers</w:t>
                  </w:r>
                </w:p>
              </w:tc>
            </w:tr>
            <w:tr w:rsidR="009F7ACB" w:rsidRPr="009F7ACB" w:rsidTr="00214A45">
              <w:trPr>
                <w:trHeight w:val="323"/>
                <w:jc w:val="center"/>
              </w:trPr>
              <w:tc>
                <w:tcPr>
                  <w:tcW w:w="21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7ACB" w:rsidRPr="009F7ACB" w:rsidRDefault="009F7ACB" w:rsidP="00C62556">
                  <w:pPr>
                    <w:jc w:val="center"/>
                    <w:rPr>
                      <w:color w:val="000000"/>
                      <w:sz w:val="22"/>
                      <w:szCs w:val="22"/>
                    </w:rPr>
                  </w:pPr>
                  <w:r w:rsidRPr="009F7ACB">
                    <w:rPr>
                      <w:color w:val="000000"/>
                      <w:sz w:val="22"/>
                      <w:szCs w:val="22"/>
                    </w:rPr>
                    <w:t>Emissions (annual tons)</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Annual Fees</w:t>
                  </w:r>
                  <w:r w:rsidR="00C62556">
                    <w:rPr>
                      <w:color w:val="000000"/>
                      <w:sz w:val="22"/>
                      <w:szCs w:val="22"/>
                    </w:rPr>
                    <w:t>*</w:t>
                  </w:r>
                </w:p>
              </w:tc>
              <w:tc>
                <w:tcPr>
                  <w:tcW w:w="2220" w:type="dxa"/>
                  <w:gridSpan w:val="2"/>
                  <w:tcBorders>
                    <w:top w:val="single" w:sz="4" w:space="0" w:color="auto"/>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Estimated no. of sources</w:t>
                  </w:r>
                </w:p>
              </w:tc>
            </w:tr>
            <w:tr w:rsidR="009F7ACB" w:rsidRPr="009F7ACB" w:rsidTr="00214A45">
              <w:trPr>
                <w:trHeight w:val="251"/>
                <w:jc w:val="center"/>
              </w:trPr>
              <w:tc>
                <w:tcPr>
                  <w:tcW w:w="2129" w:type="dxa"/>
                  <w:vMerge/>
                  <w:tcBorders>
                    <w:top w:val="single" w:sz="4" w:space="0" w:color="auto"/>
                    <w:left w:val="single" w:sz="4" w:space="0" w:color="auto"/>
                    <w:bottom w:val="single" w:sz="4" w:space="0" w:color="auto"/>
                    <w:right w:val="single" w:sz="4" w:space="0" w:color="auto"/>
                  </w:tcBorders>
                  <w:vAlign w:val="center"/>
                  <w:hideMark/>
                </w:tcPr>
                <w:p w:rsidR="009F7ACB" w:rsidRPr="009F7ACB" w:rsidRDefault="009F7ACB" w:rsidP="009F7ACB">
                  <w:pPr>
                    <w:rPr>
                      <w:color w:val="000000"/>
                      <w:sz w:val="22"/>
                      <w:szCs w:val="22"/>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9F7ACB" w:rsidRPr="009F7ACB" w:rsidRDefault="009F7ACB" w:rsidP="009F7ACB">
                  <w:pPr>
                    <w:rPr>
                      <w:color w:val="000000"/>
                      <w:sz w:val="22"/>
                      <w:szCs w:val="22"/>
                    </w:rPr>
                  </w:pPr>
                </w:p>
              </w:tc>
              <w:tc>
                <w:tcPr>
                  <w:tcW w:w="1100" w:type="dxa"/>
                  <w:tcBorders>
                    <w:top w:val="nil"/>
                    <w:left w:val="nil"/>
                    <w:bottom w:val="single" w:sz="4" w:space="0" w:color="auto"/>
                    <w:right w:val="single" w:sz="4" w:space="0" w:color="auto"/>
                  </w:tcBorders>
                  <w:shd w:val="clear" w:color="000000" w:fill="E0E0E0"/>
                  <w:noWrap/>
                  <w:vAlign w:val="bottom"/>
                  <w:hideMark/>
                </w:tcPr>
                <w:p w:rsidR="009F7ACB" w:rsidRPr="009F7ACB" w:rsidRDefault="009F7ACB" w:rsidP="009F7ACB">
                  <w:pPr>
                    <w:jc w:val="center"/>
                    <w:rPr>
                      <w:color w:val="000000"/>
                      <w:sz w:val="22"/>
                      <w:szCs w:val="22"/>
                    </w:rPr>
                  </w:pPr>
                  <w:r w:rsidRPr="009F7ACB">
                    <w:rPr>
                      <w:color w:val="000000"/>
                      <w:sz w:val="22"/>
                      <w:szCs w:val="22"/>
                    </w:rPr>
                    <w:t>2009</w:t>
                  </w:r>
                </w:p>
              </w:tc>
              <w:tc>
                <w:tcPr>
                  <w:tcW w:w="1120" w:type="dxa"/>
                  <w:tcBorders>
                    <w:top w:val="nil"/>
                    <w:left w:val="nil"/>
                    <w:bottom w:val="single" w:sz="4" w:space="0" w:color="auto"/>
                    <w:right w:val="single" w:sz="4" w:space="0" w:color="auto"/>
                  </w:tcBorders>
                  <w:shd w:val="clear" w:color="000000" w:fill="E0E0E0"/>
                  <w:noWrap/>
                  <w:vAlign w:val="bottom"/>
                  <w:hideMark/>
                </w:tcPr>
                <w:p w:rsidR="009F7ACB" w:rsidRPr="009F7ACB" w:rsidRDefault="009F7ACB" w:rsidP="009F7ACB">
                  <w:pPr>
                    <w:jc w:val="center"/>
                    <w:rPr>
                      <w:color w:val="000000"/>
                      <w:sz w:val="22"/>
                      <w:szCs w:val="22"/>
                    </w:rPr>
                  </w:pPr>
                  <w:r w:rsidRPr="009F7ACB">
                    <w:rPr>
                      <w:color w:val="000000"/>
                      <w:sz w:val="22"/>
                      <w:szCs w:val="22"/>
                    </w:rPr>
                    <w:t>2010</w:t>
                  </w:r>
                  <w:r w:rsidR="00C62556">
                    <w:rPr>
                      <w:color w:val="000000"/>
                      <w:sz w:val="22"/>
                      <w:szCs w:val="22"/>
                    </w:rPr>
                    <w:t>*</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2,500-5,000</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$500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49</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63</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5,000-50,000</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$1,500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62</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109</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50,000-500,000</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$3,500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16</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25</w:t>
                  </w:r>
                </w:p>
              </w:tc>
            </w:tr>
            <w:tr w:rsidR="009F7ACB" w:rsidRPr="009F7ACB" w:rsidTr="002430D6">
              <w:trPr>
                <w:trHeight w:val="300"/>
                <w:jc w:val="center"/>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rsidR="009F7ACB" w:rsidRPr="009F7ACB" w:rsidRDefault="009F7ACB" w:rsidP="009F7ACB">
                  <w:pPr>
                    <w:jc w:val="right"/>
                    <w:rPr>
                      <w:color w:val="000000"/>
                      <w:sz w:val="22"/>
                      <w:szCs w:val="22"/>
                    </w:rPr>
                  </w:pPr>
                  <w:r w:rsidRPr="009F7ACB">
                    <w:rPr>
                      <w:color w:val="000000"/>
                      <w:sz w:val="22"/>
                      <w:szCs w:val="22"/>
                    </w:rPr>
                    <w:t>500,000 and above</w:t>
                  </w:r>
                </w:p>
              </w:tc>
              <w:tc>
                <w:tcPr>
                  <w:tcW w:w="1339" w:type="dxa"/>
                  <w:tcBorders>
                    <w:top w:val="nil"/>
                    <w:left w:val="nil"/>
                    <w:bottom w:val="single" w:sz="4" w:space="0" w:color="auto"/>
                    <w:right w:val="single" w:sz="4" w:space="0" w:color="auto"/>
                  </w:tcBorders>
                  <w:shd w:val="clear" w:color="auto" w:fill="auto"/>
                  <w:vAlign w:val="bottom"/>
                  <w:hideMark/>
                </w:tcPr>
                <w:p w:rsidR="009F7ACB" w:rsidRPr="009F7ACB" w:rsidRDefault="009F7ACB" w:rsidP="009F7ACB">
                  <w:pPr>
                    <w:jc w:val="center"/>
                    <w:rPr>
                      <w:color w:val="000000"/>
                      <w:sz w:val="22"/>
                      <w:szCs w:val="22"/>
                    </w:rPr>
                  </w:pPr>
                  <w:r w:rsidRPr="009F7ACB">
                    <w:rPr>
                      <w:color w:val="000000"/>
                      <w:sz w:val="22"/>
                      <w:szCs w:val="22"/>
                    </w:rPr>
                    <w:t xml:space="preserve">$7,500 </w:t>
                  </w:r>
                </w:p>
              </w:tc>
              <w:tc>
                <w:tcPr>
                  <w:tcW w:w="110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9F7ACB" w:rsidRPr="009F7ACB" w:rsidRDefault="009F7ACB" w:rsidP="009F7ACB">
                  <w:pPr>
                    <w:jc w:val="center"/>
                    <w:rPr>
                      <w:color w:val="000000"/>
                      <w:sz w:val="22"/>
                      <w:szCs w:val="22"/>
                    </w:rPr>
                  </w:pPr>
                  <w:r w:rsidRPr="009F7ACB">
                    <w:rPr>
                      <w:color w:val="000000"/>
                      <w:sz w:val="22"/>
                      <w:szCs w:val="22"/>
                    </w:rPr>
                    <w:t>6</w:t>
                  </w:r>
                </w:p>
              </w:tc>
            </w:tr>
            <w:tr w:rsidR="00C62556" w:rsidRPr="009F7ACB" w:rsidTr="00C62556">
              <w:trPr>
                <w:trHeight w:val="300"/>
                <w:jc w:val="center"/>
              </w:trPr>
              <w:tc>
                <w:tcPr>
                  <w:tcW w:w="2129" w:type="dxa"/>
                  <w:tcBorders>
                    <w:top w:val="nil"/>
                    <w:left w:val="nil"/>
                    <w:bottom w:val="nil"/>
                    <w:right w:val="nil"/>
                  </w:tcBorders>
                  <w:shd w:val="clear" w:color="auto" w:fill="auto"/>
                  <w:noWrap/>
                  <w:vAlign w:val="bottom"/>
                  <w:hideMark/>
                </w:tcPr>
                <w:p w:rsidR="00C62556" w:rsidRPr="009F7ACB" w:rsidRDefault="00C62556" w:rsidP="009F7ACB">
                  <w:pPr>
                    <w:rPr>
                      <w:color w:val="000000"/>
                      <w:sz w:val="22"/>
                      <w:szCs w:val="22"/>
                    </w:rPr>
                  </w:pPr>
                </w:p>
              </w:tc>
              <w:tc>
                <w:tcPr>
                  <w:tcW w:w="1339" w:type="dxa"/>
                  <w:tcBorders>
                    <w:top w:val="nil"/>
                    <w:left w:val="nil"/>
                    <w:bottom w:val="nil"/>
                    <w:right w:val="nil"/>
                  </w:tcBorders>
                  <w:shd w:val="clear" w:color="auto" w:fill="auto"/>
                  <w:noWrap/>
                  <w:vAlign w:val="bottom"/>
                  <w:hideMark/>
                </w:tcPr>
                <w:p w:rsidR="00C62556" w:rsidRPr="009F7ACB" w:rsidRDefault="00C62556" w:rsidP="009F7ACB">
                  <w:pPr>
                    <w:rPr>
                      <w:color w:val="000000"/>
                      <w:sz w:val="22"/>
                      <w:szCs w:val="22"/>
                    </w:rPr>
                  </w:pPr>
                </w:p>
              </w:tc>
              <w:tc>
                <w:tcPr>
                  <w:tcW w:w="1100" w:type="dxa"/>
                  <w:tcBorders>
                    <w:top w:val="nil"/>
                    <w:left w:val="nil"/>
                    <w:bottom w:val="single" w:sz="4" w:space="0" w:color="auto"/>
                    <w:right w:val="nil"/>
                  </w:tcBorders>
                  <w:shd w:val="clear" w:color="auto" w:fill="auto"/>
                  <w:noWrap/>
                  <w:vAlign w:val="bottom"/>
                  <w:hideMark/>
                </w:tcPr>
                <w:p w:rsidR="00C62556" w:rsidRPr="009F7ACB" w:rsidRDefault="00C62556" w:rsidP="009F7ACB">
                  <w:pPr>
                    <w:rPr>
                      <w:color w:val="000000"/>
                      <w:sz w:val="22"/>
                      <w:szCs w:val="22"/>
                    </w:rPr>
                  </w:pPr>
                </w:p>
              </w:tc>
              <w:tc>
                <w:tcPr>
                  <w:tcW w:w="1120" w:type="dxa"/>
                  <w:tcBorders>
                    <w:top w:val="nil"/>
                    <w:left w:val="nil"/>
                    <w:bottom w:val="single" w:sz="4" w:space="0" w:color="auto"/>
                    <w:right w:val="nil"/>
                  </w:tcBorders>
                  <w:shd w:val="clear" w:color="auto" w:fill="auto"/>
                  <w:noWrap/>
                  <w:vAlign w:val="bottom"/>
                  <w:hideMark/>
                </w:tcPr>
                <w:p w:rsidR="00C62556" w:rsidRPr="009F7ACB" w:rsidRDefault="00C62556" w:rsidP="009F7ACB">
                  <w:pPr>
                    <w:rPr>
                      <w:color w:val="000000"/>
                      <w:sz w:val="22"/>
                      <w:szCs w:val="22"/>
                    </w:rPr>
                  </w:pPr>
                </w:p>
              </w:tc>
            </w:tr>
            <w:tr w:rsidR="00C62556" w:rsidRPr="009F7ACB" w:rsidTr="00C62556">
              <w:trPr>
                <w:trHeight w:val="300"/>
                <w:jc w:val="center"/>
              </w:trPr>
              <w:tc>
                <w:tcPr>
                  <w:tcW w:w="2129" w:type="dxa"/>
                  <w:tcBorders>
                    <w:top w:val="nil"/>
                    <w:left w:val="nil"/>
                    <w:bottom w:val="nil"/>
                    <w:right w:val="nil"/>
                  </w:tcBorders>
                  <w:shd w:val="clear" w:color="auto" w:fill="auto"/>
                  <w:noWrap/>
                  <w:vAlign w:val="bottom"/>
                  <w:hideMark/>
                </w:tcPr>
                <w:p w:rsidR="00C62556" w:rsidRPr="009F7ACB" w:rsidRDefault="00C62556" w:rsidP="009F7ACB">
                  <w:pPr>
                    <w:rPr>
                      <w:color w:val="000000"/>
                      <w:sz w:val="22"/>
                      <w:szCs w:val="22"/>
                    </w:rPr>
                  </w:pPr>
                </w:p>
              </w:tc>
              <w:tc>
                <w:tcPr>
                  <w:tcW w:w="1339" w:type="dxa"/>
                  <w:tcBorders>
                    <w:top w:val="nil"/>
                    <w:left w:val="nil"/>
                    <w:bottom w:val="nil"/>
                    <w:right w:val="single" w:sz="4" w:space="0" w:color="auto"/>
                  </w:tcBorders>
                  <w:shd w:val="clear" w:color="auto" w:fill="auto"/>
                  <w:noWrap/>
                  <w:vAlign w:val="bottom"/>
                  <w:hideMark/>
                </w:tcPr>
                <w:p w:rsidR="00C62556" w:rsidRPr="009F7ACB" w:rsidRDefault="00C62556" w:rsidP="009F7ACB">
                  <w:pPr>
                    <w:rPr>
                      <w:color w:val="000000"/>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62556" w:rsidRPr="009F7ACB" w:rsidRDefault="00C62556" w:rsidP="005271AC">
                  <w:pPr>
                    <w:jc w:val="center"/>
                    <w:rPr>
                      <w:color w:val="000000"/>
                      <w:sz w:val="22"/>
                      <w:szCs w:val="22"/>
                    </w:rPr>
                  </w:pPr>
                  <w:r w:rsidRPr="009F7ACB">
                    <w:rPr>
                      <w:color w:val="000000"/>
                      <w:sz w:val="22"/>
                      <w:szCs w:val="22"/>
                    </w:rPr>
                    <w:t>2009</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62556" w:rsidRPr="009F7ACB" w:rsidRDefault="00C62556" w:rsidP="00C62556">
                  <w:pPr>
                    <w:jc w:val="center"/>
                    <w:rPr>
                      <w:color w:val="000000"/>
                      <w:sz w:val="22"/>
                      <w:szCs w:val="22"/>
                    </w:rPr>
                  </w:pPr>
                  <w:r w:rsidRPr="009F7ACB">
                    <w:rPr>
                      <w:color w:val="000000"/>
                      <w:sz w:val="22"/>
                      <w:szCs w:val="22"/>
                    </w:rPr>
                    <w:t>2010</w:t>
                  </w:r>
                </w:p>
              </w:tc>
            </w:tr>
            <w:tr w:rsidR="002430D6" w:rsidRPr="009F7ACB" w:rsidTr="00C62556">
              <w:trPr>
                <w:trHeight w:val="278"/>
                <w:jc w:val="center"/>
              </w:trPr>
              <w:tc>
                <w:tcPr>
                  <w:tcW w:w="34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30D6" w:rsidRPr="009F7ACB" w:rsidRDefault="002430D6" w:rsidP="002430D6">
                  <w:pPr>
                    <w:rPr>
                      <w:color w:val="000000"/>
                      <w:sz w:val="22"/>
                      <w:szCs w:val="22"/>
                    </w:rPr>
                  </w:pPr>
                  <w:r w:rsidRPr="009F7ACB">
                    <w:rPr>
                      <w:color w:val="000000"/>
                      <w:sz w:val="22"/>
                      <w:szCs w:val="22"/>
                    </w:rPr>
                    <w:t>Total numbers of sources</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430D6" w:rsidRPr="009F7ACB" w:rsidRDefault="002430D6" w:rsidP="009F7ACB">
                  <w:pPr>
                    <w:jc w:val="center"/>
                    <w:rPr>
                      <w:color w:val="000000"/>
                      <w:sz w:val="22"/>
                      <w:szCs w:val="22"/>
                    </w:rPr>
                  </w:pPr>
                  <w:r w:rsidRPr="009F7ACB">
                    <w:rPr>
                      <w:color w:val="000000"/>
                      <w:sz w:val="22"/>
                      <w:szCs w:val="22"/>
                    </w:rPr>
                    <w:t>133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430D6" w:rsidRPr="009F7ACB" w:rsidRDefault="002430D6" w:rsidP="009F7ACB">
                  <w:pPr>
                    <w:jc w:val="center"/>
                    <w:rPr>
                      <w:color w:val="000000"/>
                      <w:sz w:val="22"/>
                      <w:szCs w:val="22"/>
                    </w:rPr>
                  </w:pPr>
                  <w:r w:rsidRPr="009F7ACB">
                    <w:rPr>
                      <w:color w:val="000000"/>
                      <w:sz w:val="22"/>
                      <w:szCs w:val="22"/>
                    </w:rPr>
                    <w:t>203</w:t>
                  </w:r>
                  <w:r w:rsidR="00214A45">
                    <w:rPr>
                      <w:color w:val="000000"/>
                      <w:sz w:val="22"/>
                      <w:szCs w:val="22"/>
                    </w:rPr>
                    <w:t>*</w:t>
                  </w:r>
                </w:p>
              </w:tc>
            </w:tr>
            <w:tr w:rsidR="002430D6" w:rsidRPr="009F7ACB" w:rsidTr="002430D6">
              <w:trPr>
                <w:trHeight w:val="300"/>
                <w:jc w:val="center"/>
              </w:trPr>
              <w:tc>
                <w:tcPr>
                  <w:tcW w:w="3468" w:type="dxa"/>
                  <w:gridSpan w:val="2"/>
                  <w:tcBorders>
                    <w:top w:val="nil"/>
                    <w:left w:val="single" w:sz="4" w:space="0" w:color="auto"/>
                    <w:bottom w:val="single" w:sz="4" w:space="0" w:color="auto"/>
                    <w:right w:val="single" w:sz="4" w:space="0" w:color="auto"/>
                  </w:tcBorders>
                  <w:shd w:val="clear" w:color="auto" w:fill="auto"/>
                  <w:noWrap/>
                  <w:vAlign w:val="bottom"/>
                  <w:hideMark/>
                </w:tcPr>
                <w:p w:rsidR="002430D6" w:rsidRPr="009F7ACB" w:rsidRDefault="002430D6" w:rsidP="002430D6">
                  <w:pPr>
                    <w:rPr>
                      <w:color w:val="000000"/>
                      <w:sz w:val="22"/>
                      <w:szCs w:val="22"/>
                    </w:rPr>
                  </w:pPr>
                  <w:r w:rsidRPr="009F7ACB">
                    <w:rPr>
                      <w:color w:val="000000"/>
                      <w:sz w:val="22"/>
                      <w:szCs w:val="22"/>
                    </w:rPr>
                    <w:t>Revenue generated from Option 1 </w:t>
                  </w:r>
                </w:p>
              </w:tc>
              <w:tc>
                <w:tcPr>
                  <w:tcW w:w="1100" w:type="dxa"/>
                  <w:tcBorders>
                    <w:top w:val="nil"/>
                    <w:left w:val="nil"/>
                    <w:bottom w:val="single" w:sz="4" w:space="0" w:color="auto"/>
                    <w:right w:val="single" w:sz="4" w:space="0" w:color="auto"/>
                  </w:tcBorders>
                  <w:shd w:val="clear" w:color="auto" w:fill="auto"/>
                  <w:vAlign w:val="bottom"/>
                  <w:hideMark/>
                </w:tcPr>
                <w:p w:rsidR="002430D6" w:rsidRPr="009F7ACB" w:rsidRDefault="002430D6" w:rsidP="009F7ACB">
                  <w:pPr>
                    <w:rPr>
                      <w:color w:val="000000"/>
                      <w:sz w:val="22"/>
                      <w:szCs w:val="22"/>
                    </w:rPr>
                  </w:pPr>
                  <w:r>
                    <w:rPr>
                      <w:color w:val="000000"/>
                      <w:sz w:val="22"/>
                      <w:szCs w:val="22"/>
                    </w:rPr>
                    <w:t xml:space="preserve"> $</w:t>
                  </w:r>
                  <w:r w:rsidRPr="009F7ACB">
                    <w:rPr>
                      <w:color w:val="000000"/>
                      <w:sz w:val="22"/>
                      <w:szCs w:val="22"/>
                    </w:rPr>
                    <w:t xml:space="preserve">212,500 </w:t>
                  </w:r>
                </w:p>
              </w:tc>
              <w:tc>
                <w:tcPr>
                  <w:tcW w:w="1120" w:type="dxa"/>
                  <w:tcBorders>
                    <w:top w:val="nil"/>
                    <w:left w:val="nil"/>
                    <w:bottom w:val="single" w:sz="4" w:space="0" w:color="auto"/>
                    <w:right w:val="single" w:sz="4" w:space="0" w:color="auto"/>
                  </w:tcBorders>
                  <w:shd w:val="clear" w:color="auto" w:fill="auto"/>
                  <w:vAlign w:val="bottom"/>
                  <w:hideMark/>
                </w:tcPr>
                <w:p w:rsidR="002430D6" w:rsidRPr="009F7ACB" w:rsidRDefault="002430D6" w:rsidP="009F7ACB">
                  <w:pPr>
                    <w:rPr>
                      <w:color w:val="000000"/>
                      <w:sz w:val="22"/>
                      <w:szCs w:val="22"/>
                    </w:rPr>
                  </w:pPr>
                  <w:r>
                    <w:rPr>
                      <w:color w:val="000000"/>
                      <w:sz w:val="22"/>
                      <w:szCs w:val="22"/>
                    </w:rPr>
                    <w:t xml:space="preserve"> $</w:t>
                  </w:r>
                  <w:r w:rsidRPr="009F7ACB">
                    <w:rPr>
                      <w:color w:val="000000"/>
                      <w:sz w:val="22"/>
                      <w:szCs w:val="22"/>
                    </w:rPr>
                    <w:t xml:space="preserve">323,500 </w:t>
                  </w:r>
                </w:p>
              </w:tc>
            </w:tr>
            <w:tr w:rsidR="002430D6" w:rsidRPr="009F7ACB" w:rsidTr="002430D6">
              <w:trPr>
                <w:trHeight w:val="300"/>
                <w:jc w:val="center"/>
              </w:trPr>
              <w:tc>
                <w:tcPr>
                  <w:tcW w:w="3468" w:type="dxa"/>
                  <w:gridSpan w:val="2"/>
                  <w:tcBorders>
                    <w:top w:val="nil"/>
                    <w:left w:val="single" w:sz="4" w:space="0" w:color="auto"/>
                    <w:bottom w:val="single" w:sz="4" w:space="0" w:color="auto"/>
                    <w:right w:val="single" w:sz="4" w:space="0" w:color="auto"/>
                  </w:tcBorders>
                  <w:shd w:val="clear" w:color="auto" w:fill="auto"/>
                  <w:noWrap/>
                  <w:vAlign w:val="bottom"/>
                  <w:hideMark/>
                </w:tcPr>
                <w:p w:rsidR="002430D6" w:rsidRPr="009F7ACB" w:rsidRDefault="002430D6" w:rsidP="002430D6">
                  <w:pPr>
                    <w:rPr>
                      <w:color w:val="000000"/>
                      <w:sz w:val="22"/>
                      <w:szCs w:val="22"/>
                    </w:rPr>
                  </w:pPr>
                  <w:r w:rsidRPr="009F7ACB">
                    <w:rPr>
                      <w:color w:val="000000"/>
                      <w:sz w:val="22"/>
                      <w:szCs w:val="22"/>
                    </w:rPr>
                    <w:t>Revenue generated from Option 2 </w:t>
                  </w:r>
                </w:p>
              </w:tc>
              <w:tc>
                <w:tcPr>
                  <w:tcW w:w="1100" w:type="dxa"/>
                  <w:tcBorders>
                    <w:top w:val="nil"/>
                    <w:left w:val="nil"/>
                    <w:bottom w:val="single" w:sz="4" w:space="0" w:color="auto"/>
                    <w:right w:val="single" w:sz="4" w:space="0" w:color="auto"/>
                  </w:tcBorders>
                  <w:shd w:val="clear" w:color="auto" w:fill="auto"/>
                  <w:vAlign w:val="bottom"/>
                  <w:hideMark/>
                </w:tcPr>
                <w:p w:rsidR="002430D6" w:rsidRPr="009F7ACB" w:rsidRDefault="002430D6" w:rsidP="009F7ACB">
                  <w:pPr>
                    <w:rPr>
                      <w:color w:val="000000"/>
                      <w:sz w:val="22"/>
                      <w:szCs w:val="22"/>
                    </w:rPr>
                  </w:pPr>
                  <w:r>
                    <w:rPr>
                      <w:color w:val="000000"/>
                      <w:sz w:val="22"/>
                      <w:szCs w:val="22"/>
                    </w:rPr>
                    <w:t xml:space="preserve"> $</w:t>
                  </w:r>
                  <w:r w:rsidRPr="009F7ACB">
                    <w:rPr>
                      <w:color w:val="000000"/>
                      <w:sz w:val="22"/>
                      <w:szCs w:val="22"/>
                    </w:rPr>
                    <w:t xml:space="preserve">194,000 </w:t>
                  </w:r>
                </w:p>
              </w:tc>
              <w:tc>
                <w:tcPr>
                  <w:tcW w:w="1120" w:type="dxa"/>
                  <w:tcBorders>
                    <w:top w:val="nil"/>
                    <w:left w:val="nil"/>
                    <w:bottom w:val="single" w:sz="4" w:space="0" w:color="auto"/>
                    <w:right w:val="single" w:sz="4" w:space="0" w:color="auto"/>
                  </w:tcBorders>
                  <w:shd w:val="clear" w:color="auto" w:fill="auto"/>
                  <w:vAlign w:val="bottom"/>
                  <w:hideMark/>
                </w:tcPr>
                <w:p w:rsidR="002430D6" w:rsidRPr="009F7ACB" w:rsidRDefault="002430D6" w:rsidP="009F7ACB">
                  <w:pPr>
                    <w:rPr>
                      <w:color w:val="000000"/>
                      <w:sz w:val="22"/>
                      <w:szCs w:val="22"/>
                    </w:rPr>
                  </w:pPr>
                  <w:r>
                    <w:rPr>
                      <w:color w:val="000000"/>
                      <w:sz w:val="22"/>
                      <w:szCs w:val="22"/>
                    </w:rPr>
                    <w:t xml:space="preserve"> $</w:t>
                  </w:r>
                  <w:r w:rsidRPr="009F7ACB">
                    <w:rPr>
                      <w:color w:val="000000"/>
                      <w:sz w:val="22"/>
                      <w:szCs w:val="22"/>
                    </w:rPr>
                    <w:t xml:space="preserve">296,000 </w:t>
                  </w:r>
                </w:p>
              </w:tc>
            </w:tr>
            <w:tr w:rsidR="002430D6" w:rsidRPr="009F7ACB" w:rsidTr="002430D6">
              <w:trPr>
                <w:trHeight w:val="300"/>
                <w:jc w:val="center"/>
              </w:trPr>
              <w:tc>
                <w:tcPr>
                  <w:tcW w:w="3468" w:type="dxa"/>
                  <w:gridSpan w:val="2"/>
                  <w:tcBorders>
                    <w:top w:val="nil"/>
                    <w:left w:val="single" w:sz="4" w:space="0" w:color="auto"/>
                    <w:bottom w:val="single" w:sz="4" w:space="0" w:color="auto"/>
                    <w:right w:val="single" w:sz="4" w:space="0" w:color="auto"/>
                  </w:tcBorders>
                  <w:shd w:val="clear" w:color="auto" w:fill="auto"/>
                  <w:noWrap/>
                  <w:vAlign w:val="bottom"/>
                  <w:hideMark/>
                </w:tcPr>
                <w:p w:rsidR="002430D6" w:rsidRPr="009F7ACB" w:rsidRDefault="002430D6" w:rsidP="002430D6">
                  <w:pPr>
                    <w:rPr>
                      <w:color w:val="000000"/>
                      <w:sz w:val="22"/>
                      <w:szCs w:val="22"/>
                    </w:rPr>
                  </w:pPr>
                  <w:r w:rsidRPr="009F7ACB">
                    <w:rPr>
                      <w:color w:val="000000"/>
                      <w:sz w:val="22"/>
                      <w:szCs w:val="22"/>
                    </w:rPr>
                    <w:t>Revenue need to fund the program </w:t>
                  </w:r>
                </w:p>
              </w:tc>
              <w:tc>
                <w:tcPr>
                  <w:tcW w:w="1100" w:type="dxa"/>
                  <w:tcBorders>
                    <w:top w:val="nil"/>
                    <w:left w:val="nil"/>
                    <w:bottom w:val="single" w:sz="4" w:space="0" w:color="auto"/>
                    <w:right w:val="single" w:sz="4" w:space="0" w:color="auto"/>
                  </w:tcBorders>
                  <w:shd w:val="clear" w:color="auto" w:fill="auto"/>
                  <w:noWrap/>
                  <w:vAlign w:val="bottom"/>
                  <w:hideMark/>
                </w:tcPr>
                <w:p w:rsidR="002430D6" w:rsidRPr="009F7ACB" w:rsidRDefault="002430D6" w:rsidP="009F7ACB">
                  <w:pPr>
                    <w:rPr>
                      <w:color w:val="000000"/>
                      <w:sz w:val="22"/>
                      <w:szCs w:val="22"/>
                    </w:rPr>
                  </w:pPr>
                  <w:r w:rsidRPr="009F7ACB">
                    <w:rPr>
                      <w:color w:val="000000"/>
                      <w:sz w:val="22"/>
                      <w:szCs w:val="22"/>
                    </w:rPr>
                    <w:t xml:space="preserve"> </w:t>
                  </w:r>
                  <w:r>
                    <w:rPr>
                      <w:color w:val="000000"/>
                      <w:sz w:val="22"/>
                      <w:szCs w:val="22"/>
                    </w:rPr>
                    <w:t>$</w:t>
                  </w:r>
                  <w:r w:rsidRPr="009F7ACB">
                    <w:rPr>
                      <w:color w:val="000000"/>
                      <w:sz w:val="22"/>
                      <w:szCs w:val="22"/>
                    </w:rPr>
                    <w:t xml:space="preserve">218,946 </w:t>
                  </w:r>
                </w:p>
              </w:tc>
              <w:tc>
                <w:tcPr>
                  <w:tcW w:w="1120" w:type="dxa"/>
                  <w:tcBorders>
                    <w:top w:val="nil"/>
                    <w:left w:val="nil"/>
                    <w:bottom w:val="single" w:sz="4" w:space="0" w:color="auto"/>
                    <w:right w:val="single" w:sz="4" w:space="0" w:color="auto"/>
                  </w:tcBorders>
                  <w:shd w:val="clear" w:color="auto" w:fill="auto"/>
                  <w:noWrap/>
                  <w:vAlign w:val="bottom"/>
                  <w:hideMark/>
                </w:tcPr>
                <w:p w:rsidR="002430D6" w:rsidRPr="009F7ACB" w:rsidRDefault="002430D6" w:rsidP="009F7ACB">
                  <w:pPr>
                    <w:rPr>
                      <w:color w:val="000000"/>
                      <w:sz w:val="22"/>
                      <w:szCs w:val="22"/>
                    </w:rPr>
                  </w:pPr>
                  <w:r>
                    <w:rPr>
                      <w:color w:val="000000"/>
                      <w:sz w:val="22"/>
                      <w:szCs w:val="22"/>
                    </w:rPr>
                    <w:t xml:space="preserve"> $</w:t>
                  </w:r>
                  <w:r w:rsidRPr="009F7ACB">
                    <w:rPr>
                      <w:color w:val="000000"/>
                      <w:sz w:val="22"/>
                      <w:szCs w:val="22"/>
                    </w:rPr>
                    <w:t xml:space="preserve">304,205 </w:t>
                  </w:r>
                </w:p>
              </w:tc>
            </w:tr>
          </w:tbl>
          <w:p w:rsidR="00D167D8" w:rsidRDefault="00214A45" w:rsidP="00C62556">
            <w:pPr>
              <w:pStyle w:val="BlockText"/>
              <w:spacing w:before="80" w:after="80"/>
              <w:rPr>
                <w:sz w:val="20"/>
              </w:rPr>
            </w:pPr>
            <w:r w:rsidRPr="00214A45">
              <w:rPr>
                <w:sz w:val="20"/>
              </w:rPr>
              <w:t xml:space="preserve">* </w:t>
            </w:r>
            <w:r w:rsidR="00C62556" w:rsidRPr="002430D6">
              <w:rPr>
                <w:sz w:val="22"/>
                <w:szCs w:val="22"/>
              </w:rPr>
              <w:t xml:space="preserve">If the Legislature authorizes the commission to create reporting fees for power importers and fuel distributors in 2010, the number of affected sources </w:t>
            </w:r>
            <w:r w:rsidR="00C62556">
              <w:rPr>
                <w:sz w:val="22"/>
                <w:szCs w:val="22"/>
              </w:rPr>
              <w:t xml:space="preserve">in 2010 </w:t>
            </w:r>
            <w:r w:rsidR="00C62556" w:rsidRPr="002430D6">
              <w:rPr>
                <w:sz w:val="22"/>
                <w:szCs w:val="22"/>
              </w:rPr>
              <w:t xml:space="preserve">could increase and annual fees </w:t>
            </w:r>
            <w:r w:rsidR="00C62556">
              <w:rPr>
                <w:sz w:val="22"/>
                <w:szCs w:val="22"/>
              </w:rPr>
              <w:t>in 2010 could</w:t>
            </w:r>
            <w:r w:rsidR="00C62556" w:rsidRPr="002430D6">
              <w:rPr>
                <w:sz w:val="22"/>
                <w:szCs w:val="22"/>
              </w:rPr>
              <w:t xml:space="preserve"> decrease</w:t>
            </w:r>
            <w:r w:rsidR="00C62556">
              <w:rPr>
                <w:sz w:val="22"/>
                <w:szCs w:val="22"/>
              </w:rPr>
              <w:t xml:space="preserve">. Meanwhile, if we </w:t>
            </w:r>
            <w:r w:rsidR="00C62556" w:rsidRPr="00214A45">
              <w:rPr>
                <w:sz w:val="20"/>
              </w:rPr>
              <w:t xml:space="preserve">defer reporting for </w:t>
            </w:r>
            <w:r w:rsidR="00C62556">
              <w:rPr>
                <w:sz w:val="20"/>
              </w:rPr>
              <w:t xml:space="preserve">landfills and wastewater treatment facilities (approximately 70 sources) beyond 2010, </w:t>
            </w:r>
            <w:r w:rsidR="00C62556" w:rsidRPr="00214A45">
              <w:rPr>
                <w:sz w:val="20"/>
              </w:rPr>
              <w:t>the estimated n</w:t>
            </w:r>
            <w:r w:rsidR="00C62556">
              <w:rPr>
                <w:sz w:val="20"/>
              </w:rPr>
              <w:t>umbers</w:t>
            </w:r>
            <w:r w:rsidR="00C62556" w:rsidRPr="00214A45">
              <w:rPr>
                <w:sz w:val="20"/>
              </w:rPr>
              <w:t xml:space="preserve"> of sources </w:t>
            </w:r>
            <w:r w:rsidR="00C62556">
              <w:rPr>
                <w:sz w:val="20"/>
              </w:rPr>
              <w:t xml:space="preserve">in 2010 </w:t>
            </w:r>
            <w:r w:rsidR="00C62556" w:rsidRPr="00214A45">
              <w:rPr>
                <w:sz w:val="20"/>
              </w:rPr>
              <w:t>would drop by about 70</w:t>
            </w:r>
            <w:r w:rsidR="00C62556">
              <w:rPr>
                <w:sz w:val="20"/>
              </w:rPr>
              <w:t>.</w:t>
            </w:r>
            <w:r w:rsidRPr="00214A45">
              <w:rPr>
                <w:sz w:val="20"/>
              </w:rPr>
              <w:t xml:space="preserve"> </w:t>
            </w:r>
          </w:p>
          <w:p w:rsidR="00C62556" w:rsidRPr="00C62556" w:rsidRDefault="00C62556" w:rsidP="00C62556">
            <w:pPr>
              <w:pStyle w:val="BlockText"/>
              <w:spacing w:before="80" w:after="80"/>
              <w:rPr>
                <w:sz w:val="22"/>
                <w:szCs w:val="22"/>
              </w:rPr>
            </w:pPr>
          </w:p>
          <w:p w:rsidR="007B5908" w:rsidRDefault="00153B59" w:rsidP="001E2CA0">
            <w:pPr>
              <w:pStyle w:val="BlockText"/>
              <w:numPr>
                <w:ilvl w:val="0"/>
                <w:numId w:val="14"/>
              </w:numPr>
              <w:spacing w:before="80" w:after="80"/>
              <w:ind w:left="342" w:hanging="270"/>
              <w:rPr>
                <w:sz w:val="22"/>
                <w:szCs w:val="22"/>
              </w:rPr>
            </w:pPr>
            <w:r w:rsidRPr="005A5A29">
              <w:rPr>
                <w:sz w:val="22"/>
                <w:szCs w:val="22"/>
              </w:rPr>
              <w:t xml:space="preserve">Alignment of </w:t>
            </w:r>
            <w:r w:rsidR="007B5908" w:rsidRPr="005A5A29">
              <w:rPr>
                <w:sz w:val="22"/>
                <w:szCs w:val="22"/>
              </w:rPr>
              <w:t xml:space="preserve">Oregon’s reporting rules </w:t>
            </w:r>
            <w:r w:rsidRPr="005A5A29">
              <w:rPr>
                <w:sz w:val="22"/>
                <w:szCs w:val="22"/>
              </w:rPr>
              <w:t xml:space="preserve">with the </w:t>
            </w:r>
            <w:r w:rsidR="00EF0F3A" w:rsidRPr="005A5A29">
              <w:rPr>
                <w:sz w:val="22"/>
                <w:szCs w:val="22"/>
              </w:rPr>
              <w:t>Western Climate Initiative model</w:t>
            </w:r>
            <w:r w:rsidR="007B5908" w:rsidRPr="005A5A29">
              <w:rPr>
                <w:sz w:val="22"/>
                <w:szCs w:val="22"/>
              </w:rPr>
              <w:t xml:space="preserve"> rule</w:t>
            </w:r>
            <w:r w:rsidR="00EF0F3A" w:rsidRPr="005A5A29">
              <w:rPr>
                <w:sz w:val="22"/>
                <w:szCs w:val="22"/>
              </w:rPr>
              <w:t>s</w:t>
            </w:r>
            <w:r w:rsidR="007B5908" w:rsidRPr="005A5A29">
              <w:rPr>
                <w:sz w:val="22"/>
                <w:szCs w:val="22"/>
              </w:rPr>
              <w:t>.</w:t>
            </w:r>
          </w:p>
          <w:p w:rsidR="00296CA9" w:rsidRPr="005A5A29" w:rsidRDefault="00296CA9" w:rsidP="001E2CA0">
            <w:pPr>
              <w:pStyle w:val="BlockText"/>
              <w:numPr>
                <w:ilvl w:val="0"/>
                <w:numId w:val="14"/>
              </w:numPr>
              <w:spacing w:before="80" w:after="80"/>
              <w:ind w:left="342" w:hanging="270"/>
              <w:rPr>
                <w:sz w:val="22"/>
                <w:szCs w:val="22"/>
              </w:rPr>
            </w:pPr>
            <w:r>
              <w:rPr>
                <w:sz w:val="22"/>
                <w:szCs w:val="22"/>
              </w:rPr>
              <w:t>Alignment of Oregon’s reporting rules with federal rules, if federal rules are finalized.</w:t>
            </w:r>
          </w:p>
        </w:tc>
      </w:tr>
      <w:tr w:rsidR="003960C3" w:rsidRPr="005A5A29" w:rsidTr="00447759">
        <w:tc>
          <w:tcPr>
            <w:tcW w:w="1818" w:type="dxa"/>
            <w:shd w:val="clear" w:color="auto" w:fill="auto"/>
          </w:tcPr>
          <w:p w:rsidR="003960C3" w:rsidRPr="005A5A29" w:rsidRDefault="003960C3">
            <w:pPr>
              <w:pStyle w:val="Heading5"/>
              <w:rPr>
                <w:szCs w:val="22"/>
              </w:rPr>
            </w:pPr>
            <w:r w:rsidRPr="005A5A29">
              <w:rPr>
                <w:szCs w:val="22"/>
              </w:rPr>
              <w:lastRenderedPageBreak/>
              <w:t>Need for this Rulemaking</w:t>
            </w:r>
          </w:p>
        </w:tc>
        <w:tc>
          <w:tcPr>
            <w:tcW w:w="9054" w:type="dxa"/>
            <w:gridSpan w:val="5"/>
            <w:shd w:val="clear" w:color="auto" w:fill="auto"/>
          </w:tcPr>
          <w:p w:rsidR="003960C3" w:rsidRPr="005A5A29" w:rsidRDefault="003960C3" w:rsidP="00C923AD">
            <w:pPr>
              <w:pStyle w:val="BlockText"/>
              <w:spacing w:after="80"/>
              <w:rPr>
                <w:b/>
                <w:sz w:val="22"/>
                <w:szCs w:val="22"/>
              </w:rPr>
            </w:pPr>
            <w:r w:rsidRPr="005A5A29">
              <w:rPr>
                <w:b/>
                <w:sz w:val="22"/>
                <w:szCs w:val="22"/>
              </w:rPr>
              <w:t>What is the need for the proposed rules or amendments?</w:t>
            </w:r>
            <w:r w:rsidR="001F34E0" w:rsidRPr="005A5A29">
              <w:rPr>
                <w:b/>
                <w:sz w:val="22"/>
                <w:szCs w:val="22"/>
              </w:rPr>
              <w:t xml:space="preserve"> </w:t>
            </w:r>
            <w:r w:rsidRPr="005A5A29">
              <w:rPr>
                <w:b/>
                <w:sz w:val="22"/>
                <w:szCs w:val="22"/>
              </w:rPr>
              <w:t>Address each of the following that applies:</w:t>
            </w:r>
            <w:r w:rsidR="001F34E0" w:rsidRPr="005A5A29">
              <w:rPr>
                <w:b/>
                <w:sz w:val="22"/>
                <w:szCs w:val="22"/>
              </w:rPr>
              <w:t xml:space="preserve"> </w:t>
            </w:r>
          </w:p>
          <w:p w:rsidR="003960C3" w:rsidRPr="005A5A29" w:rsidRDefault="003960C3" w:rsidP="00C923AD">
            <w:pPr>
              <w:pStyle w:val="BlockText"/>
              <w:numPr>
                <w:ilvl w:val="0"/>
                <w:numId w:val="12"/>
              </w:numPr>
              <w:spacing w:after="80"/>
              <w:rPr>
                <w:b/>
                <w:sz w:val="22"/>
                <w:szCs w:val="22"/>
              </w:rPr>
            </w:pPr>
            <w:r w:rsidRPr="005A5A29">
              <w:rPr>
                <w:b/>
                <w:sz w:val="22"/>
                <w:szCs w:val="22"/>
              </w:rPr>
              <w:t>Do the rule changes address a known environmental problem or a problem we speculate will occur?</w:t>
            </w:r>
            <w:r w:rsidR="001F34E0" w:rsidRPr="005A5A29">
              <w:rPr>
                <w:b/>
                <w:sz w:val="22"/>
                <w:szCs w:val="22"/>
              </w:rPr>
              <w:t xml:space="preserve"> </w:t>
            </w:r>
            <w:r w:rsidRPr="005A5A29">
              <w:rPr>
                <w:b/>
                <w:sz w:val="22"/>
                <w:szCs w:val="22"/>
              </w:rPr>
              <w:t>If the latter, how likely or serious is the problem?</w:t>
            </w:r>
            <w:r w:rsidR="001F34E0" w:rsidRPr="005A5A29">
              <w:rPr>
                <w:b/>
                <w:sz w:val="22"/>
                <w:szCs w:val="22"/>
              </w:rPr>
              <w:t xml:space="preserve"> </w:t>
            </w:r>
            <w:r w:rsidRPr="005A5A29">
              <w:rPr>
                <w:b/>
                <w:sz w:val="22"/>
                <w:szCs w:val="22"/>
              </w:rPr>
              <w:t>What are the consequences of not addressing it?</w:t>
            </w:r>
          </w:p>
          <w:p w:rsidR="00F4288E" w:rsidRPr="005A5A29" w:rsidRDefault="00430788" w:rsidP="00C923AD">
            <w:pPr>
              <w:pStyle w:val="BlockText"/>
              <w:spacing w:after="80"/>
              <w:rPr>
                <w:sz w:val="22"/>
                <w:szCs w:val="22"/>
              </w:rPr>
            </w:pPr>
            <w:r w:rsidRPr="005A5A29">
              <w:rPr>
                <w:sz w:val="22"/>
                <w:szCs w:val="22"/>
              </w:rPr>
              <w:t>Global warming</w:t>
            </w:r>
            <w:r w:rsidR="007B5908" w:rsidRPr="005A5A29">
              <w:rPr>
                <w:sz w:val="22"/>
                <w:szCs w:val="22"/>
              </w:rPr>
              <w:t xml:space="preserve"> </w:t>
            </w:r>
            <w:r w:rsidR="00B30B29" w:rsidRPr="005A5A29">
              <w:rPr>
                <w:sz w:val="22"/>
                <w:szCs w:val="22"/>
              </w:rPr>
              <w:t>poses</w:t>
            </w:r>
            <w:r w:rsidR="007B5908" w:rsidRPr="005A5A29">
              <w:rPr>
                <w:sz w:val="22"/>
                <w:szCs w:val="22"/>
              </w:rPr>
              <w:t xml:space="preserve"> a </w:t>
            </w:r>
            <w:r w:rsidRPr="005A5A29">
              <w:rPr>
                <w:sz w:val="22"/>
                <w:szCs w:val="22"/>
              </w:rPr>
              <w:t xml:space="preserve">serious </w:t>
            </w:r>
            <w:r w:rsidR="007B5908" w:rsidRPr="005A5A29">
              <w:rPr>
                <w:sz w:val="22"/>
                <w:szCs w:val="22"/>
              </w:rPr>
              <w:t xml:space="preserve">threat to </w:t>
            </w:r>
            <w:r w:rsidR="0005323B" w:rsidRPr="005A5A29">
              <w:rPr>
                <w:sz w:val="22"/>
                <w:szCs w:val="22"/>
              </w:rPr>
              <w:t>Oregon’s economy, environment and public health</w:t>
            </w:r>
            <w:r w:rsidR="00DA5004" w:rsidRPr="005A5A29">
              <w:rPr>
                <w:sz w:val="22"/>
                <w:szCs w:val="22"/>
              </w:rPr>
              <w:t xml:space="preserve">. </w:t>
            </w:r>
            <w:r w:rsidR="00296CA9">
              <w:rPr>
                <w:sz w:val="22"/>
                <w:szCs w:val="22"/>
              </w:rPr>
              <w:t>The Intergovernmental Panel on Climate Change Fourth Assessment Report (2007) states with very high confidence that the globally averaged net effect of human activities has led to global warming, which has led to i</w:t>
            </w:r>
            <w:r w:rsidR="007B5908" w:rsidRPr="005A5A29">
              <w:rPr>
                <w:sz w:val="22"/>
                <w:szCs w:val="22"/>
              </w:rPr>
              <w:t>ncrease</w:t>
            </w:r>
            <w:r w:rsidR="00296CA9">
              <w:rPr>
                <w:sz w:val="22"/>
                <w:szCs w:val="22"/>
              </w:rPr>
              <w:t>s in</w:t>
            </w:r>
            <w:r w:rsidR="00041B5B">
              <w:rPr>
                <w:sz w:val="22"/>
                <w:szCs w:val="22"/>
              </w:rPr>
              <w:t xml:space="preserve"> global average</w:t>
            </w:r>
            <w:r w:rsidR="007B5908" w:rsidRPr="005A5A29">
              <w:rPr>
                <w:sz w:val="22"/>
                <w:szCs w:val="22"/>
              </w:rPr>
              <w:t xml:space="preserve"> air and oceanic temperatures</w:t>
            </w:r>
            <w:r w:rsidRPr="005A5A29">
              <w:rPr>
                <w:sz w:val="22"/>
                <w:szCs w:val="22"/>
              </w:rPr>
              <w:t xml:space="preserve">, </w:t>
            </w:r>
            <w:r w:rsidR="007B5908" w:rsidRPr="005A5A29">
              <w:rPr>
                <w:sz w:val="22"/>
                <w:szCs w:val="22"/>
              </w:rPr>
              <w:t>widespread melting of snow</w:t>
            </w:r>
            <w:r w:rsidR="00041B5B">
              <w:rPr>
                <w:sz w:val="22"/>
                <w:szCs w:val="22"/>
              </w:rPr>
              <w:t xml:space="preserve"> and ice</w:t>
            </w:r>
            <w:r w:rsidR="007B5908" w:rsidRPr="005A5A29">
              <w:rPr>
                <w:sz w:val="22"/>
                <w:szCs w:val="22"/>
              </w:rPr>
              <w:t xml:space="preserve"> </w:t>
            </w:r>
            <w:r w:rsidR="00041B5B">
              <w:rPr>
                <w:sz w:val="22"/>
                <w:szCs w:val="22"/>
              </w:rPr>
              <w:t>and rising global average sea level. These changes could have</w:t>
            </w:r>
            <w:r w:rsidR="00D30019" w:rsidRPr="005A5A29">
              <w:rPr>
                <w:sz w:val="22"/>
                <w:szCs w:val="22"/>
              </w:rPr>
              <w:t xml:space="preserve"> </w:t>
            </w:r>
            <w:r w:rsidR="007D426A" w:rsidRPr="005A5A29">
              <w:rPr>
                <w:sz w:val="22"/>
                <w:szCs w:val="22"/>
              </w:rPr>
              <w:t>significant</w:t>
            </w:r>
            <w:r w:rsidR="00D30019" w:rsidRPr="005A5A29">
              <w:rPr>
                <w:sz w:val="22"/>
                <w:szCs w:val="22"/>
              </w:rPr>
              <w:t xml:space="preserve"> </w:t>
            </w:r>
            <w:r w:rsidR="00733D4F" w:rsidRPr="005A5A29">
              <w:rPr>
                <w:sz w:val="22"/>
                <w:szCs w:val="22"/>
              </w:rPr>
              <w:t>impacts</w:t>
            </w:r>
            <w:r w:rsidR="00D30019" w:rsidRPr="005A5A29">
              <w:rPr>
                <w:sz w:val="22"/>
                <w:szCs w:val="22"/>
              </w:rPr>
              <w:t xml:space="preserve"> </w:t>
            </w:r>
            <w:r w:rsidR="00DA5004" w:rsidRPr="005A5A29">
              <w:rPr>
                <w:sz w:val="22"/>
                <w:szCs w:val="22"/>
              </w:rPr>
              <w:t xml:space="preserve">on </w:t>
            </w:r>
            <w:r w:rsidR="00015441" w:rsidRPr="005A5A29">
              <w:rPr>
                <w:sz w:val="22"/>
                <w:szCs w:val="22"/>
              </w:rPr>
              <w:t xml:space="preserve">Oregon’s </w:t>
            </w:r>
            <w:r w:rsidR="0005323B" w:rsidRPr="005A5A29">
              <w:rPr>
                <w:sz w:val="22"/>
                <w:szCs w:val="22"/>
              </w:rPr>
              <w:t>citizens, farms and businesses</w:t>
            </w:r>
            <w:r w:rsidR="00D30019" w:rsidRPr="005A5A29">
              <w:rPr>
                <w:sz w:val="22"/>
                <w:szCs w:val="22"/>
              </w:rPr>
              <w:t>.</w:t>
            </w:r>
            <w:r w:rsidR="00EF0F3A" w:rsidRPr="005A5A29">
              <w:rPr>
                <w:sz w:val="22"/>
                <w:szCs w:val="22"/>
              </w:rPr>
              <w:t xml:space="preserve"> </w:t>
            </w:r>
            <w:r w:rsidR="00B65B53" w:rsidRPr="005A5A29">
              <w:rPr>
                <w:sz w:val="22"/>
                <w:szCs w:val="22"/>
              </w:rPr>
              <w:t>G</w:t>
            </w:r>
            <w:r w:rsidR="00B94A1A" w:rsidRPr="005A5A29">
              <w:rPr>
                <w:sz w:val="22"/>
                <w:szCs w:val="22"/>
              </w:rPr>
              <w:t xml:space="preserve">reenhouse gas reporting </w:t>
            </w:r>
            <w:r w:rsidR="0017413B" w:rsidRPr="005A5A29">
              <w:rPr>
                <w:sz w:val="22"/>
                <w:szCs w:val="22"/>
              </w:rPr>
              <w:t xml:space="preserve">is key </w:t>
            </w:r>
            <w:r w:rsidR="002536C4" w:rsidRPr="005A5A29">
              <w:rPr>
                <w:sz w:val="22"/>
                <w:szCs w:val="22"/>
              </w:rPr>
              <w:t xml:space="preserve">for </w:t>
            </w:r>
            <w:r w:rsidR="00B47129" w:rsidRPr="005A5A29">
              <w:rPr>
                <w:sz w:val="22"/>
                <w:szCs w:val="22"/>
              </w:rPr>
              <w:t>Oregon</w:t>
            </w:r>
            <w:r w:rsidR="002536C4" w:rsidRPr="005A5A29">
              <w:rPr>
                <w:sz w:val="22"/>
                <w:szCs w:val="22"/>
              </w:rPr>
              <w:t xml:space="preserve"> </w:t>
            </w:r>
            <w:r w:rsidR="0017413B" w:rsidRPr="005A5A29">
              <w:rPr>
                <w:sz w:val="22"/>
                <w:szCs w:val="22"/>
              </w:rPr>
              <w:t xml:space="preserve">to </w:t>
            </w:r>
            <w:r w:rsidR="00B65B53" w:rsidRPr="005A5A29">
              <w:rPr>
                <w:sz w:val="22"/>
                <w:szCs w:val="22"/>
              </w:rPr>
              <w:t xml:space="preserve">track and </w:t>
            </w:r>
            <w:r w:rsidR="0017413B" w:rsidRPr="005A5A29">
              <w:rPr>
                <w:sz w:val="22"/>
                <w:szCs w:val="22"/>
              </w:rPr>
              <w:t>evaluate</w:t>
            </w:r>
            <w:r w:rsidR="002348EC" w:rsidRPr="005A5A29">
              <w:rPr>
                <w:sz w:val="22"/>
                <w:szCs w:val="22"/>
              </w:rPr>
              <w:t xml:space="preserve"> </w:t>
            </w:r>
            <w:r w:rsidR="00737B42" w:rsidRPr="005A5A29">
              <w:rPr>
                <w:sz w:val="22"/>
                <w:szCs w:val="22"/>
              </w:rPr>
              <w:t xml:space="preserve">its </w:t>
            </w:r>
            <w:r w:rsidR="0017413B" w:rsidRPr="005A5A29">
              <w:rPr>
                <w:sz w:val="22"/>
                <w:szCs w:val="22"/>
              </w:rPr>
              <w:t>emissions</w:t>
            </w:r>
            <w:r w:rsidR="00AA01DF">
              <w:rPr>
                <w:sz w:val="22"/>
                <w:szCs w:val="22"/>
              </w:rPr>
              <w:t xml:space="preserve">, </w:t>
            </w:r>
            <w:r w:rsidR="00B94A1A" w:rsidRPr="005A5A29">
              <w:rPr>
                <w:sz w:val="22"/>
                <w:szCs w:val="22"/>
              </w:rPr>
              <w:t>purs</w:t>
            </w:r>
            <w:r w:rsidR="0017413B" w:rsidRPr="005A5A29">
              <w:rPr>
                <w:sz w:val="22"/>
                <w:szCs w:val="22"/>
              </w:rPr>
              <w:t>ue</w:t>
            </w:r>
            <w:r w:rsidR="00B94A1A" w:rsidRPr="005A5A29">
              <w:rPr>
                <w:sz w:val="22"/>
                <w:szCs w:val="22"/>
              </w:rPr>
              <w:t xml:space="preserve"> </w:t>
            </w:r>
            <w:r w:rsidR="001E2CA0">
              <w:rPr>
                <w:sz w:val="22"/>
                <w:szCs w:val="22"/>
              </w:rPr>
              <w:t xml:space="preserve">local </w:t>
            </w:r>
            <w:r w:rsidR="004F01C7" w:rsidRPr="005A5A29">
              <w:rPr>
                <w:sz w:val="22"/>
                <w:szCs w:val="22"/>
              </w:rPr>
              <w:t>polic</w:t>
            </w:r>
            <w:r w:rsidR="001E2CA0">
              <w:rPr>
                <w:sz w:val="22"/>
                <w:szCs w:val="22"/>
              </w:rPr>
              <w:t>ies</w:t>
            </w:r>
            <w:r w:rsidR="00CF0D61" w:rsidRPr="005A5A29">
              <w:rPr>
                <w:sz w:val="22"/>
                <w:szCs w:val="22"/>
              </w:rPr>
              <w:t xml:space="preserve"> and actions t</w:t>
            </w:r>
            <w:r w:rsidR="004F01C7" w:rsidRPr="005A5A29">
              <w:rPr>
                <w:sz w:val="22"/>
                <w:szCs w:val="22"/>
              </w:rPr>
              <w:t xml:space="preserve">o </w:t>
            </w:r>
            <w:r w:rsidR="00015441" w:rsidRPr="005A5A29">
              <w:rPr>
                <w:sz w:val="22"/>
                <w:szCs w:val="22"/>
              </w:rPr>
              <w:t>reduce emissions</w:t>
            </w:r>
            <w:r w:rsidR="002348EC" w:rsidRPr="005A5A29">
              <w:rPr>
                <w:sz w:val="22"/>
                <w:szCs w:val="22"/>
              </w:rPr>
              <w:t xml:space="preserve"> </w:t>
            </w:r>
            <w:r w:rsidR="0006253E" w:rsidRPr="005A5A29">
              <w:rPr>
                <w:sz w:val="22"/>
                <w:szCs w:val="22"/>
              </w:rPr>
              <w:t xml:space="preserve">and inform and shape national policies in ways that </w:t>
            </w:r>
            <w:r w:rsidR="00F857DE">
              <w:rPr>
                <w:sz w:val="22"/>
                <w:szCs w:val="22"/>
              </w:rPr>
              <w:t>benefit</w:t>
            </w:r>
            <w:r w:rsidR="0006253E" w:rsidRPr="005A5A29">
              <w:rPr>
                <w:sz w:val="22"/>
                <w:szCs w:val="22"/>
              </w:rPr>
              <w:t xml:space="preserve"> Oregon residents and businesses.</w:t>
            </w:r>
            <w:r w:rsidR="0017413B" w:rsidRPr="005A5A29">
              <w:rPr>
                <w:sz w:val="22"/>
                <w:szCs w:val="22"/>
              </w:rPr>
              <w:t xml:space="preserve"> </w:t>
            </w:r>
          </w:p>
          <w:p w:rsidR="00F4288E" w:rsidRPr="005A5A29" w:rsidRDefault="00F857DE" w:rsidP="00C923AD">
            <w:pPr>
              <w:pStyle w:val="BlockText"/>
              <w:numPr>
                <w:ilvl w:val="0"/>
                <w:numId w:val="20"/>
              </w:numPr>
              <w:spacing w:after="80"/>
              <w:rPr>
                <w:sz w:val="22"/>
                <w:szCs w:val="22"/>
              </w:rPr>
            </w:pPr>
            <w:r>
              <w:rPr>
                <w:sz w:val="22"/>
                <w:szCs w:val="22"/>
              </w:rPr>
              <w:t>DEQ needs r</w:t>
            </w:r>
            <w:r w:rsidR="00FC4CA7" w:rsidRPr="005A5A29">
              <w:rPr>
                <w:sz w:val="22"/>
                <w:szCs w:val="22"/>
              </w:rPr>
              <w:t>eporting</w:t>
            </w:r>
            <w:r w:rsidR="00733D4F" w:rsidRPr="005A5A29">
              <w:rPr>
                <w:sz w:val="22"/>
                <w:szCs w:val="22"/>
              </w:rPr>
              <w:t xml:space="preserve"> </w:t>
            </w:r>
            <w:r w:rsidR="001E2CA0">
              <w:rPr>
                <w:sz w:val="22"/>
                <w:szCs w:val="22"/>
              </w:rPr>
              <w:t>from</w:t>
            </w:r>
            <w:r w:rsidR="00733D4F" w:rsidRPr="005A5A29">
              <w:rPr>
                <w:sz w:val="22"/>
                <w:szCs w:val="22"/>
              </w:rPr>
              <w:t xml:space="preserve"> </w:t>
            </w:r>
            <w:r w:rsidR="001E2CA0" w:rsidRPr="005A5A29">
              <w:rPr>
                <w:sz w:val="22"/>
                <w:szCs w:val="22"/>
              </w:rPr>
              <w:t xml:space="preserve">power importers and fuel distributors </w:t>
            </w:r>
            <w:r w:rsidR="00FC4CA7" w:rsidRPr="005A5A29">
              <w:rPr>
                <w:sz w:val="22"/>
                <w:szCs w:val="22"/>
              </w:rPr>
              <w:t xml:space="preserve">to </w:t>
            </w:r>
            <w:r w:rsidR="00733D4F" w:rsidRPr="005A5A29">
              <w:rPr>
                <w:sz w:val="22"/>
                <w:szCs w:val="22"/>
              </w:rPr>
              <w:t>have accurate</w:t>
            </w:r>
            <w:r w:rsidR="001E2CA0">
              <w:rPr>
                <w:sz w:val="22"/>
                <w:szCs w:val="22"/>
              </w:rPr>
              <w:t xml:space="preserve">, comprehensive emissions information because </w:t>
            </w:r>
            <w:r>
              <w:rPr>
                <w:sz w:val="22"/>
                <w:szCs w:val="22"/>
              </w:rPr>
              <w:t xml:space="preserve">these </w:t>
            </w:r>
            <w:r w:rsidR="001E2CA0">
              <w:rPr>
                <w:sz w:val="22"/>
                <w:szCs w:val="22"/>
              </w:rPr>
              <w:t xml:space="preserve">categories </w:t>
            </w:r>
            <w:r w:rsidR="00FC4CA7" w:rsidRPr="005A5A29">
              <w:rPr>
                <w:sz w:val="22"/>
                <w:szCs w:val="22"/>
              </w:rPr>
              <w:t xml:space="preserve">account for two thirds of total emissions for the state. </w:t>
            </w:r>
          </w:p>
          <w:p w:rsidR="00F4288E" w:rsidRPr="005A5A29" w:rsidRDefault="00FC4CA7" w:rsidP="00C923AD">
            <w:pPr>
              <w:pStyle w:val="BlockText"/>
              <w:numPr>
                <w:ilvl w:val="0"/>
                <w:numId w:val="20"/>
              </w:numPr>
              <w:spacing w:after="80"/>
              <w:rPr>
                <w:sz w:val="22"/>
                <w:szCs w:val="22"/>
              </w:rPr>
            </w:pPr>
            <w:r w:rsidRPr="005A5A29">
              <w:rPr>
                <w:sz w:val="22"/>
                <w:szCs w:val="22"/>
              </w:rPr>
              <w:t xml:space="preserve">DEQ needs registration </w:t>
            </w:r>
            <w:r w:rsidR="00AA01DF">
              <w:rPr>
                <w:sz w:val="22"/>
                <w:szCs w:val="22"/>
              </w:rPr>
              <w:t xml:space="preserve">and permit </w:t>
            </w:r>
            <w:r w:rsidRPr="005A5A29">
              <w:rPr>
                <w:sz w:val="22"/>
                <w:szCs w:val="22"/>
              </w:rPr>
              <w:t>requirements and reporting fees to fund the program</w:t>
            </w:r>
            <w:r w:rsidR="001E2CA0">
              <w:rPr>
                <w:sz w:val="22"/>
                <w:szCs w:val="22"/>
              </w:rPr>
              <w:t xml:space="preserve"> and fill</w:t>
            </w:r>
            <w:r w:rsidR="00C02AE1" w:rsidRPr="005A5A29">
              <w:rPr>
                <w:sz w:val="22"/>
                <w:szCs w:val="22"/>
              </w:rPr>
              <w:t xml:space="preserve"> two legislatively approved staff pos</w:t>
            </w:r>
            <w:r w:rsidR="00F4288E" w:rsidRPr="005A5A29">
              <w:rPr>
                <w:sz w:val="22"/>
                <w:szCs w:val="22"/>
              </w:rPr>
              <w:t>i</w:t>
            </w:r>
            <w:r w:rsidR="00C02AE1" w:rsidRPr="005A5A29">
              <w:rPr>
                <w:sz w:val="22"/>
                <w:szCs w:val="22"/>
              </w:rPr>
              <w:t>tions</w:t>
            </w:r>
            <w:r w:rsidRPr="005A5A29">
              <w:rPr>
                <w:sz w:val="22"/>
                <w:szCs w:val="22"/>
              </w:rPr>
              <w:t xml:space="preserve">. </w:t>
            </w:r>
            <w:r w:rsidR="0079640A" w:rsidRPr="005A5A29">
              <w:rPr>
                <w:sz w:val="22"/>
                <w:szCs w:val="22"/>
              </w:rPr>
              <w:t>S</w:t>
            </w:r>
            <w:r w:rsidRPr="005A5A29">
              <w:rPr>
                <w:sz w:val="22"/>
                <w:szCs w:val="22"/>
              </w:rPr>
              <w:t>taff</w:t>
            </w:r>
            <w:r w:rsidR="00A96D61" w:rsidRPr="005A5A29">
              <w:rPr>
                <w:sz w:val="22"/>
                <w:szCs w:val="22"/>
              </w:rPr>
              <w:t xml:space="preserve"> would</w:t>
            </w:r>
            <w:r w:rsidRPr="005A5A29">
              <w:rPr>
                <w:sz w:val="22"/>
                <w:szCs w:val="22"/>
              </w:rPr>
              <w:t xml:space="preserve"> </w:t>
            </w:r>
            <w:r w:rsidR="00296CA9">
              <w:rPr>
                <w:sz w:val="22"/>
                <w:szCs w:val="22"/>
              </w:rPr>
              <w:t xml:space="preserve">conduct rulemaking, </w:t>
            </w:r>
            <w:r w:rsidRPr="005A5A29">
              <w:rPr>
                <w:sz w:val="22"/>
                <w:szCs w:val="22"/>
              </w:rPr>
              <w:t xml:space="preserve">establish reporting protocols, provide technical assistance to reporters, audit reports to ensure compliance and issue information about the program to the public. </w:t>
            </w:r>
          </w:p>
          <w:p w:rsidR="000160C0" w:rsidRDefault="0052549A" w:rsidP="000160C0">
            <w:pPr>
              <w:pStyle w:val="ListParagraph"/>
              <w:numPr>
                <w:ilvl w:val="0"/>
                <w:numId w:val="15"/>
              </w:numPr>
              <w:spacing w:after="80"/>
              <w:contextualSpacing w:val="0"/>
              <w:rPr>
                <w:sz w:val="22"/>
                <w:szCs w:val="22"/>
              </w:rPr>
            </w:pPr>
            <w:r w:rsidRPr="005A5A29">
              <w:rPr>
                <w:sz w:val="22"/>
                <w:szCs w:val="22"/>
              </w:rPr>
              <w:t xml:space="preserve">DEQ needs to align its rules with the Western Climate Initiative </w:t>
            </w:r>
            <w:r w:rsidR="001E47F7">
              <w:rPr>
                <w:sz w:val="22"/>
                <w:szCs w:val="22"/>
              </w:rPr>
              <w:t xml:space="preserve">(WCI) </w:t>
            </w:r>
            <w:r w:rsidRPr="005A5A29">
              <w:rPr>
                <w:sz w:val="22"/>
                <w:szCs w:val="22"/>
              </w:rPr>
              <w:t xml:space="preserve">model rules </w:t>
            </w:r>
            <w:r w:rsidR="001E2CA0">
              <w:rPr>
                <w:sz w:val="22"/>
                <w:szCs w:val="22"/>
              </w:rPr>
              <w:t>so</w:t>
            </w:r>
            <w:r w:rsidRPr="005A5A29">
              <w:rPr>
                <w:sz w:val="22"/>
                <w:szCs w:val="22"/>
              </w:rPr>
              <w:t xml:space="preserve"> that Oregon’s reporting program is consistent with </w:t>
            </w:r>
            <w:r w:rsidR="00AA01DF">
              <w:rPr>
                <w:sz w:val="22"/>
                <w:szCs w:val="22"/>
              </w:rPr>
              <w:t>initiative</w:t>
            </w:r>
            <w:r w:rsidRPr="005A5A29">
              <w:rPr>
                <w:sz w:val="22"/>
                <w:szCs w:val="22"/>
              </w:rPr>
              <w:t xml:space="preserve"> partner</w:t>
            </w:r>
            <w:r w:rsidR="00AA01DF">
              <w:rPr>
                <w:sz w:val="22"/>
                <w:szCs w:val="22"/>
              </w:rPr>
              <w:t>s</w:t>
            </w:r>
            <w:r w:rsidRPr="005A5A29">
              <w:rPr>
                <w:sz w:val="22"/>
                <w:szCs w:val="22"/>
              </w:rPr>
              <w:t>.</w:t>
            </w:r>
            <w:r w:rsidR="001554A2">
              <w:rPr>
                <w:sz w:val="22"/>
                <w:szCs w:val="22"/>
              </w:rPr>
              <w:t xml:space="preserve"> </w:t>
            </w:r>
          </w:p>
          <w:p w:rsidR="000160C0" w:rsidRPr="000160C0" w:rsidRDefault="000160C0" w:rsidP="000160C0">
            <w:pPr>
              <w:pStyle w:val="ListParagraph"/>
              <w:numPr>
                <w:ilvl w:val="0"/>
                <w:numId w:val="15"/>
              </w:numPr>
              <w:spacing w:after="80"/>
              <w:contextualSpacing w:val="0"/>
              <w:rPr>
                <w:sz w:val="22"/>
                <w:szCs w:val="22"/>
              </w:rPr>
            </w:pPr>
            <w:r w:rsidRPr="000160C0">
              <w:rPr>
                <w:sz w:val="22"/>
                <w:szCs w:val="22"/>
              </w:rPr>
              <w:t xml:space="preserve">DEQ </w:t>
            </w:r>
            <w:r>
              <w:rPr>
                <w:sz w:val="22"/>
                <w:szCs w:val="22"/>
              </w:rPr>
              <w:t xml:space="preserve">may need to align its rules with federal greenhouse gas reporting rules; </w:t>
            </w:r>
            <w:r w:rsidRPr="000160C0">
              <w:rPr>
                <w:sz w:val="22"/>
                <w:szCs w:val="22"/>
              </w:rPr>
              <w:t xml:space="preserve">EPA </w:t>
            </w:r>
            <w:r>
              <w:rPr>
                <w:sz w:val="22"/>
                <w:szCs w:val="22"/>
              </w:rPr>
              <w:t xml:space="preserve">plans to </w:t>
            </w:r>
            <w:r w:rsidRPr="000160C0">
              <w:rPr>
                <w:sz w:val="22"/>
                <w:szCs w:val="22"/>
              </w:rPr>
              <w:t xml:space="preserve">finalize </w:t>
            </w:r>
            <w:r w:rsidR="00CC1CA9">
              <w:rPr>
                <w:sz w:val="22"/>
                <w:szCs w:val="22"/>
              </w:rPr>
              <w:t xml:space="preserve">federal </w:t>
            </w:r>
            <w:r>
              <w:rPr>
                <w:sz w:val="22"/>
                <w:szCs w:val="22"/>
              </w:rPr>
              <w:t xml:space="preserve">rules </w:t>
            </w:r>
            <w:r w:rsidRPr="000160C0">
              <w:rPr>
                <w:sz w:val="22"/>
                <w:szCs w:val="22"/>
              </w:rPr>
              <w:t>in November 2009</w:t>
            </w:r>
            <w:r>
              <w:rPr>
                <w:sz w:val="22"/>
                <w:szCs w:val="22"/>
              </w:rPr>
              <w:t>.</w:t>
            </w:r>
          </w:p>
          <w:p w:rsidR="00EC4535" w:rsidRPr="005A5A29" w:rsidRDefault="003960C3" w:rsidP="00C923AD">
            <w:pPr>
              <w:pStyle w:val="BlockText"/>
              <w:numPr>
                <w:ilvl w:val="0"/>
                <w:numId w:val="12"/>
              </w:numPr>
              <w:spacing w:after="80"/>
              <w:rPr>
                <w:b/>
                <w:sz w:val="22"/>
                <w:szCs w:val="22"/>
              </w:rPr>
            </w:pPr>
            <w:r w:rsidRPr="005A5A29">
              <w:rPr>
                <w:b/>
                <w:sz w:val="22"/>
                <w:szCs w:val="22"/>
              </w:rPr>
              <w:t xml:space="preserve">Will the changes make it easier for the regulated community to do business? Have we consulted w/affected groups to confirm this? </w:t>
            </w:r>
          </w:p>
          <w:p w:rsidR="0083250B" w:rsidRPr="005A5A29" w:rsidRDefault="007C6C54" w:rsidP="00F857DE">
            <w:pPr>
              <w:pStyle w:val="BlockText"/>
              <w:spacing w:after="80"/>
              <w:rPr>
                <w:sz w:val="22"/>
                <w:szCs w:val="22"/>
              </w:rPr>
            </w:pPr>
            <w:r w:rsidRPr="005A5A29">
              <w:rPr>
                <w:sz w:val="22"/>
                <w:szCs w:val="22"/>
              </w:rPr>
              <w:t>Yes and n</w:t>
            </w:r>
            <w:r w:rsidR="003C7C0E" w:rsidRPr="005A5A29">
              <w:rPr>
                <w:sz w:val="22"/>
                <w:szCs w:val="22"/>
              </w:rPr>
              <w:t xml:space="preserve">o. </w:t>
            </w:r>
            <w:r w:rsidR="0052549A" w:rsidRPr="005A5A29">
              <w:rPr>
                <w:sz w:val="22"/>
                <w:szCs w:val="22"/>
              </w:rPr>
              <w:t>While t</w:t>
            </w:r>
            <w:r w:rsidR="00290090" w:rsidRPr="005A5A29">
              <w:rPr>
                <w:sz w:val="22"/>
                <w:szCs w:val="22"/>
              </w:rPr>
              <w:t>his proposal</w:t>
            </w:r>
            <w:r w:rsidR="007B5908" w:rsidRPr="005A5A29">
              <w:rPr>
                <w:sz w:val="22"/>
                <w:szCs w:val="22"/>
              </w:rPr>
              <w:t xml:space="preserve"> would </w:t>
            </w:r>
            <w:r w:rsidR="00BE307C" w:rsidRPr="005A5A29">
              <w:rPr>
                <w:sz w:val="22"/>
                <w:szCs w:val="22"/>
              </w:rPr>
              <w:t>create reporting requirements</w:t>
            </w:r>
            <w:r w:rsidR="00290090" w:rsidRPr="005A5A29">
              <w:rPr>
                <w:sz w:val="22"/>
                <w:szCs w:val="22"/>
              </w:rPr>
              <w:t xml:space="preserve"> </w:t>
            </w:r>
            <w:r w:rsidR="008E46DF" w:rsidRPr="005A5A29">
              <w:rPr>
                <w:sz w:val="22"/>
                <w:szCs w:val="22"/>
              </w:rPr>
              <w:t>a</w:t>
            </w:r>
            <w:r w:rsidR="007B5908" w:rsidRPr="005A5A29">
              <w:rPr>
                <w:sz w:val="22"/>
                <w:szCs w:val="22"/>
              </w:rPr>
              <w:t xml:space="preserve">nd require </w:t>
            </w:r>
            <w:r w:rsidR="008E46DF" w:rsidRPr="005A5A29">
              <w:rPr>
                <w:sz w:val="22"/>
                <w:szCs w:val="22"/>
              </w:rPr>
              <w:t xml:space="preserve">the </w:t>
            </w:r>
            <w:r w:rsidR="0006253E" w:rsidRPr="005A5A29">
              <w:rPr>
                <w:sz w:val="22"/>
                <w:szCs w:val="22"/>
              </w:rPr>
              <w:t xml:space="preserve">regulated community </w:t>
            </w:r>
            <w:r w:rsidR="007B5908" w:rsidRPr="005A5A29">
              <w:rPr>
                <w:sz w:val="22"/>
                <w:szCs w:val="22"/>
              </w:rPr>
              <w:t>to pay annual fees</w:t>
            </w:r>
            <w:r w:rsidR="0052549A" w:rsidRPr="005A5A29">
              <w:rPr>
                <w:sz w:val="22"/>
                <w:szCs w:val="22"/>
              </w:rPr>
              <w:t>, t</w:t>
            </w:r>
            <w:r w:rsidR="00BE307C" w:rsidRPr="005A5A29">
              <w:rPr>
                <w:sz w:val="22"/>
                <w:szCs w:val="22"/>
              </w:rPr>
              <w:t xml:space="preserve">he new resources would enable </w:t>
            </w:r>
            <w:r w:rsidR="0052549A" w:rsidRPr="005A5A29">
              <w:rPr>
                <w:sz w:val="22"/>
                <w:szCs w:val="22"/>
              </w:rPr>
              <w:t>DEQ</w:t>
            </w:r>
            <w:r w:rsidR="00BE307C" w:rsidRPr="005A5A29">
              <w:rPr>
                <w:sz w:val="22"/>
                <w:szCs w:val="22"/>
              </w:rPr>
              <w:t xml:space="preserve"> to </w:t>
            </w:r>
            <w:r w:rsidR="007B5908" w:rsidRPr="005A5A29">
              <w:rPr>
                <w:sz w:val="22"/>
                <w:szCs w:val="22"/>
              </w:rPr>
              <w:t>provide technical assistance to</w:t>
            </w:r>
            <w:r w:rsidR="008E46DF" w:rsidRPr="005A5A29">
              <w:rPr>
                <w:sz w:val="22"/>
                <w:szCs w:val="22"/>
              </w:rPr>
              <w:t xml:space="preserve"> help businesses</w:t>
            </w:r>
            <w:r w:rsidR="0006253E" w:rsidRPr="005A5A29">
              <w:rPr>
                <w:sz w:val="22"/>
                <w:szCs w:val="22"/>
              </w:rPr>
              <w:t xml:space="preserve"> comply with </w:t>
            </w:r>
            <w:r w:rsidR="00F857DE">
              <w:rPr>
                <w:sz w:val="22"/>
                <w:szCs w:val="22"/>
              </w:rPr>
              <w:t>the</w:t>
            </w:r>
            <w:r w:rsidR="00FC4CA7" w:rsidRPr="005A5A29">
              <w:rPr>
                <w:sz w:val="22"/>
                <w:szCs w:val="22"/>
              </w:rPr>
              <w:t xml:space="preserve"> </w:t>
            </w:r>
            <w:r w:rsidR="0006253E" w:rsidRPr="005A5A29">
              <w:rPr>
                <w:sz w:val="22"/>
                <w:szCs w:val="22"/>
              </w:rPr>
              <w:t>requirements</w:t>
            </w:r>
            <w:r w:rsidR="007B5908" w:rsidRPr="005A5A29">
              <w:rPr>
                <w:sz w:val="22"/>
                <w:szCs w:val="22"/>
              </w:rPr>
              <w:t xml:space="preserve">. </w:t>
            </w:r>
            <w:r w:rsidR="003C7C0E" w:rsidRPr="005A5A29">
              <w:rPr>
                <w:sz w:val="22"/>
                <w:szCs w:val="22"/>
              </w:rPr>
              <w:t>With</w:t>
            </w:r>
            <w:r w:rsidR="00BE307C" w:rsidRPr="005A5A29">
              <w:rPr>
                <w:sz w:val="22"/>
                <w:szCs w:val="22"/>
              </w:rPr>
              <w:t xml:space="preserve"> or with</w:t>
            </w:r>
            <w:r w:rsidR="003C7C0E" w:rsidRPr="005A5A29">
              <w:rPr>
                <w:sz w:val="22"/>
                <w:szCs w:val="22"/>
              </w:rPr>
              <w:t>out the proposed rule</w:t>
            </w:r>
            <w:r w:rsidR="008E46DF" w:rsidRPr="005A5A29">
              <w:rPr>
                <w:sz w:val="22"/>
                <w:szCs w:val="22"/>
              </w:rPr>
              <w:t>s</w:t>
            </w:r>
            <w:r w:rsidR="003C7C0E" w:rsidRPr="005A5A29">
              <w:rPr>
                <w:sz w:val="22"/>
                <w:szCs w:val="22"/>
              </w:rPr>
              <w:t xml:space="preserve">, </w:t>
            </w:r>
            <w:r w:rsidR="00290090" w:rsidRPr="005A5A29">
              <w:rPr>
                <w:sz w:val="22"/>
                <w:szCs w:val="22"/>
              </w:rPr>
              <w:t xml:space="preserve">many </w:t>
            </w:r>
            <w:r w:rsidR="003C7C0E" w:rsidRPr="005A5A29">
              <w:rPr>
                <w:sz w:val="22"/>
                <w:szCs w:val="22"/>
              </w:rPr>
              <w:t>businesses</w:t>
            </w:r>
            <w:r w:rsidR="00BE307C" w:rsidRPr="005A5A29">
              <w:rPr>
                <w:sz w:val="22"/>
                <w:szCs w:val="22"/>
              </w:rPr>
              <w:t xml:space="preserve"> </w:t>
            </w:r>
            <w:r w:rsidR="00290090" w:rsidRPr="005A5A29">
              <w:rPr>
                <w:sz w:val="22"/>
                <w:szCs w:val="22"/>
              </w:rPr>
              <w:t xml:space="preserve">are </w:t>
            </w:r>
            <w:r w:rsidR="00BE307C" w:rsidRPr="005A5A29">
              <w:rPr>
                <w:sz w:val="22"/>
                <w:szCs w:val="22"/>
              </w:rPr>
              <w:t xml:space="preserve">subject to </w:t>
            </w:r>
            <w:r w:rsidR="00FC4CA7" w:rsidRPr="005A5A29">
              <w:rPr>
                <w:sz w:val="22"/>
                <w:szCs w:val="22"/>
              </w:rPr>
              <w:t xml:space="preserve">the existing </w:t>
            </w:r>
            <w:r w:rsidR="00BE307C" w:rsidRPr="005A5A29">
              <w:rPr>
                <w:sz w:val="22"/>
                <w:szCs w:val="22"/>
              </w:rPr>
              <w:t>r</w:t>
            </w:r>
            <w:r w:rsidR="00290090" w:rsidRPr="005A5A29">
              <w:rPr>
                <w:sz w:val="22"/>
                <w:szCs w:val="22"/>
              </w:rPr>
              <w:t xml:space="preserve">eporting </w:t>
            </w:r>
            <w:r w:rsidR="0079640A" w:rsidRPr="005A5A29">
              <w:rPr>
                <w:sz w:val="22"/>
                <w:szCs w:val="22"/>
              </w:rPr>
              <w:t>rules</w:t>
            </w:r>
            <w:r w:rsidR="003C7C0E" w:rsidRPr="005A5A29">
              <w:rPr>
                <w:sz w:val="22"/>
                <w:szCs w:val="22"/>
              </w:rPr>
              <w:t xml:space="preserve">. </w:t>
            </w:r>
            <w:r w:rsidR="001554A2">
              <w:rPr>
                <w:sz w:val="22"/>
                <w:szCs w:val="22"/>
              </w:rPr>
              <w:t>DEQ</w:t>
            </w:r>
            <w:r w:rsidR="007B5908" w:rsidRPr="005A5A29">
              <w:rPr>
                <w:sz w:val="22"/>
                <w:szCs w:val="22"/>
              </w:rPr>
              <w:t xml:space="preserve"> would </w:t>
            </w:r>
            <w:r w:rsidR="008E46DF" w:rsidRPr="005A5A29">
              <w:rPr>
                <w:sz w:val="22"/>
                <w:szCs w:val="22"/>
              </w:rPr>
              <w:t xml:space="preserve">work with an advisory committee to </w:t>
            </w:r>
            <w:r w:rsidR="00290090" w:rsidRPr="005A5A29">
              <w:rPr>
                <w:sz w:val="22"/>
                <w:szCs w:val="22"/>
              </w:rPr>
              <w:t>evaluate</w:t>
            </w:r>
            <w:r w:rsidR="008E46DF" w:rsidRPr="005A5A29">
              <w:rPr>
                <w:sz w:val="22"/>
                <w:szCs w:val="22"/>
              </w:rPr>
              <w:t xml:space="preserve"> </w:t>
            </w:r>
            <w:r w:rsidR="0052549A" w:rsidRPr="005A5A29">
              <w:rPr>
                <w:sz w:val="22"/>
                <w:szCs w:val="22"/>
              </w:rPr>
              <w:t xml:space="preserve">the </w:t>
            </w:r>
            <w:r w:rsidR="008E46DF" w:rsidRPr="005A5A29">
              <w:rPr>
                <w:sz w:val="22"/>
                <w:szCs w:val="22"/>
              </w:rPr>
              <w:t>impacts o</w:t>
            </w:r>
            <w:r w:rsidR="00ED20CC" w:rsidRPr="005A5A29">
              <w:rPr>
                <w:sz w:val="22"/>
                <w:szCs w:val="22"/>
              </w:rPr>
              <w:t xml:space="preserve">f </w:t>
            </w:r>
            <w:r w:rsidR="007B5908" w:rsidRPr="005A5A29">
              <w:rPr>
                <w:sz w:val="22"/>
                <w:szCs w:val="22"/>
              </w:rPr>
              <w:t>th</w:t>
            </w:r>
            <w:r w:rsidR="00290090" w:rsidRPr="005A5A29">
              <w:rPr>
                <w:sz w:val="22"/>
                <w:szCs w:val="22"/>
              </w:rPr>
              <w:t>is</w:t>
            </w:r>
            <w:r w:rsidR="007B5908" w:rsidRPr="005A5A29">
              <w:rPr>
                <w:sz w:val="22"/>
                <w:szCs w:val="22"/>
              </w:rPr>
              <w:t xml:space="preserve"> proposal</w:t>
            </w:r>
            <w:r w:rsidR="008E46DF" w:rsidRPr="005A5A29">
              <w:rPr>
                <w:sz w:val="22"/>
                <w:szCs w:val="22"/>
              </w:rPr>
              <w:t xml:space="preserve"> on the regulated community</w:t>
            </w:r>
            <w:r w:rsidR="007B5908" w:rsidRPr="005A5A29">
              <w:rPr>
                <w:sz w:val="22"/>
                <w:szCs w:val="22"/>
              </w:rPr>
              <w:t>.</w:t>
            </w:r>
            <w:r w:rsidR="0083250B" w:rsidRPr="005A5A29">
              <w:rPr>
                <w:sz w:val="22"/>
                <w:szCs w:val="22"/>
              </w:rPr>
              <w:t xml:space="preserve"> </w:t>
            </w:r>
          </w:p>
        </w:tc>
      </w:tr>
      <w:tr w:rsidR="00EC4535" w:rsidRPr="005A5A29" w:rsidTr="00C22B95">
        <w:trPr>
          <w:cantSplit/>
          <w:trHeight w:val="1088"/>
        </w:trPr>
        <w:tc>
          <w:tcPr>
            <w:tcW w:w="1818" w:type="dxa"/>
            <w:shd w:val="clear" w:color="auto" w:fill="auto"/>
          </w:tcPr>
          <w:p w:rsidR="00EC4535" w:rsidRPr="005A5A29" w:rsidRDefault="00EC4535">
            <w:pPr>
              <w:pStyle w:val="Heading5"/>
              <w:rPr>
                <w:szCs w:val="22"/>
              </w:rPr>
            </w:pPr>
          </w:p>
        </w:tc>
        <w:tc>
          <w:tcPr>
            <w:tcW w:w="9054" w:type="dxa"/>
            <w:gridSpan w:val="5"/>
            <w:shd w:val="clear" w:color="auto" w:fill="auto"/>
          </w:tcPr>
          <w:p w:rsidR="00EC4535" w:rsidRPr="005A5A29" w:rsidRDefault="00EC4535" w:rsidP="00C923AD">
            <w:pPr>
              <w:pStyle w:val="BlockText"/>
              <w:numPr>
                <w:ilvl w:val="0"/>
                <w:numId w:val="12"/>
              </w:numPr>
              <w:spacing w:after="80"/>
              <w:rPr>
                <w:b/>
                <w:sz w:val="22"/>
                <w:szCs w:val="22"/>
              </w:rPr>
            </w:pPr>
            <w:r w:rsidRPr="005A5A29">
              <w:rPr>
                <w:b/>
                <w:sz w:val="22"/>
                <w:szCs w:val="22"/>
              </w:rPr>
              <w:t>Will the changes make it easier for DEQ to do business?</w:t>
            </w:r>
            <w:r w:rsidR="001F34E0" w:rsidRPr="005A5A29">
              <w:rPr>
                <w:b/>
                <w:sz w:val="22"/>
                <w:szCs w:val="22"/>
              </w:rPr>
              <w:t xml:space="preserve"> </w:t>
            </w:r>
            <w:r w:rsidRPr="005A5A29">
              <w:rPr>
                <w:b/>
                <w:sz w:val="22"/>
                <w:szCs w:val="22"/>
              </w:rPr>
              <w:t>What resource savings will be achieved?</w:t>
            </w:r>
          </w:p>
          <w:p w:rsidR="000A73A5" w:rsidRPr="005A5A29" w:rsidRDefault="00ED20CC" w:rsidP="00F857DE">
            <w:pPr>
              <w:pStyle w:val="BlockText"/>
              <w:spacing w:after="80"/>
              <w:rPr>
                <w:b/>
                <w:sz w:val="22"/>
                <w:szCs w:val="22"/>
              </w:rPr>
            </w:pPr>
            <w:r w:rsidRPr="005A5A29">
              <w:rPr>
                <w:sz w:val="22"/>
                <w:szCs w:val="22"/>
              </w:rPr>
              <w:t xml:space="preserve">Yes. </w:t>
            </w:r>
            <w:r w:rsidR="007B5908" w:rsidRPr="005A5A29">
              <w:rPr>
                <w:sz w:val="22"/>
                <w:szCs w:val="22"/>
              </w:rPr>
              <w:t>The</w:t>
            </w:r>
            <w:r w:rsidRPr="005A5A29">
              <w:rPr>
                <w:sz w:val="22"/>
                <w:szCs w:val="22"/>
              </w:rPr>
              <w:t xml:space="preserve"> changes </w:t>
            </w:r>
            <w:r w:rsidR="007B5908" w:rsidRPr="005A5A29">
              <w:rPr>
                <w:sz w:val="22"/>
                <w:szCs w:val="22"/>
              </w:rPr>
              <w:t xml:space="preserve">would make it easier for DEQ to do business by funding staff positions </w:t>
            </w:r>
            <w:r w:rsidRPr="005A5A29">
              <w:rPr>
                <w:sz w:val="22"/>
                <w:szCs w:val="22"/>
              </w:rPr>
              <w:t>necessary to perform program work</w:t>
            </w:r>
            <w:r w:rsidR="00290090" w:rsidRPr="005A5A29">
              <w:rPr>
                <w:sz w:val="22"/>
                <w:szCs w:val="22"/>
              </w:rPr>
              <w:t xml:space="preserve">. </w:t>
            </w:r>
            <w:r w:rsidR="001554A2">
              <w:rPr>
                <w:sz w:val="22"/>
                <w:szCs w:val="22"/>
              </w:rPr>
              <w:t>F</w:t>
            </w:r>
            <w:r w:rsidR="008E46DF" w:rsidRPr="005A5A29">
              <w:rPr>
                <w:sz w:val="22"/>
                <w:szCs w:val="22"/>
              </w:rPr>
              <w:t xml:space="preserve">ees are the only </w:t>
            </w:r>
            <w:r w:rsidR="001554A2">
              <w:rPr>
                <w:sz w:val="22"/>
                <w:szCs w:val="22"/>
              </w:rPr>
              <w:t>means of</w:t>
            </w:r>
            <w:r w:rsidR="008E46DF" w:rsidRPr="005A5A29">
              <w:rPr>
                <w:sz w:val="22"/>
                <w:szCs w:val="22"/>
              </w:rPr>
              <w:t xml:space="preserve"> program funding. </w:t>
            </w:r>
            <w:r w:rsidR="007A0980" w:rsidRPr="005A5A29">
              <w:rPr>
                <w:sz w:val="22"/>
                <w:szCs w:val="22"/>
              </w:rPr>
              <w:t xml:space="preserve">While </w:t>
            </w:r>
            <w:r w:rsidR="008E46DF" w:rsidRPr="005A5A29">
              <w:rPr>
                <w:sz w:val="22"/>
                <w:szCs w:val="22"/>
              </w:rPr>
              <w:t xml:space="preserve">DEQ shifted </w:t>
            </w:r>
            <w:r w:rsidR="00F857DE">
              <w:rPr>
                <w:sz w:val="22"/>
                <w:szCs w:val="22"/>
              </w:rPr>
              <w:t>resources</w:t>
            </w:r>
            <w:r w:rsidR="008E46DF" w:rsidRPr="005A5A29">
              <w:rPr>
                <w:sz w:val="22"/>
                <w:szCs w:val="22"/>
              </w:rPr>
              <w:t xml:space="preserve"> from other Air Quality programs to </w:t>
            </w:r>
            <w:r w:rsidR="0052549A" w:rsidRPr="005A5A29">
              <w:rPr>
                <w:sz w:val="22"/>
                <w:szCs w:val="22"/>
              </w:rPr>
              <w:t>develop</w:t>
            </w:r>
            <w:r w:rsidR="007A0980" w:rsidRPr="005A5A29">
              <w:rPr>
                <w:sz w:val="22"/>
                <w:szCs w:val="22"/>
              </w:rPr>
              <w:t xml:space="preserve"> the </w:t>
            </w:r>
            <w:r w:rsidR="00296CA9">
              <w:rPr>
                <w:sz w:val="22"/>
                <w:szCs w:val="22"/>
              </w:rPr>
              <w:t xml:space="preserve">initial </w:t>
            </w:r>
            <w:r w:rsidR="007A0980" w:rsidRPr="005A5A29">
              <w:rPr>
                <w:sz w:val="22"/>
                <w:szCs w:val="22"/>
              </w:rPr>
              <w:t xml:space="preserve">reporting </w:t>
            </w:r>
            <w:r w:rsidR="0052549A" w:rsidRPr="005A5A29">
              <w:rPr>
                <w:sz w:val="22"/>
                <w:szCs w:val="22"/>
              </w:rPr>
              <w:t>rules</w:t>
            </w:r>
            <w:r w:rsidR="008E46DF" w:rsidRPr="005A5A29">
              <w:rPr>
                <w:sz w:val="22"/>
                <w:szCs w:val="22"/>
              </w:rPr>
              <w:t>, th</w:t>
            </w:r>
            <w:r w:rsidR="0052549A" w:rsidRPr="005A5A29">
              <w:rPr>
                <w:sz w:val="22"/>
                <w:szCs w:val="22"/>
              </w:rPr>
              <w:t>e</w:t>
            </w:r>
            <w:r w:rsidR="008E46DF" w:rsidRPr="005A5A29">
              <w:rPr>
                <w:sz w:val="22"/>
                <w:szCs w:val="22"/>
              </w:rPr>
              <w:t xml:space="preserve"> shift is temporary because it delays other important work.</w:t>
            </w:r>
          </w:p>
        </w:tc>
      </w:tr>
      <w:tr w:rsidR="007A0613" w:rsidRPr="005A5A29" w:rsidTr="00C22B95">
        <w:trPr>
          <w:cantSplit/>
          <w:trHeight w:val="1480"/>
        </w:trPr>
        <w:tc>
          <w:tcPr>
            <w:tcW w:w="1818" w:type="dxa"/>
            <w:shd w:val="clear" w:color="auto" w:fill="auto"/>
          </w:tcPr>
          <w:p w:rsidR="007A0613" w:rsidRPr="005A5A29" w:rsidRDefault="007A0613">
            <w:pPr>
              <w:pStyle w:val="Heading5"/>
              <w:rPr>
                <w:szCs w:val="22"/>
              </w:rPr>
            </w:pPr>
          </w:p>
        </w:tc>
        <w:tc>
          <w:tcPr>
            <w:tcW w:w="9054" w:type="dxa"/>
            <w:gridSpan w:val="5"/>
            <w:shd w:val="clear" w:color="auto" w:fill="auto"/>
          </w:tcPr>
          <w:p w:rsidR="00EC4535" w:rsidRPr="005A5A29" w:rsidRDefault="002013C0" w:rsidP="00C923AD">
            <w:pPr>
              <w:pStyle w:val="BlockText"/>
              <w:numPr>
                <w:ilvl w:val="0"/>
                <w:numId w:val="12"/>
              </w:numPr>
              <w:spacing w:after="80"/>
              <w:rPr>
                <w:b/>
                <w:sz w:val="22"/>
                <w:szCs w:val="22"/>
              </w:rPr>
            </w:pPr>
            <w:r w:rsidRPr="005A5A29">
              <w:rPr>
                <w:b/>
                <w:sz w:val="22"/>
                <w:szCs w:val="22"/>
              </w:rPr>
              <w:t>Will the changes further one or more of our strategic directions?</w:t>
            </w:r>
          </w:p>
          <w:p w:rsidR="000A73A5" w:rsidRPr="005A5A29" w:rsidRDefault="002013C0" w:rsidP="00C923AD">
            <w:pPr>
              <w:pStyle w:val="BlockText"/>
              <w:spacing w:after="80"/>
              <w:rPr>
                <w:sz w:val="22"/>
                <w:szCs w:val="22"/>
              </w:rPr>
            </w:pPr>
            <w:r w:rsidRPr="005A5A29">
              <w:rPr>
                <w:b/>
                <w:sz w:val="22"/>
                <w:szCs w:val="22"/>
              </w:rPr>
              <w:t xml:space="preserve"> </w:t>
            </w:r>
            <w:r w:rsidR="004A20AA" w:rsidRPr="005A5A29">
              <w:rPr>
                <w:sz w:val="22"/>
                <w:szCs w:val="22"/>
              </w:rPr>
              <w:t xml:space="preserve">Yes. </w:t>
            </w:r>
            <w:r w:rsidR="008215B9" w:rsidRPr="005A5A29">
              <w:rPr>
                <w:sz w:val="22"/>
                <w:szCs w:val="22"/>
              </w:rPr>
              <w:t xml:space="preserve">An effective </w:t>
            </w:r>
            <w:r w:rsidR="004A20AA" w:rsidRPr="005A5A29">
              <w:rPr>
                <w:sz w:val="22"/>
                <w:szCs w:val="22"/>
              </w:rPr>
              <w:t>greenhouse gas reporting program furthers DEQ’s strategic directions to promote sustainability</w:t>
            </w:r>
            <w:r w:rsidR="008215B9" w:rsidRPr="005A5A29">
              <w:rPr>
                <w:sz w:val="22"/>
                <w:szCs w:val="22"/>
              </w:rPr>
              <w:t xml:space="preserve">, </w:t>
            </w:r>
            <w:r w:rsidR="004A20AA" w:rsidRPr="005A5A29">
              <w:rPr>
                <w:sz w:val="22"/>
                <w:szCs w:val="22"/>
              </w:rPr>
              <w:t>improve Oregon’s air and water</w:t>
            </w:r>
            <w:r w:rsidR="008215B9" w:rsidRPr="005A5A29">
              <w:rPr>
                <w:sz w:val="22"/>
                <w:szCs w:val="22"/>
              </w:rPr>
              <w:t xml:space="preserve"> and</w:t>
            </w:r>
            <w:r w:rsidR="00B23F44" w:rsidRPr="005A5A29">
              <w:rPr>
                <w:sz w:val="22"/>
                <w:szCs w:val="22"/>
              </w:rPr>
              <w:t xml:space="preserve"> deliver outstanding </w:t>
            </w:r>
            <w:r w:rsidR="008215B9" w:rsidRPr="005A5A29">
              <w:rPr>
                <w:sz w:val="22"/>
                <w:szCs w:val="22"/>
              </w:rPr>
              <w:t>public service</w:t>
            </w:r>
            <w:r w:rsidR="00B23F44" w:rsidRPr="005A5A29">
              <w:rPr>
                <w:sz w:val="22"/>
                <w:szCs w:val="22"/>
              </w:rPr>
              <w:t>.</w:t>
            </w:r>
          </w:p>
          <w:p w:rsidR="002013C0" w:rsidRPr="005A5A29" w:rsidRDefault="002013C0" w:rsidP="00C923AD">
            <w:pPr>
              <w:pStyle w:val="BlockText"/>
              <w:numPr>
                <w:ilvl w:val="0"/>
                <w:numId w:val="12"/>
              </w:numPr>
              <w:spacing w:after="80"/>
              <w:rPr>
                <w:b/>
                <w:sz w:val="22"/>
                <w:szCs w:val="22"/>
              </w:rPr>
            </w:pPr>
            <w:r w:rsidRPr="005A5A29">
              <w:rPr>
                <w:b/>
                <w:sz w:val="22"/>
                <w:szCs w:val="22"/>
              </w:rPr>
              <w:t>Do the rules achieve or maintain consistency with federal requirements or delegation of federal programs?</w:t>
            </w:r>
            <w:r w:rsidR="001F34E0" w:rsidRPr="005A5A29">
              <w:rPr>
                <w:b/>
                <w:sz w:val="22"/>
                <w:szCs w:val="22"/>
              </w:rPr>
              <w:t xml:space="preserve"> </w:t>
            </w:r>
            <w:r w:rsidRPr="005A5A29">
              <w:rPr>
                <w:b/>
                <w:sz w:val="22"/>
                <w:szCs w:val="22"/>
              </w:rPr>
              <w:t>If so, explain why that is necessary or important.</w:t>
            </w:r>
          </w:p>
          <w:p w:rsidR="007A0613" w:rsidRPr="005A5A29" w:rsidRDefault="004A20AA" w:rsidP="00C923AD">
            <w:pPr>
              <w:pStyle w:val="BlockText"/>
              <w:spacing w:after="80"/>
              <w:ind w:left="261"/>
              <w:rPr>
                <w:b/>
                <w:sz w:val="22"/>
                <w:szCs w:val="22"/>
              </w:rPr>
            </w:pPr>
            <w:r w:rsidRPr="005A5A29">
              <w:rPr>
                <w:sz w:val="22"/>
                <w:szCs w:val="22"/>
              </w:rPr>
              <w:t xml:space="preserve">There are no federal requirements for Oregon’s greenhouse gas reporting </w:t>
            </w:r>
            <w:r w:rsidR="0052549A" w:rsidRPr="005A5A29">
              <w:rPr>
                <w:sz w:val="22"/>
                <w:szCs w:val="22"/>
              </w:rPr>
              <w:t>program</w:t>
            </w:r>
            <w:r w:rsidRPr="005A5A29">
              <w:rPr>
                <w:sz w:val="22"/>
                <w:szCs w:val="22"/>
              </w:rPr>
              <w:t>.</w:t>
            </w:r>
          </w:p>
        </w:tc>
      </w:tr>
      <w:tr w:rsidR="00EC4535" w:rsidRPr="005A5A29" w:rsidTr="00447759">
        <w:tc>
          <w:tcPr>
            <w:tcW w:w="1818" w:type="dxa"/>
            <w:shd w:val="clear" w:color="auto" w:fill="auto"/>
          </w:tcPr>
          <w:p w:rsidR="00EC4535" w:rsidRPr="005A5A29" w:rsidRDefault="00EC4535">
            <w:pPr>
              <w:pStyle w:val="Heading5"/>
              <w:rPr>
                <w:szCs w:val="22"/>
              </w:rPr>
            </w:pPr>
          </w:p>
        </w:tc>
        <w:tc>
          <w:tcPr>
            <w:tcW w:w="9054" w:type="dxa"/>
            <w:gridSpan w:val="5"/>
            <w:shd w:val="clear" w:color="auto" w:fill="auto"/>
          </w:tcPr>
          <w:p w:rsidR="00B23F44" w:rsidRPr="005A5A29" w:rsidRDefault="00EC4535" w:rsidP="00C923AD">
            <w:pPr>
              <w:pStyle w:val="BlockText"/>
              <w:numPr>
                <w:ilvl w:val="0"/>
                <w:numId w:val="12"/>
              </w:numPr>
              <w:spacing w:after="80"/>
              <w:rPr>
                <w:b/>
                <w:sz w:val="22"/>
                <w:szCs w:val="22"/>
              </w:rPr>
            </w:pPr>
            <w:r w:rsidRPr="005A5A29">
              <w:rPr>
                <w:b/>
                <w:sz w:val="22"/>
                <w:szCs w:val="22"/>
              </w:rPr>
              <w:t xml:space="preserve">Is there another compelling reason? </w:t>
            </w:r>
          </w:p>
          <w:p w:rsidR="00EC4535" w:rsidRPr="007A6144" w:rsidRDefault="00E438E5" w:rsidP="00C923AD">
            <w:pPr>
              <w:pStyle w:val="BlockText"/>
              <w:spacing w:after="80"/>
              <w:ind w:left="45"/>
              <w:rPr>
                <w:b/>
                <w:sz w:val="22"/>
                <w:szCs w:val="22"/>
              </w:rPr>
            </w:pPr>
            <w:r w:rsidRPr="007A6144">
              <w:rPr>
                <w:sz w:val="22"/>
                <w:szCs w:val="22"/>
              </w:rPr>
              <w:t xml:space="preserve">In 2007, </w:t>
            </w:r>
            <w:r w:rsidR="004A20AA" w:rsidRPr="007A6144">
              <w:rPr>
                <w:sz w:val="22"/>
                <w:szCs w:val="22"/>
              </w:rPr>
              <w:t xml:space="preserve">Governor Kulongoski </w:t>
            </w:r>
            <w:r w:rsidRPr="007A6144">
              <w:rPr>
                <w:sz w:val="22"/>
                <w:szCs w:val="22"/>
              </w:rPr>
              <w:t>sent a letter to the commission requesting it consider adopting greenhouse gas reporting rules</w:t>
            </w:r>
            <w:r w:rsidR="00C73F14">
              <w:rPr>
                <w:sz w:val="22"/>
                <w:szCs w:val="22"/>
              </w:rPr>
              <w:t xml:space="preserve">. This proposal is a continuation of the reporting rules adopted by the commission in 2008. </w:t>
            </w:r>
          </w:p>
          <w:p w:rsidR="00B23F44" w:rsidRPr="005A5A29" w:rsidRDefault="00EC4535" w:rsidP="00C923AD">
            <w:pPr>
              <w:pStyle w:val="BlockText"/>
              <w:numPr>
                <w:ilvl w:val="0"/>
                <w:numId w:val="12"/>
              </w:numPr>
              <w:spacing w:after="80"/>
              <w:rPr>
                <w:b/>
                <w:sz w:val="22"/>
                <w:szCs w:val="22"/>
              </w:rPr>
            </w:pPr>
            <w:r w:rsidRPr="005A5A29">
              <w:rPr>
                <w:b/>
                <w:sz w:val="22"/>
                <w:szCs w:val="22"/>
              </w:rPr>
              <w:t>Can the need be met through policy, guidance, or another alternative to rulemaking?</w:t>
            </w:r>
            <w:r w:rsidR="001F34E0" w:rsidRPr="005A5A29">
              <w:rPr>
                <w:b/>
                <w:sz w:val="22"/>
                <w:szCs w:val="22"/>
              </w:rPr>
              <w:t xml:space="preserve"> </w:t>
            </w:r>
            <w:r w:rsidRPr="005A5A29">
              <w:rPr>
                <w:b/>
                <w:sz w:val="22"/>
                <w:szCs w:val="22"/>
              </w:rPr>
              <w:t>If not, briefly explain.</w:t>
            </w:r>
          </w:p>
          <w:p w:rsidR="000A73A5" w:rsidRPr="005A5A29" w:rsidRDefault="004A20AA" w:rsidP="00AA01DF">
            <w:pPr>
              <w:pStyle w:val="BlockText"/>
              <w:spacing w:after="80"/>
              <w:rPr>
                <w:sz w:val="22"/>
                <w:szCs w:val="22"/>
              </w:rPr>
            </w:pPr>
            <w:r w:rsidRPr="005A5A29">
              <w:rPr>
                <w:sz w:val="22"/>
                <w:szCs w:val="22"/>
              </w:rPr>
              <w:t xml:space="preserve">No. </w:t>
            </w:r>
            <w:r w:rsidR="00AA01DF">
              <w:rPr>
                <w:sz w:val="22"/>
                <w:szCs w:val="22"/>
              </w:rPr>
              <w:t>State law</w:t>
            </w:r>
            <w:r w:rsidR="00FC4CA7" w:rsidRPr="005A5A29">
              <w:rPr>
                <w:sz w:val="22"/>
                <w:szCs w:val="22"/>
              </w:rPr>
              <w:t xml:space="preserve"> requires the commission to establish the</w:t>
            </w:r>
            <w:r w:rsidR="001C3C44">
              <w:rPr>
                <w:sz w:val="22"/>
                <w:szCs w:val="22"/>
              </w:rPr>
              <w:t xml:space="preserve"> proposed</w:t>
            </w:r>
            <w:r w:rsidRPr="005A5A29">
              <w:rPr>
                <w:sz w:val="22"/>
                <w:szCs w:val="22"/>
              </w:rPr>
              <w:t xml:space="preserve"> requirements and fees</w:t>
            </w:r>
            <w:r w:rsidR="00FC4CA7" w:rsidRPr="005A5A29">
              <w:rPr>
                <w:sz w:val="22"/>
                <w:szCs w:val="22"/>
              </w:rPr>
              <w:t xml:space="preserve"> by rule.</w:t>
            </w:r>
          </w:p>
        </w:tc>
      </w:tr>
      <w:tr w:rsidR="003960C3" w:rsidRPr="005A5A29" w:rsidTr="008109D0">
        <w:tc>
          <w:tcPr>
            <w:tcW w:w="1818" w:type="dxa"/>
            <w:shd w:val="clear" w:color="auto" w:fill="auto"/>
          </w:tcPr>
          <w:p w:rsidR="003960C3" w:rsidRPr="005A5A29" w:rsidRDefault="003960C3">
            <w:pPr>
              <w:pStyle w:val="Heading5"/>
              <w:rPr>
                <w:szCs w:val="22"/>
              </w:rPr>
            </w:pPr>
            <w:r w:rsidRPr="005A5A29">
              <w:rPr>
                <w:szCs w:val="22"/>
              </w:rPr>
              <w:t>Relevant History</w:t>
            </w:r>
          </w:p>
        </w:tc>
        <w:tc>
          <w:tcPr>
            <w:tcW w:w="9054" w:type="dxa"/>
            <w:gridSpan w:val="5"/>
            <w:shd w:val="clear" w:color="auto" w:fill="auto"/>
          </w:tcPr>
          <w:p w:rsidR="0006769F" w:rsidRPr="005A5A29" w:rsidRDefault="0006769F" w:rsidP="00C923AD">
            <w:pPr>
              <w:pStyle w:val="ListParagraph"/>
              <w:spacing w:after="80"/>
              <w:ind w:left="0"/>
              <w:rPr>
                <w:sz w:val="22"/>
                <w:szCs w:val="22"/>
              </w:rPr>
            </w:pPr>
            <w:r w:rsidRPr="005A5A29">
              <w:rPr>
                <w:sz w:val="22"/>
                <w:szCs w:val="22"/>
              </w:rPr>
              <w:t xml:space="preserve">The following actions laid </w:t>
            </w:r>
            <w:r w:rsidR="007A0980" w:rsidRPr="005A5A29">
              <w:rPr>
                <w:sz w:val="22"/>
                <w:szCs w:val="22"/>
              </w:rPr>
              <w:t xml:space="preserve">the </w:t>
            </w:r>
            <w:r w:rsidRPr="005A5A29">
              <w:rPr>
                <w:sz w:val="22"/>
                <w:szCs w:val="22"/>
              </w:rPr>
              <w:t>groundwo</w:t>
            </w:r>
            <w:r w:rsidR="0052549A" w:rsidRPr="005A5A29">
              <w:rPr>
                <w:sz w:val="22"/>
                <w:szCs w:val="22"/>
              </w:rPr>
              <w:t>rk for this proposal:</w:t>
            </w:r>
          </w:p>
          <w:p w:rsidR="00834543" w:rsidRPr="005A5A29" w:rsidRDefault="0052549A" w:rsidP="00834543">
            <w:pPr>
              <w:pStyle w:val="ListParagraph"/>
              <w:ind w:left="0"/>
              <w:rPr>
                <w:sz w:val="22"/>
                <w:szCs w:val="22"/>
              </w:rPr>
            </w:pPr>
            <w:r w:rsidRPr="005A5A29">
              <w:rPr>
                <w:sz w:val="22"/>
                <w:szCs w:val="22"/>
              </w:rPr>
              <w:t xml:space="preserve">    </w:t>
            </w:r>
            <w:r w:rsidR="004A20AA" w:rsidRPr="005A5A29">
              <w:rPr>
                <w:sz w:val="22"/>
                <w:szCs w:val="22"/>
              </w:rPr>
              <w:t>In 2007</w:t>
            </w:r>
            <w:r w:rsidR="00AA01DF">
              <w:rPr>
                <w:sz w:val="22"/>
                <w:szCs w:val="22"/>
              </w:rPr>
              <w:t>:</w:t>
            </w:r>
          </w:p>
          <w:p w:rsidR="001C3C44" w:rsidRPr="000160C0" w:rsidRDefault="004A20AA" w:rsidP="004A20AA">
            <w:pPr>
              <w:pStyle w:val="ListParagraph"/>
              <w:numPr>
                <w:ilvl w:val="0"/>
                <w:numId w:val="15"/>
              </w:numPr>
              <w:rPr>
                <w:sz w:val="22"/>
                <w:szCs w:val="22"/>
              </w:rPr>
            </w:pPr>
            <w:r w:rsidRPr="005A5A29">
              <w:rPr>
                <w:sz w:val="22"/>
                <w:szCs w:val="22"/>
              </w:rPr>
              <w:t>Oregon</w:t>
            </w:r>
            <w:r w:rsidR="003379F9" w:rsidRPr="005A5A29">
              <w:rPr>
                <w:sz w:val="22"/>
                <w:szCs w:val="22"/>
              </w:rPr>
              <w:t xml:space="preserve"> helped </w:t>
            </w:r>
            <w:r w:rsidR="003379F9" w:rsidRPr="000160C0">
              <w:rPr>
                <w:sz w:val="22"/>
                <w:szCs w:val="22"/>
              </w:rPr>
              <w:t xml:space="preserve">form </w:t>
            </w:r>
            <w:r w:rsidRPr="000160C0">
              <w:rPr>
                <w:sz w:val="22"/>
                <w:szCs w:val="22"/>
              </w:rPr>
              <w:t xml:space="preserve">the </w:t>
            </w:r>
            <w:r w:rsidR="008109D0">
              <w:rPr>
                <w:sz w:val="22"/>
                <w:szCs w:val="22"/>
              </w:rPr>
              <w:t>WCI</w:t>
            </w:r>
            <w:r w:rsidR="003379F9" w:rsidRPr="000160C0">
              <w:rPr>
                <w:sz w:val="22"/>
                <w:szCs w:val="22"/>
              </w:rPr>
              <w:t xml:space="preserve">, </w:t>
            </w:r>
            <w:r w:rsidR="00FC4CA7" w:rsidRPr="000160C0">
              <w:rPr>
                <w:sz w:val="22"/>
                <w:szCs w:val="22"/>
              </w:rPr>
              <w:t xml:space="preserve">which is </w:t>
            </w:r>
            <w:r w:rsidR="003379F9" w:rsidRPr="000160C0">
              <w:rPr>
                <w:sz w:val="22"/>
                <w:szCs w:val="22"/>
              </w:rPr>
              <w:t>a partnership of seven western states and four Canadian providences.</w:t>
            </w:r>
            <w:r w:rsidR="00F4288E" w:rsidRPr="000160C0">
              <w:rPr>
                <w:sz w:val="22"/>
                <w:szCs w:val="22"/>
              </w:rPr>
              <w:t xml:space="preserve"> </w:t>
            </w:r>
            <w:r w:rsidR="008109D0">
              <w:rPr>
                <w:sz w:val="22"/>
                <w:szCs w:val="22"/>
              </w:rPr>
              <w:t xml:space="preserve">The </w:t>
            </w:r>
            <w:r w:rsidR="001E47F7">
              <w:rPr>
                <w:sz w:val="22"/>
                <w:szCs w:val="22"/>
              </w:rPr>
              <w:t xml:space="preserve">WCI </w:t>
            </w:r>
            <w:r w:rsidR="001E47F7" w:rsidRPr="005A5A29">
              <w:rPr>
                <w:sz w:val="22"/>
                <w:szCs w:val="22"/>
              </w:rPr>
              <w:t>commit</w:t>
            </w:r>
            <w:r w:rsidR="001E47F7">
              <w:rPr>
                <w:sz w:val="22"/>
                <w:szCs w:val="22"/>
              </w:rPr>
              <w:t>s</w:t>
            </w:r>
            <w:r w:rsidR="001E47F7" w:rsidRPr="005A5A29">
              <w:rPr>
                <w:sz w:val="22"/>
                <w:szCs w:val="22"/>
              </w:rPr>
              <w:t xml:space="preserve"> partne</w:t>
            </w:r>
            <w:r w:rsidR="001E47F7">
              <w:rPr>
                <w:sz w:val="22"/>
                <w:szCs w:val="22"/>
              </w:rPr>
              <w:t>rs</w:t>
            </w:r>
            <w:r w:rsidR="001E47F7" w:rsidRPr="005A5A29">
              <w:rPr>
                <w:sz w:val="22"/>
                <w:szCs w:val="22"/>
              </w:rPr>
              <w:t xml:space="preserve"> to develop a regional target for reducing greenhouse gases</w:t>
            </w:r>
            <w:r w:rsidR="001E47F7">
              <w:rPr>
                <w:sz w:val="22"/>
                <w:szCs w:val="22"/>
              </w:rPr>
              <w:t xml:space="preserve"> and</w:t>
            </w:r>
            <w:r w:rsidR="001E47F7" w:rsidRPr="005A5A29">
              <w:rPr>
                <w:sz w:val="22"/>
                <w:szCs w:val="22"/>
              </w:rPr>
              <w:t xml:space="preserve"> participate in a multi-state reporting and verification system</w:t>
            </w:r>
            <w:r w:rsidR="001E47F7">
              <w:rPr>
                <w:sz w:val="22"/>
                <w:szCs w:val="22"/>
              </w:rPr>
              <w:t xml:space="preserve"> (The Climate Registry</w:t>
            </w:r>
            <w:r w:rsidR="001E47F7" w:rsidRPr="005A5A29">
              <w:rPr>
                <w:sz w:val="22"/>
                <w:szCs w:val="22"/>
              </w:rPr>
              <w:t>)</w:t>
            </w:r>
            <w:r w:rsidR="001E47F7">
              <w:rPr>
                <w:sz w:val="22"/>
                <w:szCs w:val="22"/>
              </w:rPr>
              <w:t>.</w:t>
            </w:r>
          </w:p>
          <w:p w:rsidR="004A20AA" w:rsidRPr="000160C0" w:rsidRDefault="001C3C44" w:rsidP="004A20AA">
            <w:pPr>
              <w:pStyle w:val="ListParagraph"/>
              <w:numPr>
                <w:ilvl w:val="0"/>
                <w:numId w:val="15"/>
              </w:numPr>
              <w:rPr>
                <w:sz w:val="22"/>
                <w:szCs w:val="22"/>
              </w:rPr>
            </w:pPr>
            <w:r w:rsidRPr="000160C0">
              <w:rPr>
                <w:sz w:val="22"/>
                <w:szCs w:val="22"/>
              </w:rPr>
              <w:t>O</w:t>
            </w:r>
            <w:r w:rsidR="004A20AA" w:rsidRPr="000160C0">
              <w:rPr>
                <w:sz w:val="22"/>
                <w:szCs w:val="22"/>
              </w:rPr>
              <w:t xml:space="preserve">regon became an inaugural member of The Climate Registry, which as a multi-state registry will enable tracking, management and crediting for entities that reduce greenhouse gas emissions. The registry includes </w:t>
            </w:r>
            <w:r w:rsidR="007A0980" w:rsidRPr="000160C0">
              <w:rPr>
                <w:sz w:val="22"/>
                <w:szCs w:val="22"/>
              </w:rPr>
              <w:t>forty</w:t>
            </w:r>
            <w:r w:rsidR="004A20AA" w:rsidRPr="000160C0">
              <w:rPr>
                <w:sz w:val="22"/>
                <w:szCs w:val="22"/>
              </w:rPr>
              <w:t xml:space="preserve"> </w:t>
            </w:r>
            <w:r w:rsidR="003379F9" w:rsidRPr="000160C0">
              <w:rPr>
                <w:sz w:val="22"/>
                <w:szCs w:val="22"/>
              </w:rPr>
              <w:t xml:space="preserve">U.S. </w:t>
            </w:r>
            <w:r w:rsidR="004A20AA" w:rsidRPr="000160C0">
              <w:rPr>
                <w:sz w:val="22"/>
                <w:szCs w:val="22"/>
              </w:rPr>
              <w:t xml:space="preserve">states, </w:t>
            </w:r>
            <w:r w:rsidR="007A0980" w:rsidRPr="000160C0">
              <w:rPr>
                <w:sz w:val="22"/>
                <w:szCs w:val="22"/>
              </w:rPr>
              <w:t>three</w:t>
            </w:r>
            <w:r w:rsidR="003379F9" w:rsidRPr="000160C0">
              <w:rPr>
                <w:sz w:val="22"/>
                <w:szCs w:val="22"/>
              </w:rPr>
              <w:t xml:space="preserve"> tribal nations, </w:t>
            </w:r>
            <w:r w:rsidR="007A0980" w:rsidRPr="000160C0">
              <w:rPr>
                <w:sz w:val="22"/>
                <w:szCs w:val="22"/>
              </w:rPr>
              <w:t>nine</w:t>
            </w:r>
            <w:r w:rsidR="004A20AA" w:rsidRPr="000160C0">
              <w:rPr>
                <w:sz w:val="22"/>
                <w:szCs w:val="22"/>
              </w:rPr>
              <w:t xml:space="preserve"> Canadian provinces and </w:t>
            </w:r>
            <w:r w:rsidR="007A0980" w:rsidRPr="000160C0">
              <w:rPr>
                <w:sz w:val="22"/>
                <w:szCs w:val="22"/>
              </w:rPr>
              <w:t>six</w:t>
            </w:r>
            <w:r w:rsidR="004A20AA" w:rsidRPr="000160C0">
              <w:rPr>
                <w:sz w:val="22"/>
                <w:szCs w:val="22"/>
              </w:rPr>
              <w:t xml:space="preserve"> Mexican state</w:t>
            </w:r>
            <w:r w:rsidR="003379F9" w:rsidRPr="000160C0">
              <w:rPr>
                <w:sz w:val="22"/>
                <w:szCs w:val="22"/>
              </w:rPr>
              <w:t>s</w:t>
            </w:r>
            <w:r w:rsidR="004A20AA" w:rsidRPr="000160C0">
              <w:rPr>
                <w:sz w:val="22"/>
                <w:szCs w:val="22"/>
              </w:rPr>
              <w:t>.</w:t>
            </w:r>
          </w:p>
          <w:p w:rsidR="004A20AA" w:rsidRPr="006F6C24" w:rsidRDefault="00834543" w:rsidP="004A20AA">
            <w:pPr>
              <w:pStyle w:val="ListParagraph"/>
              <w:numPr>
                <w:ilvl w:val="0"/>
                <w:numId w:val="15"/>
              </w:numPr>
              <w:rPr>
                <w:sz w:val="22"/>
                <w:szCs w:val="22"/>
              </w:rPr>
            </w:pPr>
            <w:r w:rsidRPr="000160C0">
              <w:rPr>
                <w:sz w:val="22"/>
                <w:szCs w:val="22"/>
              </w:rPr>
              <w:t>T</w:t>
            </w:r>
            <w:r w:rsidR="004A20AA" w:rsidRPr="000160C0">
              <w:rPr>
                <w:sz w:val="22"/>
                <w:szCs w:val="22"/>
              </w:rPr>
              <w:t xml:space="preserve">he Oregon Legislature </w:t>
            </w:r>
            <w:r w:rsidR="004A20AA" w:rsidRPr="006F6C24">
              <w:rPr>
                <w:sz w:val="22"/>
                <w:szCs w:val="22"/>
              </w:rPr>
              <w:t>adopted House Bill 3543 to create a global warming commission</w:t>
            </w:r>
            <w:r w:rsidR="00643BD3" w:rsidRPr="006F6C24">
              <w:rPr>
                <w:sz w:val="22"/>
                <w:szCs w:val="22"/>
              </w:rPr>
              <w:t>, a Climate Change Research Institute</w:t>
            </w:r>
            <w:r w:rsidR="004A20AA" w:rsidRPr="006F6C24">
              <w:rPr>
                <w:sz w:val="22"/>
                <w:szCs w:val="22"/>
              </w:rPr>
              <w:t xml:space="preserve"> and establish state greenhouse gas reduction goals</w:t>
            </w:r>
            <w:r w:rsidR="00AA01DF" w:rsidRPr="006F6C24">
              <w:rPr>
                <w:sz w:val="22"/>
                <w:szCs w:val="22"/>
              </w:rPr>
              <w:t xml:space="preserve"> </w:t>
            </w:r>
            <w:r w:rsidR="006F6C24" w:rsidRPr="006F6C24">
              <w:rPr>
                <w:sz w:val="22"/>
                <w:szCs w:val="22"/>
              </w:rPr>
              <w:t>(</w:t>
            </w:r>
            <w:r w:rsidR="00AA01DF" w:rsidRPr="006F6C24">
              <w:rPr>
                <w:sz w:val="22"/>
                <w:szCs w:val="22"/>
              </w:rPr>
              <w:t>ORS</w:t>
            </w:r>
            <w:r w:rsidR="006F6C24" w:rsidRPr="006F6C24">
              <w:rPr>
                <w:sz w:val="22"/>
                <w:szCs w:val="22"/>
              </w:rPr>
              <w:t xml:space="preserve"> 468A.200 through ORS 468A.260)</w:t>
            </w:r>
            <w:r w:rsidR="008109D0">
              <w:rPr>
                <w:sz w:val="22"/>
                <w:szCs w:val="22"/>
              </w:rPr>
              <w:t>.</w:t>
            </w:r>
          </w:p>
          <w:p w:rsidR="00E12160" w:rsidRPr="005A5A29" w:rsidRDefault="004A20AA" w:rsidP="00E12160">
            <w:pPr>
              <w:pStyle w:val="ListParagraph"/>
              <w:numPr>
                <w:ilvl w:val="0"/>
                <w:numId w:val="15"/>
              </w:numPr>
              <w:rPr>
                <w:sz w:val="22"/>
                <w:szCs w:val="22"/>
              </w:rPr>
            </w:pPr>
            <w:r w:rsidRPr="006F6C24">
              <w:rPr>
                <w:sz w:val="22"/>
                <w:szCs w:val="22"/>
              </w:rPr>
              <w:t>Governor Kulongoski asked the</w:t>
            </w:r>
            <w:r w:rsidRPr="005A5A29">
              <w:rPr>
                <w:sz w:val="22"/>
                <w:szCs w:val="22"/>
              </w:rPr>
              <w:t xml:space="preserve"> commission to consider adopting greenhouse gas mandatory reporting rules</w:t>
            </w:r>
            <w:r w:rsidR="00B23F44" w:rsidRPr="005A5A29">
              <w:rPr>
                <w:sz w:val="22"/>
                <w:szCs w:val="22"/>
              </w:rPr>
              <w:t>.</w:t>
            </w:r>
          </w:p>
          <w:p w:rsidR="00E12160" w:rsidRPr="005A5A29" w:rsidRDefault="0052549A" w:rsidP="00834543">
            <w:pPr>
              <w:pStyle w:val="ListParagraph"/>
              <w:ind w:left="0"/>
              <w:rPr>
                <w:sz w:val="22"/>
                <w:szCs w:val="22"/>
              </w:rPr>
            </w:pPr>
            <w:r w:rsidRPr="005A5A29">
              <w:rPr>
                <w:sz w:val="22"/>
                <w:szCs w:val="22"/>
              </w:rPr>
              <w:t xml:space="preserve">   </w:t>
            </w:r>
            <w:r w:rsidR="00E12160" w:rsidRPr="005A5A29">
              <w:rPr>
                <w:sz w:val="22"/>
                <w:szCs w:val="22"/>
              </w:rPr>
              <w:t>In 2008, the commission adopted</w:t>
            </w:r>
            <w:r w:rsidR="00F857DE">
              <w:rPr>
                <w:sz w:val="22"/>
                <w:szCs w:val="22"/>
              </w:rPr>
              <w:t xml:space="preserve"> initial</w:t>
            </w:r>
            <w:r w:rsidR="00E12160" w:rsidRPr="005A5A29">
              <w:rPr>
                <w:sz w:val="22"/>
                <w:szCs w:val="22"/>
              </w:rPr>
              <w:t xml:space="preserve"> greenhouse gas reporting rules</w:t>
            </w:r>
            <w:r w:rsidR="003379F9" w:rsidRPr="005A5A29">
              <w:rPr>
                <w:sz w:val="22"/>
                <w:szCs w:val="22"/>
              </w:rPr>
              <w:t>.</w:t>
            </w:r>
          </w:p>
          <w:p w:rsidR="00834543" w:rsidRPr="005A5A29" w:rsidRDefault="0052549A" w:rsidP="0052549A">
            <w:pPr>
              <w:pStyle w:val="ListParagraph"/>
              <w:ind w:left="0"/>
              <w:rPr>
                <w:sz w:val="22"/>
                <w:szCs w:val="22"/>
              </w:rPr>
            </w:pPr>
            <w:r w:rsidRPr="005A5A29">
              <w:rPr>
                <w:sz w:val="22"/>
                <w:szCs w:val="22"/>
              </w:rPr>
              <w:t xml:space="preserve">   </w:t>
            </w:r>
            <w:r w:rsidR="00643BD3" w:rsidRPr="005A5A29">
              <w:rPr>
                <w:sz w:val="22"/>
                <w:szCs w:val="22"/>
              </w:rPr>
              <w:t>In 2009</w:t>
            </w:r>
            <w:r w:rsidR="00AA01DF">
              <w:rPr>
                <w:sz w:val="22"/>
                <w:szCs w:val="22"/>
              </w:rPr>
              <w:t>:</w:t>
            </w:r>
          </w:p>
          <w:p w:rsidR="00834543" w:rsidRPr="005A5A29" w:rsidRDefault="00834543" w:rsidP="00834543">
            <w:pPr>
              <w:pStyle w:val="ListParagraph"/>
              <w:numPr>
                <w:ilvl w:val="0"/>
                <w:numId w:val="15"/>
              </w:numPr>
              <w:rPr>
                <w:sz w:val="22"/>
                <w:szCs w:val="22"/>
              </w:rPr>
            </w:pPr>
            <w:r w:rsidRPr="005A5A29">
              <w:rPr>
                <w:sz w:val="22"/>
                <w:szCs w:val="22"/>
              </w:rPr>
              <w:t>The</w:t>
            </w:r>
            <w:r w:rsidR="004A20AA" w:rsidRPr="005A5A29">
              <w:rPr>
                <w:sz w:val="22"/>
                <w:szCs w:val="22"/>
              </w:rPr>
              <w:t xml:space="preserve"> Oregon Legislature adopted </w:t>
            </w:r>
            <w:r w:rsidR="00706C45">
              <w:rPr>
                <w:sz w:val="22"/>
                <w:szCs w:val="22"/>
              </w:rPr>
              <w:t>SB</w:t>
            </w:r>
            <w:r w:rsidR="004A20AA" w:rsidRPr="005A5A29">
              <w:rPr>
                <w:sz w:val="22"/>
                <w:szCs w:val="22"/>
              </w:rPr>
              <w:t xml:space="preserve"> 38, which authorized the commission to require </w:t>
            </w:r>
            <w:r w:rsidR="00B23F44" w:rsidRPr="005A5A29">
              <w:rPr>
                <w:sz w:val="22"/>
                <w:szCs w:val="22"/>
              </w:rPr>
              <w:t>power</w:t>
            </w:r>
            <w:r w:rsidR="004A20AA" w:rsidRPr="005A5A29">
              <w:rPr>
                <w:sz w:val="22"/>
                <w:szCs w:val="22"/>
              </w:rPr>
              <w:t xml:space="preserve"> importers and fuel distributors</w:t>
            </w:r>
            <w:r w:rsidR="000A73A5" w:rsidRPr="005A5A29">
              <w:rPr>
                <w:sz w:val="22"/>
                <w:szCs w:val="22"/>
              </w:rPr>
              <w:t xml:space="preserve"> to register and report greenhouse gas emissions</w:t>
            </w:r>
            <w:r w:rsidR="00B23F44" w:rsidRPr="005A5A29">
              <w:rPr>
                <w:sz w:val="22"/>
                <w:szCs w:val="22"/>
              </w:rPr>
              <w:t>.</w:t>
            </w:r>
          </w:p>
          <w:p w:rsidR="003960C3" w:rsidRDefault="00834543" w:rsidP="00FC4CA7">
            <w:pPr>
              <w:pStyle w:val="ListParagraph"/>
              <w:numPr>
                <w:ilvl w:val="0"/>
                <w:numId w:val="15"/>
              </w:numPr>
              <w:rPr>
                <w:sz w:val="22"/>
                <w:szCs w:val="22"/>
              </w:rPr>
            </w:pPr>
            <w:r w:rsidRPr="005A5A29">
              <w:rPr>
                <w:sz w:val="22"/>
                <w:szCs w:val="22"/>
              </w:rPr>
              <w:t>T</w:t>
            </w:r>
            <w:r w:rsidR="004A20AA" w:rsidRPr="005A5A29">
              <w:rPr>
                <w:sz w:val="22"/>
                <w:szCs w:val="22"/>
              </w:rPr>
              <w:t xml:space="preserve">he Oregon Legislature adopted </w:t>
            </w:r>
            <w:r w:rsidR="00706C45">
              <w:rPr>
                <w:sz w:val="22"/>
                <w:szCs w:val="22"/>
              </w:rPr>
              <w:t>SB</w:t>
            </w:r>
            <w:r w:rsidR="004A20AA" w:rsidRPr="00EB60D2">
              <w:rPr>
                <w:sz w:val="22"/>
                <w:szCs w:val="22"/>
              </w:rPr>
              <w:t xml:space="preserve"> 103, which authorized the commission to establish registration a</w:t>
            </w:r>
            <w:r w:rsidR="00BD62ED" w:rsidRPr="00EB60D2">
              <w:rPr>
                <w:sz w:val="22"/>
                <w:szCs w:val="22"/>
              </w:rPr>
              <w:t>lternatives to permitting</w:t>
            </w:r>
            <w:r w:rsidR="00FC4CA7" w:rsidRPr="005A5A29">
              <w:rPr>
                <w:sz w:val="22"/>
                <w:szCs w:val="22"/>
              </w:rPr>
              <w:t>, including fees</w:t>
            </w:r>
            <w:r w:rsidR="000C413B">
              <w:rPr>
                <w:sz w:val="22"/>
                <w:szCs w:val="22"/>
              </w:rPr>
              <w:t xml:space="preserve"> for some reporters</w:t>
            </w:r>
            <w:r w:rsidR="00BD62ED" w:rsidRPr="005A5A29">
              <w:rPr>
                <w:sz w:val="22"/>
                <w:szCs w:val="22"/>
              </w:rPr>
              <w:t>.</w:t>
            </w:r>
            <w:r w:rsidR="00EB60D2">
              <w:rPr>
                <w:sz w:val="22"/>
                <w:szCs w:val="22"/>
              </w:rPr>
              <w:t xml:space="preserve"> </w:t>
            </w:r>
          </w:p>
          <w:p w:rsidR="000C413B" w:rsidRPr="005A5A29" w:rsidRDefault="000C413B" w:rsidP="007A6144">
            <w:pPr>
              <w:pStyle w:val="ListParagraph"/>
              <w:numPr>
                <w:ilvl w:val="0"/>
                <w:numId w:val="15"/>
              </w:numPr>
              <w:rPr>
                <w:sz w:val="22"/>
                <w:szCs w:val="22"/>
              </w:rPr>
            </w:pPr>
            <w:r w:rsidRPr="007A6144">
              <w:rPr>
                <w:sz w:val="22"/>
                <w:szCs w:val="22"/>
              </w:rPr>
              <w:t xml:space="preserve">While </w:t>
            </w:r>
            <w:r w:rsidR="007A6144" w:rsidRPr="007A6144">
              <w:rPr>
                <w:sz w:val="22"/>
                <w:szCs w:val="22"/>
              </w:rPr>
              <w:t xml:space="preserve">we currently </w:t>
            </w:r>
            <w:r w:rsidRPr="007A6144">
              <w:rPr>
                <w:sz w:val="22"/>
                <w:szCs w:val="22"/>
              </w:rPr>
              <w:t>lack authority to charge fees to power i</w:t>
            </w:r>
            <w:r w:rsidR="007A6144" w:rsidRPr="007A6144">
              <w:rPr>
                <w:sz w:val="22"/>
                <w:szCs w:val="22"/>
              </w:rPr>
              <w:t xml:space="preserve">mporters and fuel distributors, </w:t>
            </w:r>
            <w:r w:rsidR="00706C45">
              <w:rPr>
                <w:sz w:val="22"/>
                <w:szCs w:val="22"/>
              </w:rPr>
              <w:t>SB</w:t>
            </w:r>
            <w:r w:rsidR="007A6144" w:rsidRPr="007A6144">
              <w:rPr>
                <w:sz w:val="22"/>
                <w:szCs w:val="22"/>
              </w:rPr>
              <w:t xml:space="preserve"> 38 aske</w:t>
            </w:r>
            <w:r w:rsidRPr="007A6144">
              <w:rPr>
                <w:sz w:val="22"/>
                <w:szCs w:val="22"/>
              </w:rPr>
              <w:t xml:space="preserve">d </w:t>
            </w:r>
            <w:r w:rsidR="007A6144" w:rsidRPr="007A6144">
              <w:rPr>
                <w:sz w:val="22"/>
                <w:szCs w:val="22"/>
              </w:rPr>
              <w:t xml:space="preserve">DEQ to evaluate and report back to the legislature on the funding mechanism for developing and implementing the greenhouse gas reporting program, including whether to establish fees for these two emission categories. </w:t>
            </w:r>
          </w:p>
        </w:tc>
      </w:tr>
      <w:tr w:rsidR="003960C3" w:rsidRPr="005A5A29" w:rsidTr="00C22B95">
        <w:trPr>
          <w:cantSplit/>
        </w:trPr>
        <w:tc>
          <w:tcPr>
            <w:tcW w:w="1818" w:type="dxa"/>
            <w:shd w:val="clear" w:color="auto" w:fill="auto"/>
          </w:tcPr>
          <w:p w:rsidR="003960C3" w:rsidRPr="005A5A29" w:rsidRDefault="003960C3">
            <w:pPr>
              <w:pStyle w:val="Heading5"/>
              <w:rPr>
                <w:szCs w:val="22"/>
              </w:rPr>
            </w:pPr>
            <w:r w:rsidRPr="005A5A29">
              <w:rPr>
                <w:szCs w:val="22"/>
              </w:rPr>
              <w:t>Deadlines</w:t>
            </w:r>
          </w:p>
        </w:tc>
        <w:tc>
          <w:tcPr>
            <w:tcW w:w="9054" w:type="dxa"/>
            <w:gridSpan w:val="5"/>
            <w:shd w:val="clear" w:color="auto" w:fill="auto"/>
          </w:tcPr>
          <w:p w:rsidR="0079640A" w:rsidRPr="005A5A29" w:rsidRDefault="007A6B8F" w:rsidP="00C73F14">
            <w:pPr>
              <w:pStyle w:val="BlockText"/>
              <w:rPr>
                <w:sz w:val="22"/>
                <w:szCs w:val="22"/>
              </w:rPr>
            </w:pPr>
            <w:r w:rsidRPr="005A5A29">
              <w:rPr>
                <w:sz w:val="22"/>
                <w:szCs w:val="22"/>
              </w:rPr>
              <w:t>DEQ</w:t>
            </w:r>
            <w:r w:rsidR="004A20AA" w:rsidRPr="005A5A29">
              <w:rPr>
                <w:sz w:val="22"/>
                <w:szCs w:val="22"/>
              </w:rPr>
              <w:t xml:space="preserve"> need</w:t>
            </w:r>
            <w:r w:rsidRPr="005A5A29">
              <w:rPr>
                <w:sz w:val="22"/>
                <w:szCs w:val="22"/>
              </w:rPr>
              <w:t>s</w:t>
            </w:r>
            <w:r w:rsidR="004A20AA" w:rsidRPr="005A5A29">
              <w:rPr>
                <w:sz w:val="22"/>
                <w:szCs w:val="22"/>
              </w:rPr>
              <w:t xml:space="preserve"> the commission to adopt the first year of fees </w:t>
            </w:r>
            <w:r w:rsidR="00BD62ED" w:rsidRPr="005A5A29">
              <w:rPr>
                <w:sz w:val="22"/>
                <w:szCs w:val="22"/>
              </w:rPr>
              <w:t>by December 2009</w:t>
            </w:r>
            <w:r w:rsidR="007A0980" w:rsidRPr="005A5A29">
              <w:rPr>
                <w:sz w:val="22"/>
                <w:szCs w:val="22"/>
              </w:rPr>
              <w:t xml:space="preserve"> </w:t>
            </w:r>
            <w:r w:rsidRPr="005A5A29">
              <w:rPr>
                <w:sz w:val="22"/>
                <w:szCs w:val="22"/>
              </w:rPr>
              <w:t xml:space="preserve">so that </w:t>
            </w:r>
            <w:r w:rsidR="001C3C44">
              <w:rPr>
                <w:sz w:val="22"/>
                <w:szCs w:val="22"/>
              </w:rPr>
              <w:t>it</w:t>
            </w:r>
            <w:r w:rsidRPr="005A5A29">
              <w:rPr>
                <w:sz w:val="22"/>
                <w:szCs w:val="22"/>
              </w:rPr>
              <w:t xml:space="preserve"> can</w:t>
            </w:r>
            <w:r w:rsidR="007A0980" w:rsidRPr="005A5A29">
              <w:rPr>
                <w:sz w:val="22"/>
                <w:szCs w:val="22"/>
              </w:rPr>
              <w:t xml:space="preserve"> </w:t>
            </w:r>
            <w:r w:rsidR="001C3C44">
              <w:rPr>
                <w:sz w:val="22"/>
                <w:szCs w:val="22"/>
              </w:rPr>
              <w:t xml:space="preserve">collect </w:t>
            </w:r>
            <w:r w:rsidR="007A0980" w:rsidRPr="005A5A29">
              <w:rPr>
                <w:sz w:val="22"/>
                <w:szCs w:val="22"/>
              </w:rPr>
              <w:t xml:space="preserve">revenue and staff the program in time to </w:t>
            </w:r>
            <w:r w:rsidR="00AA01DF">
              <w:rPr>
                <w:sz w:val="22"/>
                <w:szCs w:val="22"/>
              </w:rPr>
              <w:t xml:space="preserve">help sources and </w:t>
            </w:r>
            <w:r w:rsidRPr="005A5A29">
              <w:rPr>
                <w:sz w:val="22"/>
                <w:szCs w:val="22"/>
              </w:rPr>
              <w:t xml:space="preserve">process reports </w:t>
            </w:r>
            <w:r w:rsidR="00AA01DF">
              <w:rPr>
                <w:sz w:val="22"/>
                <w:szCs w:val="22"/>
              </w:rPr>
              <w:t>that are due to DEQ</w:t>
            </w:r>
            <w:r w:rsidRPr="005A5A29">
              <w:rPr>
                <w:sz w:val="22"/>
                <w:szCs w:val="22"/>
              </w:rPr>
              <w:t xml:space="preserve"> in early 2010</w:t>
            </w:r>
            <w:r w:rsidR="007A0980" w:rsidRPr="005A5A29">
              <w:rPr>
                <w:sz w:val="22"/>
                <w:szCs w:val="22"/>
              </w:rPr>
              <w:t xml:space="preserve">. </w:t>
            </w:r>
            <w:r w:rsidR="00411F9A" w:rsidRPr="005A5A29">
              <w:rPr>
                <w:sz w:val="22"/>
                <w:szCs w:val="22"/>
              </w:rPr>
              <w:t xml:space="preserve">In addition, DEQ must begin implementing </w:t>
            </w:r>
            <w:r w:rsidRPr="005A5A29">
              <w:rPr>
                <w:sz w:val="22"/>
                <w:szCs w:val="22"/>
              </w:rPr>
              <w:t xml:space="preserve">other </w:t>
            </w:r>
            <w:r w:rsidR="00411F9A" w:rsidRPr="005A5A29">
              <w:rPr>
                <w:sz w:val="22"/>
                <w:szCs w:val="22"/>
              </w:rPr>
              <w:t xml:space="preserve">directives </w:t>
            </w:r>
            <w:r w:rsidR="008E46DF" w:rsidRPr="005A5A29">
              <w:rPr>
                <w:sz w:val="22"/>
                <w:szCs w:val="22"/>
              </w:rPr>
              <w:t>from</w:t>
            </w:r>
            <w:r w:rsidR="00411F9A" w:rsidRPr="005A5A29">
              <w:rPr>
                <w:sz w:val="22"/>
                <w:szCs w:val="22"/>
              </w:rPr>
              <w:t xml:space="preserve"> the 2009 Legislature. </w:t>
            </w:r>
            <w:r w:rsidR="004A20AA" w:rsidRPr="005A5A29">
              <w:rPr>
                <w:sz w:val="22"/>
                <w:szCs w:val="22"/>
              </w:rPr>
              <w:t xml:space="preserve">DEQ </w:t>
            </w:r>
            <w:r w:rsidR="008E46DF" w:rsidRPr="005A5A29">
              <w:rPr>
                <w:sz w:val="22"/>
                <w:szCs w:val="22"/>
              </w:rPr>
              <w:t xml:space="preserve">needs to </w:t>
            </w:r>
            <w:r w:rsidR="004A20AA" w:rsidRPr="005A5A29">
              <w:rPr>
                <w:sz w:val="22"/>
                <w:szCs w:val="22"/>
              </w:rPr>
              <w:t>propos</w:t>
            </w:r>
            <w:r w:rsidR="008E46DF" w:rsidRPr="005A5A29">
              <w:rPr>
                <w:sz w:val="22"/>
                <w:szCs w:val="22"/>
              </w:rPr>
              <w:t>e</w:t>
            </w:r>
            <w:r w:rsidR="004A20AA" w:rsidRPr="005A5A29">
              <w:rPr>
                <w:sz w:val="22"/>
                <w:szCs w:val="22"/>
              </w:rPr>
              <w:t xml:space="preserve"> </w:t>
            </w:r>
            <w:r w:rsidR="00411F9A" w:rsidRPr="005A5A29">
              <w:rPr>
                <w:sz w:val="22"/>
                <w:szCs w:val="22"/>
              </w:rPr>
              <w:t xml:space="preserve">the </w:t>
            </w:r>
            <w:r w:rsidR="004A20AA" w:rsidRPr="005A5A29">
              <w:rPr>
                <w:sz w:val="22"/>
                <w:szCs w:val="22"/>
              </w:rPr>
              <w:t>fees through temporary rulemaking beca</w:t>
            </w:r>
            <w:r w:rsidR="00417868" w:rsidRPr="005A5A29">
              <w:rPr>
                <w:sz w:val="22"/>
                <w:szCs w:val="22"/>
              </w:rPr>
              <w:t xml:space="preserve">use the </w:t>
            </w:r>
            <w:r w:rsidR="00F857DE">
              <w:rPr>
                <w:sz w:val="22"/>
                <w:szCs w:val="22"/>
              </w:rPr>
              <w:t>legislation</w:t>
            </w:r>
            <w:r w:rsidR="00417868" w:rsidRPr="005A5A29">
              <w:rPr>
                <w:sz w:val="22"/>
                <w:szCs w:val="22"/>
              </w:rPr>
              <w:t xml:space="preserve"> that authorized</w:t>
            </w:r>
            <w:r w:rsidR="00423851" w:rsidRPr="005A5A29">
              <w:rPr>
                <w:sz w:val="22"/>
                <w:szCs w:val="22"/>
              </w:rPr>
              <w:t xml:space="preserve"> the </w:t>
            </w:r>
            <w:r w:rsidR="004A20AA" w:rsidRPr="005A5A29">
              <w:rPr>
                <w:sz w:val="22"/>
                <w:szCs w:val="22"/>
              </w:rPr>
              <w:t>fees only recently passed.</w:t>
            </w:r>
            <w:r w:rsidR="008E46DF" w:rsidRPr="005A5A29">
              <w:rPr>
                <w:sz w:val="22"/>
                <w:szCs w:val="22"/>
              </w:rPr>
              <w:t xml:space="preserve"> </w:t>
            </w:r>
            <w:r w:rsidR="00C73F14">
              <w:rPr>
                <w:sz w:val="22"/>
                <w:szCs w:val="22"/>
              </w:rPr>
              <w:t xml:space="preserve">DEQ would propose a regular </w:t>
            </w:r>
            <w:r w:rsidR="004A20AA" w:rsidRPr="005A5A29">
              <w:rPr>
                <w:sz w:val="22"/>
                <w:szCs w:val="22"/>
              </w:rPr>
              <w:t>rulemaking for adoption in June 2010</w:t>
            </w:r>
            <w:r w:rsidR="00BD62ED" w:rsidRPr="005A5A29">
              <w:rPr>
                <w:sz w:val="22"/>
                <w:szCs w:val="22"/>
              </w:rPr>
              <w:t xml:space="preserve"> </w:t>
            </w:r>
            <w:r w:rsidR="00AA01DF">
              <w:rPr>
                <w:sz w:val="22"/>
                <w:szCs w:val="22"/>
              </w:rPr>
              <w:t>for</w:t>
            </w:r>
            <w:r w:rsidR="004A20AA" w:rsidRPr="005A5A29">
              <w:rPr>
                <w:sz w:val="22"/>
                <w:szCs w:val="22"/>
              </w:rPr>
              <w:t xml:space="preserve"> the </w:t>
            </w:r>
            <w:r w:rsidR="00AA01DF">
              <w:rPr>
                <w:sz w:val="22"/>
                <w:szCs w:val="22"/>
              </w:rPr>
              <w:t>other proposed changes</w:t>
            </w:r>
            <w:r w:rsidR="000C413B">
              <w:rPr>
                <w:sz w:val="22"/>
                <w:szCs w:val="22"/>
              </w:rPr>
              <w:t xml:space="preserve"> (see attached timeline).</w:t>
            </w:r>
          </w:p>
        </w:tc>
      </w:tr>
      <w:tr w:rsidR="003960C3" w:rsidRPr="005A5A29" w:rsidTr="00C22B95">
        <w:trPr>
          <w:cantSplit/>
        </w:trPr>
        <w:tc>
          <w:tcPr>
            <w:tcW w:w="1818" w:type="dxa"/>
            <w:shd w:val="clear" w:color="auto" w:fill="auto"/>
          </w:tcPr>
          <w:p w:rsidR="003960C3" w:rsidRPr="005A5A29" w:rsidRDefault="003960C3">
            <w:pPr>
              <w:rPr>
                <w:b/>
                <w:sz w:val="22"/>
                <w:szCs w:val="22"/>
              </w:rPr>
            </w:pPr>
            <w:r w:rsidRPr="005A5A29">
              <w:rPr>
                <w:b/>
                <w:sz w:val="22"/>
                <w:szCs w:val="22"/>
              </w:rPr>
              <w:t>Technical or Environmental Issues</w:t>
            </w:r>
          </w:p>
        </w:tc>
        <w:tc>
          <w:tcPr>
            <w:tcW w:w="9054" w:type="dxa"/>
            <w:gridSpan w:val="5"/>
            <w:shd w:val="clear" w:color="auto" w:fill="auto"/>
          </w:tcPr>
          <w:p w:rsidR="00610C6A" w:rsidRPr="009F5C1A" w:rsidRDefault="00C12EF1" w:rsidP="00845EF5">
            <w:pPr>
              <w:pStyle w:val="BlockText"/>
              <w:rPr>
                <w:sz w:val="22"/>
                <w:szCs w:val="22"/>
              </w:rPr>
            </w:pPr>
            <w:r w:rsidRPr="009F5C1A">
              <w:rPr>
                <w:sz w:val="22"/>
                <w:szCs w:val="22"/>
              </w:rPr>
              <w:t xml:space="preserve">DEQ </w:t>
            </w:r>
            <w:r w:rsidR="009F5C1A" w:rsidRPr="009F5C1A">
              <w:rPr>
                <w:sz w:val="22"/>
                <w:szCs w:val="22"/>
              </w:rPr>
              <w:t xml:space="preserve">is developing a web-based </w:t>
            </w:r>
            <w:r w:rsidR="00C73F14">
              <w:rPr>
                <w:sz w:val="22"/>
                <w:szCs w:val="22"/>
              </w:rPr>
              <w:t xml:space="preserve">greenhouse gas </w:t>
            </w:r>
            <w:r w:rsidR="009F5C1A" w:rsidRPr="009F5C1A">
              <w:rPr>
                <w:sz w:val="22"/>
                <w:szCs w:val="22"/>
              </w:rPr>
              <w:t>reporting database that must be compatible</w:t>
            </w:r>
            <w:r w:rsidR="00845EF5">
              <w:rPr>
                <w:sz w:val="22"/>
                <w:szCs w:val="22"/>
              </w:rPr>
              <w:t xml:space="preserve"> with </w:t>
            </w:r>
            <w:r w:rsidRPr="009F5C1A">
              <w:rPr>
                <w:sz w:val="22"/>
                <w:szCs w:val="22"/>
              </w:rPr>
              <w:t>The Climate Registry</w:t>
            </w:r>
            <w:r w:rsidR="00845EF5">
              <w:rPr>
                <w:sz w:val="22"/>
                <w:szCs w:val="22"/>
              </w:rPr>
              <w:t xml:space="preserve"> and data exchange network</w:t>
            </w:r>
            <w:r w:rsidR="008E46DF" w:rsidRPr="009F5C1A">
              <w:rPr>
                <w:sz w:val="22"/>
                <w:szCs w:val="22"/>
              </w:rPr>
              <w:t>.</w:t>
            </w:r>
          </w:p>
        </w:tc>
      </w:tr>
      <w:tr w:rsidR="003960C3" w:rsidRPr="005A5A29" w:rsidTr="00C22B95">
        <w:trPr>
          <w:cantSplit/>
        </w:trPr>
        <w:tc>
          <w:tcPr>
            <w:tcW w:w="1818" w:type="dxa"/>
            <w:shd w:val="clear" w:color="auto" w:fill="auto"/>
          </w:tcPr>
          <w:p w:rsidR="003960C3" w:rsidRPr="005A5A29" w:rsidRDefault="003960C3">
            <w:pPr>
              <w:rPr>
                <w:b/>
                <w:sz w:val="22"/>
                <w:szCs w:val="22"/>
              </w:rPr>
            </w:pPr>
            <w:r w:rsidRPr="005A5A29">
              <w:rPr>
                <w:b/>
                <w:sz w:val="22"/>
                <w:szCs w:val="22"/>
              </w:rPr>
              <w:t>Cross Media Issue</w:t>
            </w:r>
            <w:r w:rsidR="00980249" w:rsidRPr="005A5A29">
              <w:rPr>
                <w:b/>
                <w:sz w:val="22"/>
                <w:szCs w:val="22"/>
              </w:rPr>
              <w:t>s</w:t>
            </w:r>
          </w:p>
        </w:tc>
        <w:tc>
          <w:tcPr>
            <w:tcW w:w="9054" w:type="dxa"/>
            <w:gridSpan w:val="5"/>
            <w:shd w:val="clear" w:color="auto" w:fill="auto"/>
          </w:tcPr>
          <w:p w:rsidR="003960C3" w:rsidRPr="000C413B" w:rsidRDefault="000C413B" w:rsidP="005B24C5">
            <w:pPr>
              <w:pStyle w:val="BlockText"/>
              <w:rPr>
                <w:sz w:val="22"/>
                <w:szCs w:val="22"/>
              </w:rPr>
            </w:pPr>
            <w:r w:rsidRPr="000C413B">
              <w:rPr>
                <w:sz w:val="22"/>
                <w:szCs w:val="22"/>
              </w:rPr>
              <w:t xml:space="preserve">Landfills and wastewater treatment plants </w:t>
            </w:r>
            <w:r w:rsidR="005B24C5">
              <w:rPr>
                <w:sz w:val="22"/>
                <w:szCs w:val="22"/>
              </w:rPr>
              <w:t>are</w:t>
            </w:r>
            <w:r w:rsidRPr="000C413B">
              <w:rPr>
                <w:sz w:val="22"/>
                <w:szCs w:val="22"/>
              </w:rPr>
              <w:t xml:space="preserve"> subject to reporting requirements</w:t>
            </w:r>
            <w:r w:rsidR="005B24C5">
              <w:rPr>
                <w:sz w:val="22"/>
                <w:szCs w:val="22"/>
              </w:rPr>
              <w:t xml:space="preserve"> and would become subject to new fees.</w:t>
            </w:r>
          </w:p>
        </w:tc>
      </w:tr>
      <w:tr w:rsidR="003960C3" w:rsidRPr="005A5A29" w:rsidTr="00447759">
        <w:tc>
          <w:tcPr>
            <w:tcW w:w="1818" w:type="dxa"/>
            <w:shd w:val="clear" w:color="auto" w:fill="auto"/>
          </w:tcPr>
          <w:p w:rsidR="003960C3" w:rsidRPr="005A5A29" w:rsidRDefault="003960C3">
            <w:pPr>
              <w:pStyle w:val="Heading5"/>
              <w:rPr>
                <w:szCs w:val="22"/>
              </w:rPr>
            </w:pPr>
            <w:r w:rsidRPr="005A5A29">
              <w:rPr>
                <w:szCs w:val="22"/>
              </w:rPr>
              <w:t>Policy or Political Issues</w:t>
            </w:r>
          </w:p>
          <w:p w:rsidR="003960C3" w:rsidRPr="005A5A29" w:rsidRDefault="003960C3">
            <w:pPr>
              <w:rPr>
                <w:sz w:val="22"/>
                <w:szCs w:val="22"/>
              </w:rPr>
            </w:pPr>
          </w:p>
        </w:tc>
        <w:tc>
          <w:tcPr>
            <w:tcW w:w="9054" w:type="dxa"/>
            <w:gridSpan w:val="5"/>
            <w:shd w:val="clear" w:color="auto" w:fill="auto"/>
          </w:tcPr>
          <w:p w:rsidR="00C73F14" w:rsidRDefault="00C73F14" w:rsidP="00C73F14">
            <w:pPr>
              <w:pStyle w:val="BlockText"/>
              <w:numPr>
                <w:ilvl w:val="0"/>
                <w:numId w:val="18"/>
              </w:numPr>
              <w:tabs>
                <w:tab w:val="clear" w:pos="720"/>
              </w:tabs>
              <w:ind w:left="432" w:hanging="270"/>
              <w:rPr>
                <w:sz w:val="22"/>
                <w:szCs w:val="22"/>
              </w:rPr>
            </w:pPr>
            <w:r>
              <w:rPr>
                <w:sz w:val="22"/>
                <w:szCs w:val="22"/>
              </w:rPr>
              <w:t xml:space="preserve">This proposal would create new fees during </w:t>
            </w:r>
            <w:r w:rsidR="000C413B">
              <w:rPr>
                <w:sz w:val="22"/>
                <w:szCs w:val="22"/>
              </w:rPr>
              <w:t>tough economic times.</w:t>
            </w:r>
            <w:r w:rsidRPr="005A5A29">
              <w:rPr>
                <w:sz w:val="22"/>
                <w:szCs w:val="22"/>
              </w:rPr>
              <w:t xml:space="preserve"> </w:t>
            </w:r>
          </w:p>
          <w:p w:rsidR="00C73F14" w:rsidRPr="005A5A29" w:rsidRDefault="00C73F14" w:rsidP="00C73F14">
            <w:pPr>
              <w:pStyle w:val="BlockText"/>
              <w:numPr>
                <w:ilvl w:val="0"/>
                <w:numId w:val="18"/>
              </w:numPr>
              <w:tabs>
                <w:tab w:val="clear" w:pos="720"/>
              </w:tabs>
              <w:ind w:left="432" w:hanging="270"/>
              <w:rPr>
                <w:sz w:val="22"/>
                <w:szCs w:val="22"/>
              </w:rPr>
            </w:pPr>
            <w:r w:rsidRPr="005A5A29">
              <w:rPr>
                <w:sz w:val="22"/>
                <w:szCs w:val="22"/>
              </w:rPr>
              <w:t xml:space="preserve">The fees </w:t>
            </w:r>
            <w:r>
              <w:rPr>
                <w:sz w:val="22"/>
                <w:szCs w:val="22"/>
              </w:rPr>
              <w:t>could</w:t>
            </w:r>
            <w:r w:rsidRPr="005A5A29">
              <w:rPr>
                <w:sz w:val="22"/>
                <w:szCs w:val="22"/>
              </w:rPr>
              <w:t xml:space="preserve"> have a significant adverse impact on small businesses</w:t>
            </w:r>
            <w:r>
              <w:rPr>
                <w:sz w:val="22"/>
                <w:szCs w:val="22"/>
              </w:rPr>
              <w:t>, which will be evaluated by the advisory committee</w:t>
            </w:r>
            <w:r w:rsidRPr="005A5A29">
              <w:rPr>
                <w:sz w:val="22"/>
                <w:szCs w:val="22"/>
              </w:rPr>
              <w:t>.</w:t>
            </w:r>
          </w:p>
          <w:p w:rsidR="000C413B" w:rsidRDefault="000C413B" w:rsidP="00DF553A">
            <w:pPr>
              <w:pStyle w:val="BlockText"/>
              <w:numPr>
                <w:ilvl w:val="0"/>
                <w:numId w:val="18"/>
              </w:numPr>
              <w:tabs>
                <w:tab w:val="clear" w:pos="720"/>
              </w:tabs>
              <w:ind w:left="432" w:hanging="270"/>
              <w:rPr>
                <w:sz w:val="22"/>
                <w:szCs w:val="22"/>
              </w:rPr>
            </w:pPr>
            <w:r w:rsidRPr="005A5A29">
              <w:rPr>
                <w:sz w:val="22"/>
                <w:szCs w:val="22"/>
              </w:rPr>
              <w:t xml:space="preserve">The sources that hold Title V permits may be subject to </w:t>
            </w:r>
            <w:r w:rsidR="00BF1B35">
              <w:rPr>
                <w:sz w:val="22"/>
                <w:szCs w:val="22"/>
              </w:rPr>
              <w:t xml:space="preserve">other </w:t>
            </w:r>
            <w:r w:rsidRPr="005A5A29">
              <w:rPr>
                <w:sz w:val="22"/>
                <w:szCs w:val="22"/>
              </w:rPr>
              <w:t>fee increases in the Title V program.</w:t>
            </w:r>
          </w:p>
          <w:p w:rsidR="000C413B" w:rsidRDefault="000C413B" w:rsidP="00DF553A">
            <w:pPr>
              <w:pStyle w:val="BlockText"/>
              <w:numPr>
                <w:ilvl w:val="0"/>
                <w:numId w:val="18"/>
              </w:numPr>
              <w:tabs>
                <w:tab w:val="clear" w:pos="720"/>
              </w:tabs>
              <w:ind w:left="432" w:hanging="270"/>
              <w:rPr>
                <w:sz w:val="22"/>
                <w:szCs w:val="22"/>
              </w:rPr>
            </w:pPr>
            <w:r>
              <w:rPr>
                <w:sz w:val="22"/>
                <w:szCs w:val="22"/>
              </w:rPr>
              <w:t>DEQ does not typically adopt new fees through temporary rulemaking.</w:t>
            </w:r>
            <w:r w:rsidR="007A6144">
              <w:rPr>
                <w:sz w:val="22"/>
                <w:szCs w:val="22"/>
              </w:rPr>
              <w:t xml:space="preserve"> </w:t>
            </w:r>
            <w:r w:rsidR="00BF1B35">
              <w:rPr>
                <w:sz w:val="22"/>
                <w:szCs w:val="22"/>
              </w:rPr>
              <w:t>We</w:t>
            </w:r>
            <w:r w:rsidR="007A6144">
              <w:rPr>
                <w:sz w:val="22"/>
                <w:szCs w:val="22"/>
              </w:rPr>
              <w:t xml:space="preserve"> would form an advisory committee to</w:t>
            </w:r>
            <w:r w:rsidR="00B66F9B">
              <w:rPr>
                <w:sz w:val="22"/>
                <w:szCs w:val="22"/>
              </w:rPr>
              <w:t xml:space="preserve"> work through issues and </w:t>
            </w:r>
            <w:r w:rsidR="007A6144">
              <w:rPr>
                <w:sz w:val="22"/>
                <w:szCs w:val="22"/>
              </w:rPr>
              <w:t>provide recommendations</w:t>
            </w:r>
            <w:r w:rsidR="00B66F9B">
              <w:rPr>
                <w:sz w:val="22"/>
                <w:szCs w:val="22"/>
              </w:rPr>
              <w:t xml:space="preserve"> to DEQ</w:t>
            </w:r>
            <w:r w:rsidR="00C73F14">
              <w:rPr>
                <w:sz w:val="22"/>
                <w:szCs w:val="22"/>
              </w:rPr>
              <w:t xml:space="preserve"> about the rules</w:t>
            </w:r>
            <w:r w:rsidR="00BF1B35">
              <w:rPr>
                <w:sz w:val="22"/>
                <w:szCs w:val="22"/>
              </w:rPr>
              <w:t>. In addition, we would hold a public forum to accept public comment.</w:t>
            </w:r>
          </w:p>
          <w:p w:rsidR="00DF553A" w:rsidRPr="005A5A29" w:rsidRDefault="00F857DE" w:rsidP="00DF553A">
            <w:pPr>
              <w:pStyle w:val="BlockText"/>
              <w:numPr>
                <w:ilvl w:val="0"/>
                <w:numId w:val="18"/>
              </w:numPr>
              <w:tabs>
                <w:tab w:val="clear" w:pos="720"/>
              </w:tabs>
              <w:ind w:left="432" w:hanging="270"/>
              <w:rPr>
                <w:sz w:val="22"/>
                <w:szCs w:val="22"/>
              </w:rPr>
            </w:pPr>
            <w:r>
              <w:rPr>
                <w:sz w:val="22"/>
                <w:szCs w:val="22"/>
              </w:rPr>
              <w:t>T</w:t>
            </w:r>
            <w:r w:rsidR="00DF553A" w:rsidRPr="005A5A29">
              <w:rPr>
                <w:sz w:val="22"/>
                <w:szCs w:val="22"/>
              </w:rPr>
              <w:t>he commission is</w:t>
            </w:r>
            <w:r>
              <w:rPr>
                <w:sz w:val="22"/>
                <w:szCs w:val="22"/>
              </w:rPr>
              <w:t xml:space="preserve"> currently</w:t>
            </w:r>
            <w:r w:rsidR="00DF553A" w:rsidRPr="005A5A29">
              <w:rPr>
                <w:sz w:val="22"/>
                <w:szCs w:val="22"/>
              </w:rPr>
              <w:t xml:space="preserve"> authorized to charge fees to sources subject to the existing reporting rules. </w:t>
            </w:r>
            <w:r w:rsidR="00706C45">
              <w:rPr>
                <w:sz w:val="22"/>
                <w:szCs w:val="22"/>
              </w:rPr>
              <w:t>SB</w:t>
            </w:r>
            <w:r w:rsidR="005B24C5">
              <w:rPr>
                <w:sz w:val="22"/>
                <w:szCs w:val="22"/>
              </w:rPr>
              <w:t xml:space="preserve"> 38 directed DEQ to evaluate options for spreading the fee burden over more sources by adding fees to power importers and fuel distributors. </w:t>
            </w:r>
            <w:r w:rsidR="00DF553A" w:rsidRPr="005A5A29">
              <w:rPr>
                <w:sz w:val="22"/>
                <w:szCs w:val="22"/>
              </w:rPr>
              <w:t xml:space="preserve">DEQ </w:t>
            </w:r>
            <w:r w:rsidR="005B24C5">
              <w:rPr>
                <w:sz w:val="22"/>
                <w:szCs w:val="22"/>
              </w:rPr>
              <w:t>may</w:t>
            </w:r>
            <w:r w:rsidR="00447759">
              <w:rPr>
                <w:sz w:val="22"/>
                <w:szCs w:val="22"/>
              </w:rPr>
              <w:t xml:space="preserve"> to</w:t>
            </w:r>
            <w:r w:rsidR="00DF553A" w:rsidRPr="005A5A29">
              <w:rPr>
                <w:sz w:val="22"/>
                <w:szCs w:val="22"/>
              </w:rPr>
              <w:t xml:space="preserve"> request legislation</w:t>
            </w:r>
            <w:r w:rsidR="001C3C44">
              <w:rPr>
                <w:sz w:val="22"/>
                <w:szCs w:val="22"/>
              </w:rPr>
              <w:t xml:space="preserve"> </w:t>
            </w:r>
            <w:r w:rsidR="00DF553A" w:rsidRPr="005A5A29">
              <w:rPr>
                <w:sz w:val="22"/>
                <w:szCs w:val="22"/>
              </w:rPr>
              <w:t xml:space="preserve">during the 2010 session that would authorize the commission to charge fees to </w:t>
            </w:r>
            <w:r w:rsidR="005B24C5">
              <w:rPr>
                <w:sz w:val="22"/>
                <w:szCs w:val="22"/>
              </w:rPr>
              <w:t>the additional reporters.</w:t>
            </w:r>
          </w:p>
          <w:p w:rsidR="005122AC" w:rsidRPr="005122AC" w:rsidRDefault="00702FE9" w:rsidP="005122AC">
            <w:pPr>
              <w:pStyle w:val="BlockText"/>
              <w:numPr>
                <w:ilvl w:val="0"/>
                <w:numId w:val="18"/>
              </w:numPr>
              <w:tabs>
                <w:tab w:val="clear" w:pos="720"/>
              </w:tabs>
              <w:ind w:left="432" w:hanging="270"/>
              <w:rPr>
                <w:sz w:val="22"/>
                <w:szCs w:val="22"/>
              </w:rPr>
            </w:pPr>
            <w:r w:rsidRPr="005A5A29">
              <w:rPr>
                <w:sz w:val="22"/>
                <w:szCs w:val="22"/>
              </w:rPr>
              <w:t>EPA</w:t>
            </w:r>
            <w:r w:rsidR="001C3C44">
              <w:rPr>
                <w:sz w:val="22"/>
                <w:szCs w:val="22"/>
              </w:rPr>
              <w:t xml:space="preserve"> </w:t>
            </w:r>
            <w:r w:rsidR="00F857DE">
              <w:rPr>
                <w:sz w:val="22"/>
                <w:szCs w:val="22"/>
              </w:rPr>
              <w:t xml:space="preserve">plans </w:t>
            </w:r>
            <w:r w:rsidR="001C3C44">
              <w:rPr>
                <w:sz w:val="22"/>
                <w:szCs w:val="22"/>
              </w:rPr>
              <w:t>to</w:t>
            </w:r>
            <w:r w:rsidRPr="005A5A29">
              <w:rPr>
                <w:sz w:val="22"/>
                <w:szCs w:val="22"/>
              </w:rPr>
              <w:t xml:space="preserve"> </w:t>
            </w:r>
            <w:r w:rsidR="00447759">
              <w:rPr>
                <w:sz w:val="22"/>
                <w:szCs w:val="22"/>
              </w:rPr>
              <w:t>finalize</w:t>
            </w:r>
            <w:r w:rsidR="00F857DE">
              <w:rPr>
                <w:sz w:val="22"/>
                <w:szCs w:val="22"/>
              </w:rPr>
              <w:t xml:space="preserve"> </w:t>
            </w:r>
            <w:r w:rsidR="0006769F" w:rsidRPr="005A5A29">
              <w:rPr>
                <w:sz w:val="22"/>
                <w:szCs w:val="22"/>
              </w:rPr>
              <w:t xml:space="preserve">greenhouse gas reporting </w:t>
            </w:r>
            <w:r w:rsidRPr="005A5A29">
              <w:rPr>
                <w:sz w:val="22"/>
                <w:szCs w:val="22"/>
              </w:rPr>
              <w:t>rule</w:t>
            </w:r>
            <w:r w:rsidR="003A23C3" w:rsidRPr="005A5A29">
              <w:rPr>
                <w:sz w:val="22"/>
                <w:szCs w:val="22"/>
              </w:rPr>
              <w:t>s</w:t>
            </w:r>
            <w:r w:rsidR="001C3C44">
              <w:rPr>
                <w:sz w:val="22"/>
                <w:szCs w:val="22"/>
              </w:rPr>
              <w:t xml:space="preserve"> in November 2009</w:t>
            </w:r>
            <w:r w:rsidR="00F857DE">
              <w:rPr>
                <w:sz w:val="22"/>
                <w:szCs w:val="22"/>
              </w:rPr>
              <w:t xml:space="preserve"> and </w:t>
            </w:r>
            <w:r w:rsidR="001C3C44">
              <w:rPr>
                <w:sz w:val="22"/>
                <w:szCs w:val="22"/>
              </w:rPr>
              <w:t xml:space="preserve">may not delegate the federal program to states. </w:t>
            </w:r>
            <w:r w:rsidR="006E622F" w:rsidRPr="005A5A29">
              <w:rPr>
                <w:sz w:val="22"/>
                <w:szCs w:val="22"/>
              </w:rPr>
              <w:t>Although sources</w:t>
            </w:r>
            <w:r w:rsidR="00A54913" w:rsidRPr="005A5A29">
              <w:rPr>
                <w:sz w:val="22"/>
                <w:szCs w:val="22"/>
              </w:rPr>
              <w:t xml:space="preserve"> may object to </w:t>
            </w:r>
            <w:r w:rsidR="0006769F" w:rsidRPr="005A5A29">
              <w:rPr>
                <w:sz w:val="22"/>
                <w:szCs w:val="22"/>
              </w:rPr>
              <w:t xml:space="preserve">Oregon’s </w:t>
            </w:r>
            <w:r w:rsidR="00A54913" w:rsidRPr="005A5A29">
              <w:rPr>
                <w:sz w:val="22"/>
                <w:szCs w:val="22"/>
              </w:rPr>
              <w:t xml:space="preserve">reporting requirements and fees if EPA’s rule </w:t>
            </w:r>
            <w:r w:rsidR="006E622F" w:rsidRPr="005A5A29">
              <w:rPr>
                <w:sz w:val="22"/>
                <w:szCs w:val="22"/>
              </w:rPr>
              <w:t>were</w:t>
            </w:r>
            <w:r w:rsidR="00A54913" w:rsidRPr="005A5A29">
              <w:rPr>
                <w:sz w:val="22"/>
                <w:szCs w:val="22"/>
              </w:rPr>
              <w:t xml:space="preserve"> adopted</w:t>
            </w:r>
            <w:r w:rsidR="006E622F" w:rsidRPr="005A5A29">
              <w:rPr>
                <w:sz w:val="22"/>
                <w:szCs w:val="22"/>
              </w:rPr>
              <w:t xml:space="preserve">, </w:t>
            </w:r>
            <w:r w:rsidR="001C3C44">
              <w:rPr>
                <w:sz w:val="22"/>
                <w:szCs w:val="22"/>
              </w:rPr>
              <w:t>DEQ</w:t>
            </w:r>
            <w:r w:rsidR="006E622F" w:rsidRPr="005A5A29">
              <w:rPr>
                <w:sz w:val="22"/>
                <w:szCs w:val="22"/>
              </w:rPr>
              <w:t xml:space="preserve"> need</w:t>
            </w:r>
            <w:r w:rsidR="001C3C44">
              <w:rPr>
                <w:sz w:val="22"/>
                <w:szCs w:val="22"/>
              </w:rPr>
              <w:t>s</w:t>
            </w:r>
            <w:r w:rsidR="006E622F" w:rsidRPr="005A5A29">
              <w:rPr>
                <w:sz w:val="22"/>
                <w:szCs w:val="22"/>
              </w:rPr>
              <w:t xml:space="preserve"> </w:t>
            </w:r>
            <w:r w:rsidR="00447759">
              <w:rPr>
                <w:sz w:val="22"/>
                <w:szCs w:val="22"/>
              </w:rPr>
              <w:t>the state program</w:t>
            </w:r>
            <w:r w:rsidR="005122AC">
              <w:rPr>
                <w:sz w:val="22"/>
                <w:szCs w:val="22"/>
              </w:rPr>
              <w:t xml:space="preserve"> to </w:t>
            </w:r>
            <w:r w:rsidR="00F857DE">
              <w:rPr>
                <w:sz w:val="22"/>
                <w:szCs w:val="22"/>
              </w:rPr>
              <w:t xml:space="preserve">obtain and </w:t>
            </w:r>
            <w:r w:rsidR="005122AC">
              <w:rPr>
                <w:sz w:val="22"/>
                <w:szCs w:val="22"/>
              </w:rPr>
              <w:t>e</w:t>
            </w:r>
            <w:r w:rsidR="006E622F" w:rsidRPr="005A5A29">
              <w:rPr>
                <w:sz w:val="22"/>
                <w:szCs w:val="22"/>
              </w:rPr>
              <w:t>valuate</w:t>
            </w:r>
            <w:r w:rsidR="00A54913" w:rsidRPr="005A5A29">
              <w:rPr>
                <w:sz w:val="22"/>
                <w:szCs w:val="22"/>
              </w:rPr>
              <w:t xml:space="preserve"> </w:t>
            </w:r>
            <w:r w:rsidR="00F857DE">
              <w:rPr>
                <w:sz w:val="22"/>
                <w:szCs w:val="22"/>
              </w:rPr>
              <w:t xml:space="preserve">comprehensive </w:t>
            </w:r>
            <w:r w:rsidR="00A54913" w:rsidRPr="005122AC">
              <w:rPr>
                <w:sz w:val="22"/>
                <w:szCs w:val="22"/>
              </w:rPr>
              <w:t>emissions</w:t>
            </w:r>
            <w:r w:rsidR="00447759">
              <w:rPr>
                <w:sz w:val="22"/>
                <w:szCs w:val="22"/>
              </w:rPr>
              <w:t xml:space="preserve"> data; </w:t>
            </w:r>
            <w:r w:rsidR="00A54913" w:rsidRPr="005122AC">
              <w:rPr>
                <w:sz w:val="22"/>
                <w:szCs w:val="22"/>
              </w:rPr>
              <w:t>EPA’s emissions threshold</w:t>
            </w:r>
            <w:r w:rsidR="000A10C3" w:rsidRPr="005122AC">
              <w:rPr>
                <w:sz w:val="22"/>
                <w:szCs w:val="22"/>
              </w:rPr>
              <w:t xml:space="preserve"> for reporting</w:t>
            </w:r>
            <w:r w:rsidR="00A54913" w:rsidRPr="005122AC">
              <w:rPr>
                <w:sz w:val="22"/>
                <w:szCs w:val="22"/>
              </w:rPr>
              <w:t xml:space="preserve"> is much higher</w:t>
            </w:r>
            <w:r w:rsidR="000A10C3" w:rsidRPr="005122AC">
              <w:rPr>
                <w:sz w:val="22"/>
                <w:szCs w:val="22"/>
              </w:rPr>
              <w:t xml:space="preserve"> than Oregon’s</w:t>
            </w:r>
            <w:r w:rsidR="00F857DE">
              <w:rPr>
                <w:sz w:val="22"/>
                <w:szCs w:val="22"/>
              </w:rPr>
              <w:t xml:space="preserve"> and may lack</w:t>
            </w:r>
            <w:r w:rsidR="00447759">
              <w:rPr>
                <w:sz w:val="22"/>
                <w:szCs w:val="22"/>
              </w:rPr>
              <w:t xml:space="preserve"> adequate</w:t>
            </w:r>
            <w:r w:rsidR="00F857DE">
              <w:rPr>
                <w:sz w:val="22"/>
                <w:szCs w:val="22"/>
              </w:rPr>
              <w:t xml:space="preserve"> oversight</w:t>
            </w:r>
            <w:r w:rsidR="000A10C3" w:rsidRPr="005122AC">
              <w:rPr>
                <w:sz w:val="22"/>
                <w:szCs w:val="22"/>
              </w:rPr>
              <w:t>.</w:t>
            </w:r>
            <w:r w:rsidR="00A54913" w:rsidRPr="005122AC">
              <w:rPr>
                <w:sz w:val="22"/>
                <w:szCs w:val="22"/>
              </w:rPr>
              <w:t xml:space="preserve"> </w:t>
            </w:r>
            <w:r w:rsidR="00447759">
              <w:rPr>
                <w:sz w:val="22"/>
                <w:szCs w:val="22"/>
              </w:rPr>
              <w:t>I</w:t>
            </w:r>
            <w:r w:rsidR="00447759" w:rsidRPr="005122AC">
              <w:rPr>
                <w:sz w:val="22"/>
                <w:szCs w:val="22"/>
              </w:rPr>
              <w:t>f the federal rule</w:t>
            </w:r>
            <w:r w:rsidR="008109D0">
              <w:rPr>
                <w:sz w:val="22"/>
                <w:szCs w:val="22"/>
              </w:rPr>
              <w:t>s</w:t>
            </w:r>
            <w:r w:rsidR="00447759" w:rsidRPr="005122AC">
              <w:rPr>
                <w:sz w:val="22"/>
                <w:szCs w:val="22"/>
              </w:rPr>
              <w:t xml:space="preserve"> were adopted</w:t>
            </w:r>
            <w:r w:rsidR="00447759">
              <w:rPr>
                <w:sz w:val="22"/>
                <w:szCs w:val="22"/>
              </w:rPr>
              <w:t>,</w:t>
            </w:r>
            <w:r w:rsidR="00447759" w:rsidRPr="005122AC">
              <w:rPr>
                <w:sz w:val="22"/>
                <w:szCs w:val="22"/>
              </w:rPr>
              <w:t xml:space="preserve"> </w:t>
            </w:r>
            <w:r w:rsidR="00A54913" w:rsidRPr="005122AC">
              <w:rPr>
                <w:sz w:val="22"/>
                <w:szCs w:val="22"/>
              </w:rPr>
              <w:t xml:space="preserve">DEQ would </w:t>
            </w:r>
            <w:r w:rsidR="005122AC" w:rsidRPr="005122AC">
              <w:rPr>
                <w:sz w:val="22"/>
                <w:szCs w:val="22"/>
              </w:rPr>
              <w:t>coordinate its rules with federal rules</w:t>
            </w:r>
            <w:r w:rsidR="00447759">
              <w:rPr>
                <w:sz w:val="22"/>
                <w:szCs w:val="22"/>
              </w:rPr>
              <w:t xml:space="preserve"> </w:t>
            </w:r>
            <w:r w:rsidR="005122AC" w:rsidRPr="005122AC">
              <w:rPr>
                <w:sz w:val="22"/>
                <w:szCs w:val="22"/>
              </w:rPr>
              <w:t>to s</w:t>
            </w:r>
            <w:r w:rsidR="000A10C3" w:rsidRPr="005122AC">
              <w:rPr>
                <w:sz w:val="22"/>
                <w:szCs w:val="22"/>
              </w:rPr>
              <w:t xml:space="preserve">treamline reporting for </w:t>
            </w:r>
            <w:r w:rsidR="006E622F" w:rsidRPr="005122AC">
              <w:rPr>
                <w:sz w:val="22"/>
                <w:szCs w:val="22"/>
              </w:rPr>
              <w:t>businesses</w:t>
            </w:r>
            <w:r w:rsidR="00447759">
              <w:rPr>
                <w:sz w:val="22"/>
                <w:szCs w:val="22"/>
              </w:rPr>
              <w:t>.</w:t>
            </w:r>
          </w:p>
          <w:p w:rsidR="00447759" w:rsidRPr="00A210E9" w:rsidRDefault="005B24C5" w:rsidP="008109D0">
            <w:pPr>
              <w:pStyle w:val="BlockText"/>
              <w:numPr>
                <w:ilvl w:val="0"/>
                <w:numId w:val="18"/>
              </w:numPr>
              <w:tabs>
                <w:tab w:val="clear" w:pos="720"/>
              </w:tabs>
              <w:ind w:left="432" w:hanging="270"/>
              <w:rPr>
                <w:i/>
                <w:sz w:val="22"/>
                <w:szCs w:val="22"/>
              </w:rPr>
            </w:pPr>
            <w:r>
              <w:rPr>
                <w:sz w:val="22"/>
                <w:szCs w:val="22"/>
              </w:rPr>
              <w:t xml:space="preserve">The </w:t>
            </w:r>
            <w:r w:rsidR="001E47F7">
              <w:rPr>
                <w:sz w:val="22"/>
                <w:szCs w:val="22"/>
              </w:rPr>
              <w:t>WCI</w:t>
            </w:r>
            <w:r w:rsidR="00F857DE">
              <w:rPr>
                <w:sz w:val="22"/>
                <w:szCs w:val="22"/>
              </w:rPr>
              <w:t xml:space="preserve"> plans to finalize </w:t>
            </w:r>
            <w:r w:rsidR="00BF1B35">
              <w:rPr>
                <w:sz w:val="22"/>
                <w:szCs w:val="22"/>
              </w:rPr>
              <w:t xml:space="preserve">model rules </w:t>
            </w:r>
            <w:r w:rsidR="00447759">
              <w:rPr>
                <w:sz w:val="22"/>
                <w:szCs w:val="22"/>
              </w:rPr>
              <w:t xml:space="preserve">based on </w:t>
            </w:r>
            <w:r w:rsidR="008109D0">
              <w:rPr>
                <w:sz w:val="22"/>
                <w:szCs w:val="22"/>
              </w:rPr>
              <w:t xml:space="preserve">reviews </w:t>
            </w:r>
            <w:r w:rsidR="00F857DE">
              <w:rPr>
                <w:sz w:val="22"/>
                <w:szCs w:val="22"/>
              </w:rPr>
              <w:t xml:space="preserve">and </w:t>
            </w:r>
            <w:r w:rsidR="005122AC" w:rsidRPr="005122AC">
              <w:rPr>
                <w:sz w:val="22"/>
                <w:szCs w:val="22"/>
              </w:rPr>
              <w:t>recommendations</w:t>
            </w:r>
            <w:r w:rsidR="00447759">
              <w:rPr>
                <w:sz w:val="22"/>
                <w:szCs w:val="22"/>
              </w:rPr>
              <w:t xml:space="preserve"> </w:t>
            </w:r>
            <w:r w:rsidR="008109D0">
              <w:rPr>
                <w:sz w:val="22"/>
                <w:szCs w:val="22"/>
              </w:rPr>
              <w:t xml:space="preserve">from WCI partners </w:t>
            </w:r>
            <w:r w:rsidR="00447759">
              <w:rPr>
                <w:sz w:val="22"/>
                <w:szCs w:val="22"/>
              </w:rPr>
              <w:t xml:space="preserve">and </w:t>
            </w:r>
            <w:r w:rsidR="005122AC" w:rsidRPr="005122AC">
              <w:rPr>
                <w:sz w:val="22"/>
                <w:szCs w:val="22"/>
              </w:rPr>
              <w:t>the outcome of EPA’s proposed rules.</w:t>
            </w:r>
          </w:p>
        </w:tc>
      </w:tr>
      <w:tr w:rsidR="00F94B68" w:rsidRPr="005A5A29" w:rsidTr="00C22B95">
        <w:trPr>
          <w:cantSplit/>
        </w:trPr>
        <w:tc>
          <w:tcPr>
            <w:tcW w:w="1818" w:type="dxa"/>
            <w:shd w:val="clear" w:color="auto" w:fill="auto"/>
          </w:tcPr>
          <w:p w:rsidR="00F94B68" w:rsidRPr="005A5A29" w:rsidRDefault="00F94B68" w:rsidP="00795061">
            <w:pPr>
              <w:rPr>
                <w:b/>
                <w:sz w:val="22"/>
                <w:szCs w:val="22"/>
              </w:rPr>
            </w:pPr>
            <w:r w:rsidRPr="005A5A29">
              <w:rPr>
                <w:b/>
                <w:sz w:val="22"/>
                <w:szCs w:val="22"/>
              </w:rPr>
              <w:t>Impacts to MSD</w:t>
            </w:r>
            <w:r w:rsidR="00AC0647" w:rsidRPr="005A5A29">
              <w:rPr>
                <w:b/>
                <w:sz w:val="22"/>
                <w:szCs w:val="22"/>
              </w:rPr>
              <w:t xml:space="preserve"> and/or OCE</w:t>
            </w:r>
          </w:p>
          <w:p w:rsidR="00F94B68" w:rsidRPr="005A5A29" w:rsidRDefault="00F94B68" w:rsidP="00795061">
            <w:pPr>
              <w:rPr>
                <w:b/>
                <w:sz w:val="22"/>
                <w:szCs w:val="22"/>
              </w:rPr>
            </w:pPr>
          </w:p>
        </w:tc>
        <w:tc>
          <w:tcPr>
            <w:tcW w:w="9054" w:type="dxa"/>
            <w:gridSpan w:val="5"/>
            <w:shd w:val="clear" w:color="auto" w:fill="auto"/>
          </w:tcPr>
          <w:p w:rsidR="005F610E" w:rsidRPr="005A5A29" w:rsidRDefault="000C413B" w:rsidP="00C923AD">
            <w:pPr>
              <w:pStyle w:val="BlockText"/>
              <w:spacing w:after="80"/>
              <w:rPr>
                <w:sz w:val="22"/>
                <w:szCs w:val="22"/>
              </w:rPr>
            </w:pPr>
            <w:r>
              <w:rPr>
                <w:sz w:val="22"/>
                <w:szCs w:val="22"/>
              </w:rPr>
              <w:t xml:space="preserve">MSD is currently working on a greenhouse gas reporting database using federal dollars. </w:t>
            </w:r>
            <w:r w:rsidR="005B24C5">
              <w:rPr>
                <w:sz w:val="22"/>
                <w:szCs w:val="22"/>
              </w:rPr>
              <w:t>The work will be completed using contract dollars included in the greenhouse gas reporting fees.</w:t>
            </w:r>
          </w:p>
          <w:p w:rsidR="00F94B68" w:rsidRPr="005A5A29" w:rsidRDefault="00B371D9" w:rsidP="00706C45">
            <w:pPr>
              <w:pStyle w:val="BlockText"/>
              <w:spacing w:after="80"/>
              <w:rPr>
                <w:i/>
                <w:sz w:val="22"/>
                <w:szCs w:val="22"/>
              </w:rPr>
            </w:pPr>
            <w:r>
              <w:rPr>
                <w:sz w:val="22"/>
                <w:szCs w:val="22"/>
              </w:rPr>
              <w:t>OCE issues were addressed during the previous rulemaking for greenhouse gas reporting. This rulemaking</w:t>
            </w:r>
            <w:r w:rsidR="008109D0">
              <w:rPr>
                <w:sz w:val="22"/>
                <w:szCs w:val="22"/>
              </w:rPr>
              <w:t xml:space="preserve"> proposal</w:t>
            </w:r>
            <w:r>
              <w:rPr>
                <w:sz w:val="22"/>
                <w:szCs w:val="22"/>
              </w:rPr>
              <w:t xml:space="preserve"> would </w:t>
            </w:r>
            <w:r w:rsidR="00706C45">
              <w:rPr>
                <w:sz w:val="22"/>
                <w:szCs w:val="22"/>
              </w:rPr>
              <w:t xml:space="preserve">increase the number of sources subject to the </w:t>
            </w:r>
            <w:r>
              <w:rPr>
                <w:sz w:val="22"/>
                <w:szCs w:val="22"/>
              </w:rPr>
              <w:t xml:space="preserve">rules. </w:t>
            </w:r>
            <w:r w:rsidR="005F610E" w:rsidRPr="005A5A29">
              <w:rPr>
                <w:sz w:val="22"/>
                <w:szCs w:val="22"/>
              </w:rPr>
              <w:t>DEQ would enforce the registration</w:t>
            </w:r>
            <w:r w:rsidR="006D7736">
              <w:rPr>
                <w:sz w:val="22"/>
                <w:szCs w:val="22"/>
              </w:rPr>
              <w:t xml:space="preserve">, </w:t>
            </w:r>
            <w:r w:rsidR="000C413B">
              <w:rPr>
                <w:sz w:val="22"/>
                <w:szCs w:val="22"/>
              </w:rPr>
              <w:t xml:space="preserve">reporting, </w:t>
            </w:r>
            <w:r w:rsidR="006D7736">
              <w:rPr>
                <w:sz w:val="22"/>
                <w:szCs w:val="22"/>
              </w:rPr>
              <w:t>permitting</w:t>
            </w:r>
            <w:r w:rsidR="005F610E" w:rsidRPr="005A5A29">
              <w:rPr>
                <w:sz w:val="22"/>
                <w:szCs w:val="22"/>
              </w:rPr>
              <w:t xml:space="preserve"> and fee requirements the same way it enforces these requirements in other AQ programs. </w:t>
            </w:r>
          </w:p>
        </w:tc>
      </w:tr>
      <w:tr w:rsidR="00F94B68" w:rsidRPr="005A5A29" w:rsidTr="00C22B95">
        <w:trPr>
          <w:cantSplit/>
        </w:trPr>
        <w:tc>
          <w:tcPr>
            <w:tcW w:w="1818" w:type="dxa"/>
            <w:shd w:val="clear" w:color="auto" w:fill="auto"/>
          </w:tcPr>
          <w:p w:rsidR="00F94B68" w:rsidRPr="005A5A29" w:rsidRDefault="00F94B68" w:rsidP="00980249">
            <w:pPr>
              <w:pStyle w:val="Heading5"/>
              <w:rPr>
                <w:szCs w:val="22"/>
              </w:rPr>
            </w:pPr>
            <w:r w:rsidRPr="005A5A29">
              <w:rPr>
                <w:szCs w:val="22"/>
              </w:rPr>
              <w:t>Implementation Issues</w:t>
            </w:r>
          </w:p>
        </w:tc>
        <w:tc>
          <w:tcPr>
            <w:tcW w:w="9054" w:type="dxa"/>
            <w:gridSpan w:val="5"/>
            <w:shd w:val="clear" w:color="auto" w:fill="auto"/>
          </w:tcPr>
          <w:p w:rsidR="00F94B68" w:rsidRPr="005A5A29" w:rsidRDefault="00F94B68" w:rsidP="00C923AD">
            <w:pPr>
              <w:pStyle w:val="BlockText"/>
              <w:spacing w:after="80"/>
              <w:rPr>
                <w:b/>
                <w:sz w:val="22"/>
                <w:szCs w:val="22"/>
              </w:rPr>
            </w:pPr>
            <w:r w:rsidRPr="005A5A29">
              <w:rPr>
                <w:b/>
                <w:sz w:val="22"/>
                <w:szCs w:val="22"/>
              </w:rPr>
              <w:t>Will we be able to implement the rules?</w:t>
            </w:r>
            <w:r w:rsidR="001F34E0" w:rsidRPr="005A5A29">
              <w:rPr>
                <w:b/>
                <w:sz w:val="22"/>
                <w:szCs w:val="22"/>
              </w:rPr>
              <w:t xml:space="preserve"> </w:t>
            </w:r>
            <w:r w:rsidRPr="005A5A29">
              <w:rPr>
                <w:b/>
                <w:sz w:val="22"/>
                <w:szCs w:val="22"/>
              </w:rPr>
              <w:t>Can we effectively enforce the rules?</w:t>
            </w:r>
            <w:r w:rsidR="001F34E0" w:rsidRPr="005A5A29">
              <w:rPr>
                <w:b/>
                <w:sz w:val="22"/>
                <w:szCs w:val="22"/>
              </w:rPr>
              <w:t xml:space="preserve"> </w:t>
            </w:r>
            <w:r w:rsidRPr="005A5A29">
              <w:rPr>
                <w:b/>
                <w:sz w:val="22"/>
                <w:szCs w:val="22"/>
              </w:rPr>
              <w:t>If not, have we considered another approach to compliance?</w:t>
            </w:r>
            <w:r w:rsidR="001F34E0" w:rsidRPr="005A5A29">
              <w:rPr>
                <w:b/>
                <w:i/>
                <w:sz w:val="22"/>
                <w:szCs w:val="22"/>
              </w:rPr>
              <w:t xml:space="preserve"> </w:t>
            </w:r>
            <w:r w:rsidRPr="005A5A29">
              <w:rPr>
                <w:b/>
                <w:sz w:val="22"/>
                <w:szCs w:val="22"/>
              </w:rPr>
              <w:t>If the rules will not be accompanied by new resources, what other work will not get done?</w:t>
            </w:r>
            <w:r w:rsidR="001F34E0" w:rsidRPr="005A5A29">
              <w:rPr>
                <w:b/>
                <w:sz w:val="22"/>
                <w:szCs w:val="22"/>
              </w:rPr>
              <w:t xml:space="preserve"> </w:t>
            </w:r>
            <w:r w:rsidRPr="005A5A29">
              <w:rPr>
                <w:b/>
                <w:sz w:val="22"/>
                <w:szCs w:val="22"/>
              </w:rPr>
              <w:t>Are we prepared to drop that work?</w:t>
            </w:r>
          </w:p>
          <w:p w:rsidR="004A20AA" w:rsidRPr="005A5A29" w:rsidRDefault="00041B5B" w:rsidP="00041B5B">
            <w:pPr>
              <w:pStyle w:val="BlockText"/>
              <w:spacing w:after="80"/>
              <w:ind w:left="72"/>
              <w:rPr>
                <w:sz w:val="22"/>
                <w:szCs w:val="22"/>
              </w:rPr>
            </w:pPr>
            <w:r>
              <w:rPr>
                <w:sz w:val="22"/>
                <w:szCs w:val="22"/>
              </w:rPr>
              <w:t>Yes, t</w:t>
            </w:r>
            <w:r w:rsidR="004A20AA" w:rsidRPr="005A5A29">
              <w:rPr>
                <w:sz w:val="22"/>
                <w:szCs w:val="22"/>
              </w:rPr>
              <w:t>h</w:t>
            </w:r>
            <w:r w:rsidR="00C12EF1" w:rsidRPr="005A5A29">
              <w:rPr>
                <w:sz w:val="22"/>
                <w:szCs w:val="22"/>
              </w:rPr>
              <w:t>e proposed fees would provide</w:t>
            </w:r>
            <w:r>
              <w:rPr>
                <w:sz w:val="22"/>
                <w:szCs w:val="22"/>
              </w:rPr>
              <w:t xml:space="preserve"> additional </w:t>
            </w:r>
            <w:r w:rsidR="00C12EF1" w:rsidRPr="005A5A29">
              <w:rPr>
                <w:sz w:val="22"/>
                <w:szCs w:val="22"/>
              </w:rPr>
              <w:t>resources to implement the reporting rules.</w:t>
            </w:r>
            <w:r>
              <w:rPr>
                <w:sz w:val="22"/>
                <w:szCs w:val="22"/>
              </w:rPr>
              <w:t xml:space="preserve"> Applicable requirements would be rolled into permits and enforced through the permitting program.</w:t>
            </w:r>
          </w:p>
        </w:tc>
      </w:tr>
      <w:tr w:rsidR="006E26DB" w:rsidRPr="005A5A29" w:rsidTr="00C22B95">
        <w:trPr>
          <w:cantSplit/>
          <w:trHeight w:val="800"/>
        </w:trPr>
        <w:tc>
          <w:tcPr>
            <w:tcW w:w="1818" w:type="dxa"/>
            <w:shd w:val="clear" w:color="auto" w:fill="auto"/>
          </w:tcPr>
          <w:p w:rsidR="006E26DB" w:rsidRPr="005A5A29" w:rsidRDefault="006E26DB">
            <w:pPr>
              <w:pStyle w:val="Heading5"/>
              <w:rPr>
                <w:szCs w:val="22"/>
              </w:rPr>
            </w:pPr>
          </w:p>
        </w:tc>
        <w:tc>
          <w:tcPr>
            <w:tcW w:w="9054" w:type="dxa"/>
            <w:gridSpan w:val="5"/>
            <w:shd w:val="clear" w:color="auto" w:fill="auto"/>
          </w:tcPr>
          <w:p w:rsidR="00C078BF" w:rsidRPr="00F001A2" w:rsidRDefault="006E26DB" w:rsidP="00C923AD">
            <w:pPr>
              <w:pStyle w:val="BlockText"/>
              <w:spacing w:after="80"/>
              <w:rPr>
                <w:b/>
                <w:sz w:val="22"/>
                <w:szCs w:val="22"/>
              </w:rPr>
            </w:pPr>
            <w:r w:rsidRPr="005A5A29">
              <w:rPr>
                <w:b/>
                <w:sz w:val="22"/>
                <w:szCs w:val="22"/>
              </w:rPr>
              <w:t>Have we communicated internally and externally with stakeholders?</w:t>
            </w:r>
            <w:r w:rsidR="001F34E0" w:rsidRPr="005A5A29">
              <w:rPr>
                <w:b/>
                <w:i/>
                <w:sz w:val="22"/>
                <w:szCs w:val="22"/>
              </w:rPr>
              <w:t xml:space="preserve"> </w:t>
            </w:r>
            <w:r w:rsidRPr="005A5A29">
              <w:rPr>
                <w:b/>
                <w:sz w:val="22"/>
                <w:szCs w:val="22"/>
              </w:rPr>
              <w:t xml:space="preserve">Is there an internal and external communication strategy to ensure that both DEQ staff and the regulated community are prepared </w:t>
            </w:r>
            <w:r w:rsidRPr="00F001A2">
              <w:rPr>
                <w:b/>
                <w:sz w:val="22"/>
                <w:szCs w:val="22"/>
              </w:rPr>
              <w:t>for</w:t>
            </w:r>
            <w:r w:rsidRPr="005A5A29">
              <w:rPr>
                <w:b/>
                <w:sz w:val="22"/>
                <w:szCs w:val="22"/>
              </w:rPr>
              <w:t xml:space="preserve"> the effects of the rules?</w:t>
            </w:r>
            <w:r w:rsidR="001F34E0" w:rsidRPr="005A5A29">
              <w:rPr>
                <w:b/>
                <w:sz w:val="22"/>
                <w:szCs w:val="22"/>
              </w:rPr>
              <w:t xml:space="preserve"> </w:t>
            </w:r>
            <w:r w:rsidRPr="005A5A29">
              <w:rPr>
                <w:b/>
                <w:sz w:val="22"/>
                <w:szCs w:val="22"/>
              </w:rPr>
              <w:t xml:space="preserve">Is this strategy for both rulemaking and rule </w:t>
            </w:r>
            <w:r w:rsidRPr="00F001A2">
              <w:rPr>
                <w:b/>
                <w:sz w:val="22"/>
                <w:szCs w:val="22"/>
              </w:rPr>
              <w:t>implementation?</w:t>
            </w:r>
          </w:p>
          <w:p w:rsidR="00706C45" w:rsidRDefault="00706C45" w:rsidP="00706C45">
            <w:pPr>
              <w:pStyle w:val="BlockText"/>
              <w:spacing w:after="80"/>
              <w:rPr>
                <w:sz w:val="22"/>
                <w:szCs w:val="22"/>
              </w:rPr>
            </w:pPr>
            <w:r w:rsidRPr="00F001A2">
              <w:rPr>
                <w:sz w:val="22"/>
                <w:szCs w:val="22"/>
              </w:rPr>
              <w:t xml:space="preserve">DEQ </w:t>
            </w:r>
            <w:r>
              <w:rPr>
                <w:sz w:val="22"/>
                <w:szCs w:val="22"/>
              </w:rPr>
              <w:t xml:space="preserve">formed an </w:t>
            </w:r>
            <w:r w:rsidRPr="00F001A2">
              <w:rPr>
                <w:sz w:val="22"/>
                <w:szCs w:val="22"/>
              </w:rPr>
              <w:t>internal</w:t>
            </w:r>
            <w:r>
              <w:rPr>
                <w:sz w:val="22"/>
                <w:szCs w:val="22"/>
              </w:rPr>
              <w:t xml:space="preserve"> greenhouse gas reporting</w:t>
            </w:r>
            <w:r w:rsidRPr="00F001A2">
              <w:rPr>
                <w:sz w:val="22"/>
                <w:szCs w:val="22"/>
              </w:rPr>
              <w:t xml:space="preserve"> workgroup</w:t>
            </w:r>
            <w:r>
              <w:rPr>
                <w:sz w:val="22"/>
                <w:szCs w:val="22"/>
              </w:rPr>
              <w:t xml:space="preserve"> to prepare staff for the proposed changes. </w:t>
            </w:r>
          </w:p>
          <w:p w:rsidR="00706C45" w:rsidRPr="005A5A29" w:rsidRDefault="00706C45" w:rsidP="0073700B">
            <w:pPr>
              <w:pStyle w:val="BlockText"/>
              <w:spacing w:after="80"/>
              <w:rPr>
                <w:sz w:val="22"/>
                <w:szCs w:val="22"/>
              </w:rPr>
            </w:pPr>
            <w:r>
              <w:rPr>
                <w:sz w:val="22"/>
                <w:szCs w:val="22"/>
              </w:rPr>
              <w:t xml:space="preserve">There was extensive stakeholder discussion about the reporting fees and expansion of reporting during the legislative adoption of SB 103 and SB 38. </w:t>
            </w:r>
            <w:r w:rsidR="00503B4B" w:rsidRPr="00F001A2">
              <w:rPr>
                <w:sz w:val="22"/>
                <w:szCs w:val="22"/>
              </w:rPr>
              <w:t>DEQ would</w:t>
            </w:r>
            <w:r w:rsidR="00447759" w:rsidRPr="00F001A2">
              <w:rPr>
                <w:sz w:val="22"/>
                <w:szCs w:val="22"/>
              </w:rPr>
              <w:t xml:space="preserve"> </w:t>
            </w:r>
            <w:r>
              <w:rPr>
                <w:sz w:val="22"/>
                <w:szCs w:val="22"/>
              </w:rPr>
              <w:t xml:space="preserve">involve stakeholders </w:t>
            </w:r>
            <w:r w:rsidR="00503B4B" w:rsidRPr="00F001A2">
              <w:rPr>
                <w:sz w:val="22"/>
                <w:szCs w:val="22"/>
              </w:rPr>
              <w:t xml:space="preserve">during rule development to prepare </w:t>
            </w:r>
            <w:r>
              <w:rPr>
                <w:sz w:val="22"/>
                <w:szCs w:val="22"/>
              </w:rPr>
              <w:t>sources</w:t>
            </w:r>
            <w:r w:rsidR="00503B4B" w:rsidRPr="00F001A2">
              <w:rPr>
                <w:sz w:val="22"/>
                <w:szCs w:val="22"/>
              </w:rPr>
              <w:t xml:space="preserve"> for the effects of the rules and rule implementation</w:t>
            </w:r>
            <w:r w:rsidR="00447759" w:rsidRPr="00F001A2">
              <w:rPr>
                <w:sz w:val="22"/>
                <w:szCs w:val="22"/>
              </w:rPr>
              <w:t>.</w:t>
            </w:r>
            <w:r w:rsidR="0073700B">
              <w:rPr>
                <w:sz w:val="22"/>
                <w:szCs w:val="22"/>
              </w:rPr>
              <w:t xml:space="preserve"> We would f</w:t>
            </w:r>
            <w:r>
              <w:rPr>
                <w:sz w:val="22"/>
                <w:szCs w:val="22"/>
              </w:rPr>
              <w:t>orm</w:t>
            </w:r>
            <w:r w:rsidRPr="0005498D">
              <w:rPr>
                <w:sz w:val="22"/>
                <w:szCs w:val="22"/>
              </w:rPr>
              <w:t xml:space="preserve"> an advisory committee to discuss issues and make recommendations on </w:t>
            </w:r>
            <w:r>
              <w:rPr>
                <w:sz w:val="22"/>
                <w:szCs w:val="22"/>
              </w:rPr>
              <w:t>the proposal. In August 2009,</w:t>
            </w:r>
            <w:r w:rsidRPr="00072045">
              <w:rPr>
                <w:sz w:val="22"/>
                <w:szCs w:val="22"/>
              </w:rPr>
              <w:t xml:space="preserve"> </w:t>
            </w:r>
            <w:r w:rsidR="0073700B">
              <w:rPr>
                <w:sz w:val="22"/>
                <w:szCs w:val="22"/>
              </w:rPr>
              <w:t>we</w:t>
            </w:r>
            <w:r w:rsidRPr="00072045">
              <w:rPr>
                <w:sz w:val="22"/>
                <w:szCs w:val="22"/>
              </w:rPr>
              <w:t xml:space="preserve"> would </w:t>
            </w:r>
            <w:r>
              <w:rPr>
                <w:sz w:val="22"/>
                <w:szCs w:val="22"/>
              </w:rPr>
              <w:t xml:space="preserve">send letters to </w:t>
            </w:r>
            <w:r w:rsidR="009E2031">
              <w:rPr>
                <w:sz w:val="22"/>
                <w:szCs w:val="22"/>
              </w:rPr>
              <w:t>Title V sources, along with their regular Title V invoices, to explain the proposal</w:t>
            </w:r>
            <w:r w:rsidR="0073700B">
              <w:rPr>
                <w:sz w:val="22"/>
                <w:szCs w:val="22"/>
              </w:rPr>
              <w:t xml:space="preserve"> and advisory process</w:t>
            </w:r>
            <w:r w:rsidR="009E2031">
              <w:rPr>
                <w:sz w:val="22"/>
                <w:szCs w:val="22"/>
              </w:rPr>
              <w:t xml:space="preserve">. </w:t>
            </w:r>
            <w:r w:rsidR="0073700B">
              <w:rPr>
                <w:sz w:val="22"/>
                <w:szCs w:val="22"/>
              </w:rPr>
              <w:t>We</w:t>
            </w:r>
            <w:r w:rsidR="009E2031">
              <w:rPr>
                <w:sz w:val="22"/>
                <w:szCs w:val="22"/>
              </w:rPr>
              <w:t xml:space="preserve"> would </w:t>
            </w:r>
            <w:r w:rsidR="0073700B">
              <w:rPr>
                <w:sz w:val="22"/>
                <w:szCs w:val="22"/>
              </w:rPr>
              <w:t>also send</w:t>
            </w:r>
            <w:r w:rsidR="009E2031">
              <w:rPr>
                <w:sz w:val="22"/>
                <w:szCs w:val="22"/>
              </w:rPr>
              <w:t xml:space="preserve"> letters t</w:t>
            </w:r>
            <w:r w:rsidR="0073700B">
              <w:rPr>
                <w:sz w:val="22"/>
                <w:szCs w:val="22"/>
              </w:rPr>
              <w:t xml:space="preserve">o </w:t>
            </w:r>
            <w:r w:rsidR="009E2031">
              <w:rPr>
                <w:sz w:val="22"/>
                <w:szCs w:val="22"/>
              </w:rPr>
              <w:t>sources holding Air Contaminant Discharge Permits</w:t>
            </w:r>
            <w:r w:rsidR="0073700B">
              <w:rPr>
                <w:sz w:val="22"/>
                <w:szCs w:val="22"/>
              </w:rPr>
              <w:t xml:space="preserve"> and other businesses</w:t>
            </w:r>
            <w:r w:rsidR="009E2031">
              <w:rPr>
                <w:sz w:val="22"/>
                <w:szCs w:val="22"/>
              </w:rPr>
              <w:t xml:space="preserve"> that may be affected. </w:t>
            </w:r>
            <w:r w:rsidR="0073700B">
              <w:rPr>
                <w:sz w:val="22"/>
                <w:szCs w:val="22"/>
              </w:rPr>
              <w:t>DEQ would hold a public forum during the advisory process for the temporary rulemaking, and provide for public comment during the</w:t>
            </w:r>
            <w:r w:rsidRPr="00072045">
              <w:rPr>
                <w:sz w:val="22"/>
                <w:szCs w:val="22"/>
              </w:rPr>
              <w:t xml:space="preserve"> required public notice and c</w:t>
            </w:r>
            <w:r>
              <w:rPr>
                <w:sz w:val="22"/>
                <w:szCs w:val="22"/>
              </w:rPr>
              <w:t xml:space="preserve">omment process for the regular </w:t>
            </w:r>
            <w:r w:rsidRPr="00072045">
              <w:rPr>
                <w:sz w:val="22"/>
                <w:szCs w:val="22"/>
              </w:rPr>
              <w:t>rulemaking.</w:t>
            </w:r>
          </w:p>
        </w:tc>
      </w:tr>
      <w:tr w:rsidR="00F94B68" w:rsidRPr="005A5A29" w:rsidTr="00C22B95">
        <w:trPr>
          <w:cantSplit/>
        </w:trPr>
        <w:tc>
          <w:tcPr>
            <w:tcW w:w="1818" w:type="dxa"/>
            <w:shd w:val="clear" w:color="auto" w:fill="auto"/>
          </w:tcPr>
          <w:p w:rsidR="00F94B68" w:rsidRPr="005A5A29" w:rsidRDefault="00F94B68" w:rsidP="00F9764E">
            <w:pPr>
              <w:pStyle w:val="Heading5"/>
              <w:rPr>
                <w:szCs w:val="22"/>
              </w:rPr>
            </w:pPr>
            <w:r w:rsidRPr="005A5A29">
              <w:rPr>
                <w:szCs w:val="22"/>
              </w:rPr>
              <w:t>5 year Review</w:t>
            </w:r>
          </w:p>
          <w:p w:rsidR="00F94B68" w:rsidRPr="005A5A29" w:rsidRDefault="00F94B68" w:rsidP="00F9764E">
            <w:pPr>
              <w:rPr>
                <w:sz w:val="22"/>
                <w:szCs w:val="22"/>
              </w:rPr>
            </w:pPr>
          </w:p>
        </w:tc>
        <w:tc>
          <w:tcPr>
            <w:tcW w:w="9054" w:type="dxa"/>
            <w:gridSpan w:val="5"/>
            <w:shd w:val="clear" w:color="auto" w:fill="auto"/>
          </w:tcPr>
          <w:p w:rsidR="00C078BF" w:rsidRPr="005A5A29" w:rsidRDefault="003B39BC" w:rsidP="00447759">
            <w:pPr>
              <w:pStyle w:val="BlockText"/>
              <w:rPr>
                <w:sz w:val="22"/>
                <w:szCs w:val="22"/>
              </w:rPr>
            </w:pPr>
            <w:r w:rsidRPr="005A5A29">
              <w:rPr>
                <w:sz w:val="22"/>
                <w:szCs w:val="22"/>
              </w:rPr>
              <w:t>DEQ would need to review the proposed rules within five years of adoption per O</w:t>
            </w:r>
            <w:r w:rsidR="00F94B68" w:rsidRPr="005A5A29">
              <w:rPr>
                <w:sz w:val="22"/>
                <w:szCs w:val="22"/>
              </w:rPr>
              <w:t>RS 183.405</w:t>
            </w:r>
            <w:r w:rsidR="0055480E" w:rsidRPr="005A5A29">
              <w:rPr>
                <w:sz w:val="22"/>
                <w:szCs w:val="22"/>
              </w:rPr>
              <w:t xml:space="preserve">. </w:t>
            </w:r>
            <w:r w:rsidR="00E10258" w:rsidRPr="005A5A29">
              <w:rPr>
                <w:sz w:val="22"/>
                <w:szCs w:val="22"/>
              </w:rPr>
              <w:t xml:space="preserve">It would evaluate whether </w:t>
            </w:r>
            <w:r w:rsidR="00E10258">
              <w:rPr>
                <w:sz w:val="22"/>
                <w:szCs w:val="22"/>
              </w:rPr>
              <w:t xml:space="preserve">the </w:t>
            </w:r>
            <w:r w:rsidR="00E10258" w:rsidRPr="005A5A29">
              <w:rPr>
                <w:sz w:val="22"/>
                <w:szCs w:val="22"/>
              </w:rPr>
              <w:t>reportin</w:t>
            </w:r>
            <w:r w:rsidR="00447759">
              <w:rPr>
                <w:sz w:val="22"/>
                <w:szCs w:val="22"/>
              </w:rPr>
              <w:t>g requirements</w:t>
            </w:r>
            <w:r w:rsidR="00E10258">
              <w:rPr>
                <w:sz w:val="22"/>
                <w:szCs w:val="22"/>
              </w:rPr>
              <w:t xml:space="preserve"> </w:t>
            </w:r>
            <w:r w:rsidR="00503B4B">
              <w:rPr>
                <w:sz w:val="22"/>
                <w:szCs w:val="22"/>
              </w:rPr>
              <w:t>provide for</w:t>
            </w:r>
            <w:r w:rsidR="00E10258" w:rsidRPr="005A5A29">
              <w:rPr>
                <w:sz w:val="22"/>
                <w:szCs w:val="22"/>
              </w:rPr>
              <w:t xml:space="preserve"> DEQ to </w:t>
            </w:r>
            <w:r w:rsidR="00503B4B">
              <w:rPr>
                <w:sz w:val="22"/>
                <w:szCs w:val="22"/>
              </w:rPr>
              <w:t>track</w:t>
            </w:r>
            <w:r w:rsidR="00E10258" w:rsidRPr="005A5A29">
              <w:rPr>
                <w:sz w:val="22"/>
                <w:szCs w:val="22"/>
              </w:rPr>
              <w:t xml:space="preserve"> progress toward emission reduction goals</w:t>
            </w:r>
            <w:r w:rsidR="00447759">
              <w:rPr>
                <w:sz w:val="22"/>
                <w:szCs w:val="22"/>
              </w:rPr>
              <w:t xml:space="preserve"> and whether </w:t>
            </w:r>
            <w:r w:rsidR="00E10258">
              <w:rPr>
                <w:sz w:val="22"/>
                <w:szCs w:val="22"/>
              </w:rPr>
              <w:t>the r</w:t>
            </w:r>
            <w:r w:rsidR="00E10258" w:rsidRPr="005A5A29">
              <w:rPr>
                <w:sz w:val="22"/>
                <w:szCs w:val="22"/>
              </w:rPr>
              <w:t>eporting r</w:t>
            </w:r>
            <w:r w:rsidR="00E10258">
              <w:rPr>
                <w:sz w:val="22"/>
                <w:szCs w:val="22"/>
              </w:rPr>
              <w:t xml:space="preserve">ules </w:t>
            </w:r>
            <w:r w:rsidR="00503B4B">
              <w:rPr>
                <w:sz w:val="22"/>
                <w:szCs w:val="22"/>
              </w:rPr>
              <w:t>and</w:t>
            </w:r>
            <w:r w:rsidR="00E10258">
              <w:rPr>
                <w:sz w:val="22"/>
                <w:szCs w:val="22"/>
              </w:rPr>
              <w:t xml:space="preserve"> fees need revis</w:t>
            </w:r>
            <w:r w:rsidR="00447759">
              <w:rPr>
                <w:sz w:val="22"/>
                <w:szCs w:val="22"/>
              </w:rPr>
              <w:t>ions</w:t>
            </w:r>
            <w:r w:rsidR="00E10258">
              <w:rPr>
                <w:sz w:val="22"/>
                <w:szCs w:val="22"/>
              </w:rPr>
              <w:t xml:space="preserve"> to be consistent with future policie</w:t>
            </w:r>
            <w:r w:rsidR="00503B4B">
              <w:rPr>
                <w:sz w:val="22"/>
                <w:szCs w:val="22"/>
              </w:rPr>
              <w:t>s.</w:t>
            </w:r>
          </w:p>
        </w:tc>
      </w:tr>
      <w:tr w:rsidR="00F94B68" w:rsidRPr="005A5A29" w:rsidTr="00C22B95">
        <w:trPr>
          <w:cantSplit/>
        </w:trPr>
        <w:tc>
          <w:tcPr>
            <w:tcW w:w="1818" w:type="dxa"/>
            <w:shd w:val="clear" w:color="auto" w:fill="auto"/>
          </w:tcPr>
          <w:p w:rsidR="00F94B68" w:rsidRPr="005A5A29" w:rsidRDefault="00F94B68">
            <w:pPr>
              <w:pStyle w:val="Heading5"/>
              <w:rPr>
                <w:szCs w:val="22"/>
              </w:rPr>
            </w:pPr>
            <w:r w:rsidRPr="005A5A29">
              <w:rPr>
                <w:szCs w:val="22"/>
              </w:rPr>
              <w:t>Stakeholders</w:t>
            </w:r>
          </w:p>
          <w:p w:rsidR="00F94B68" w:rsidRPr="005A5A29" w:rsidRDefault="00F94B68">
            <w:pPr>
              <w:rPr>
                <w:sz w:val="22"/>
                <w:szCs w:val="22"/>
              </w:rPr>
            </w:pPr>
          </w:p>
        </w:tc>
        <w:tc>
          <w:tcPr>
            <w:tcW w:w="9054" w:type="dxa"/>
            <w:gridSpan w:val="5"/>
            <w:shd w:val="clear" w:color="auto" w:fill="auto"/>
          </w:tcPr>
          <w:p w:rsidR="00E56C86" w:rsidRPr="005A5A29" w:rsidRDefault="00D56415" w:rsidP="00CC1CA9">
            <w:pPr>
              <w:rPr>
                <w:sz w:val="22"/>
                <w:szCs w:val="22"/>
              </w:rPr>
            </w:pPr>
            <w:r w:rsidRPr="005A5A29">
              <w:rPr>
                <w:sz w:val="22"/>
                <w:szCs w:val="22"/>
              </w:rPr>
              <w:t xml:space="preserve">Stakeholders include various industry sectors, utilities, environmental groups and local government. </w:t>
            </w:r>
            <w:r w:rsidR="00E10258" w:rsidRPr="005A5A29">
              <w:rPr>
                <w:sz w:val="22"/>
                <w:szCs w:val="22"/>
              </w:rPr>
              <w:t xml:space="preserve">About </w:t>
            </w:r>
            <w:r w:rsidR="004C3CB9" w:rsidRPr="00CC1CA9">
              <w:rPr>
                <w:sz w:val="22"/>
                <w:szCs w:val="22"/>
              </w:rPr>
              <w:t>70</w:t>
            </w:r>
            <w:r w:rsidR="00E10258" w:rsidRPr="00CC1CA9">
              <w:rPr>
                <w:sz w:val="22"/>
                <w:szCs w:val="22"/>
              </w:rPr>
              <w:t xml:space="preserve"> </w:t>
            </w:r>
            <w:r w:rsidR="00E10258" w:rsidRPr="005A5A29">
              <w:rPr>
                <w:sz w:val="22"/>
                <w:szCs w:val="22"/>
              </w:rPr>
              <w:t>power importers</w:t>
            </w:r>
            <w:r w:rsidR="004C3CB9">
              <w:rPr>
                <w:sz w:val="22"/>
                <w:szCs w:val="22"/>
              </w:rPr>
              <w:t xml:space="preserve"> and 30 </w:t>
            </w:r>
            <w:r w:rsidR="00E10258" w:rsidRPr="005A5A29">
              <w:rPr>
                <w:sz w:val="22"/>
                <w:szCs w:val="22"/>
              </w:rPr>
              <w:t>fuel distributors would be affected by the reporting requirements</w:t>
            </w:r>
            <w:r w:rsidR="004C3CB9">
              <w:rPr>
                <w:sz w:val="22"/>
                <w:szCs w:val="22"/>
              </w:rPr>
              <w:t xml:space="preserve">. All reporters </w:t>
            </w:r>
            <w:r w:rsidR="00E10258" w:rsidRPr="005A5A29">
              <w:rPr>
                <w:sz w:val="22"/>
                <w:szCs w:val="22"/>
              </w:rPr>
              <w:t xml:space="preserve">would be </w:t>
            </w:r>
            <w:r w:rsidR="00E10258">
              <w:rPr>
                <w:sz w:val="22"/>
                <w:szCs w:val="22"/>
              </w:rPr>
              <w:t>subject to</w:t>
            </w:r>
            <w:r w:rsidR="004C3CB9">
              <w:rPr>
                <w:sz w:val="22"/>
                <w:szCs w:val="22"/>
              </w:rPr>
              <w:t xml:space="preserve"> the proposed</w:t>
            </w:r>
            <w:r w:rsidR="00E10258">
              <w:rPr>
                <w:sz w:val="22"/>
                <w:szCs w:val="22"/>
              </w:rPr>
              <w:t xml:space="preserve"> </w:t>
            </w:r>
            <w:r w:rsidR="000453E7">
              <w:rPr>
                <w:sz w:val="22"/>
                <w:szCs w:val="22"/>
              </w:rPr>
              <w:t xml:space="preserve">fees. </w:t>
            </w:r>
            <w:r w:rsidR="00E10258">
              <w:rPr>
                <w:sz w:val="22"/>
                <w:szCs w:val="22"/>
              </w:rPr>
              <w:t>DEQ</w:t>
            </w:r>
            <w:r w:rsidRPr="005A5A29">
              <w:rPr>
                <w:sz w:val="22"/>
                <w:szCs w:val="22"/>
              </w:rPr>
              <w:t xml:space="preserve"> worked with Lane Regional Air Protection Agency, the Oregon Department of Energy, and the Public Utility Commission and consulted an advisory committee to develop the existing r</w:t>
            </w:r>
            <w:r w:rsidR="00E10258">
              <w:rPr>
                <w:sz w:val="22"/>
                <w:szCs w:val="22"/>
              </w:rPr>
              <w:t>eporting ru</w:t>
            </w:r>
            <w:r w:rsidRPr="005A5A29">
              <w:rPr>
                <w:sz w:val="22"/>
                <w:szCs w:val="22"/>
              </w:rPr>
              <w:t>les</w:t>
            </w:r>
            <w:r w:rsidR="004C3CB9">
              <w:rPr>
                <w:sz w:val="22"/>
                <w:szCs w:val="22"/>
              </w:rPr>
              <w:t>, and would work with these groups on this proposal</w:t>
            </w:r>
            <w:r w:rsidR="00503B4B">
              <w:rPr>
                <w:sz w:val="22"/>
                <w:szCs w:val="22"/>
              </w:rPr>
              <w:t xml:space="preserve">. </w:t>
            </w:r>
            <w:r w:rsidR="000453E7">
              <w:rPr>
                <w:sz w:val="22"/>
                <w:szCs w:val="22"/>
              </w:rPr>
              <w:t xml:space="preserve">In addition, </w:t>
            </w:r>
            <w:r w:rsidR="00503B4B">
              <w:rPr>
                <w:sz w:val="22"/>
                <w:szCs w:val="22"/>
              </w:rPr>
              <w:t>DEQ</w:t>
            </w:r>
            <w:r w:rsidR="00E10258">
              <w:rPr>
                <w:sz w:val="22"/>
                <w:szCs w:val="22"/>
              </w:rPr>
              <w:t xml:space="preserve"> </w:t>
            </w:r>
            <w:r w:rsidR="00E10258" w:rsidRPr="005A5A29">
              <w:rPr>
                <w:sz w:val="22"/>
                <w:szCs w:val="22"/>
              </w:rPr>
              <w:t>consulted power importer and fuel distributor representatives to develop the legislation that authorized the new reporting requirements.</w:t>
            </w:r>
          </w:p>
        </w:tc>
      </w:tr>
      <w:tr w:rsidR="00F94B68" w:rsidRPr="005A5A29" w:rsidTr="00B66F9B">
        <w:tc>
          <w:tcPr>
            <w:tcW w:w="1818" w:type="dxa"/>
            <w:shd w:val="clear" w:color="auto" w:fill="auto"/>
          </w:tcPr>
          <w:p w:rsidR="00F94B68" w:rsidRPr="005A5A29" w:rsidRDefault="00F94B68">
            <w:pPr>
              <w:pStyle w:val="Heading5"/>
              <w:rPr>
                <w:szCs w:val="22"/>
              </w:rPr>
            </w:pPr>
            <w:r w:rsidRPr="005A5A29">
              <w:rPr>
                <w:szCs w:val="22"/>
              </w:rPr>
              <w:t>Effects on Small Business, Individuals</w:t>
            </w:r>
          </w:p>
        </w:tc>
        <w:tc>
          <w:tcPr>
            <w:tcW w:w="9054" w:type="dxa"/>
            <w:gridSpan w:val="5"/>
            <w:shd w:val="clear" w:color="auto" w:fill="auto"/>
          </w:tcPr>
          <w:p w:rsidR="00F94B68" w:rsidRPr="005A5A29" w:rsidRDefault="00F94B68" w:rsidP="00C923AD">
            <w:pPr>
              <w:pStyle w:val="BlockText"/>
              <w:spacing w:after="80"/>
              <w:rPr>
                <w:b/>
                <w:sz w:val="22"/>
                <w:szCs w:val="22"/>
              </w:rPr>
            </w:pPr>
            <w:r w:rsidRPr="005A5A29">
              <w:rPr>
                <w:b/>
                <w:sz w:val="22"/>
                <w:szCs w:val="22"/>
              </w:rPr>
              <w:t>Do the rules affect individuals, small businesses or small communities?</w:t>
            </w:r>
            <w:r w:rsidR="001F34E0" w:rsidRPr="005A5A29">
              <w:rPr>
                <w:b/>
                <w:sz w:val="22"/>
                <w:szCs w:val="22"/>
              </w:rPr>
              <w:t xml:space="preserve"> </w:t>
            </w:r>
            <w:r w:rsidRPr="005A5A29">
              <w:rPr>
                <w:b/>
                <w:sz w:val="22"/>
                <w:szCs w:val="22"/>
              </w:rPr>
              <w:t>If so, what alternatives have been or will be explored to minimize costs, including different requirements for these entities?</w:t>
            </w:r>
            <w:r w:rsidR="001F34E0" w:rsidRPr="005A5A29">
              <w:rPr>
                <w:b/>
                <w:sz w:val="22"/>
                <w:szCs w:val="22"/>
              </w:rPr>
              <w:t xml:space="preserve"> </w:t>
            </w:r>
            <w:r w:rsidRPr="005A5A29">
              <w:rPr>
                <w:b/>
                <w:sz w:val="22"/>
                <w:szCs w:val="22"/>
              </w:rPr>
              <w:t xml:space="preserve">Have we evaluated the cumulative effect of DEQ requirements and considered existing requirements that could be repealed or modified as these new requirements are adopted? </w:t>
            </w:r>
          </w:p>
          <w:p w:rsidR="00F94B68" w:rsidRPr="00B66F9B" w:rsidRDefault="00C078BF" w:rsidP="00041B5B">
            <w:pPr>
              <w:pStyle w:val="BlockText"/>
              <w:spacing w:after="80"/>
              <w:rPr>
                <w:sz w:val="22"/>
                <w:szCs w:val="22"/>
              </w:rPr>
            </w:pPr>
            <w:r w:rsidRPr="005A5A29">
              <w:rPr>
                <w:sz w:val="22"/>
                <w:szCs w:val="22"/>
              </w:rPr>
              <w:t>The rules would affect s</w:t>
            </w:r>
            <w:r w:rsidR="004A20AA" w:rsidRPr="005A5A29">
              <w:rPr>
                <w:sz w:val="22"/>
                <w:szCs w:val="22"/>
              </w:rPr>
              <w:t>mall businesses and</w:t>
            </w:r>
            <w:r w:rsidR="00706C45">
              <w:rPr>
                <w:sz w:val="22"/>
                <w:szCs w:val="22"/>
              </w:rPr>
              <w:t xml:space="preserve"> landfills and wastewater treatment facilities operated by</w:t>
            </w:r>
            <w:r w:rsidRPr="005A5A29">
              <w:rPr>
                <w:sz w:val="22"/>
                <w:szCs w:val="22"/>
              </w:rPr>
              <w:t xml:space="preserve"> </w:t>
            </w:r>
            <w:r w:rsidRPr="00B66F9B">
              <w:rPr>
                <w:sz w:val="22"/>
                <w:szCs w:val="22"/>
              </w:rPr>
              <w:t>small communities</w:t>
            </w:r>
            <w:r w:rsidR="00417868" w:rsidRPr="00B66F9B">
              <w:rPr>
                <w:sz w:val="22"/>
                <w:szCs w:val="22"/>
              </w:rPr>
              <w:t xml:space="preserve">. </w:t>
            </w:r>
            <w:r w:rsidR="00503B4B" w:rsidRPr="00B66F9B">
              <w:rPr>
                <w:sz w:val="22"/>
                <w:szCs w:val="22"/>
              </w:rPr>
              <w:t>We</w:t>
            </w:r>
            <w:r w:rsidR="004A20AA" w:rsidRPr="00B66F9B">
              <w:rPr>
                <w:sz w:val="22"/>
                <w:szCs w:val="22"/>
              </w:rPr>
              <w:t xml:space="preserve"> </w:t>
            </w:r>
            <w:r w:rsidR="00503B4B" w:rsidRPr="00B66F9B">
              <w:rPr>
                <w:sz w:val="22"/>
                <w:szCs w:val="22"/>
              </w:rPr>
              <w:t xml:space="preserve">recommend </w:t>
            </w:r>
            <w:r w:rsidR="00D3653C" w:rsidRPr="00B66F9B">
              <w:rPr>
                <w:sz w:val="22"/>
                <w:szCs w:val="22"/>
              </w:rPr>
              <w:t>spread</w:t>
            </w:r>
            <w:r w:rsidR="00503B4B" w:rsidRPr="00B66F9B">
              <w:rPr>
                <w:sz w:val="22"/>
                <w:szCs w:val="22"/>
              </w:rPr>
              <w:t>ing</w:t>
            </w:r>
            <w:r w:rsidR="00D3653C" w:rsidRPr="00B66F9B">
              <w:rPr>
                <w:sz w:val="22"/>
                <w:szCs w:val="22"/>
              </w:rPr>
              <w:t xml:space="preserve"> the cost of the program over all reporters to keep fees as low as possible. DEQ </w:t>
            </w:r>
            <w:r w:rsidR="007A0980" w:rsidRPr="00B66F9B">
              <w:rPr>
                <w:sz w:val="22"/>
                <w:szCs w:val="22"/>
              </w:rPr>
              <w:t xml:space="preserve">would </w:t>
            </w:r>
            <w:r w:rsidR="00041B5B" w:rsidRPr="00B66F9B">
              <w:rPr>
                <w:sz w:val="22"/>
                <w:szCs w:val="22"/>
              </w:rPr>
              <w:t xml:space="preserve">request additional recommendations from the advisory committee on how to minimize costs. </w:t>
            </w:r>
            <w:r w:rsidR="008109D0">
              <w:rPr>
                <w:sz w:val="22"/>
                <w:szCs w:val="22"/>
              </w:rPr>
              <w:t>DEQ</w:t>
            </w:r>
            <w:r w:rsidR="00041B5B" w:rsidRPr="00B66F9B">
              <w:rPr>
                <w:sz w:val="22"/>
                <w:szCs w:val="22"/>
              </w:rPr>
              <w:t xml:space="preserve"> would </w:t>
            </w:r>
            <w:r w:rsidR="007A0980" w:rsidRPr="00B66F9B">
              <w:rPr>
                <w:sz w:val="22"/>
                <w:szCs w:val="22"/>
              </w:rPr>
              <w:t xml:space="preserve">explore options </w:t>
            </w:r>
            <w:r w:rsidR="00E212FB" w:rsidRPr="00B66F9B">
              <w:rPr>
                <w:sz w:val="22"/>
                <w:szCs w:val="22"/>
              </w:rPr>
              <w:t>to reduce the</w:t>
            </w:r>
            <w:r w:rsidR="00AB17E2" w:rsidRPr="00B66F9B">
              <w:rPr>
                <w:sz w:val="22"/>
                <w:szCs w:val="22"/>
              </w:rPr>
              <w:t xml:space="preserve"> reporting</w:t>
            </w:r>
            <w:r w:rsidR="007A0980" w:rsidRPr="00B66F9B">
              <w:rPr>
                <w:sz w:val="22"/>
                <w:szCs w:val="22"/>
              </w:rPr>
              <w:t xml:space="preserve"> and financial</w:t>
            </w:r>
            <w:r w:rsidR="00E212FB" w:rsidRPr="00B66F9B">
              <w:rPr>
                <w:sz w:val="22"/>
                <w:szCs w:val="22"/>
              </w:rPr>
              <w:t xml:space="preserve"> burden</w:t>
            </w:r>
            <w:r w:rsidR="007A0980" w:rsidRPr="00B66F9B">
              <w:rPr>
                <w:sz w:val="22"/>
                <w:szCs w:val="22"/>
              </w:rPr>
              <w:t>s</w:t>
            </w:r>
            <w:r w:rsidR="00E212FB" w:rsidRPr="00B66F9B">
              <w:rPr>
                <w:sz w:val="22"/>
                <w:szCs w:val="22"/>
              </w:rPr>
              <w:t xml:space="preserve"> for small </w:t>
            </w:r>
            <w:r w:rsidR="00D56415" w:rsidRPr="00B66F9B">
              <w:rPr>
                <w:sz w:val="22"/>
                <w:szCs w:val="22"/>
              </w:rPr>
              <w:t>power importers</w:t>
            </w:r>
            <w:r w:rsidR="00E212FB" w:rsidRPr="00B66F9B">
              <w:rPr>
                <w:sz w:val="22"/>
                <w:szCs w:val="22"/>
              </w:rPr>
              <w:t xml:space="preserve">, where emissions data for multiple sources may be available from a single, larger entity </w:t>
            </w:r>
            <w:r w:rsidR="00D56415" w:rsidRPr="00B66F9B">
              <w:rPr>
                <w:sz w:val="22"/>
                <w:szCs w:val="22"/>
              </w:rPr>
              <w:t xml:space="preserve">(e.g. several </w:t>
            </w:r>
            <w:r w:rsidR="00706C45">
              <w:rPr>
                <w:sz w:val="22"/>
                <w:szCs w:val="22"/>
              </w:rPr>
              <w:t>small electric utilities have no power generat</w:t>
            </w:r>
            <w:r w:rsidR="008109D0">
              <w:rPr>
                <w:sz w:val="22"/>
                <w:szCs w:val="22"/>
              </w:rPr>
              <w:t>ion,</w:t>
            </w:r>
            <w:r w:rsidR="00706C45">
              <w:rPr>
                <w:sz w:val="22"/>
                <w:szCs w:val="22"/>
              </w:rPr>
              <w:t xml:space="preserve"> and receive all of their power from the</w:t>
            </w:r>
            <w:r w:rsidR="00D56415" w:rsidRPr="00B66F9B">
              <w:rPr>
                <w:sz w:val="22"/>
                <w:szCs w:val="22"/>
              </w:rPr>
              <w:t xml:space="preserve"> Bonneville Power Administration)</w:t>
            </w:r>
            <w:r w:rsidR="00E212FB" w:rsidRPr="00B66F9B">
              <w:rPr>
                <w:sz w:val="22"/>
                <w:szCs w:val="22"/>
              </w:rPr>
              <w:t>.</w:t>
            </w:r>
          </w:p>
          <w:p w:rsidR="000C413B" w:rsidRPr="005A5A29" w:rsidRDefault="00B66F9B" w:rsidP="0073700B">
            <w:pPr>
              <w:pStyle w:val="BlockText"/>
              <w:spacing w:after="80"/>
              <w:rPr>
                <w:sz w:val="22"/>
                <w:szCs w:val="22"/>
              </w:rPr>
            </w:pPr>
            <w:r w:rsidRPr="005A5A29">
              <w:rPr>
                <w:sz w:val="22"/>
                <w:szCs w:val="22"/>
              </w:rPr>
              <w:t xml:space="preserve">Sources affected by this proposal that hold </w:t>
            </w:r>
            <w:r w:rsidR="009E2031">
              <w:rPr>
                <w:sz w:val="22"/>
                <w:szCs w:val="22"/>
              </w:rPr>
              <w:t>ACDP</w:t>
            </w:r>
            <w:r w:rsidRPr="005A5A29">
              <w:rPr>
                <w:sz w:val="22"/>
                <w:szCs w:val="22"/>
              </w:rPr>
              <w:t xml:space="preserve"> </w:t>
            </w:r>
            <w:r w:rsidRPr="00A210E9">
              <w:rPr>
                <w:sz w:val="22"/>
                <w:szCs w:val="22"/>
              </w:rPr>
              <w:t xml:space="preserve">(100) </w:t>
            </w:r>
            <w:r w:rsidRPr="005A5A29">
              <w:rPr>
                <w:sz w:val="22"/>
                <w:szCs w:val="22"/>
              </w:rPr>
              <w:t xml:space="preserve">or Title V permits </w:t>
            </w:r>
            <w:r w:rsidRPr="00A210E9">
              <w:rPr>
                <w:sz w:val="22"/>
                <w:szCs w:val="22"/>
              </w:rPr>
              <w:t xml:space="preserve">(54) </w:t>
            </w:r>
            <w:r w:rsidRPr="005A5A29">
              <w:rPr>
                <w:sz w:val="22"/>
                <w:szCs w:val="22"/>
              </w:rPr>
              <w:t>are subject to</w:t>
            </w:r>
            <w:r w:rsidR="00EB60D2">
              <w:rPr>
                <w:sz w:val="22"/>
                <w:szCs w:val="22"/>
              </w:rPr>
              <w:t xml:space="preserve"> other</w:t>
            </w:r>
            <w:r w:rsidRPr="005A5A29">
              <w:rPr>
                <w:sz w:val="22"/>
                <w:szCs w:val="22"/>
              </w:rPr>
              <w:t xml:space="preserve"> </w:t>
            </w:r>
            <w:r>
              <w:rPr>
                <w:sz w:val="22"/>
                <w:szCs w:val="22"/>
              </w:rPr>
              <w:t xml:space="preserve">permit </w:t>
            </w:r>
            <w:r w:rsidRPr="005A5A29">
              <w:rPr>
                <w:sz w:val="22"/>
                <w:szCs w:val="22"/>
              </w:rPr>
              <w:t>fees in th</w:t>
            </w:r>
            <w:r w:rsidR="0073700B">
              <w:rPr>
                <w:sz w:val="22"/>
                <w:szCs w:val="22"/>
              </w:rPr>
              <w:t>o</w:t>
            </w:r>
            <w:r w:rsidRPr="005A5A29">
              <w:rPr>
                <w:sz w:val="22"/>
                <w:szCs w:val="22"/>
              </w:rPr>
              <w:t xml:space="preserve">se programs. </w:t>
            </w:r>
            <w:r w:rsidR="004C3CB9">
              <w:rPr>
                <w:sz w:val="22"/>
                <w:szCs w:val="22"/>
              </w:rPr>
              <w:t xml:space="preserve">While we would issue a supplemental invoice </w:t>
            </w:r>
            <w:r w:rsidR="00BF1B35">
              <w:rPr>
                <w:sz w:val="22"/>
                <w:szCs w:val="22"/>
              </w:rPr>
              <w:t xml:space="preserve">in 2009 for the </w:t>
            </w:r>
            <w:r w:rsidR="004C3CB9">
              <w:rPr>
                <w:sz w:val="22"/>
                <w:szCs w:val="22"/>
              </w:rPr>
              <w:t>fees</w:t>
            </w:r>
            <w:r w:rsidR="00BF1B35">
              <w:rPr>
                <w:sz w:val="22"/>
                <w:szCs w:val="22"/>
              </w:rPr>
              <w:t xml:space="preserve"> in this rulemaking proposal</w:t>
            </w:r>
            <w:r w:rsidR="004C3CB9">
              <w:rPr>
                <w:sz w:val="22"/>
                <w:szCs w:val="22"/>
              </w:rPr>
              <w:t>, w</w:t>
            </w:r>
            <w:r w:rsidR="000C413B" w:rsidRPr="00A210E9">
              <w:rPr>
                <w:sz w:val="22"/>
                <w:szCs w:val="22"/>
              </w:rPr>
              <w:t xml:space="preserve">e would coordinate billing so that sources </w:t>
            </w:r>
            <w:r w:rsidRPr="00A210E9">
              <w:rPr>
                <w:sz w:val="22"/>
                <w:szCs w:val="22"/>
              </w:rPr>
              <w:t>subject to</w:t>
            </w:r>
            <w:r w:rsidR="00EB60D2">
              <w:rPr>
                <w:sz w:val="22"/>
                <w:szCs w:val="22"/>
              </w:rPr>
              <w:t xml:space="preserve"> these programs </w:t>
            </w:r>
            <w:r w:rsidR="00A210E9">
              <w:rPr>
                <w:sz w:val="22"/>
                <w:szCs w:val="22"/>
              </w:rPr>
              <w:t>receive only one invoic</w:t>
            </w:r>
            <w:r w:rsidR="00EB60D2">
              <w:rPr>
                <w:sz w:val="22"/>
                <w:szCs w:val="22"/>
              </w:rPr>
              <w:t>e</w:t>
            </w:r>
            <w:r w:rsidR="0014561E">
              <w:rPr>
                <w:sz w:val="22"/>
                <w:szCs w:val="22"/>
              </w:rPr>
              <w:t xml:space="preserve"> in future years</w:t>
            </w:r>
            <w:r w:rsidR="00EB60D2">
              <w:rPr>
                <w:sz w:val="22"/>
                <w:szCs w:val="22"/>
              </w:rPr>
              <w:t>.</w:t>
            </w:r>
          </w:p>
        </w:tc>
      </w:tr>
      <w:tr w:rsidR="00F94B68" w:rsidRPr="007F2849" w:rsidTr="00C923AD">
        <w:trPr>
          <w:cantSplit/>
        </w:trPr>
        <w:tc>
          <w:tcPr>
            <w:tcW w:w="10872" w:type="dxa"/>
            <w:gridSpan w:val="6"/>
            <w:shd w:val="clear" w:color="auto" w:fill="auto"/>
          </w:tcPr>
          <w:p w:rsidR="00F94B68" w:rsidRPr="007F2849" w:rsidRDefault="00F94B68" w:rsidP="00C923AD">
            <w:pPr>
              <w:pStyle w:val="MapTitleContinued"/>
              <w:spacing w:after="0"/>
            </w:pPr>
            <w:r w:rsidRPr="007F2849">
              <w:t>Rulemaking Process</w:t>
            </w:r>
          </w:p>
        </w:tc>
      </w:tr>
      <w:tr w:rsidR="00F94B68" w:rsidRPr="007F2849" w:rsidTr="00C22B95">
        <w:trPr>
          <w:cantSplit/>
        </w:trPr>
        <w:tc>
          <w:tcPr>
            <w:tcW w:w="1818" w:type="dxa"/>
            <w:shd w:val="clear" w:color="auto" w:fill="auto"/>
          </w:tcPr>
          <w:p w:rsidR="00F94B68" w:rsidRPr="007F2849" w:rsidRDefault="00F94B68">
            <w:pPr>
              <w:pStyle w:val="Heading5"/>
            </w:pPr>
            <w:r w:rsidRPr="007F2849">
              <w:t xml:space="preserve">Rulemaking Team </w:t>
            </w:r>
          </w:p>
        </w:tc>
        <w:tc>
          <w:tcPr>
            <w:tcW w:w="9054" w:type="dxa"/>
            <w:gridSpan w:val="5"/>
            <w:shd w:val="clear" w:color="auto" w:fill="auto"/>
          </w:tcPr>
          <w:p w:rsidR="00F94B68" w:rsidRPr="007F2849" w:rsidRDefault="00F94B68" w:rsidP="00947E52">
            <w:pPr>
              <w:pStyle w:val="BlockText"/>
            </w:pPr>
          </w:p>
        </w:tc>
      </w:tr>
      <w:tr w:rsidR="00F94B68" w:rsidRPr="007F2849" w:rsidTr="00C22B95">
        <w:trPr>
          <w:gridBefore w:val="1"/>
          <w:wBefore w:w="1818" w:type="dxa"/>
          <w:cantSplit/>
        </w:trPr>
        <w:tc>
          <w:tcPr>
            <w:tcW w:w="2430" w:type="dxa"/>
            <w:shd w:val="clear" w:color="auto" w:fill="auto"/>
          </w:tcPr>
          <w:p w:rsidR="00F94B68" w:rsidRPr="007F2849" w:rsidRDefault="00F94B68">
            <w:pPr>
              <w:pStyle w:val="TableHeaderText"/>
            </w:pPr>
            <w:r w:rsidRPr="007F2849">
              <w:t xml:space="preserve">Rulemaking Team </w:t>
            </w:r>
          </w:p>
        </w:tc>
        <w:tc>
          <w:tcPr>
            <w:tcW w:w="2070" w:type="dxa"/>
            <w:shd w:val="clear" w:color="auto" w:fill="auto"/>
          </w:tcPr>
          <w:p w:rsidR="00F94B68" w:rsidRPr="007F2849" w:rsidRDefault="00F94B68">
            <w:pPr>
              <w:pStyle w:val="TableHeaderText"/>
            </w:pPr>
            <w:r w:rsidRPr="007F2849">
              <w:t>Member Name</w:t>
            </w:r>
          </w:p>
        </w:tc>
        <w:tc>
          <w:tcPr>
            <w:tcW w:w="1620" w:type="dxa"/>
            <w:gridSpan w:val="2"/>
            <w:shd w:val="clear" w:color="auto" w:fill="auto"/>
          </w:tcPr>
          <w:p w:rsidR="00F94B68" w:rsidRPr="007F2849" w:rsidRDefault="00F94B68">
            <w:pPr>
              <w:pStyle w:val="TableHeaderText"/>
            </w:pPr>
            <w:r w:rsidRPr="007F2849">
              <w:t>Time estimate</w:t>
            </w:r>
          </w:p>
        </w:tc>
        <w:tc>
          <w:tcPr>
            <w:tcW w:w="2934" w:type="dxa"/>
            <w:shd w:val="clear" w:color="auto" w:fill="auto"/>
          </w:tcPr>
          <w:p w:rsidR="00F94B68" w:rsidRPr="007F2849" w:rsidRDefault="00F94B68">
            <w:pPr>
              <w:pStyle w:val="TableHeaderText"/>
            </w:pPr>
            <w:r w:rsidRPr="007F2849">
              <w:t>Duration</w:t>
            </w: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Sponsoring DA</w:t>
            </w:r>
          </w:p>
        </w:tc>
        <w:tc>
          <w:tcPr>
            <w:tcW w:w="2070" w:type="dxa"/>
            <w:shd w:val="clear" w:color="auto" w:fill="auto"/>
          </w:tcPr>
          <w:p w:rsidR="004A20AA" w:rsidRPr="00877154" w:rsidRDefault="004A20AA" w:rsidP="000A73A5">
            <w:pPr>
              <w:rPr>
                <w:sz w:val="22"/>
                <w:szCs w:val="22"/>
              </w:rPr>
            </w:pPr>
            <w:r w:rsidRPr="00877154">
              <w:rPr>
                <w:sz w:val="22"/>
                <w:szCs w:val="22"/>
              </w:rPr>
              <w:t xml:space="preserve">Andy Ginsburg, Air </w:t>
            </w:r>
            <w:r>
              <w:rPr>
                <w:sz w:val="22"/>
                <w:szCs w:val="22"/>
              </w:rPr>
              <w:t>Quality Division Administrator</w:t>
            </w: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947E52">
            <w:pPr>
              <w:pStyle w:val="TableText"/>
            </w:pPr>
            <w:r>
              <w:t>11 months</w:t>
            </w: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Lead Manager</w:t>
            </w:r>
          </w:p>
        </w:tc>
        <w:tc>
          <w:tcPr>
            <w:tcW w:w="2070" w:type="dxa"/>
            <w:shd w:val="clear" w:color="auto" w:fill="auto"/>
          </w:tcPr>
          <w:p w:rsidR="004A20AA" w:rsidRPr="00877154" w:rsidRDefault="004A20AA" w:rsidP="000A73A5">
            <w:pPr>
              <w:pStyle w:val="TableText"/>
              <w:rPr>
                <w:sz w:val="22"/>
                <w:szCs w:val="22"/>
              </w:rPr>
            </w:pPr>
            <w:r w:rsidRPr="00877154">
              <w:rPr>
                <w:sz w:val="22"/>
                <w:szCs w:val="22"/>
              </w:rPr>
              <w:t>Uri Papish (project lead)</w:t>
            </w:r>
            <w:r>
              <w:rPr>
                <w:sz w:val="22"/>
                <w:szCs w:val="22"/>
              </w:rPr>
              <w:t>;</w:t>
            </w:r>
            <w:r w:rsidRPr="00877154">
              <w:rPr>
                <w:sz w:val="22"/>
                <w:szCs w:val="22"/>
              </w:rPr>
              <w:t xml:space="preserve"> Jeffrey Stocum (technical lead)</w:t>
            </w: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947E52">
            <w:pPr>
              <w:pStyle w:val="TableText"/>
            </w:pPr>
            <w:r>
              <w:t>11 months</w:t>
            </w: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Rulemaking Project Lead</w:t>
            </w:r>
          </w:p>
        </w:tc>
        <w:tc>
          <w:tcPr>
            <w:tcW w:w="2070" w:type="dxa"/>
            <w:shd w:val="clear" w:color="auto" w:fill="auto"/>
          </w:tcPr>
          <w:p w:rsidR="004A20AA" w:rsidRPr="00877154" w:rsidRDefault="004A20AA" w:rsidP="000A73A5">
            <w:pPr>
              <w:pStyle w:val="TableText"/>
              <w:rPr>
                <w:sz w:val="22"/>
                <w:szCs w:val="22"/>
              </w:rPr>
            </w:pPr>
            <w:r>
              <w:rPr>
                <w:sz w:val="22"/>
                <w:szCs w:val="22"/>
              </w:rPr>
              <w:t>Andrea Curtis</w:t>
            </w:r>
            <w:r w:rsidRPr="00877154">
              <w:rPr>
                <w:sz w:val="22"/>
                <w:szCs w:val="22"/>
              </w:rPr>
              <w:t xml:space="preserve"> (</w:t>
            </w:r>
            <w:r>
              <w:rPr>
                <w:sz w:val="22"/>
                <w:szCs w:val="22"/>
              </w:rPr>
              <w:t>project</w:t>
            </w:r>
            <w:r w:rsidRPr="00877154">
              <w:rPr>
                <w:sz w:val="22"/>
                <w:szCs w:val="22"/>
              </w:rPr>
              <w:t xml:space="preserve"> lead)</w:t>
            </w:r>
            <w:r>
              <w:rPr>
                <w:sz w:val="22"/>
                <w:szCs w:val="22"/>
              </w:rPr>
              <w:t>;</w:t>
            </w:r>
            <w:r w:rsidRPr="00877154">
              <w:rPr>
                <w:sz w:val="22"/>
                <w:szCs w:val="22"/>
              </w:rPr>
              <w:t xml:space="preserve"> Brandy Albertson (technical lead)</w:t>
            </w: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947E52">
            <w:pPr>
              <w:pStyle w:val="TableText"/>
            </w:pPr>
            <w:r>
              <w:t>11 months</w:t>
            </w: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Regional Manager</w:t>
            </w:r>
          </w:p>
        </w:tc>
        <w:tc>
          <w:tcPr>
            <w:tcW w:w="2070" w:type="dxa"/>
            <w:shd w:val="clear" w:color="auto" w:fill="auto"/>
          </w:tcPr>
          <w:p w:rsidR="004A20AA" w:rsidRPr="00877154" w:rsidRDefault="004A20AA" w:rsidP="000A73A5">
            <w:pPr>
              <w:pStyle w:val="TableText"/>
              <w:rPr>
                <w:sz w:val="22"/>
                <w:szCs w:val="22"/>
              </w:rPr>
            </w:pP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4A20AA">
            <w:pPr>
              <w:pStyle w:val="TableText"/>
            </w:pP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Regional staff</w:t>
            </w:r>
          </w:p>
        </w:tc>
        <w:tc>
          <w:tcPr>
            <w:tcW w:w="2070" w:type="dxa"/>
            <w:shd w:val="clear" w:color="auto" w:fill="auto"/>
          </w:tcPr>
          <w:p w:rsidR="004A20AA" w:rsidRPr="00877154" w:rsidRDefault="004A20AA" w:rsidP="000A73A5">
            <w:pPr>
              <w:rPr>
                <w:sz w:val="22"/>
                <w:szCs w:val="22"/>
              </w:rPr>
            </w:pP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4A20AA">
            <w:pPr>
              <w:pStyle w:val="TableText"/>
            </w:pP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Other programs/divisions</w:t>
            </w:r>
          </w:p>
        </w:tc>
        <w:tc>
          <w:tcPr>
            <w:tcW w:w="2070" w:type="dxa"/>
            <w:shd w:val="clear" w:color="auto" w:fill="auto"/>
          </w:tcPr>
          <w:p w:rsidR="004A20AA" w:rsidRPr="00877154" w:rsidRDefault="004A20AA" w:rsidP="000A73A5">
            <w:pPr>
              <w:rPr>
                <w:sz w:val="22"/>
                <w:szCs w:val="22"/>
              </w:rPr>
            </w:pP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4A20AA">
            <w:pPr>
              <w:pStyle w:val="TableText"/>
            </w:pPr>
          </w:p>
        </w:tc>
      </w:tr>
      <w:tr w:rsidR="004A20AA" w:rsidRPr="007F2849" w:rsidTr="00C22B95">
        <w:trPr>
          <w:gridBefore w:val="1"/>
          <w:wBefore w:w="1818" w:type="dxa"/>
          <w:cantSplit/>
        </w:trPr>
        <w:tc>
          <w:tcPr>
            <w:tcW w:w="2430" w:type="dxa"/>
            <w:shd w:val="clear" w:color="auto" w:fill="auto"/>
          </w:tcPr>
          <w:p w:rsidR="004A20AA" w:rsidRPr="0005498D" w:rsidRDefault="004A20AA" w:rsidP="000A73A5">
            <w:pPr>
              <w:pStyle w:val="TableText"/>
              <w:rPr>
                <w:sz w:val="22"/>
                <w:szCs w:val="22"/>
              </w:rPr>
            </w:pPr>
            <w:r w:rsidRPr="0005498D">
              <w:rPr>
                <w:sz w:val="22"/>
                <w:szCs w:val="22"/>
              </w:rPr>
              <w:t>Other agencies</w:t>
            </w:r>
          </w:p>
        </w:tc>
        <w:tc>
          <w:tcPr>
            <w:tcW w:w="2070" w:type="dxa"/>
            <w:shd w:val="clear" w:color="auto" w:fill="auto"/>
          </w:tcPr>
          <w:p w:rsidR="004A20AA" w:rsidRPr="00877154" w:rsidRDefault="004A20AA" w:rsidP="000A73A5">
            <w:pPr>
              <w:pStyle w:val="TableText"/>
              <w:rPr>
                <w:sz w:val="22"/>
                <w:szCs w:val="22"/>
              </w:rPr>
            </w:pPr>
            <w:r w:rsidRPr="00877154">
              <w:rPr>
                <w:sz w:val="22"/>
                <w:szCs w:val="22"/>
              </w:rPr>
              <w:t xml:space="preserve">Merlyn Hough, Lane Regional Air Protection Agency; Paul </w:t>
            </w:r>
            <w:smartTag w:uri="urn:schemas-microsoft-com:office:smarttags" w:element="place">
              <w:smartTag w:uri="urn:schemas-microsoft-com:office:smarttags" w:element="City">
                <w:r w:rsidRPr="00877154">
                  <w:rPr>
                    <w:sz w:val="22"/>
                    <w:szCs w:val="22"/>
                  </w:rPr>
                  <w:t>Logan</w:t>
                </w:r>
              </w:smartTag>
              <w:r w:rsidRPr="00877154">
                <w:rPr>
                  <w:sz w:val="22"/>
                  <w:szCs w:val="22"/>
                </w:rPr>
                <w:t xml:space="preserve">, </w:t>
              </w:r>
              <w:smartTag w:uri="urn:schemas-microsoft-com:office:smarttags" w:element="State">
                <w:r w:rsidRPr="00877154">
                  <w:rPr>
                    <w:sz w:val="22"/>
                    <w:szCs w:val="22"/>
                  </w:rPr>
                  <w:t>Oregon</w:t>
                </w:r>
              </w:smartTag>
            </w:smartTag>
            <w:r w:rsidRPr="00877154">
              <w:rPr>
                <w:sz w:val="22"/>
                <w:szCs w:val="22"/>
              </w:rPr>
              <w:t xml:space="preserve"> Dept. of Justice</w:t>
            </w:r>
          </w:p>
        </w:tc>
        <w:tc>
          <w:tcPr>
            <w:tcW w:w="1620" w:type="dxa"/>
            <w:gridSpan w:val="2"/>
            <w:shd w:val="clear" w:color="auto" w:fill="auto"/>
          </w:tcPr>
          <w:p w:rsidR="004A20AA" w:rsidRPr="007F2849" w:rsidRDefault="004A20AA">
            <w:pPr>
              <w:pStyle w:val="TableText"/>
            </w:pPr>
          </w:p>
        </w:tc>
        <w:tc>
          <w:tcPr>
            <w:tcW w:w="2934" w:type="dxa"/>
            <w:shd w:val="clear" w:color="auto" w:fill="auto"/>
          </w:tcPr>
          <w:p w:rsidR="004A20AA" w:rsidRPr="007F2849" w:rsidRDefault="004A20AA">
            <w:pPr>
              <w:pStyle w:val="TableText"/>
            </w:pPr>
          </w:p>
        </w:tc>
      </w:tr>
      <w:tr w:rsidR="00F94B68" w:rsidRPr="007F2849" w:rsidTr="00C22B95">
        <w:trPr>
          <w:cantSplit/>
        </w:trPr>
        <w:tc>
          <w:tcPr>
            <w:tcW w:w="1818" w:type="dxa"/>
            <w:shd w:val="clear" w:color="auto" w:fill="auto"/>
          </w:tcPr>
          <w:p w:rsidR="00F94B68" w:rsidRPr="007F2849" w:rsidRDefault="00F94B68">
            <w:pPr>
              <w:pStyle w:val="Heading5"/>
            </w:pPr>
            <w:r w:rsidRPr="007F2849">
              <w:t>Advisory Process</w:t>
            </w:r>
          </w:p>
        </w:tc>
        <w:tc>
          <w:tcPr>
            <w:tcW w:w="9054" w:type="dxa"/>
            <w:gridSpan w:val="5"/>
            <w:shd w:val="clear" w:color="auto" w:fill="auto"/>
          </w:tcPr>
          <w:p w:rsidR="00F94B68" w:rsidRPr="007F2849" w:rsidRDefault="004A20AA" w:rsidP="00CC1CA9">
            <w:r w:rsidRPr="0005498D">
              <w:rPr>
                <w:sz w:val="22"/>
                <w:szCs w:val="22"/>
              </w:rPr>
              <w:t>DEQ</w:t>
            </w:r>
            <w:r>
              <w:rPr>
                <w:sz w:val="22"/>
                <w:szCs w:val="22"/>
              </w:rPr>
              <w:t xml:space="preserve"> would</w:t>
            </w:r>
            <w:r w:rsidRPr="0005498D">
              <w:rPr>
                <w:sz w:val="22"/>
                <w:szCs w:val="22"/>
              </w:rPr>
              <w:t xml:space="preserve"> </w:t>
            </w:r>
            <w:r w:rsidR="00503B4B">
              <w:rPr>
                <w:sz w:val="22"/>
                <w:szCs w:val="22"/>
              </w:rPr>
              <w:t>form</w:t>
            </w:r>
            <w:r w:rsidRPr="0005498D">
              <w:rPr>
                <w:sz w:val="22"/>
                <w:szCs w:val="22"/>
              </w:rPr>
              <w:t xml:space="preserve"> an advisory committee to discuss issues and make recommendations on </w:t>
            </w:r>
            <w:r>
              <w:rPr>
                <w:sz w:val="22"/>
                <w:szCs w:val="22"/>
              </w:rPr>
              <w:t xml:space="preserve">the </w:t>
            </w:r>
            <w:r w:rsidR="004C3CB9">
              <w:rPr>
                <w:sz w:val="22"/>
                <w:szCs w:val="22"/>
              </w:rPr>
              <w:t>proposed rules and bill language</w:t>
            </w:r>
            <w:r w:rsidRPr="00D5631C">
              <w:rPr>
                <w:sz w:val="22"/>
                <w:szCs w:val="22"/>
              </w:rPr>
              <w:t xml:space="preserve">. </w:t>
            </w:r>
            <w:r w:rsidR="00702FE9">
              <w:rPr>
                <w:sz w:val="22"/>
                <w:szCs w:val="22"/>
              </w:rPr>
              <w:t xml:space="preserve">DEQ would recruit </w:t>
            </w:r>
            <w:r w:rsidR="00702FE9" w:rsidRPr="00D5631C">
              <w:rPr>
                <w:sz w:val="22"/>
                <w:szCs w:val="22"/>
              </w:rPr>
              <w:t xml:space="preserve">participants from </w:t>
            </w:r>
            <w:r w:rsidR="00702FE9">
              <w:rPr>
                <w:sz w:val="22"/>
                <w:szCs w:val="22"/>
              </w:rPr>
              <w:t>the</w:t>
            </w:r>
            <w:r w:rsidR="00702FE9" w:rsidRPr="00D5631C">
              <w:rPr>
                <w:sz w:val="22"/>
                <w:szCs w:val="22"/>
              </w:rPr>
              <w:t xml:space="preserve"> committee</w:t>
            </w:r>
            <w:r w:rsidR="00702FE9">
              <w:rPr>
                <w:sz w:val="22"/>
                <w:szCs w:val="22"/>
              </w:rPr>
              <w:t xml:space="preserve"> formed </w:t>
            </w:r>
            <w:r w:rsidR="00503B4B">
              <w:rPr>
                <w:sz w:val="22"/>
                <w:szCs w:val="22"/>
              </w:rPr>
              <w:t xml:space="preserve">in 2008 for the existing rules and add </w:t>
            </w:r>
            <w:r w:rsidR="00A210E9">
              <w:rPr>
                <w:sz w:val="22"/>
                <w:szCs w:val="22"/>
              </w:rPr>
              <w:t>representation for power importers, fuel distributors and the public</w:t>
            </w:r>
            <w:r w:rsidR="00503B4B">
              <w:rPr>
                <w:sz w:val="22"/>
                <w:szCs w:val="22"/>
              </w:rPr>
              <w:t xml:space="preserve">. </w:t>
            </w:r>
            <w:r w:rsidR="0073700B">
              <w:rPr>
                <w:sz w:val="22"/>
                <w:szCs w:val="22"/>
              </w:rPr>
              <w:t>DEQ</w:t>
            </w:r>
            <w:r w:rsidR="00702FE9">
              <w:rPr>
                <w:sz w:val="22"/>
                <w:szCs w:val="22"/>
              </w:rPr>
              <w:t xml:space="preserve"> would balance </w:t>
            </w:r>
            <w:r w:rsidRPr="00D5631C">
              <w:rPr>
                <w:sz w:val="22"/>
                <w:szCs w:val="22"/>
              </w:rPr>
              <w:t xml:space="preserve">advisory committee recommendations with </w:t>
            </w:r>
            <w:r w:rsidR="00702FE9">
              <w:rPr>
                <w:sz w:val="22"/>
                <w:szCs w:val="22"/>
              </w:rPr>
              <w:t xml:space="preserve">objectives of legislative directives, </w:t>
            </w:r>
            <w:r w:rsidRPr="00D5631C">
              <w:rPr>
                <w:sz w:val="22"/>
                <w:szCs w:val="22"/>
              </w:rPr>
              <w:t xml:space="preserve">the Western Climate Initiative and other factors. </w:t>
            </w:r>
          </w:p>
        </w:tc>
      </w:tr>
      <w:tr w:rsidR="00F94B68" w:rsidRPr="007F2849" w:rsidTr="00C22B95">
        <w:trPr>
          <w:cantSplit/>
        </w:trPr>
        <w:tc>
          <w:tcPr>
            <w:tcW w:w="1818" w:type="dxa"/>
            <w:shd w:val="clear" w:color="auto" w:fill="auto"/>
          </w:tcPr>
          <w:p w:rsidR="00F94B68" w:rsidRPr="007F2849" w:rsidRDefault="00F94B68">
            <w:pPr>
              <w:pStyle w:val="Heading5"/>
            </w:pPr>
            <w:r w:rsidRPr="007F2849">
              <w:t>Public Involvement</w:t>
            </w:r>
          </w:p>
        </w:tc>
        <w:tc>
          <w:tcPr>
            <w:tcW w:w="9054" w:type="dxa"/>
            <w:gridSpan w:val="5"/>
            <w:shd w:val="clear" w:color="auto" w:fill="auto"/>
          </w:tcPr>
          <w:p w:rsidR="00F94B68" w:rsidRPr="007F2849" w:rsidRDefault="00702FE9" w:rsidP="00CC1CA9">
            <w:pPr>
              <w:pStyle w:val="BlockText"/>
            </w:pPr>
            <w:r>
              <w:rPr>
                <w:sz w:val="22"/>
                <w:szCs w:val="22"/>
              </w:rPr>
              <w:t>In August 2009,</w:t>
            </w:r>
            <w:r w:rsidR="004A20AA" w:rsidRPr="00072045">
              <w:rPr>
                <w:sz w:val="22"/>
                <w:szCs w:val="22"/>
              </w:rPr>
              <w:t xml:space="preserve"> DEQ would notify interested parties and </w:t>
            </w:r>
            <w:r w:rsidR="004A20AA">
              <w:rPr>
                <w:sz w:val="22"/>
                <w:szCs w:val="22"/>
              </w:rPr>
              <w:t>affected businesses</w:t>
            </w:r>
            <w:r w:rsidR="004A20AA" w:rsidRPr="00072045">
              <w:rPr>
                <w:sz w:val="22"/>
                <w:szCs w:val="22"/>
              </w:rPr>
              <w:t xml:space="preserve"> about th</w:t>
            </w:r>
            <w:r>
              <w:rPr>
                <w:sz w:val="22"/>
                <w:szCs w:val="22"/>
              </w:rPr>
              <w:t>is</w:t>
            </w:r>
            <w:r w:rsidR="004A20AA" w:rsidRPr="00072045">
              <w:rPr>
                <w:sz w:val="22"/>
                <w:szCs w:val="22"/>
              </w:rPr>
              <w:t xml:space="preserve"> proposal and </w:t>
            </w:r>
            <w:r>
              <w:rPr>
                <w:sz w:val="22"/>
                <w:szCs w:val="22"/>
              </w:rPr>
              <w:t xml:space="preserve">upcoming </w:t>
            </w:r>
            <w:r w:rsidR="004A20AA" w:rsidRPr="00072045">
              <w:rPr>
                <w:sz w:val="22"/>
                <w:szCs w:val="22"/>
              </w:rPr>
              <w:t xml:space="preserve">advisory committee meetings. </w:t>
            </w:r>
            <w:r w:rsidR="000453E7" w:rsidRPr="00D5631C">
              <w:rPr>
                <w:sz w:val="22"/>
                <w:szCs w:val="22"/>
              </w:rPr>
              <w:t>The draft rules would be available for comment</w:t>
            </w:r>
            <w:r w:rsidR="000453E7">
              <w:rPr>
                <w:sz w:val="22"/>
                <w:szCs w:val="22"/>
              </w:rPr>
              <w:t xml:space="preserve"> during the </w:t>
            </w:r>
            <w:r w:rsidR="0014561E">
              <w:rPr>
                <w:sz w:val="22"/>
                <w:szCs w:val="22"/>
              </w:rPr>
              <w:t xml:space="preserve">public forum </w:t>
            </w:r>
            <w:r w:rsidR="00A210E9">
              <w:rPr>
                <w:sz w:val="22"/>
                <w:szCs w:val="22"/>
              </w:rPr>
              <w:t>for the temporary rulemaking.</w:t>
            </w:r>
            <w:r w:rsidR="000453E7">
              <w:rPr>
                <w:sz w:val="22"/>
                <w:szCs w:val="22"/>
              </w:rPr>
              <w:t xml:space="preserve"> </w:t>
            </w:r>
            <w:r w:rsidR="00A210E9">
              <w:rPr>
                <w:sz w:val="22"/>
                <w:szCs w:val="22"/>
              </w:rPr>
              <w:t>DEQ</w:t>
            </w:r>
            <w:r w:rsidR="004A20AA" w:rsidRPr="00072045">
              <w:rPr>
                <w:sz w:val="22"/>
                <w:szCs w:val="22"/>
              </w:rPr>
              <w:t xml:space="preserve"> would post notice of committee meetings and other relevant information on its website</w:t>
            </w:r>
            <w:r w:rsidR="004A20AA">
              <w:rPr>
                <w:sz w:val="22"/>
                <w:szCs w:val="22"/>
              </w:rPr>
              <w:t xml:space="preserve">. </w:t>
            </w:r>
            <w:r w:rsidR="00A210E9">
              <w:rPr>
                <w:sz w:val="22"/>
                <w:szCs w:val="22"/>
              </w:rPr>
              <w:t xml:space="preserve">It </w:t>
            </w:r>
            <w:r w:rsidR="004A20AA" w:rsidRPr="00072045">
              <w:rPr>
                <w:sz w:val="22"/>
                <w:szCs w:val="22"/>
              </w:rPr>
              <w:t>would</w:t>
            </w:r>
            <w:r w:rsidR="000453E7">
              <w:rPr>
                <w:sz w:val="22"/>
                <w:szCs w:val="22"/>
              </w:rPr>
              <w:t xml:space="preserve"> also</w:t>
            </w:r>
            <w:r w:rsidR="004A20AA" w:rsidRPr="00072045">
              <w:rPr>
                <w:sz w:val="22"/>
                <w:szCs w:val="22"/>
              </w:rPr>
              <w:t xml:space="preserve"> involve the public through the required public notice and c</w:t>
            </w:r>
            <w:r w:rsidR="00CC1CA9">
              <w:rPr>
                <w:sz w:val="22"/>
                <w:szCs w:val="22"/>
              </w:rPr>
              <w:t xml:space="preserve">omment process for the regular </w:t>
            </w:r>
            <w:r w:rsidR="004A20AA" w:rsidRPr="00072045">
              <w:rPr>
                <w:sz w:val="22"/>
                <w:szCs w:val="22"/>
              </w:rPr>
              <w:t>rulemaking.</w:t>
            </w:r>
          </w:p>
        </w:tc>
      </w:tr>
      <w:tr w:rsidR="00F94B68" w:rsidRPr="007F2849" w:rsidTr="00C22B95">
        <w:trPr>
          <w:cantSplit/>
        </w:trPr>
        <w:tc>
          <w:tcPr>
            <w:tcW w:w="1818" w:type="dxa"/>
            <w:shd w:val="clear" w:color="auto" w:fill="auto"/>
          </w:tcPr>
          <w:p w:rsidR="00F94B68" w:rsidRPr="007F2849" w:rsidRDefault="00F94B68">
            <w:pPr>
              <w:pStyle w:val="Heading5"/>
            </w:pPr>
            <w:r w:rsidRPr="007F2849">
              <w:t>EQC Involvement</w:t>
            </w:r>
          </w:p>
        </w:tc>
        <w:tc>
          <w:tcPr>
            <w:tcW w:w="9054" w:type="dxa"/>
            <w:gridSpan w:val="5"/>
            <w:shd w:val="clear" w:color="auto" w:fill="auto"/>
          </w:tcPr>
          <w:p w:rsidR="00F94B68" w:rsidRPr="007F2849" w:rsidRDefault="00503B4B" w:rsidP="00041B5B">
            <w:pPr>
              <w:pStyle w:val="BlockText"/>
            </w:pPr>
            <w:r>
              <w:rPr>
                <w:sz w:val="22"/>
                <w:szCs w:val="22"/>
              </w:rPr>
              <w:t>AQ</w:t>
            </w:r>
            <w:r w:rsidR="00041B5B">
              <w:rPr>
                <w:sz w:val="22"/>
                <w:szCs w:val="22"/>
              </w:rPr>
              <w:t xml:space="preserve"> would keep the commission informed through the director’s dialogue commission meetings</w:t>
            </w:r>
            <w:r w:rsidRPr="00D3653C">
              <w:rPr>
                <w:sz w:val="22"/>
                <w:szCs w:val="22"/>
              </w:rPr>
              <w:t>.</w:t>
            </w:r>
            <w:r>
              <w:rPr>
                <w:sz w:val="22"/>
                <w:szCs w:val="22"/>
              </w:rPr>
              <w:t xml:space="preserve"> </w:t>
            </w:r>
            <w:r w:rsidR="004A20AA">
              <w:rPr>
                <w:sz w:val="22"/>
                <w:szCs w:val="22"/>
              </w:rPr>
              <w:t xml:space="preserve">DEQ kept the commission informed of </w:t>
            </w:r>
            <w:r w:rsidR="00D3653C">
              <w:rPr>
                <w:sz w:val="22"/>
                <w:szCs w:val="22"/>
              </w:rPr>
              <w:t>the</w:t>
            </w:r>
            <w:r w:rsidR="006522A9">
              <w:rPr>
                <w:sz w:val="22"/>
                <w:szCs w:val="22"/>
              </w:rPr>
              <w:t xml:space="preserve"> 2009 legislati</w:t>
            </w:r>
            <w:r w:rsidR="00D3653C">
              <w:rPr>
                <w:sz w:val="22"/>
                <w:szCs w:val="22"/>
              </w:rPr>
              <w:t xml:space="preserve">on </w:t>
            </w:r>
            <w:r w:rsidR="006522A9">
              <w:rPr>
                <w:sz w:val="22"/>
                <w:szCs w:val="22"/>
              </w:rPr>
              <w:t>that authorize</w:t>
            </w:r>
            <w:r>
              <w:rPr>
                <w:sz w:val="22"/>
                <w:szCs w:val="22"/>
              </w:rPr>
              <w:t>d</w:t>
            </w:r>
            <w:r w:rsidR="007A0980">
              <w:rPr>
                <w:sz w:val="22"/>
                <w:szCs w:val="22"/>
              </w:rPr>
              <w:t xml:space="preserve"> the proposed changes</w:t>
            </w:r>
            <w:r>
              <w:rPr>
                <w:sz w:val="22"/>
                <w:szCs w:val="22"/>
              </w:rPr>
              <w:t xml:space="preserve">; and described its intent to propose these </w:t>
            </w:r>
            <w:r w:rsidR="000453E7">
              <w:rPr>
                <w:sz w:val="22"/>
                <w:szCs w:val="22"/>
              </w:rPr>
              <w:t>changes</w:t>
            </w:r>
            <w:r>
              <w:rPr>
                <w:sz w:val="22"/>
                <w:szCs w:val="22"/>
              </w:rPr>
              <w:t xml:space="preserve"> during the previous </w:t>
            </w:r>
            <w:r w:rsidR="000453E7">
              <w:rPr>
                <w:sz w:val="22"/>
                <w:szCs w:val="22"/>
              </w:rPr>
              <w:t>greenhouse gas rulemaking.</w:t>
            </w:r>
          </w:p>
        </w:tc>
      </w:tr>
      <w:tr w:rsidR="00F94B68" w:rsidRPr="007F2849" w:rsidTr="00C22B95">
        <w:trPr>
          <w:cantSplit/>
        </w:trPr>
        <w:tc>
          <w:tcPr>
            <w:tcW w:w="1818" w:type="dxa"/>
            <w:shd w:val="clear" w:color="auto" w:fill="auto"/>
          </w:tcPr>
          <w:p w:rsidR="00F94B68" w:rsidRPr="007F2849" w:rsidRDefault="00F94B68">
            <w:pPr>
              <w:rPr>
                <w:b/>
              </w:rPr>
            </w:pPr>
            <w:r w:rsidRPr="007F2849">
              <w:rPr>
                <w:b/>
              </w:rPr>
              <w:t>Rulemaking Target Dates</w:t>
            </w:r>
          </w:p>
        </w:tc>
        <w:tc>
          <w:tcPr>
            <w:tcW w:w="9054" w:type="dxa"/>
            <w:gridSpan w:val="5"/>
            <w:shd w:val="clear" w:color="auto" w:fill="auto"/>
          </w:tcPr>
          <w:p w:rsidR="00F94B68" w:rsidRPr="007F2849" w:rsidRDefault="00F94B68"/>
        </w:tc>
      </w:tr>
      <w:tr w:rsidR="00F94B68" w:rsidRPr="007F2849" w:rsidTr="00C22B95">
        <w:trPr>
          <w:cantSplit/>
        </w:trPr>
        <w:tc>
          <w:tcPr>
            <w:tcW w:w="1818" w:type="dxa"/>
            <w:vMerge w:val="restart"/>
            <w:shd w:val="clear" w:color="auto" w:fill="auto"/>
          </w:tcPr>
          <w:p w:rsidR="00F94B68" w:rsidRPr="007F2849" w:rsidRDefault="00F94B68"/>
        </w:tc>
        <w:tc>
          <w:tcPr>
            <w:tcW w:w="4656" w:type="dxa"/>
            <w:gridSpan w:val="3"/>
            <w:shd w:val="clear" w:color="auto" w:fill="auto"/>
          </w:tcPr>
          <w:p w:rsidR="00F94B68" w:rsidRPr="007F2849" w:rsidRDefault="00F94B68">
            <w:pPr>
              <w:pStyle w:val="TableHeaderText"/>
            </w:pPr>
            <w:r w:rsidRPr="007F2849">
              <w:t xml:space="preserve"> Milestone</w:t>
            </w:r>
          </w:p>
        </w:tc>
        <w:tc>
          <w:tcPr>
            <w:tcW w:w="4398" w:type="dxa"/>
            <w:gridSpan w:val="2"/>
            <w:shd w:val="clear" w:color="auto" w:fill="auto"/>
          </w:tcPr>
          <w:p w:rsidR="00F94B68" w:rsidRPr="007F2849" w:rsidRDefault="00F94B68">
            <w:pPr>
              <w:pStyle w:val="TableHeaderText"/>
            </w:pPr>
            <w:r w:rsidRPr="007F2849">
              <w:t>Target Dates</w:t>
            </w:r>
          </w:p>
        </w:tc>
      </w:tr>
      <w:tr w:rsidR="004A20AA" w:rsidRPr="007F2849" w:rsidTr="00C22B95">
        <w:trPr>
          <w:cantSplit/>
        </w:trPr>
        <w:tc>
          <w:tcPr>
            <w:tcW w:w="1818" w:type="dxa"/>
            <w:vMerge/>
            <w:shd w:val="clear" w:color="auto" w:fill="auto"/>
          </w:tcPr>
          <w:p w:rsidR="004A20AA" w:rsidRPr="007F2849" w:rsidRDefault="004A20AA"/>
        </w:tc>
        <w:tc>
          <w:tcPr>
            <w:tcW w:w="4656" w:type="dxa"/>
            <w:gridSpan w:val="3"/>
            <w:shd w:val="clear" w:color="auto" w:fill="auto"/>
          </w:tcPr>
          <w:p w:rsidR="004A20AA" w:rsidRPr="0005498D" w:rsidRDefault="004A20AA" w:rsidP="000A73A5">
            <w:pPr>
              <w:pStyle w:val="TableText"/>
              <w:rPr>
                <w:sz w:val="22"/>
                <w:szCs w:val="22"/>
              </w:rPr>
            </w:pPr>
            <w:r w:rsidRPr="0005498D">
              <w:rPr>
                <w:sz w:val="22"/>
                <w:szCs w:val="22"/>
              </w:rPr>
              <w:t>Advisory Process (e.g., committees; workgroups)</w:t>
            </w:r>
          </w:p>
        </w:tc>
        <w:tc>
          <w:tcPr>
            <w:tcW w:w="4398" w:type="dxa"/>
            <w:gridSpan w:val="2"/>
            <w:shd w:val="clear" w:color="auto" w:fill="auto"/>
          </w:tcPr>
          <w:p w:rsidR="004A20AA" w:rsidRPr="00877154" w:rsidRDefault="004A20AA" w:rsidP="000A73A5">
            <w:pPr>
              <w:pStyle w:val="TableHeaderText"/>
              <w:jc w:val="left"/>
              <w:rPr>
                <w:b w:val="0"/>
                <w:sz w:val="22"/>
                <w:szCs w:val="22"/>
              </w:rPr>
            </w:pPr>
            <w:r>
              <w:rPr>
                <w:b w:val="0"/>
                <w:sz w:val="22"/>
                <w:szCs w:val="22"/>
              </w:rPr>
              <w:t>Monthly advisory committee meetings from September 2009 through January 2010</w:t>
            </w:r>
          </w:p>
        </w:tc>
      </w:tr>
      <w:tr w:rsidR="004A20AA" w:rsidRPr="007F2849" w:rsidTr="00C22B95">
        <w:trPr>
          <w:cantSplit/>
        </w:trPr>
        <w:tc>
          <w:tcPr>
            <w:tcW w:w="1818" w:type="dxa"/>
            <w:vMerge/>
            <w:shd w:val="clear" w:color="auto" w:fill="auto"/>
          </w:tcPr>
          <w:p w:rsidR="004A20AA" w:rsidRPr="007F2849" w:rsidRDefault="004A20AA"/>
        </w:tc>
        <w:tc>
          <w:tcPr>
            <w:tcW w:w="4656" w:type="dxa"/>
            <w:gridSpan w:val="3"/>
            <w:shd w:val="clear" w:color="auto" w:fill="auto"/>
          </w:tcPr>
          <w:p w:rsidR="004A20AA" w:rsidRPr="0005498D" w:rsidRDefault="004A20AA" w:rsidP="000A73A5">
            <w:pPr>
              <w:pStyle w:val="TableText"/>
              <w:rPr>
                <w:sz w:val="22"/>
                <w:szCs w:val="22"/>
              </w:rPr>
            </w:pPr>
            <w:r>
              <w:rPr>
                <w:sz w:val="22"/>
                <w:szCs w:val="22"/>
              </w:rPr>
              <w:t>EQC adoption of temporary rules</w:t>
            </w:r>
          </w:p>
        </w:tc>
        <w:tc>
          <w:tcPr>
            <w:tcW w:w="4398" w:type="dxa"/>
            <w:gridSpan w:val="2"/>
            <w:shd w:val="clear" w:color="auto" w:fill="auto"/>
          </w:tcPr>
          <w:p w:rsidR="004A20AA" w:rsidRPr="00877154" w:rsidRDefault="004A20AA" w:rsidP="000A73A5">
            <w:pPr>
              <w:pStyle w:val="TableText"/>
              <w:rPr>
                <w:sz w:val="22"/>
                <w:szCs w:val="22"/>
              </w:rPr>
            </w:pPr>
            <w:r>
              <w:rPr>
                <w:sz w:val="22"/>
                <w:szCs w:val="22"/>
              </w:rPr>
              <w:t>December 2009</w:t>
            </w:r>
          </w:p>
        </w:tc>
      </w:tr>
      <w:tr w:rsidR="004A20AA" w:rsidRPr="007F2849" w:rsidTr="00C22B95">
        <w:trPr>
          <w:cantSplit/>
        </w:trPr>
        <w:tc>
          <w:tcPr>
            <w:tcW w:w="1818" w:type="dxa"/>
            <w:vMerge/>
            <w:shd w:val="clear" w:color="auto" w:fill="auto"/>
          </w:tcPr>
          <w:p w:rsidR="004A20AA" w:rsidRPr="007F2849" w:rsidRDefault="004A20AA"/>
        </w:tc>
        <w:tc>
          <w:tcPr>
            <w:tcW w:w="4656" w:type="dxa"/>
            <w:gridSpan w:val="3"/>
            <w:shd w:val="clear" w:color="auto" w:fill="auto"/>
          </w:tcPr>
          <w:p w:rsidR="004A20AA" w:rsidRPr="0005498D" w:rsidRDefault="004A20AA" w:rsidP="000A73A5">
            <w:pPr>
              <w:pStyle w:val="TableText"/>
              <w:rPr>
                <w:sz w:val="22"/>
                <w:szCs w:val="22"/>
              </w:rPr>
            </w:pPr>
            <w:r w:rsidRPr="0005498D">
              <w:rPr>
                <w:sz w:val="22"/>
                <w:szCs w:val="22"/>
              </w:rPr>
              <w:t>Publication in SOS Bulletin</w:t>
            </w:r>
          </w:p>
        </w:tc>
        <w:tc>
          <w:tcPr>
            <w:tcW w:w="4398" w:type="dxa"/>
            <w:gridSpan w:val="2"/>
            <w:shd w:val="clear" w:color="auto" w:fill="auto"/>
          </w:tcPr>
          <w:p w:rsidR="004A20AA" w:rsidRPr="00877154" w:rsidRDefault="004A20AA" w:rsidP="000A73A5">
            <w:pPr>
              <w:pStyle w:val="TableText"/>
              <w:rPr>
                <w:sz w:val="22"/>
                <w:szCs w:val="22"/>
              </w:rPr>
            </w:pPr>
            <w:r>
              <w:rPr>
                <w:sz w:val="22"/>
                <w:szCs w:val="22"/>
              </w:rPr>
              <w:t xml:space="preserve">April </w:t>
            </w:r>
            <w:r w:rsidRPr="00877154">
              <w:rPr>
                <w:sz w:val="22"/>
                <w:szCs w:val="22"/>
              </w:rPr>
              <w:t>20</w:t>
            </w:r>
            <w:r>
              <w:rPr>
                <w:sz w:val="22"/>
                <w:szCs w:val="22"/>
              </w:rPr>
              <w:t>10</w:t>
            </w:r>
          </w:p>
        </w:tc>
      </w:tr>
      <w:tr w:rsidR="004A20AA" w:rsidRPr="007F2849" w:rsidTr="00C22B95">
        <w:trPr>
          <w:cantSplit/>
        </w:trPr>
        <w:tc>
          <w:tcPr>
            <w:tcW w:w="1818" w:type="dxa"/>
            <w:vMerge/>
            <w:shd w:val="clear" w:color="auto" w:fill="auto"/>
          </w:tcPr>
          <w:p w:rsidR="004A20AA" w:rsidRPr="007F2849" w:rsidRDefault="004A20AA"/>
        </w:tc>
        <w:tc>
          <w:tcPr>
            <w:tcW w:w="4656" w:type="dxa"/>
            <w:gridSpan w:val="3"/>
            <w:shd w:val="clear" w:color="auto" w:fill="auto"/>
          </w:tcPr>
          <w:p w:rsidR="004A20AA" w:rsidRPr="0005498D" w:rsidRDefault="004A20AA" w:rsidP="00CC1CA9">
            <w:pPr>
              <w:pStyle w:val="TableText"/>
              <w:rPr>
                <w:sz w:val="22"/>
                <w:szCs w:val="22"/>
              </w:rPr>
            </w:pPr>
            <w:r w:rsidRPr="0005498D">
              <w:rPr>
                <w:sz w:val="22"/>
                <w:szCs w:val="22"/>
              </w:rPr>
              <w:t>EQC</w:t>
            </w:r>
            <w:r w:rsidR="00CC1CA9">
              <w:rPr>
                <w:sz w:val="22"/>
                <w:szCs w:val="22"/>
              </w:rPr>
              <w:t xml:space="preserve"> adoption of regular </w:t>
            </w:r>
            <w:r>
              <w:rPr>
                <w:sz w:val="22"/>
                <w:szCs w:val="22"/>
              </w:rPr>
              <w:t>rules</w:t>
            </w:r>
          </w:p>
        </w:tc>
        <w:tc>
          <w:tcPr>
            <w:tcW w:w="4398" w:type="dxa"/>
            <w:gridSpan w:val="2"/>
            <w:shd w:val="clear" w:color="auto" w:fill="auto"/>
          </w:tcPr>
          <w:p w:rsidR="004A20AA" w:rsidRPr="00877154" w:rsidRDefault="004A20AA" w:rsidP="000A73A5">
            <w:pPr>
              <w:pStyle w:val="TableText"/>
              <w:rPr>
                <w:sz w:val="22"/>
                <w:szCs w:val="22"/>
              </w:rPr>
            </w:pPr>
            <w:r>
              <w:rPr>
                <w:sz w:val="22"/>
                <w:szCs w:val="22"/>
              </w:rPr>
              <w:t>June 2010</w:t>
            </w:r>
          </w:p>
        </w:tc>
      </w:tr>
    </w:tbl>
    <w:p w:rsidR="00A91039" w:rsidRPr="007F2849" w:rsidRDefault="00A91039"/>
    <w:p w:rsidR="00A91039" w:rsidRPr="007F2849" w:rsidRDefault="00A91039">
      <w:pPr>
        <w:rPr>
          <w:b/>
        </w:rPr>
      </w:pPr>
      <w:r w:rsidRPr="007F2849">
        <w:rPr>
          <w:b/>
        </w:rPr>
        <w:t>Attachment:</w:t>
      </w:r>
      <w:r w:rsidR="001F34E0">
        <w:rPr>
          <w:b/>
        </w:rPr>
        <w:t xml:space="preserve"> </w:t>
      </w:r>
      <w:r w:rsidRPr="007F2849">
        <w:rPr>
          <w:b/>
          <w:sz w:val="22"/>
          <w:szCs w:val="22"/>
        </w:rPr>
        <w:t>Opt In/Out Form</w:t>
      </w:r>
    </w:p>
    <w:sectPr w:rsidR="00A91039" w:rsidRPr="007F2849" w:rsidSect="00C22B95">
      <w:headerReference w:type="even" r:id="rId7"/>
      <w:headerReference w:type="default" r:id="rId8"/>
      <w:footerReference w:type="even" r:id="rId9"/>
      <w:footerReference w:type="default" r:id="rId10"/>
      <w:pgSz w:w="12240" w:h="15840" w:code="1"/>
      <w:pgMar w:top="720" w:right="720" w:bottom="720" w:left="72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B88" w:rsidRDefault="00027B88">
      <w:r>
        <w:separator/>
      </w:r>
    </w:p>
  </w:endnote>
  <w:endnote w:type="continuationSeparator" w:id="1">
    <w:p w:rsidR="00027B88" w:rsidRDefault="00027B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44" w:rsidRDefault="00115AD2">
    <w:pPr>
      <w:pStyle w:val="Footer"/>
      <w:framePr w:wrap="around" w:vAnchor="text" w:hAnchor="margin" w:xAlign="right" w:y="1"/>
    </w:pPr>
    <w:r>
      <w:fldChar w:fldCharType="begin"/>
    </w:r>
    <w:r w:rsidR="007A6144">
      <w:instrText xml:space="preserve">PAGE  </w:instrText>
    </w:r>
    <w:r>
      <w:fldChar w:fldCharType="end"/>
    </w:r>
  </w:p>
  <w:p w:rsidR="007A6144" w:rsidRDefault="007A614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44" w:rsidRPr="00BB1B35" w:rsidRDefault="007A6144">
    <w:pPr>
      <w:pStyle w:val="Footer"/>
      <w:tabs>
        <w:tab w:val="clear" w:pos="4320"/>
        <w:tab w:val="clear" w:pos="8640"/>
        <w:tab w:val="center" w:pos="4680"/>
      </w:tabs>
      <w:ind w:right="90"/>
      <w:rPr>
        <w:color w:val="808080"/>
        <w:sz w:val="20"/>
      </w:rPr>
    </w:pPr>
    <w:smartTag w:uri="urn:schemas-microsoft-com:office:smarttags" w:element="date">
      <w:smartTagPr>
        <w:attr w:name="Year" w:val="2009"/>
        <w:attr w:name="Day" w:val="30"/>
        <w:attr w:name="Month" w:val="3"/>
      </w:smartTagPr>
      <w:r>
        <w:rPr>
          <w:color w:val="808080"/>
          <w:sz w:val="20"/>
        </w:rPr>
        <w:t>3/30/09</w:t>
      </w:r>
    </w:smartTag>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sidR="00115AD2" w:rsidRPr="00BB1B35">
      <w:rPr>
        <w:rStyle w:val="PageNumber"/>
        <w:sz w:val="20"/>
      </w:rPr>
      <w:fldChar w:fldCharType="begin"/>
    </w:r>
    <w:r w:rsidRPr="00BB1B35">
      <w:rPr>
        <w:rStyle w:val="PageNumber"/>
        <w:sz w:val="20"/>
      </w:rPr>
      <w:instrText xml:space="preserve"> PAGE </w:instrText>
    </w:r>
    <w:r w:rsidR="00115AD2" w:rsidRPr="00BB1B35">
      <w:rPr>
        <w:rStyle w:val="PageNumber"/>
        <w:sz w:val="20"/>
      </w:rPr>
      <w:fldChar w:fldCharType="separate"/>
    </w:r>
    <w:r w:rsidR="00027B88">
      <w:rPr>
        <w:rStyle w:val="PageNumber"/>
        <w:noProof/>
        <w:sz w:val="20"/>
      </w:rPr>
      <w:t>1</w:t>
    </w:r>
    <w:r w:rsidR="00115AD2" w:rsidRPr="00BB1B35">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B88" w:rsidRDefault="00027B88">
      <w:r>
        <w:separator/>
      </w:r>
    </w:p>
  </w:footnote>
  <w:footnote w:type="continuationSeparator" w:id="1">
    <w:p w:rsidR="00027B88" w:rsidRDefault="00027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44" w:rsidRDefault="00115AD2">
    <w:pPr>
      <w:pStyle w:val="Header"/>
      <w:framePr w:wrap="around" w:vAnchor="text" w:hAnchor="margin" w:xAlign="center" w:y="1"/>
      <w:rPr>
        <w:rStyle w:val="PageNumber"/>
      </w:rPr>
    </w:pPr>
    <w:r>
      <w:rPr>
        <w:rStyle w:val="PageNumber"/>
      </w:rPr>
      <w:fldChar w:fldCharType="begin"/>
    </w:r>
    <w:r w:rsidR="007A6144">
      <w:rPr>
        <w:rStyle w:val="PageNumber"/>
      </w:rPr>
      <w:instrText xml:space="preserve">PAGE  </w:instrText>
    </w:r>
    <w:r>
      <w:rPr>
        <w:rStyle w:val="PageNumber"/>
      </w:rPr>
      <w:fldChar w:fldCharType="separate"/>
    </w:r>
    <w:r w:rsidR="007A6144">
      <w:rPr>
        <w:rStyle w:val="PageNumber"/>
        <w:noProof/>
      </w:rPr>
      <w:t>1</w:t>
    </w:r>
    <w:r>
      <w:rPr>
        <w:rStyle w:val="PageNumber"/>
      </w:rPr>
      <w:fldChar w:fldCharType="end"/>
    </w:r>
  </w:p>
  <w:p w:rsidR="007A6144" w:rsidRDefault="007A61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44" w:rsidRDefault="007A6144">
    <w:pPr>
      <w:pStyle w:val="Header"/>
      <w:tabs>
        <w:tab w:val="clear" w:pos="4320"/>
        <w:tab w:val="clear" w:pos="8640"/>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B370CD"/>
    <w:multiLevelType w:val="hybridMultilevel"/>
    <w:tmpl w:val="4B5E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B6EB1"/>
    <w:multiLevelType w:val="singleLevel"/>
    <w:tmpl w:val="DAD6EE5E"/>
    <w:lvl w:ilvl="0">
      <w:start w:val="1"/>
      <w:numFmt w:val="bullet"/>
      <w:pStyle w:val="BulletText2"/>
      <w:lvlText w:val=""/>
      <w:lvlJc w:val="left"/>
      <w:pPr>
        <w:tabs>
          <w:tab w:val="num" w:pos="533"/>
        </w:tabs>
        <w:ind w:left="360" w:hanging="187"/>
      </w:pPr>
      <w:rPr>
        <w:rFonts w:ascii="Symbol" w:hAnsi="Symbol" w:hint="default"/>
      </w:rPr>
    </w:lvl>
  </w:abstractNum>
  <w:abstractNum w:abstractNumId="3">
    <w:nsid w:val="18DF4AB5"/>
    <w:multiLevelType w:val="hybridMultilevel"/>
    <w:tmpl w:val="804E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FF1021"/>
    <w:multiLevelType w:val="hybridMultilevel"/>
    <w:tmpl w:val="C874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6">
    <w:nsid w:val="2CD939F4"/>
    <w:multiLevelType w:val="hybridMultilevel"/>
    <w:tmpl w:val="21E6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F1741E"/>
    <w:multiLevelType w:val="hybridMultilevel"/>
    <w:tmpl w:val="19C061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97311"/>
    <w:multiLevelType w:val="hybridMultilevel"/>
    <w:tmpl w:val="4F7C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E47DB"/>
    <w:multiLevelType w:val="hybridMultilevel"/>
    <w:tmpl w:val="B896D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A06BB5"/>
    <w:multiLevelType w:val="hybridMultilevel"/>
    <w:tmpl w:val="BBD089A2"/>
    <w:lvl w:ilvl="0" w:tplc="E1786FDE">
      <w:start w:val="1"/>
      <w:numFmt w:val="bullet"/>
      <w:lvlText w:val=""/>
      <w:lvlJc w:val="left"/>
      <w:pPr>
        <w:tabs>
          <w:tab w:val="num" w:pos="261"/>
        </w:tabs>
        <w:ind w:left="261" w:hanging="216"/>
      </w:pPr>
      <w:rPr>
        <w:rFonts w:ascii="Wingdings" w:hAnsi="Wingdings" w:hint="default"/>
        <w:b w:val="0"/>
        <w:i w:val="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512126E3"/>
    <w:multiLevelType w:val="hybridMultilevel"/>
    <w:tmpl w:val="3188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49629D"/>
    <w:multiLevelType w:val="hybridMultilevel"/>
    <w:tmpl w:val="EB2A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67548D"/>
    <w:multiLevelType w:val="hybridMultilevel"/>
    <w:tmpl w:val="F5461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5">
    <w:nsid w:val="5F80098E"/>
    <w:multiLevelType w:val="hybridMultilevel"/>
    <w:tmpl w:val="7880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DE5167"/>
    <w:multiLevelType w:val="hybridMultilevel"/>
    <w:tmpl w:val="531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6844DF"/>
    <w:multiLevelType w:val="hybridMultilevel"/>
    <w:tmpl w:val="B074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A34A77"/>
    <w:multiLevelType w:val="hybridMultilevel"/>
    <w:tmpl w:val="8104DBBC"/>
    <w:lvl w:ilvl="0" w:tplc="8A08DD04">
      <w:numFmt w:val="bullet"/>
      <w:lvlText w:val=""/>
      <w:lvlJc w:val="left"/>
      <w:pPr>
        <w:ind w:left="702" w:hanging="360"/>
      </w:pPr>
      <w:rPr>
        <w:rFonts w:ascii="Symbol" w:eastAsia="Times New Roman" w:hAnsi="Symbol"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14"/>
  </w:num>
  <w:num w:numId="2">
    <w:abstractNumId w:val="14"/>
  </w:num>
  <w:num w:numId="3">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abstractNumId w:val="5"/>
  </w:num>
  <w:num w:numId="5">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abstractNumId w:val="2"/>
  </w:num>
  <w:num w:numId="8">
    <w:abstractNumId w:val="11"/>
  </w:num>
  <w:num w:numId="9">
    <w:abstractNumId w:val="3"/>
  </w:num>
  <w:num w:numId="10">
    <w:abstractNumId w:val="13"/>
  </w:num>
  <w:num w:numId="11">
    <w:abstractNumId w:val="9"/>
  </w:num>
  <w:num w:numId="12">
    <w:abstractNumId w:val="10"/>
  </w:num>
  <w:num w:numId="13">
    <w:abstractNumId w:val="4"/>
  </w:num>
  <w:num w:numId="14">
    <w:abstractNumId w:val="8"/>
  </w:num>
  <w:num w:numId="15">
    <w:abstractNumId w:val="1"/>
  </w:num>
  <w:num w:numId="16">
    <w:abstractNumId w:val="15"/>
  </w:num>
  <w:num w:numId="17">
    <w:abstractNumId w:val="16"/>
  </w:num>
  <w:num w:numId="18">
    <w:abstractNumId w:val="6"/>
  </w:num>
  <w:num w:numId="19">
    <w:abstractNumId w:val="17"/>
  </w:num>
  <w:num w:numId="20">
    <w:abstractNumId w:val="12"/>
  </w:num>
  <w:num w:numId="21">
    <w:abstractNumId w:val="18"/>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20"/>
  <w:drawingGridHorizontalSpacing w:val="120"/>
  <w:displayHorizontalDrawingGridEvery w:val="0"/>
  <w:displayVerticalDrawingGridEvery w:val="0"/>
  <w:noPunctuationKerning/>
  <w:characterSpacingControl w:val="doNotCompress"/>
  <w:savePreviewPicture/>
  <w:footnotePr>
    <w:footnote w:id="0"/>
    <w:footnote w:id="1"/>
  </w:footnotePr>
  <w:endnotePr>
    <w:endnote w:id="0"/>
    <w:endnote w:id="1"/>
  </w:endnotePr>
  <w:compat/>
  <w:rsids>
    <w:rsidRoot w:val="00A91039"/>
    <w:rsid w:val="00003F36"/>
    <w:rsid w:val="00015441"/>
    <w:rsid w:val="000160C0"/>
    <w:rsid w:val="00027B88"/>
    <w:rsid w:val="00030A30"/>
    <w:rsid w:val="00041B5B"/>
    <w:rsid w:val="000453E7"/>
    <w:rsid w:val="00052E43"/>
    <w:rsid w:val="0005323B"/>
    <w:rsid w:val="00053D21"/>
    <w:rsid w:val="00057C19"/>
    <w:rsid w:val="0006253E"/>
    <w:rsid w:val="0006769F"/>
    <w:rsid w:val="0007480B"/>
    <w:rsid w:val="00096033"/>
    <w:rsid w:val="000A10C3"/>
    <w:rsid w:val="000A73A5"/>
    <w:rsid w:val="000C413B"/>
    <w:rsid w:val="000C78F6"/>
    <w:rsid w:val="000F3869"/>
    <w:rsid w:val="001025C1"/>
    <w:rsid w:val="0011284C"/>
    <w:rsid w:val="00115AD2"/>
    <w:rsid w:val="00121220"/>
    <w:rsid w:val="001335A7"/>
    <w:rsid w:val="00134454"/>
    <w:rsid w:val="00136D3F"/>
    <w:rsid w:val="0014561E"/>
    <w:rsid w:val="00145639"/>
    <w:rsid w:val="00153B59"/>
    <w:rsid w:val="001554A2"/>
    <w:rsid w:val="0017413B"/>
    <w:rsid w:val="001A2461"/>
    <w:rsid w:val="001A25D5"/>
    <w:rsid w:val="001A3C6D"/>
    <w:rsid w:val="001C3C44"/>
    <w:rsid w:val="001D2926"/>
    <w:rsid w:val="001E2CA0"/>
    <w:rsid w:val="001E47F7"/>
    <w:rsid w:val="001F34E0"/>
    <w:rsid w:val="001F6194"/>
    <w:rsid w:val="002013C0"/>
    <w:rsid w:val="0021413A"/>
    <w:rsid w:val="00214A45"/>
    <w:rsid w:val="00226464"/>
    <w:rsid w:val="002348EC"/>
    <w:rsid w:val="002430D6"/>
    <w:rsid w:val="0024675A"/>
    <w:rsid w:val="002536C4"/>
    <w:rsid w:val="002809D4"/>
    <w:rsid w:val="00290090"/>
    <w:rsid w:val="00296CA9"/>
    <w:rsid w:val="002A083A"/>
    <w:rsid w:val="002A277D"/>
    <w:rsid w:val="002A7771"/>
    <w:rsid w:val="002F71B4"/>
    <w:rsid w:val="003060B3"/>
    <w:rsid w:val="00326C6E"/>
    <w:rsid w:val="00327CA6"/>
    <w:rsid w:val="00332295"/>
    <w:rsid w:val="003379F9"/>
    <w:rsid w:val="0034350D"/>
    <w:rsid w:val="0036706B"/>
    <w:rsid w:val="00372E34"/>
    <w:rsid w:val="003960C3"/>
    <w:rsid w:val="003A23C3"/>
    <w:rsid w:val="003B39BC"/>
    <w:rsid w:val="003B6373"/>
    <w:rsid w:val="003C15F3"/>
    <w:rsid w:val="003C2F54"/>
    <w:rsid w:val="003C7C0E"/>
    <w:rsid w:val="003D37CC"/>
    <w:rsid w:val="00403507"/>
    <w:rsid w:val="00410F7E"/>
    <w:rsid w:val="00411F9A"/>
    <w:rsid w:val="00417868"/>
    <w:rsid w:val="00423851"/>
    <w:rsid w:val="00430788"/>
    <w:rsid w:val="00447759"/>
    <w:rsid w:val="00457546"/>
    <w:rsid w:val="00467568"/>
    <w:rsid w:val="00470C1A"/>
    <w:rsid w:val="00472823"/>
    <w:rsid w:val="004748B0"/>
    <w:rsid w:val="004869EF"/>
    <w:rsid w:val="004A20AA"/>
    <w:rsid w:val="004B5903"/>
    <w:rsid w:val="004C3CB9"/>
    <w:rsid w:val="004C5041"/>
    <w:rsid w:val="004C69E7"/>
    <w:rsid w:val="004E30D6"/>
    <w:rsid w:val="004F01C7"/>
    <w:rsid w:val="00503B4B"/>
    <w:rsid w:val="005122AC"/>
    <w:rsid w:val="0052549A"/>
    <w:rsid w:val="005351EE"/>
    <w:rsid w:val="005450BB"/>
    <w:rsid w:val="0055480E"/>
    <w:rsid w:val="00557D17"/>
    <w:rsid w:val="00564FEA"/>
    <w:rsid w:val="00570860"/>
    <w:rsid w:val="005806A8"/>
    <w:rsid w:val="00590B2E"/>
    <w:rsid w:val="005A5A29"/>
    <w:rsid w:val="005B24C5"/>
    <w:rsid w:val="005E35AF"/>
    <w:rsid w:val="005F610E"/>
    <w:rsid w:val="0060717E"/>
    <w:rsid w:val="00610C6A"/>
    <w:rsid w:val="006113E8"/>
    <w:rsid w:val="006179C9"/>
    <w:rsid w:val="00643BD3"/>
    <w:rsid w:val="006522A9"/>
    <w:rsid w:val="00664C8B"/>
    <w:rsid w:val="006761A5"/>
    <w:rsid w:val="006A54A6"/>
    <w:rsid w:val="006B17C9"/>
    <w:rsid w:val="006B7B92"/>
    <w:rsid w:val="006C24A7"/>
    <w:rsid w:val="006D55DC"/>
    <w:rsid w:val="006D7736"/>
    <w:rsid w:val="006E26DB"/>
    <w:rsid w:val="006E3AB6"/>
    <w:rsid w:val="006E622F"/>
    <w:rsid w:val="006F6C24"/>
    <w:rsid w:val="0070105D"/>
    <w:rsid w:val="00702FE9"/>
    <w:rsid w:val="00706C45"/>
    <w:rsid w:val="007078B1"/>
    <w:rsid w:val="00724560"/>
    <w:rsid w:val="00733D4F"/>
    <w:rsid w:val="0073700B"/>
    <w:rsid w:val="00737B42"/>
    <w:rsid w:val="00745E2B"/>
    <w:rsid w:val="0074645F"/>
    <w:rsid w:val="007510B2"/>
    <w:rsid w:val="00795061"/>
    <w:rsid w:val="0079640A"/>
    <w:rsid w:val="007A0613"/>
    <w:rsid w:val="007A0980"/>
    <w:rsid w:val="007A6144"/>
    <w:rsid w:val="007A6B8F"/>
    <w:rsid w:val="007A7FFB"/>
    <w:rsid w:val="007B5908"/>
    <w:rsid w:val="007B5C01"/>
    <w:rsid w:val="007C6C54"/>
    <w:rsid w:val="007D426A"/>
    <w:rsid w:val="007F2849"/>
    <w:rsid w:val="008109D0"/>
    <w:rsid w:val="00813F7E"/>
    <w:rsid w:val="008215B9"/>
    <w:rsid w:val="0083250B"/>
    <w:rsid w:val="00834505"/>
    <w:rsid w:val="00834543"/>
    <w:rsid w:val="008366B0"/>
    <w:rsid w:val="00843105"/>
    <w:rsid w:val="00845EF5"/>
    <w:rsid w:val="00867049"/>
    <w:rsid w:val="008811D6"/>
    <w:rsid w:val="0088748B"/>
    <w:rsid w:val="00892756"/>
    <w:rsid w:val="008C6E81"/>
    <w:rsid w:val="008D0F39"/>
    <w:rsid w:val="008D1781"/>
    <w:rsid w:val="008E46DF"/>
    <w:rsid w:val="009037CA"/>
    <w:rsid w:val="009114F8"/>
    <w:rsid w:val="009143B6"/>
    <w:rsid w:val="00937BDF"/>
    <w:rsid w:val="00947E52"/>
    <w:rsid w:val="00950060"/>
    <w:rsid w:val="00962D92"/>
    <w:rsid w:val="00970B63"/>
    <w:rsid w:val="00980249"/>
    <w:rsid w:val="00986A5B"/>
    <w:rsid w:val="0099091D"/>
    <w:rsid w:val="00995825"/>
    <w:rsid w:val="009C21A4"/>
    <w:rsid w:val="009C4EAA"/>
    <w:rsid w:val="009E2031"/>
    <w:rsid w:val="009E7E5C"/>
    <w:rsid w:val="009F5C1A"/>
    <w:rsid w:val="009F7ACB"/>
    <w:rsid w:val="00A11734"/>
    <w:rsid w:val="00A210E9"/>
    <w:rsid w:val="00A54913"/>
    <w:rsid w:val="00A6008A"/>
    <w:rsid w:val="00A91039"/>
    <w:rsid w:val="00A96D61"/>
    <w:rsid w:val="00AA01DF"/>
    <w:rsid w:val="00AB17E2"/>
    <w:rsid w:val="00AC0647"/>
    <w:rsid w:val="00AC3365"/>
    <w:rsid w:val="00AD7B08"/>
    <w:rsid w:val="00AE489A"/>
    <w:rsid w:val="00AE65D1"/>
    <w:rsid w:val="00AF3D1A"/>
    <w:rsid w:val="00B076D7"/>
    <w:rsid w:val="00B155A4"/>
    <w:rsid w:val="00B23F44"/>
    <w:rsid w:val="00B30B29"/>
    <w:rsid w:val="00B3149B"/>
    <w:rsid w:val="00B371D9"/>
    <w:rsid w:val="00B47129"/>
    <w:rsid w:val="00B4737E"/>
    <w:rsid w:val="00B65B53"/>
    <w:rsid w:val="00B6656C"/>
    <w:rsid w:val="00B66E5D"/>
    <w:rsid w:val="00B66F9B"/>
    <w:rsid w:val="00B874B7"/>
    <w:rsid w:val="00B92E2A"/>
    <w:rsid w:val="00B94A1A"/>
    <w:rsid w:val="00BB1B35"/>
    <w:rsid w:val="00BD4713"/>
    <w:rsid w:val="00BD62ED"/>
    <w:rsid w:val="00BE10AB"/>
    <w:rsid w:val="00BE2D75"/>
    <w:rsid w:val="00BE307C"/>
    <w:rsid w:val="00BF1B35"/>
    <w:rsid w:val="00C02AE1"/>
    <w:rsid w:val="00C078BF"/>
    <w:rsid w:val="00C07FF2"/>
    <w:rsid w:val="00C12EF1"/>
    <w:rsid w:val="00C22B95"/>
    <w:rsid w:val="00C2550E"/>
    <w:rsid w:val="00C26E17"/>
    <w:rsid w:val="00C35E8B"/>
    <w:rsid w:val="00C4094A"/>
    <w:rsid w:val="00C47880"/>
    <w:rsid w:val="00C5065F"/>
    <w:rsid w:val="00C62556"/>
    <w:rsid w:val="00C70237"/>
    <w:rsid w:val="00C73F14"/>
    <w:rsid w:val="00C76CEB"/>
    <w:rsid w:val="00C923AD"/>
    <w:rsid w:val="00CA142D"/>
    <w:rsid w:val="00CC1205"/>
    <w:rsid w:val="00CC1CA9"/>
    <w:rsid w:val="00CC6A72"/>
    <w:rsid w:val="00CF0D61"/>
    <w:rsid w:val="00CF1016"/>
    <w:rsid w:val="00D113A0"/>
    <w:rsid w:val="00D1394F"/>
    <w:rsid w:val="00D167D8"/>
    <w:rsid w:val="00D205A6"/>
    <w:rsid w:val="00D21DCA"/>
    <w:rsid w:val="00D30019"/>
    <w:rsid w:val="00D3653C"/>
    <w:rsid w:val="00D4346C"/>
    <w:rsid w:val="00D56415"/>
    <w:rsid w:val="00D5734A"/>
    <w:rsid w:val="00D61C3F"/>
    <w:rsid w:val="00D74AAA"/>
    <w:rsid w:val="00D81CBC"/>
    <w:rsid w:val="00D87037"/>
    <w:rsid w:val="00DA5004"/>
    <w:rsid w:val="00DC5522"/>
    <w:rsid w:val="00DF553A"/>
    <w:rsid w:val="00E024BF"/>
    <w:rsid w:val="00E10258"/>
    <w:rsid w:val="00E12160"/>
    <w:rsid w:val="00E1798B"/>
    <w:rsid w:val="00E212FB"/>
    <w:rsid w:val="00E438E5"/>
    <w:rsid w:val="00E56C86"/>
    <w:rsid w:val="00E629E6"/>
    <w:rsid w:val="00E67E70"/>
    <w:rsid w:val="00E72DAA"/>
    <w:rsid w:val="00E7686E"/>
    <w:rsid w:val="00E81836"/>
    <w:rsid w:val="00E82BD9"/>
    <w:rsid w:val="00E972E8"/>
    <w:rsid w:val="00EA4C68"/>
    <w:rsid w:val="00EB60D2"/>
    <w:rsid w:val="00EC4535"/>
    <w:rsid w:val="00EC70B4"/>
    <w:rsid w:val="00ED20CC"/>
    <w:rsid w:val="00EE2559"/>
    <w:rsid w:val="00EF0F3A"/>
    <w:rsid w:val="00F001A2"/>
    <w:rsid w:val="00F34F60"/>
    <w:rsid w:val="00F4288E"/>
    <w:rsid w:val="00F44EAF"/>
    <w:rsid w:val="00F55F1E"/>
    <w:rsid w:val="00F7413B"/>
    <w:rsid w:val="00F857DE"/>
    <w:rsid w:val="00F94B68"/>
    <w:rsid w:val="00F9764E"/>
    <w:rsid w:val="00FA4BE5"/>
    <w:rsid w:val="00FA701C"/>
    <w:rsid w:val="00FB499A"/>
    <w:rsid w:val="00FB7CF0"/>
    <w:rsid w:val="00FC4CA7"/>
    <w:rsid w:val="00FF6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71F"/>
    <w:rPr>
      <w:sz w:val="24"/>
    </w:rPr>
  </w:style>
  <w:style w:type="paragraph" w:styleId="Heading1">
    <w:name w:val="heading 1"/>
    <w:aliases w:val="Part"/>
    <w:basedOn w:val="Normal"/>
    <w:next w:val="Heading2"/>
    <w:qFormat/>
    <w:rsid w:val="00FF671F"/>
    <w:pPr>
      <w:spacing w:after="240"/>
      <w:jc w:val="center"/>
      <w:outlineLvl w:val="0"/>
    </w:pPr>
    <w:rPr>
      <w:rFonts w:ascii="Arial" w:hAnsi="Arial"/>
      <w:b/>
      <w:sz w:val="32"/>
    </w:rPr>
  </w:style>
  <w:style w:type="paragraph" w:styleId="Heading2">
    <w:name w:val="heading 2"/>
    <w:aliases w:val="Chapter Title"/>
    <w:basedOn w:val="Normal"/>
    <w:next w:val="Heading4"/>
    <w:qFormat/>
    <w:rsid w:val="00FF671F"/>
    <w:pPr>
      <w:spacing w:after="240"/>
      <w:jc w:val="center"/>
      <w:outlineLvl w:val="1"/>
    </w:pPr>
    <w:rPr>
      <w:rFonts w:ascii="Arial" w:hAnsi="Arial"/>
      <w:b/>
      <w:sz w:val="32"/>
    </w:rPr>
  </w:style>
  <w:style w:type="paragraph" w:styleId="Heading3">
    <w:name w:val="heading 3"/>
    <w:aliases w:val="Section"/>
    <w:basedOn w:val="Normal"/>
    <w:next w:val="Heading4"/>
    <w:qFormat/>
    <w:rsid w:val="00FF671F"/>
    <w:pPr>
      <w:spacing w:after="240"/>
      <w:jc w:val="center"/>
      <w:outlineLvl w:val="2"/>
    </w:pPr>
    <w:rPr>
      <w:rFonts w:ascii="Arial" w:hAnsi="Arial"/>
      <w:b/>
      <w:sz w:val="32"/>
    </w:rPr>
  </w:style>
  <w:style w:type="paragraph" w:styleId="Heading4">
    <w:name w:val="heading 4"/>
    <w:aliases w:val="Map Title"/>
    <w:basedOn w:val="Normal"/>
    <w:next w:val="Normal"/>
    <w:qFormat/>
    <w:rsid w:val="00FF671F"/>
    <w:pPr>
      <w:spacing w:after="240"/>
      <w:outlineLvl w:val="3"/>
    </w:pPr>
    <w:rPr>
      <w:rFonts w:ascii="Arial" w:hAnsi="Arial"/>
      <w:b/>
      <w:sz w:val="32"/>
    </w:rPr>
  </w:style>
  <w:style w:type="paragraph" w:styleId="Heading5">
    <w:name w:val="heading 5"/>
    <w:aliases w:val="Block Label"/>
    <w:basedOn w:val="Normal"/>
    <w:next w:val="Normal"/>
    <w:qFormat/>
    <w:rsid w:val="00FF671F"/>
    <w:pPr>
      <w:outlineLvl w:val="4"/>
    </w:pPr>
    <w:rPr>
      <w:b/>
      <w:sz w:val="22"/>
    </w:rPr>
  </w:style>
  <w:style w:type="paragraph" w:styleId="Heading6">
    <w:name w:val="heading 6"/>
    <w:basedOn w:val="Normal"/>
    <w:next w:val="Normal"/>
    <w:qFormat/>
    <w:rsid w:val="00FF671F"/>
    <w:pPr>
      <w:spacing w:before="240" w:after="60"/>
      <w:outlineLvl w:val="5"/>
    </w:pPr>
    <w:rPr>
      <w:i/>
      <w:sz w:val="22"/>
    </w:rPr>
  </w:style>
  <w:style w:type="paragraph" w:styleId="Heading7">
    <w:name w:val="heading 7"/>
    <w:basedOn w:val="Normal"/>
    <w:next w:val="Normal"/>
    <w:qFormat/>
    <w:rsid w:val="00FF671F"/>
    <w:pPr>
      <w:spacing w:before="240" w:after="60"/>
      <w:outlineLvl w:val="6"/>
    </w:pPr>
    <w:rPr>
      <w:rFonts w:ascii="Arial" w:hAnsi="Arial"/>
      <w:sz w:val="20"/>
    </w:rPr>
  </w:style>
  <w:style w:type="paragraph" w:styleId="Heading8">
    <w:name w:val="heading 8"/>
    <w:basedOn w:val="Normal"/>
    <w:next w:val="Normal"/>
    <w:qFormat/>
    <w:rsid w:val="00FF671F"/>
    <w:pPr>
      <w:spacing w:before="240" w:after="60"/>
      <w:outlineLvl w:val="7"/>
    </w:pPr>
    <w:rPr>
      <w:rFonts w:ascii="Arial" w:hAnsi="Arial"/>
      <w:i/>
      <w:sz w:val="20"/>
    </w:rPr>
  </w:style>
  <w:style w:type="paragraph" w:styleId="Heading9">
    <w:name w:val="heading 9"/>
    <w:basedOn w:val="Normal"/>
    <w:next w:val="Normal"/>
    <w:qFormat/>
    <w:rsid w:val="00FF671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71F"/>
    <w:pPr>
      <w:tabs>
        <w:tab w:val="center" w:pos="4320"/>
        <w:tab w:val="right" w:pos="8640"/>
      </w:tabs>
    </w:pPr>
  </w:style>
  <w:style w:type="paragraph" w:styleId="MacroText">
    <w:name w:val="macro"/>
    <w:semiHidden/>
    <w:rsid w:val="00FF67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FF671F"/>
    <w:pPr>
      <w:pBdr>
        <w:top w:val="single" w:sz="6" w:space="1" w:color="auto"/>
        <w:between w:val="single" w:sz="6" w:space="1" w:color="auto"/>
      </w:pBdr>
      <w:spacing w:before="240"/>
      <w:ind w:left="1700"/>
    </w:pPr>
  </w:style>
  <w:style w:type="paragraph" w:styleId="BlockText">
    <w:name w:val="Block Text"/>
    <w:basedOn w:val="Normal"/>
    <w:rsid w:val="00FF671F"/>
  </w:style>
  <w:style w:type="paragraph" w:customStyle="1" w:styleId="BulletText1">
    <w:name w:val="Bullet Text 1"/>
    <w:basedOn w:val="Normal"/>
    <w:rsid w:val="00FF671F"/>
    <w:pPr>
      <w:numPr>
        <w:numId w:val="2"/>
      </w:numPr>
      <w:tabs>
        <w:tab w:val="clear" w:pos="360"/>
      </w:tabs>
      <w:ind w:left="187" w:hanging="187"/>
    </w:pPr>
  </w:style>
  <w:style w:type="paragraph" w:customStyle="1" w:styleId="BulletText2">
    <w:name w:val="Bullet Text 2"/>
    <w:basedOn w:val="BulletText1"/>
    <w:rsid w:val="00FF671F"/>
    <w:pPr>
      <w:numPr>
        <w:numId w:val="7"/>
      </w:numPr>
      <w:tabs>
        <w:tab w:val="clear" w:pos="533"/>
      </w:tabs>
    </w:pPr>
  </w:style>
  <w:style w:type="paragraph" w:customStyle="1" w:styleId="ContinuedOnNextPa">
    <w:name w:val="Continued On Next Pa"/>
    <w:basedOn w:val="Normal"/>
    <w:next w:val="Normal"/>
    <w:rsid w:val="00FF671F"/>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FF671F"/>
    <w:rPr>
      <w:sz w:val="22"/>
    </w:rPr>
  </w:style>
  <w:style w:type="paragraph" w:customStyle="1" w:styleId="MapTitleContinued">
    <w:name w:val="Map Title. Continued"/>
    <w:basedOn w:val="Normal"/>
    <w:rsid w:val="00FF671F"/>
    <w:pPr>
      <w:spacing w:after="240"/>
    </w:pPr>
    <w:rPr>
      <w:rFonts w:ascii="Arial" w:hAnsi="Arial"/>
      <w:b/>
      <w:sz w:val="32"/>
    </w:rPr>
  </w:style>
  <w:style w:type="paragraph" w:customStyle="1" w:styleId="MemoLine">
    <w:name w:val="Memo Line"/>
    <w:basedOn w:val="BlockLine"/>
    <w:next w:val="Normal"/>
    <w:rsid w:val="00FF671F"/>
    <w:pPr>
      <w:ind w:left="0"/>
    </w:pPr>
  </w:style>
  <w:style w:type="paragraph" w:styleId="Footer">
    <w:name w:val="footer"/>
    <w:basedOn w:val="Normal"/>
    <w:rsid w:val="00FF671F"/>
    <w:pPr>
      <w:tabs>
        <w:tab w:val="center" w:pos="4320"/>
        <w:tab w:val="right" w:pos="8640"/>
      </w:tabs>
    </w:pPr>
  </w:style>
  <w:style w:type="character" w:styleId="PageNumber">
    <w:name w:val="page number"/>
    <w:basedOn w:val="DefaultParagraphFont"/>
    <w:rsid w:val="00FF671F"/>
  </w:style>
  <w:style w:type="paragraph" w:customStyle="1" w:styleId="TableText">
    <w:name w:val="Table Text"/>
    <w:basedOn w:val="Normal"/>
    <w:rsid w:val="00FF671F"/>
  </w:style>
  <w:style w:type="paragraph" w:customStyle="1" w:styleId="NoteText">
    <w:name w:val="Note Text"/>
    <w:basedOn w:val="BlockText"/>
    <w:rsid w:val="00FF671F"/>
  </w:style>
  <w:style w:type="paragraph" w:customStyle="1" w:styleId="TableHeaderText">
    <w:name w:val="Table Header Text"/>
    <w:basedOn w:val="TableText"/>
    <w:rsid w:val="00FF671F"/>
    <w:pPr>
      <w:jc w:val="center"/>
    </w:pPr>
    <w:rPr>
      <w:b/>
    </w:rPr>
  </w:style>
  <w:style w:type="paragraph" w:customStyle="1" w:styleId="EmbeddedText">
    <w:name w:val="Embedded Text"/>
    <w:basedOn w:val="TableText"/>
    <w:rsid w:val="00FF671F"/>
  </w:style>
  <w:style w:type="paragraph" w:styleId="TOC1">
    <w:name w:val="toc 1"/>
    <w:basedOn w:val="Normal"/>
    <w:next w:val="Normal"/>
    <w:autoRedefine/>
    <w:semiHidden/>
    <w:rsid w:val="00FF671F"/>
  </w:style>
  <w:style w:type="paragraph" w:styleId="TOC2">
    <w:name w:val="toc 2"/>
    <w:basedOn w:val="Normal"/>
    <w:next w:val="Normal"/>
    <w:autoRedefine/>
    <w:semiHidden/>
    <w:rsid w:val="00FF671F"/>
    <w:pPr>
      <w:ind w:left="240"/>
    </w:pPr>
  </w:style>
  <w:style w:type="paragraph" w:styleId="TOC3">
    <w:name w:val="toc 3"/>
    <w:basedOn w:val="Normal"/>
    <w:next w:val="Normal"/>
    <w:autoRedefine/>
    <w:semiHidden/>
    <w:rsid w:val="00FF671F"/>
    <w:pPr>
      <w:ind w:left="480"/>
    </w:pPr>
  </w:style>
  <w:style w:type="paragraph" w:styleId="TOC4">
    <w:name w:val="toc 4"/>
    <w:basedOn w:val="Normal"/>
    <w:next w:val="Normal"/>
    <w:autoRedefine/>
    <w:semiHidden/>
    <w:rsid w:val="00FF671F"/>
    <w:pPr>
      <w:ind w:left="720"/>
    </w:pPr>
  </w:style>
  <w:style w:type="paragraph" w:styleId="TOC5">
    <w:name w:val="toc 5"/>
    <w:basedOn w:val="Normal"/>
    <w:next w:val="Normal"/>
    <w:autoRedefine/>
    <w:semiHidden/>
    <w:rsid w:val="00FF671F"/>
    <w:pPr>
      <w:ind w:left="960"/>
    </w:pPr>
  </w:style>
  <w:style w:type="paragraph" w:styleId="TOC6">
    <w:name w:val="toc 6"/>
    <w:basedOn w:val="Normal"/>
    <w:next w:val="Normal"/>
    <w:autoRedefine/>
    <w:semiHidden/>
    <w:rsid w:val="00FF671F"/>
    <w:pPr>
      <w:ind w:left="1200"/>
    </w:pPr>
  </w:style>
  <w:style w:type="paragraph" w:styleId="TOC7">
    <w:name w:val="toc 7"/>
    <w:basedOn w:val="Normal"/>
    <w:next w:val="Normal"/>
    <w:autoRedefine/>
    <w:semiHidden/>
    <w:rsid w:val="00FF671F"/>
    <w:pPr>
      <w:ind w:left="1440"/>
    </w:pPr>
  </w:style>
  <w:style w:type="paragraph" w:styleId="TOC8">
    <w:name w:val="toc 8"/>
    <w:basedOn w:val="Normal"/>
    <w:next w:val="Normal"/>
    <w:autoRedefine/>
    <w:semiHidden/>
    <w:rsid w:val="00FF671F"/>
    <w:pPr>
      <w:ind w:left="1680"/>
    </w:pPr>
  </w:style>
  <w:style w:type="paragraph" w:styleId="TOC9">
    <w:name w:val="toc 9"/>
    <w:basedOn w:val="Normal"/>
    <w:next w:val="Normal"/>
    <w:autoRedefine/>
    <w:semiHidden/>
    <w:rsid w:val="00FF671F"/>
    <w:pPr>
      <w:ind w:left="1920"/>
    </w:pPr>
  </w:style>
  <w:style w:type="paragraph" w:styleId="BodyText">
    <w:name w:val="Body Text"/>
    <w:basedOn w:val="Normal"/>
    <w:rsid w:val="00FF671F"/>
    <w:rPr>
      <w:i/>
      <w:sz w:val="22"/>
    </w:rPr>
  </w:style>
  <w:style w:type="paragraph" w:styleId="ListParagraph">
    <w:name w:val="List Paragraph"/>
    <w:basedOn w:val="Normal"/>
    <w:uiPriority w:val="34"/>
    <w:qFormat/>
    <w:rsid w:val="007B5908"/>
    <w:pPr>
      <w:ind w:left="720"/>
      <w:contextualSpacing/>
    </w:pPr>
  </w:style>
  <w:style w:type="paragraph" w:styleId="BalloonText">
    <w:name w:val="Balloon Text"/>
    <w:basedOn w:val="Normal"/>
    <w:link w:val="BalloonTextChar"/>
    <w:uiPriority w:val="99"/>
    <w:semiHidden/>
    <w:unhideWhenUsed/>
    <w:rsid w:val="00C22B95"/>
    <w:rPr>
      <w:rFonts w:ascii="Tahoma" w:hAnsi="Tahoma" w:cs="Tahoma"/>
      <w:sz w:val="16"/>
      <w:szCs w:val="16"/>
    </w:rPr>
  </w:style>
  <w:style w:type="character" w:customStyle="1" w:styleId="BalloonTextChar">
    <w:name w:val="Balloon Text Char"/>
    <w:basedOn w:val="DefaultParagraphFont"/>
    <w:link w:val="BalloonText"/>
    <w:uiPriority w:val="99"/>
    <w:semiHidden/>
    <w:rsid w:val="00C22B95"/>
    <w:rPr>
      <w:rFonts w:ascii="Tahoma" w:hAnsi="Tahoma" w:cs="Tahoma"/>
      <w:sz w:val="16"/>
      <w:szCs w:val="16"/>
    </w:rPr>
  </w:style>
  <w:style w:type="table" w:styleId="TableGrid">
    <w:name w:val="Table Grid"/>
    <w:basedOn w:val="TableNormal"/>
    <w:uiPriority w:val="59"/>
    <w:rsid w:val="007010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800662">
      <w:bodyDiv w:val="1"/>
      <w:marLeft w:val="0"/>
      <w:marRight w:val="0"/>
      <w:marTop w:val="0"/>
      <w:marBottom w:val="0"/>
      <w:divBdr>
        <w:top w:val="none" w:sz="0" w:space="0" w:color="auto"/>
        <w:left w:val="none" w:sz="0" w:space="0" w:color="auto"/>
        <w:bottom w:val="none" w:sz="0" w:space="0" w:color="auto"/>
        <w:right w:val="none" w:sz="0" w:space="0" w:color="auto"/>
      </w:divBdr>
    </w:div>
    <w:div w:id="303697948">
      <w:bodyDiv w:val="1"/>
      <w:marLeft w:val="0"/>
      <w:marRight w:val="0"/>
      <w:marTop w:val="0"/>
      <w:marBottom w:val="0"/>
      <w:divBdr>
        <w:top w:val="none" w:sz="0" w:space="0" w:color="auto"/>
        <w:left w:val="none" w:sz="0" w:space="0" w:color="auto"/>
        <w:bottom w:val="none" w:sz="0" w:space="0" w:color="auto"/>
        <w:right w:val="none" w:sz="0" w:space="0" w:color="auto"/>
      </w:divBdr>
    </w:div>
    <w:div w:id="787509113">
      <w:bodyDiv w:val="1"/>
      <w:marLeft w:val="0"/>
      <w:marRight w:val="0"/>
      <w:marTop w:val="0"/>
      <w:marBottom w:val="0"/>
      <w:divBdr>
        <w:top w:val="none" w:sz="0" w:space="0" w:color="auto"/>
        <w:left w:val="none" w:sz="0" w:space="0" w:color="auto"/>
        <w:bottom w:val="none" w:sz="0" w:space="0" w:color="auto"/>
        <w:right w:val="none" w:sz="0" w:space="0" w:color="auto"/>
      </w:divBdr>
    </w:div>
    <w:div w:id="1043943664">
      <w:bodyDiv w:val="1"/>
      <w:marLeft w:val="0"/>
      <w:marRight w:val="0"/>
      <w:marTop w:val="0"/>
      <w:marBottom w:val="0"/>
      <w:divBdr>
        <w:top w:val="none" w:sz="0" w:space="0" w:color="auto"/>
        <w:left w:val="none" w:sz="0" w:space="0" w:color="auto"/>
        <w:bottom w:val="none" w:sz="0" w:space="0" w:color="auto"/>
        <w:right w:val="none" w:sz="0" w:space="0" w:color="auto"/>
      </w:divBdr>
    </w:div>
    <w:div w:id="1058239289">
      <w:bodyDiv w:val="1"/>
      <w:marLeft w:val="0"/>
      <w:marRight w:val="0"/>
      <w:marTop w:val="0"/>
      <w:marBottom w:val="0"/>
      <w:divBdr>
        <w:top w:val="none" w:sz="0" w:space="0" w:color="auto"/>
        <w:left w:val="none" w:sz="0" w:space="0" w:color="auto"/>
        <w:bottom w:val="none" w:sz="0" w:space="0" w:color="auto"/>
        <w:right w:val="none" w:sz="0" w:space="0" w:color="auto"/>
      </w:divBdr>
    </w:div>
    <w:div w:id="1080561498">
      <w:bodyDiv w:val="1"/>
      <w:marLeft w:val="0"/>
      <w:marRight w:val="0"/>
      <w:marTop w:val="0"/>
      <w:marBottom w:val="0"/>
      <w:divBdr>
        <w:top w:val="none" w:sz="0" w:space="0" w:color="auto"/>
        <w:left w:val="none" w:sz="0" w:space="0" w:color="auto"/>
        <w:bottom w:val="none" w:sz="0" w:space="0" w:color="auto"/>
        <w:right w:val="none" w:sz="0" w:space="0" w:color="auto"/>
      </w:divBdr>
    </w:div>
    <w:div w:id="1283264408">
      <w:bodyDiv w:val="1"/>
      <w:marLeft w:val="0"/>
      <w:marRight w:val="0"/>
      <w:marTop w:val="0"/>
      <w:marBottom w:val="0"/>
      <w:divBdr>
        <w:top w:val="none" w:sz="0" w:space="0" w:color="auto"/>
        <w:left w:val="none" w:sz="0" w:space="0" w:color="auto"/>
        <w:bottom w:val="none" w:sz="0" w:space="0" w:color="auto"/>
        <w:right w:val="none" w:sz="0" w:space="0" w:color="auto"/>
      </w:divBdr>
    </w:div>
    <w:div w:id="1902212931">
      <w:bodyDiv w:val="1"/>
      <w:marLeft w:val="0"/>
      <w:marRight w:val="0"/>
      <w:marTop w:val="0"/>
      <w:marBottom w:val="0"/>
      <w:divBdr>
        <w:top w:val="none" w:sz="0" w:space="0" w:color="auto"/>
        <w:left w:val="none" w:sz="0" w:space="0" w:color="auto"/>
        <w:bottom w:val="none" w:sz="0" w:space="0" w:color="auto"/>
        <w:right w:val="none" w:sz="0" w:space="0" w:color="auto"/>
      </w:divBdr>
    </w:div>
    <w:div w:id="20870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infomap</Template>
  <TotalTime>201</TotalTime>
  <Pages>6</Pages>
  <Words>2790</Words>
  <Characters>15903</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Rulemaking Docket</vt:lpstr>
      <vt:lpstr>    Start Rulemaking Proposal (SRP)</vt:lpstr>
    </vt:vector>
  </TitlesOfParts>
  <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Docket</dc:title>
  <dc:subject/>
  <dc:creator>DEQ</dc:creator>
  <cp:keywords/>
  <dc:description/>
  <cp:lastModifiedBy>acurtis</cp:lastModifiedBy>
  <cp:revision>7</cp:revision>
  <cp:lastPrinted>2009-07-31T01:53:00Z</cp:lastPrinted>
  <dcterms:created xsi:type="dcterms:W3CDTF">2009-07-30T19:13:00Z</dcterms:created>
  <dcterms:modified xsi:type="dcterms:W3CDTF">2009-07-31T02:28:00Z</dcterms:modified>
</cp:coreProperties>
</file>