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E0" w:rsidRDefault="00205F30">
      <w:r w:rsidRPr="00205F30">
        <w:drawing>
          <wp:inline distT="0" distB="0" distL="0" distR="0">
            <wp:extent cx="11908465" cy="357254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1BB7" w:rsidRDefault="00BD1BB7">
      <w:r w:rsidRPr="00BD1BB7">
        <w:rPr>
          <w:noProof/>
        </w:rPr>
        <w:drawing>
          <wp:inline distT="0" distB="0" distL="0" distR="0">
            <wp:extent cx="11812137" cy="3147237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D1BB7" w:rsidSect="000F517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5171"/>
    <w:rsid w:val="000169CA"/>
    <w:rsid w:val="00054962"/>
    <w:rsid w:val="00065031"/>
    <w:rsid w:val="000B29CC"/>
    <w:rsid w:val="000F5171"/>
    <w:rsid w:val="001A1FE4"/>
    <w:rsid w:val="00205F30"/>
    <w:rsid w:val="0022752A"/>
    <w:rsid w:val="00227C33"/>
    <w:rsid w:val="002A7E36"/>
    <w:rsid w:val="002C5C52"/>
    <w:rsid w:val="00417DBD"/>
    <w:rsid w:val="004D51CA"/>
    <w:rsid w:val="00521F4C"/>
    <w:rsid w:val="00541B39"/>
    <w:rsid w:val="005E0E48"/>
    <w:rsid w:val="00736CE0"/>
    <w:rsid w:val="007937EC"/>
    <w:rsid w:val="008E03C5"/>
    <w:rsid w:val="00A51971"/>
    <w:rsid w:val="00AD00B7"/>
    <w:rsid w:val="00BC4D5C"/>
    <w:rsid w:val="00BD1BB7"/>
    <w:rsid w:val="00BF42D8"/>
    <w:rsid w:val="00C05110"/>
    <w:rsid w:val="00C717E4"/>
    <w:rsid w:val="00DF4975"/>
    <w:rsid w:val="00E00AF0"/>
    <w:rsid w:val="00E610BC"/>
    <w:rsid w:val="00F172C6"/>
    <w:rsid w:val="00F40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acurtis\Desktop\Option12009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acurtis\Desktop\testoption1201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rgbClr val="273359"/>
                </a:solidFill>
                <a:latin typeface="Century Gothic"/>
                <a:ea typeface="Century Gothic"/>
                <a:cs typeface="Century Gothic"/>
              </a:defRPr>
            </a:pPr>
            <a:r>
              <a:rPr lang="en-US" sz="1100" b="1" i="0" baseline="0"/>
              <a:t>Rulemaking timeline: (December 2009) Adopt GHG fees for 2009 for AQ permitted sources through temporary rulemaking</a:t>
            </a:r>
          </a:p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rgbClr val="273359"/>
                </a:solidFill>
                <a:latin typeface="Century Gothic"/>
                <a:ea typeface="Century Gothic"/>
                <a:cs typeface="Century Gothic"/>
              </a:defRPr>
            </a:pPr>
            <a:r>
              <a:rPr lang="en-US" sz="1100" b="1" i="0" baseline="0"/>
              <a:t>(June 2010) Make temporary rules permanent; adopt WCI model rules into OARs; </a:t>
            </a:r>
            <a:r>
              <a:rPr lang="en-US" sz="1100" b="1" i="0" u="none" strike="noStrike" baseline="0"/>
              <a:t>adopt reporting requirement </a:t>
            </a:r>
          </a:p>
          <a:p>
            <a:pPr marL="0" marR="0" indent="0" algn="l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rgbClr val="273359"/>
                </a:solidFill>
                <a:latin typeface="Century Gothic"/>
                <a:ea typeface="Century Gothic"/>
                <a:cs typeface="Century Gothic"/>
              </a:defRPr>
            </a:pPr>
            <a:r>
              <a:rPr lang="en-US" sz="1100" b="1" i="0" u="none" strike="noStrike" baseline="0"/>
              <a:t>for electricity importers and fuel  </a:t>
            </a:r>
          </a:p>
        </c:rich>
      </c:tx>
      <c:layout>
        <c:manualLayout>
          <c:xMode val="edge"/>
          <c:yMode val="edge"/>
          <c:x val="6.748034889851287E-6"/>
          <c:y val="2.077247859218206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2.6874205879876722E-2"/>
          <c:y val="9.5126093647485768E-3"/>
          <c:w val="0.96575796007219161"/>
          <c:h val="0.98928091035796273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marker>
            <c:symbol val="diamond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1232799775344829E-3"/>
                  <c:y val="-1.5533983749251341E-2"/>
                </c:manualLayout>
              </c:layout>
              <c:tx>
                <c:strRef>
                  <c:f>'2009'!$G$5</c:f>
                  <c:strCache>
                    <c:ptCount val="1"/>
                    <c:pt idx="0">
                      <c:v>SRP</c:v>
                    </c:pt>
                  </c:strCache>
                </c:strRef>
              </c:tx>
              <c:dLblPos val="r"/>
              <c:showVal val="1"/>
            </c:dLbl>
            <c:dLbl>
              <c:idx val="1"/>
              <c:layout>
                <c:manualLayout>
                  <c:x val="-4.4931199101376079E-3"/>
                  <c:y val="-3.4736349339098145E-2"/>
                </c:manualLayout>
              </c:layout>
              <c:tx>
                <c:strRef>
                  <c:f>'2009'!$G$6</c:f>
                  <c:strCache>
                    <c:ptCount val="1"/>
                    <c:pt idx="0">
                      <c:v>Temporary rule adoption (2009 fees)</c:v>
                    </c:pt>
                  </c:strCache>
                </c:strRef>
              </c:tx>
              <c:dLblPos val="r"/>
              <c:showVal val="1"/>
            </c:dLbl>
            <c:dLbl>
              <c:idx val="2"/>
              <c:layout>
                <c:manualLayout>
                  <c:x val="9.4260095083751564E-4"/>
                  <c:y val="-1.0537126000825582E-2"/>
                </c:manualLayout>
              </c:layout>
              <c:tx>
                <c:strRef>
                  <c:f>'2009'!$G$7</c:f>
                  <c:strCache>
                    <c:ptCount val="1"/>
                    <c:pt idx="0">
                      <c:v>Issue ACDP invoices (2009) w/ letter to describe upcoming proposal for GHG fees</c:v>
                    </c:pt>
                  </c:strCache>
                </c:strRef>
              </c:tx>
              <c:spPr>
                <a:noFill/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85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850"/>
                      <a:t>TVGHG</a:t>
                    </a:r>
                    <a:r>
                      <a:rPr lang="en-US" sz="850" baseline="0"/>
                      <a:t> &amp; ACDPGHG</a:t>
                    </a:r>
                    <a:r>
                      <a:rPr lang="en-US" sz="850"/>
                      <a:t> fees due</a:t>
                    </a:r>
                  </a:p>
                </c:rich>
              </c:tx>
              <c:dLblPos val="r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50"/>
                      <a:t>Perform Temp Fee Rule</a:t>
                    </a:r>
                  </a:p>
                </c:rich>
              </c:tx>
              <c:dLblPos val="r"/>
              <c:showVal val="1"/>
            </c:dLbl>
            <c:dLbl>
              <c:idx val="5"/>
              <c:layout>
                <c:manualLayout>
                  <c:x val="-9.3099992316390059E-2"/>
                  <c:y val="7.7896958466525217E-3"/>
                </c:manualLayout>
              </c:layout>
              <c:tx>
                <c:strRef>
                  <c:f>'2009'!$G$10</c:f>
                  <c:strCache>
                    <c:ptCount val="1"/>
                    <c:pt idx="0">
                      <c:v>Advisory committee meetings:</c:v>
                    </c:pt>
                  </c:strCache>
                </c:strRef>
              </c:tx>
              <c:spPr>
                <a:solidFill>
                  <a:sysClr val="window" lastClr="FFFFFF">
                    <a:alpha val="92000"/>
                  </a:sysClr>
                </a:solidFill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120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6"/>
              <c:layout>
                <c:manualLayout>
                  <c:x val="-9.8848676130802754E-2"/>
                  <c:y val="-5.9643838837353816E-2"/>
                </c:manualLayout>
              </c:layout>
              <c:tx>
                <c:strRef>
                  <c:f>'2009'!$G$11</c:f>
                  <c:strCache>
                    <c:ptCount val="1"/>
                    <c:pt idx="0">
                      <c:v>Issue TV invoices (2009) w/ letter to describe upcoming proposal for GHG fees</c:v>
                    </c:pt>
                  </c:strCache>
                </c:strRef>
              </c:tx>
              <c:dLblPos val="r"/>
              <c:showVal val="1"/>
            </c:dLbl>
            <c:dLbl>
              <c:idx val="7"/>
              <c:layout>
                <c:manualLayout>
                  <c:x val="-1.1084635719294581E-2"/>
                  <c:y val="-4.8020818276182736E-2"/>
                </c:manualLayout>
              </c:layout>
              <c:tx>
                <c:rich>
                  <a:bodyPr/>
                  <a:lstStyle/>
                  <a:p>
                    <a:pPr algn="l">
                      <a:defRPr sz="850" b="0" i="0" u="none" strike="noStrike" baseline="0">
                        <a:solidFill>
                          <a:srgbClr val="000000"/>
                        </a:solidFill>
                        <a:latin typeface="Tahoma"/>
                        <a:ea typeface="Tahoma"/>
                        <a:cs typeface="Tahoma"/>
                      </a:defRPr>
                    </a:pPr>
                    <a:r>
                      <a:rPr lang="en-US" sz="850"/>
                      <a:t>Issue supplemental GHG invoices </a:t>
                    </a:r>
                  </a:p>
                  <a:p>
                    <a:pPr algn="l">
                      <a:defRPr sz="850" b="0" i="0" u="none" strike="noStrike" baseline="0">
                        <a:solidFill>
                          <a:srgbClr val="000000"/>
                        </a:solidFill>
                        <a:latin typeface="Tahoma"/>
                        <a:ea typeface="Tahoma"/>
                        <a:cs typeface="Tahoma"/>
                      </a:defRPr>
                    </a:pPr>
                    <a:r>
                      <a:rPr lang="en-US" sz="850"/>
                      <a:t>to ACDP &amp; TV (2009)</a:t>
                    </a:r>
                  </a:p>
                </c:rich>
              </c:tx>
              <c:spPr>
                <a:noFill/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dLblPos val="r"/>
              <c:showVal val="1"/>
            </c:dLbl>
            <c:dLbl>
              <c:idx val="8"/>
              <c:layout>
                <c:manualLayout>
                  <c:x val="-3.5944959281100815E-2"/>
                  <c:y val="-3.2064128256513051E-2"/>
                </c:manualLayout>
              </c:layout>
              <c:tx>
                <c:strRef>
                  <c:f>'2009'!$G$13</c:f>
                  <c:strCache>
                    <c:ptCount val="1"/>
                    <c:pt idx="0">
                      <c:v>TV fees due</c:v>
                    </c:pt>
                  </c:strCache>
                </c:strRef>
              </c:tx>
              <c:dLblPos val="r"/>
              <c:showVal val="1"/>
            </c:dLbl>
            <c:dLbl>
              <c:idx val="9"/>
              <c:layout>
                <c:manualLayout>
                  <c:x val="-4.0197188670273068E-2"/>
                  <c:y val="-2.9392034940290367E-2"/>
                </c:manualLayout>
              </c:layout>
              <c:tx>
                <c:strRef>
                  <c:f>'2009'!$G$14</c:f>
                  <c:strCache>
                    <c:ptCount val="1"/>
                    <c:pt idx="0">
                      <c:v>ACDP fees due</c:v>
                    </c:pt>
                  </c:strCache>
                </c:strRef>
              </c:tx>
              <c:spPr>
                <a:noFill/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85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850"/>
                      <a:t>WCI/Electric/Fuel Advisory Committee </a:t>
                    </a:r>
                  </a:p>
                  <a:p>
                    <a:r>
                      <a:rPr lang="en-US" sz="850"/>
                      <a:t>(3 meetings)</a:t>
                    </a:r>
                  </a:p>
                </c:rich>
              </c:tx>
              <c:dLblPos val="r"/>
              <c:showVal val="1"/>
            </c:dLbl>
            <c:dLbl>
              <c:idx val="11"/>
              <c:tx>
                <c:strRef>
                  <c:f>'2009'!$G$16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r"/>
              <c:showVal val="1"/>
            </c:dLbl>
            <c:dLbl>
              <c:idx val="12"/>
              <c:layout>
                <c:manualLayout>
                  <c:x val="-2.5344352617079936E-2"/>
                  <c:y val="-4.2752171008684087E-2"/>
                </c:manualLayout>
              </c:layout>
              <c:tx>
                <c:strRef>
                  <c:f>'2009'!$G$17</c:f>
                  <c:strCache>
                    <c:ptCount val="1"/>
                    <c:pt idx="0">
                      <c:v>Deadline for staff report &amp; rules (2009 fees)</c:v>
                    </c:pt>
                  </c:strCache>
                </c:strRef>
              </c:tx>
              <c:dLblPos val="r"/>
              <c:showVal val="1"/>
            </c:dLbl>
            <c:dLbl>
              <c:idx val="13"/>
              <c:tx>
                <c:strRef>
                  <c:f>'2009'!$G$18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r"/>
              <c:showVal val="1"/>
            </c:dLbl>
            <c:dLbl>
              <c:idx val="14"/>
              <c:layout>
                <c:manualLayout>
                  <c:x val="-0.18114332955590834"/>
                  <c:y val="5.4007792774888458E-2"/>
                </c:manualLayout>
              </c:layout>
              <c:tx>
                <c:strRef>
                  <c:f>'2009'!$G$19</c:f>
                  <c:strCache>
                    <c:ptCount val="1"/>
                    <c:pt idx="0">
                      <c:v>Provide committee an overview; Introduce fee tables for 2009 (ACDP/TV) and 2010 (all sources)</c:v>
                    </c:pt>
                  </c:strCache>
                </c:strRef>
              </c:tx>
              <c:dLblPos val="r"/>
              <c:showVal val="1"/>
            </c:dLbl>
            <c:dLbl>
              <c:idx val="15"/>
              <c:layout>
                <c:manualLayout>
                  <c:x val="-5.6005119047669034E-2"/>
                  <c:y val="6.4860295476047852E-2"/>
                </c:manualLayout>
              </c:layout>
              <c:tx>
                <c:strRef>
                  <c:f>'2009'!$G$20</c:f>
                  <c:strCache>
                    <c:ptCount val="1"/>
                    <c:pt idx="0">
                      <c:v>Committee approve/finalize fees for 2009; discuss bill language and fees for 2010 for all sources; introduce draft rules</c:v>
                    </c:pt>
                  </c:strCache>
                </c:strRef>
              </c:tx>
              <c:dLblPos val="r"/>
              <c:showVal val="1"/>
            </c:dLbl>
            <c:dLbl>
              <c:idx val="16"/>
              <c:layout>
                <c:manualLayout>
                  <c:x val="-1.6723314045932872E-2"/>
                  <c:y val="4.2548998751588504E-2"/>
                </c:manualLayout>
              </c:layout>
              <c:tx>
                <c:strRef>
                  <c:f>'2009'!$G$21</c:f>
                  <c:strCache>
                    <c:ptCount val="1"/>
                    <c:pt idx="0">
                      <c:v>Committee approve bill language; discuss rules &amp; tentative fees for 2010</c:v>
                    </c:pt>
                  </c:strCache>
                </c:strRef>
              </c:tx>
              <c:dLblPos val="r"/>
              <c:showVal val="1"/>
            </c:dLbl>
            <c:dLbl>
              <c:idx val="17"/>
              <c:layout>
                <c:manualLayout>
                  <c:x val="-6.5062961515191086E-4"/>
                  <c:y val="4.6307109227608369E-2"/>
                </c:manualLayout>
              </c:layout>
              <c:tx>
                <c:strRef>
                  <c:f>'2009'!$G$22</c:f>
                  <c:strCache>
                    <c:ptCount val="1"/>
                    <c:pt idx="0">
                      <c:v>Committee continue discussion; approve/finalize fees for 2010.</c:v>
                    </c:pt>
                  </c:strCache>
                </c:strRef>
              </c:tx>
              <c:dLblPos val="r"/>
              <c:showVal val="1"/>
            </c:dLbl>
            <c:dLbl>
              <c:idx val="18"/>
              <c:layout>
                <c:manualLayout>
                  <c:x val="-1.2356079752878401E-2"/>
                  <c:y val="0"/>
                </c:manualLayout>
              </c:layout>
              <c:tx>
                <c:strRef>
                  <c:f>'2009'!$G$23</c:f>
                  <c:strCache>
                    <c:ptCount val="1"/>
                    <c:pt idx="0">
                      <c:v>J</c:v>
                    </c:pt>
                  </c:strCache>
                </c:strRef>
              </c:tx>
              <c:dLblPos val="r"/>
              <c:showVal val="1"/>
            </c:dLbl>
            <c:dLbl>
              <c:idx val="19"/>
              <c:layout>
                <c:manualLayout>
                  <c:x val="-1.3479359730412822E-2"/>
                  <c:y val="0"/>
                </c:manualLayout>
              </c:layout>
              <c:tx>
                <c:strRef>
                  <c:f>'2009'!$G$24</c:f>
                  <c:strCache>
                    <c:ptCount val="1"/>
                    <c:pt idx="0">
                      <c:v>F</c:v>
                    </c:pt>
                  </c:strCache>
                </c:strRef>
              </c:tx>
              <c:dLblPos val="r"/>
              <c:showVal val="1"/>
            </c:dLbl>
            <c:dLbl>
              <c:idx val="20"/>
              <c:layout>
                <c:manualLayout>
                  <c:x val="-1.2356079752878425E-2"/>
                  <c:y val="0"/>
                </c:manualLayout>
              </c:layout>
              <c:tx>
                <c:strRef>
                  <c:f>'2009'!$G$25</c:f>
                  <c:strCache>
                    <c:ptCount val="1"/>
                    <c:pt idx="0">
                      <c:v>M</c:v>
                    </c:pt>
                  </c:strCache>
                </c:strRef>
              </c:tx>
              <c:dLblPos val="r"/>
              <c:showVal val="1"/>
            </c:dLbl>
            <c:dLbl>
              <c:idx val="21"/>
              <c:layout>
                <c:manualLayout>
                  <c:x val="-1.0109519797809618E-2"/>
                  <c:y val="0"/>
                </c:manualLayout>
              </c:layout>
              <c:tx>
                <c:strRef>
                  <c:f>'2009'!$G$26</c:f>
                  <c:strCache>
                    <c:ptCount val="1"/>
                    <c:pt idx="0">
                      <c:v>A</c:v>
                    </c:pt>
                  </c:strCache>
                </c:strRef>
              </c:tx>
              <c:dLblPos val="r"/>
              <c:showVal val="1"/>
            </c:dLbl>
            <c:dLbl>
              <c:idx val="22"/>
              <c:layout>
                <c:manualLayout>
                  <c:x val="-1.0109519797809618E-2"/>
                  <c:y val="0"/>
                </c:manualLayout>
              </c:layout>
              <c:tx>
                <c:strRef>
                  <c:f>'2009'!$G$27</c:f>
                  <c:strCache>
                    <c:ptCount val="1"/>
                    <c:pt idx="0">
                      <c:v>M</c:v>
                    </c:pt>
                  </c:strCache>
                </c:strRef>
              </c:tx>
              <c:dLblPos val="r"/>
              <c:showVal val="1"/>
            </c:dLbl>
            <c:dLbl>
              <c:idx val="23"/>
              <c:layout>
                <c:manualLayout>
                  <c:x val="-1.1232799775344004E-2"/>
                  <c:y val="0"/>
                </c:manualLayout>
              </c:layout>
              <c:tx>
                <c:strRef>
                  <c:f>'2009'!$G$28</c:f>
                  <c:strCache>
                    <c:ptCount val="1"/>
                    <c:pt idx="0">
                      <c:v>J</c:v>
                    </c:pt>
                  </c:strCache>
                </c:strRef>
              </c:tx>
              <c:dLblPos val="r"/>
              <c:showVal val="1"/>
            </c:dLbl>
            <c:dLbl>
              <c:idx val="24"/>
              <c:layout>
                <c:manualLayout>
                  <c:x val="-1.0109519797809618E-2"/>
                  <c:y val="0"/>
                </c:manualLayout>
              </c:layout>
              <c:tx>
                <c:strRef>
                  <c:f>'2009'!$G$29</c:f>
                  <c:strCache>
                    <c:ptCount val="1"/>
                    <c:pt idx="0">
                      <c:v>J</c:v>
                    </c:pt>
                  </c:strCache>
                </c:strRef>
              </c:tx>
              <c:dLblPos val="r"/>
              <c:showVal val="1"/>
            </c:dLbl>
            <c:dLbl>
              <c:idx val="25"/>
              <c:layout>
                <c:manualLayout>
                  <c:x val="-1.0109519797809618E-2"/>
                  <c:y val="0"/>
                </c:manualLayout>
              </c:layout>
              <c:tx>
                <c:strRef>
                  <c:f>'2009'!$G$30</c:f>
                  <c:strCache>
                    <c:ptCount val="1"/>
                    <c:pt idx="0">
                      <c:v>A</c:v>
                    </c:pt>
                  </c:strCache>
                </c:strRef>
              </c:tx>
              <c:dLblPos val="r"/>
              <c:showVal val="1"/>
            </c:dLbl>
            <c:dLbl>
              <c:idx val="26"/>
              <c:layout>
                <c:manualLayout>
                  <c:x val="-1.1232799775344004E-2"/>
                  <c:y val="0"/>
                </c:manualLayout>
              </c:layout>
              <c:tx>
                <c:strRef>
                  <c:f>'2009'!$G$31</c:f>
                  <c:strCache>
                    <c:ptCount val="1"/>
                    <c:pt idx="0">
                      <c:v>S</c:v>
                    </c:pt>
                  </c:strCache>
                </c:strRef>
              </c:tx>
              <c:dLblPos val="r"/>
              <c:showVal val="1"/>
            </c:dLbl>
            <c:dLbl>
              <c:idx val="27"/>
              <c:layout>
                <c:manualLayout>
                  <c:x val="-1.0109519797809618E-2"/>
                  <c:y val="0"/>
                </c:manualLayout>
              </c:layout>
              <c:tx>
                <c:strRef>
                  <c:f>'2009'!$G$32</c:f>
                  <c:strCache>
                    <c:ptCount val="1"/>
                    <c:pt idx="0">
                      <c:v>O</c:v>
                    </c:pt>
                  </c:strCache>
                </c:strRef>
              </c:tx>
              <c:dLblPos val="r"/>
              <c:showVal val="1"/>
            </c:dLbl>
            <c:dLbl>
              <c:idx val="28"/>
              <c:layout>
                <c:manualLayout>
                  <c:x val="-8.9862398202752245E-3"/>
                  <c:y val="0"/>
                </c:manualLayout>
              </c:layout>
              <c:tx>
                <c:strRef>
                  <c:f>'2009'!$G$33</c:f>
                  <c:strCache>
                    <c:ptCount val="1"/>
                    <c:pt idx="0">
                      <c:v>N</c:v>
                    </c:pt>
                  </c:strCache>
                </c:strRef>
              </c:tx>
              <c:dLblPos val="r"/>
              <c:showVal val="1"/>
            </c:dLbl>
            <c:dLbl>
              <c:idx val="29"/>
              <c:layout>
                <c:manualLayout>
                  <c:x val="-1.1232799775344004E-2"/>
                  <c:y val="0"/>
                </c:manualLayout>
              </c:layout>
              <c:tx>
                <c:strRef>
                  <c:f>'2009'!$G$34</c:f>
                  <c:strCache>
                    <c:ptCount val="1"/>
                    <c:pt idx="0">
                      <c:v>D</c:v>
                    </c:pt>
                  </c:strCache>
                </c:strRef>
              </c:tx>
              <c:dLblPos val="r"/>
              <c:showVal val="1"/>
            </c:dLbl>
            <c:spPr>
              <a:solidFill>
                <a:sysClr val="window" lastClr="FFFFFF">
                  <a:alpha val="92000"/>
                </a:sysClr>
              </a:solidFill>
              <a:ln w="1270">
                <a:solidFill>
                  <a:srgbClr val="1849B5">
                    <a:alpha val="36000"/>
                  </a:srgbClr>
                </a:solidFill>
              </a:ln>
            </c:spPr>
            <c:txPr>
              <a:bodyPr/>
              <a:lstStyle/>
              <a:p>
                <a:pPr algn="l">
                  <a:defRPr sz="850" b="0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en-US"/>
              </a:p>
            </c:txPr>
            <c:dLblPos val="r"/>
            <c:showVal val="1"/>
          </c:dLbls>
          <c:errBars>
            <c:errDir val="x"/>
            <c:errBarType val="plus"/>
            <c:errValType val="cust"/>
            <c:plus>
              <c:numRef>
                <c:f>'2009'!$D$5:$D$34</c:f>
                <c:numCache>
                  <c:formatCode>General</c:formatCode>
                  <c:ptCount val="30"/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minus"/>
            <c:errValType val="percentage"/>
            <c:noEndCap val="1"/>
            <c:val val="100"/>
            <c:spPr>
              <a:ln w="12700" cap="rnd">
                <a:solidFill>
                  <a:srgbClr val="B2B2B2"/>
                </a:solidFill>
                <a:prstDash val="solid"/>
              </a:ln>
            </c:spPr>
          </c:errBars>
          <c:xVal>
            <c:numRef>
              <c:f>'2009'!$F$5:$F$34</c:f>
              <c:numCache>
                <c:formatCode>General</c:formatCode>
                <c:ptCount val="30"/>
                <c:pt idx="0">
                  <c:v>40036</c:v>
                </c:pt>
                <c:pt idx="1">
                  <c:v>40159</c:v>
                </c:pt>
                <c:pt idx="2">
                  <c:v>40108</c:v>
                </c:pt>
                <c:pt idx="3">
                  <c:v>0</c:v>
                </c:pt>
                <c:pt idx="4">
                  <c:v>0</c:v>
                </c:pt>
                <c:pt idx="5">
                  <c:v>40066</c:v>
                </c:pt>
                <c:pt idx="6">
                  <c:v>40045</c:v>
                </c:pt>
                <c:pt idx="7">
                  <c:v>40163</c:v>
                </c:pt>
                <c:pt idx="8">
                  <c:v>40087</c:v>
                </c:pt>
                <c:pt idx="9">
                  <c:v>40148</c:v>
                </c:pt>
                <c:pt idx="10">
                  <c:v>0</c:v>
                </c:pt>
                <c:pt idx="11">
                  <c:v>0</c:v>
                </c:pt>
                <c:pt idx="12">
                  <c:v>40106</c:v>
                </c:pt>
                <c:pt idx="13">
                  <c:v>0</c:v>
                </c:pt>
                <c:pt idx="14">
                  <c:v>40066</c:v>
                </c:pt>
                <c:pt idx="15">
                  <c:v>40096</c:v>
                </c:pt>
                <c:pt idx="16">
                  <c:v>40127</c:v>
                </c:pt>
                <c:pt idx="17">
                  <c:v>40157</c:v>
                </c:pt>
                <c:pt idx="18">
                  <c:v>39814</c:v>
                </c:pt>
                <c:pt idx="19">
                  <c:v>39845</c:v>
                </c:pt>
                <c:pt idx="20">
                  <c:v>39873</c:v>
                </c:pt>
                <c:pt idx="21">
                  <c:v>39904</c:v>
                </c:pt>
                <c:pt idx="22">
                  <c:v>39934</c:v>
                </c:pt>
                <c:pt idx="23">
                  <c:v>39965</c:v>
                </c:pt>
                <c:pt idx="24">
                  <c:v>39995</c:v>
                </c:pt>
                <c:pt idx="25">
                  <c:v>40026</c:v>
                </c:pt>
                <c:pt idx="26">
                  <c:v>40057</c:v>
                </c:pt>
                <c:pt idx="27">
                  <c:v>40087</c:v>
                </c:pt>
                <c:pt idx="28">
                  <c:v>40118</c:v>
                </c:pt>
                <c:pt idx="29">
                  <c:v>40148</c:v>
                </c:pt>
              </c:numCache>
            </c:numRef>
          </c:xVal>
          <c:yVal>
            <c:numRef>
              <c:f>'2009'!$E$5:$E$34</c:f>
              <c:numCache>
                <c:formatCode>General</c:formatCode>
                <c:ptCount val="30"/>
                <c:pt idx="0">
                  <c:v>3</c:v>
                </c:pt>
                <c:pt idx="1">
                  <c:v>18</c:v>
                </c:pt>
                <c:pt idx="2">
                  <c:v>25</c:v>
                </c:pt>
                <c:pt idx="5">
                  <c:v>-8</c:v>
                </c:pt>
                <c:pt idx="6">
                  <c:v>10</c:v>
                </c:pt>
                <c:pt idx="7">
                  <c:v>10</c:v>
                </c:pt>
                <c:pt idx="8">
                  <c:v>4</c:v>
                </c:pt>
                <c:pt idx="9">
                  <c:v>4</c:v>
                </c:pt>
                <c:pt idx="12">
                  <c:v>29</c:v>
                </c:pt>
                <c:pt idx="14">
                  <c:v>-22</c:v>
                </c:pt>
                <c:pt idx="15">
                  <c:v>-21</c:v>
                </c:pt>
                <c:pt idx="16">
                  <c:v>-14</c:v>
                </c:pt>
                <c:pt idx="17">
                  <c:v>-6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yVal>
        </c:ser>
        <c:dLbls>
          <c:showVal val="1"/>
        </c:dLbls>
        <c:axId val="173117440"/>
        <c:axId val="176953216"/>
      </c:scatterChart>
      <c:valAx>
        <c:axId val="173117440"/>
        <c:scaling>
          <c:orientation val="minMax"/>
          <c:max val="40179"/>
          <c:min val="39814"/>
        </c:scaling>
        <c:axPos val="b"/>
        <c:numFmt formatCode="[$-409]d\-mmm\-yy;@" sourceLinked="0"/>
        <c:majorTickMark val="none"/>
        <c:tickLblPos val="none"/>
        <c:spPr>
          <a:ln w="38100">
            <a:solidFill>
              <a:srgbClr val="1849B5">
                <a:alpha val="69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6953216"/>
        <c:crosses val="autoZero"/>
        <c:crossBetween val="midCat"/>
        <c:majorUnit val="30.5"/>
      </c:valAx>
      <c:valAx>
        <c:axId val="176953216"/>
        <c:scaling>
          <c:orientation val="minMax"/>
        </c:scaling>
        <c:delete val="1"/>
        <c:axPos val="l"/>
        <c:numFmt formatCode="General" sourceLinked="1"/>
        <c:tickLblPos val="nextTo"/>
        <c:crossAx val="17311744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3.843089384546141E-2"/>
          <c:y val="1.722929892680298E-3"/>
          <c:w val="0.9491865959658089"/>
          <c:h val="0.99447401971796545"/>
        </c:manualLayout>
      </c:layout>
      <c:scatterChart>
        <c:scatterStyle val="lineMarker"/>
        <c:ser>
          <c:idx val="0"/>
          <c:order val="0"/>
          <c:spPr>
            <a:ln w="28575">
              <a:noFill/>
            </a:ln>
          </c:spPr>
          <c:marker>
            <c:symbol val="diamond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2731186575299627E-2"/>
                  <c:y val="-4.7816227376584641E-2"/>
                </c:manualLayout>
              </c:layout>
              <c:tx>
                <c:strRef>
                  <c:f>'2009'!$G$5</c:f>
                  <c:strCache>
                    <c:ptCount val="1"/>
                    <c:pt idx="0">
                      <c:v>GHG fees due (2009) for ACDP/TV</c:v>
                    </c:pt>
                  </c:strCache>
                </c:strRef>
              </c:tx>
              <c:dLblPos val="r"/>
              <c:showVal val="1"/>
            </c:dLbl>
            <c:dLbl>
              <c:idx val="1"/>
              <c:layout>
                <c:manualLayout>
                  <c:x val="-5.0549388022174888E-4"/>
                  <c:y val="-2.9732141610006011E-2"/>
                </c:manualLayout>
              </c:layout>
              <c:tx>
                <c:strRef>
                  <c:f>'2009'!$G$6</c:f>
                  <c:strCache>
                    <c:ptCount val="1"/>
                    <c:pt idx="0">
                      <c:v>Issue TV/GHG invoices (2010)</c:v>
                    </c:pt>
                  </c:strCache>
                </c:strRef>
              </c:tx>
              <c:dLblPos val="r"/>
              <c:showVal val="1"/>
            </c:dLbl>
            <c:dLbl>
              <c:idx val="2"/>
              <c:layout>
                <c:manualLayout>
                  <c:x val="9.4260095083751531E-4"/>
                  <c:y val="-1.0537126000825582E-2"/>
                </c:manualLayout>
              </c:layout>
              <c:tx>
                <c:strRef>
                  <c:f>'2009'!$G$7</c:f>
                  <c:strCache>
                    <c:ptCount val="1"/>
                    <c:pt idx="0">
                      <c:v>Issue ACDP/GHG invoices (2010)</c:v>
                    </c:pt>
                  </c:strCache>
                </c:strRef>
              </c:tx>
              <c:spPr>
                <a:noFill/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85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1.075338740170388E-3"/>
                  <c:y val="1.5768244060136605E-2"/>
                </c:manualLayout>
              </c:layout>
              <c:tx>
                <c:strRef>
                  <c:f>'2009'!$G$8</c:f>
                  <c:strCache>
                    <c:ptCount val="1"/>
                    <c:pt idx="0">
                      <c:v>TV/GHG fees due (2010)</c:v>
                    </c:pt>
                  </c:strCache>
                </c:strRef>
              </c:tx>
              <c:dLblPos val="r"/>
              <c:showVal val="1"/>
            </c:dLbl>
            <c:dLbl>
              <c:idx val="4"/>
              <c:layout>
                <c:manualLayout>
                  <c:x val="0"/>
                  <c:y val="-2.824699887552155E-2"/>
                </c:manualLayout>
              </c:layout>
              <c:tx>
                <c:strRef>
                  <c:f>'2009'!$G$9</c:f>
                  <c:strCache>
                    <c:ptCount val="1"/>
                    <c:pt idx="0">
                      <c:v>ACDP/GHG invoices due (2010)</c:v>
                    </c:pt>
                  </c:strCache>
                </c:strRef>
              </c:tx>
              <c:dLblPos val="r"/>
              <c:showVal val="1"/>
            </c:dLbl>
            <c:dLbl>
              <c:idx val="5"/>
              <c:layout>
                <c:manualLayout>
                  <c:x val="8.6687543479247538E-4"/>
                  <c:y val="1.1920544190659185E-2"/>
                </c:manualLayout>
              </c:layout>
              <c:tx>
                <c:strRef>
                  <c:f>'2009'!$G$10</c:f>
                  <c:strCache>
                    <c:ptCount val="1"/>
                    <c:pt idx="0">
                      <c:v>Distributors/importers fees due (2010)</c:v>
                    </c:pt>
                  </c:strCache>
                </c:strRef>
              </c:tx>
              <c:dLblPos val="r"/>
              <c:showVal val="1"/>
            </c:dLbl>
            <c:dLbl>
              <c:idx val="6"/>
              <c:layout>
                <c:manualLayout>
                  <c:x val="-6.2701098584800219E-4"/>
                  <c:y val="-1.1668980739864178E-2"/>
                </c:manualLayout>
              </c:layout>
              <c:tx>
                <c:strRef>
                  <c:f>'2009'!$G$11</c:f>
                  <c:strCache>
                    <c:ptCount val="1"/>
                    <c:pt idx="0">
                      <c:v>Issue GHG invoices for distributors/importers (2010)</c:v>
                    </c:pt>
                  </c:strCache>
                </c:strRef>
              </c:tx>
              <c:dLblPos val="r"/>
              <c:showVal val="1"/>
            </c:dLbl>
            <c:dLbl>
              <c:idx val="7"/>
              <c:layout>
                <c:manualLayout>
                  <c:x val="-6.908755052398634E-3"/>
                  <c:y val="-4.1670999312467295E-2"/>
                </c:manualLayout>
              </c:layout>
              <c:tx>
                <c:strRef>
                  <c:f>'2009'!$G$12</c:f>
                  <c:strCache>
                    <c:ptCount val="1"/>
                    <c:pt idx="0">
                      <c:v>Legislative session</c:v>
                    </c:pt>
                  </c:strCache>
                </c:strRef>
              </c:tx>
              <c:spPr>
                <a:noFill/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85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1.5167450225137089E-3"/>
                  <c:y val="-3.2344879016102071E-2"/>
                </c:manualLayout>
              </c:layout>
              <c:tx>
                <c:strRef>
                  <c:f>'2009'!$G$13</c:f>
                  <c:strCache>
                    <c:ptCount val="1"/>
                    <c:pt idx="0">
                      <c:v>Comment period</c:v>
                    </c:pt>
                  </c:strCache>
                </c:strRef>
              </c:tx>
              <c:dLblPos val="r"/>
              <c:showVal val="1"/>
            </c:dLbl>
            <c:dLbl>
              <c:idx val="9"/>
              <c:layout>
                <c:manualLayout>
                  <c:x val="-4.8815045067628323E-3"/>
                  <c:y val="-2.8234289314722688E-2"/>
                </c:manualLayout>
              </c:layout>
              <c:tx>
                <c:strRef>
                  <c:f>'2009'!$G$14</c:f>
                  <c:strCache>
                    <c:ptCount val="1"/>
                    <c:pt idx="0">
                      <c:v>SOS publication</c:v>
                    </c:pt>
                  </c:strCache>
                </c:strRef>
              </c:tx>
              <c:spPr>
                <a:noFill/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85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10"/>
              <c:layout>
                <c:manualLayout>
                  <c:x val="4.4257867987816685E-3"/>
                  <c:y val="-2.3287092773756801E-2"/>
                </c:manualLayout>
              </c:layout>
              <c:tx>
                <c:strRef>
                  <c:f>'2009'!$G$15</c:f>
                  <c:strCache>
                    <c:ptCount val="1"/>
                    <c:pt idx="0">
                      <c:v>Public hearings</c:v>
                    </c:pt>
                  </c:strCache>
                </c:strRef>
              </c:tx>
              <c:dLblPos val="r"/>
              <c:showVal val="1"/>
            </c:dLbl>
            <c:dLbl>
              <c:idx val="11"/>
              <c:layout/>
              <c:tx>
                <c:strRef>
                  <c:f>'2009'!$G$16</c:f>
                  <c:strCache>
                    <c:ptCount val="1"/>
                    <c:pt idx="0">
                      <c:v>Rule adoption</c:v>
                    </c:pt>
                  </c:strCache>
                </c:strRef>
              </c:tx>
              <c:dLblPos val="r"/>
              <c:showVal val="1"/>
            </c:dLbl>
            <c:dLbl>
              <c:idx val="12"/>
              <c:layout>
                <c:manualLayout>
                  <c:x val="-2.9580503020041806E-5"/>
                  <c:y val="1.3892617326169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Deadline to complete staff report &amp; rules (entire proposal)</a:t>
                    </a:r>
                  </a:p>
                </c:rich>
              </c:tx>
              <c:dLblPos val="r"/>
              <c:showVal val="1"/>
            </c:dLbl>
            <c:dLbl>
              <c:idx val="13"/>
              <c:tx>
                <c:strRef>
                  <c:f>'2009'!$G$18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r"/>
              <c:showVal val="1"/>
            </c:dLbl>
            <c:dLbl>
              <c:idx val="14"/>
              <c:layout>
                <c:manualLayout>
                  <c:x val="-4.139344133919208E-2"/>
                  <c:y val="-3.8932562117184058E-2"/>
                </c:manualLayout>
              </c:layout>
              <c:tx>
                <c:strRef>
                  <c:f>'2009'!$G$19</c:f>
                  <c:strCache>
                    <c:ptCount val="1"/>
                    <c:pt idx="0">
                      <c:v>Advisory committee meetings (contd):</c:v>
                    </c:pt>
                  </c:strCache>
                </c:strRef>
              </c:tx>
              <c:spPr>
                <a:solidFill>
                  <a:sysClr val="window" lastClr="FFFFFF"/>
                </a:solidFill>
                <a:ln w="1270">
                  <a:solidFill>
                    <a:srgbClr val="1849B5">
                      <a:alpha val="36000"/>
                    </a:srgbClr>
                  </a:solidFill>
                </a:ln>
              </c:spPr>
              <c:txPr>
                <a:bodyPr/>
                <a:lstStyle/>
                <a:p>
                  <a:pPr algn="l">
                    <a:defRPr sz="1200" b="0" i="0" u="none" strike="noStrike" baseline="0">
                      <a:solidFill>
                        <a:srgbClr val="000000"/>
                      </a:solidFill>
                      <a:latin typeface="Tahoma"/>
                      <a:ea typeface="Tahoma"/>
                      <a:cs typeface="Tahoma"/>
                    </a:defRPr>
                  </a:pPr>
                  <a:endParaRPr lang="en-US"/>
                </a:p>
              </c:txPr>
              <c:dLblPos val="r"/>
              <c:showVal val="1"/>
            </c:dLbl>
            <c:dLbl>
              <c:idx val="15"/>
              <c:layout>
                <c:manualLayout>
                  <c:x val="2.1418647616430474E-5"/>
                  <c:y val="5.2357988928066139E-2"/>
                </c:manualLayout>
              </c:layout>
              <c:tx>
                <c:strRef>
                  <c:f>'2009'!$G$20</c:f>
                  <c:strCache>
                    <c:ptCount val="1"/>
                    <c:pt idx="0">
                      <c:v>Committee to finalize rule revisions and review fiscal impact statement</c:v>
                    </c:pt>
                  </c:strCache>
                </c:strRef>
              </c:tx>
              <c:dLblPos val="r"/>
              <c:showVal val="1"/>
            </c:dLbl>
            <c:dLbl>
              <c:idx val="16"/>
              <c:layout>
                <c:manualLayout>
                  <c:x val="-2.8089752091429369E-4"/>
                  <c:y val="-1.7454993062168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Deadline to complete public notice pkg (entire</a:t>
                    </a:r>
                    <a:r>
                      <a:rPr lang="en-US" baseline="0"/>
                      <a:t> proposal)</a:t>
                    </a:r>
                    <a:endParaRPr lang="en-US"/>
                  </a:p>
                </c:rich>
              </c:tx>
              <c:dLblPos val="r"/>
              <c:showVal val="1"/>
            </c:dLbl>
            <c:dLbl>
              <c:idx val="17"/>
              <c:layout>
                <c:manualLayout>
                  <c:x val="-1.7972479640550428E-2"/>
                  <c:y val="4.2752171008684087E-2"/>
                </c:manualLayout>
              </c:layout>
              <c:tx>
                <c:strRef>
                  <c:f>'2009'!$G$22</c:f>
                  <c:strCache>
                    <c:ptCount val="1"/>
                    <c:pt idx="0">
                      <c:v>0</c:v>
                    </c:pt>
                  </c:strCache>
                </c:strRef>
              </c:tx>
              <c:dLblPos val="r"/>
              <c:showVal val="1"/>
            </c:dLbl>
            <c:dLbl>
              <c:idx val="18"/>
              <c:layout>
                <c:manualLayout>
                  <c:x val="-1.2356079752878401E-2"/>
                  <c:y val="0"/>
                </c:manualLayout>
              </c:layout>
              <c:tx>
                <c:strRef>
                  <c:f>'2009'!$G$23</c:f>
                  <c:strCache>
                    <c:ptCount val="1"/>
                    <c:pt idx="0">
                      <c:v>J</c:v>
                    </c:pt>
                  </c:strCache>
                </c:strRef>
              </c:tx>
              <c:dLblPos val="r"/>
              <c:showVal val="1"/>
            </c:dLbl>
            <c:dLbl>
              <c:idx val="19"/>
              <c:layout>
                <c:manualLayout>
                  <c:x val="-1.3479359730412819E-2"/>
                  <c:y val="0"/>
                </c:manualLayout>
              </c:layout>
              <c:tx>
                <c:strRef>
                  <c:f>'2009'!$G$24</c:f>
                  <c:strCache>
                    <c:ptCount val="1"/>
                    <c:pt idx="0">
                      <c:v>F</c:v>
                    </c:pt>
                  </c:strCache>
                </c:strRef>
              </c:tx>
              <c:dLblPos val="r"/>
              <c:showVal val="1"/>
            </c:dLbl>
            <c:dLbl>
              <c:idx val="20"/>
              <c:layout>
                <c:manualLayout>
                  <c:x val="-1.2356079752878425E-2"/>
                  <c:y val="0"/>
                </c:manualLayout>
              </c:layout>
              <c:tx>
                <c:strRef>
                  <c:f>'2009'!$G$25</c:f>
                  <c:strCache>
                    <c:ptCount val="1"/>
                    <c:pt idx="0">
                      <c:v>M</c:v>
                    </c:pt>
                  </c:strCache>
                </c:strRef>
              </c:tx>
              <c:dLblPos val="r"/>
              <c:showVal val="1"/>
            </c:dLbl>
            <c:dLbl>
              <c:idx val="21"/>
              <c:layout>
                <c:manualLayout>
                  <c:x val="-1.0109519797809614E-2"/>
                  <c:y val="0"/>
                </c:manualLayout>
              </c:layout>
              <c:tx>
                <c:strRef>
                  <c:f>'2009'!$G$26</c:f>
                  <c:strCache>
                    <c:ptCount val="1"/>
                    <c:pt idx="0">
                      <c:v>A</c:v>
                    </c:pt>
                  </c:strCache>
                </c:strRef>
              </c:tx>
              <c:dLblPos val="r"/>
              <c:showVal val="1"/>
            </c:dLbl>
            <c:dLbl>
              <c:idx val="22"/>
              <c:layout>
                <c:manualLayout>
                  <c:x val="-1.0109519797809614E-2"/>
                  <c:y val="0"/>
                </c:manualLayout>
              </c:layout>
              <c:tx>
                <c:strRef>
                  <c:f>'2009'!$G$27</c:f>
                  <c:strCache>
                    <c:ptCount val="1"/>
                    <c:pt idx="0">
                      <c:v>M</c:v>
                    </c:pt>
                  </c:strCache>
                </c:strRef>
              </c:tx>
              <c:dLblPos val="r"/>
              <c:showVal val="1"/>
            </c:dLbl>
            <c:dLbl>
              <c:idx val="23"/>
              <c:layout>
                <c:manualLayout>
                  <c:x val="-1.1232799775344004E-2"/>
                  <c:y val="0"/>
                </c:manualLayout>
              </c:layout>
              <c:tx>
                <c:strRef>
                  <c:f>'2009'!$G$28</c:f>
                  <c:strCache>
                    <c:ptCount val="1"/>
                    <c:pt idx="0">
                      <c:v>J</c:v>
                    </c:pt>
                  </c:strCache>
                </c:strRef>
              </c:tx>
              <c:dLblPos val="r"/>
              <c:showVal val="1"/>
            </c:dLbl>
            <c:dLbl>
              <c:idx val="24"/>
              <c:layout>
                <c:manualLayout>
                  <c:x val="-1.0109519797809614E-2"/>
                  <c:y val="0"/>
                </c:manualLayout>
              </c:layout>
              <c:tx>
                <c:strRef>
                  <c:f>'2009'!$G$29</c:f>
                  <c:strCache>
                    <c:ptCount val="1"/>
                    <c:pt idx="0">
                      <c:v>J</c:v>
                    </c:pt>
                  </c:strCache>
                </c:strRef>
              </c:tx>
              <c:dLblPos val="r"/>
              <c:showVal val="1"/>
            </c:dLbl>
            <c:dLbl>
              <c:idx val="25"/>
              <c:layout>
                <c:manualLayout>
                  <c:x val="-1.0109519797809614E-2"/>
                  <c:y val="0"/>
                </c:manualLayout>
              </c:layout>
              <c:tx>
                <c:strRef>
                  <c:f>'2009'!$G$30</c:f>
                  <c:strCache>
                    <c:ptCount val="1"/>
                    <c:pt idx="0">
                      <c:v>A</c:v>
                    </c:pt>
                  </c:strCache>
                </c:strRef>
              </c:tx>
              <c:dLblPos val="r"/>
              <c:showVal val="1"/>
            </c:dLbl>
            <c:dLbl>
              <c:idx val="26"/>
              <c:layout>
                <c:manualLayout>
                  <c:x val="-1.1232799775344004E-2"/>
                  <c:y val="0"/>
                </c:manualLayout>
              </c:layout>
              <c:tx>
                <c:strRef>
                  <c:f>'2009'!$G$31</c:f>
                  <c:strCache>
                    <c:ptCount val="1"/>
                    <c:pt idx="0">
                      <c:v>S</c:v>
                    </c:pt>
                  </c:strCache>
                </c:strRef>
              </c:tx>
              <c:dLblPos val="r"/>
              <c:showVal val="1"/>
            </c:dLbl>
            <c:dLbl>
              <c:idx val="27"/>
              <c:layout>
                <c:manualLayout>
                  <c:x val="-1.0109519797809614E-2"/>
                  <c:y val="0"/>
                </c:manualLayout>
              </c:layout>
              <c:tx>
                <c:strRef>
                  <c:f>'2009'!$G$32</c:f>
                  <c:strCache>
                    <c:ptCount val="1"/>
                    <c:pt idx="0">
                      <c:v>O</c:v>
                    </c:pt>
                  </c:strCache>
                </c:strRef>
              </c:tx>
              <c:dLblPos val="r"/>
              <c:showVal val="1"/>
            </c:dLbl>
            <c:dLbl>
              <c:idx val="28"/>
              <c:layout>
                <c:manualLayout>
                  <c:x val="-8.986239820275221E-3"/>
                  <c:y val="0"/>
                </c:manualLayout>
              </c:layout>
              <c:tx>
                <c:strRef>
                  <c:f>'2009'!$G$33</c:f>
                  <c:strCache>
                    <c:ptCount val="1"/>
                    <c:pt idx="0">
                      <c:v>N</c:v>
                    </c:pt>
                  </c:strCache>
                </c:strRef>
              </c:tx>
              <c:dLblPos val="r"/>
              <c:showVal val="1"/>
            </c:dLbl>
            <c:dLbl>
              <c:idx val="29"/>
              <c:layout>
                <c:manualLayout>
                  <c:x val="-1.1232799775344004E-2"/>
                  <c:y val="0"/>
                </c:manualLayout>
              </c:layout>
              <c:tx>
                <c:strRef>
                  <c:f>'2009'!$G$34</c:f>
                  <c:strCache>
                    <c:ptCount val="1"/>
                    <c:pt idx="0">
                      <c:v>D</c:v>
                    </c:pt>
                  </c:strCache>
                </c:strRef>
              </c:tx>
              <c:dLblPos val="r"/>
              <c:showVal val="1"/>
            </c:dLbl>
            <c:spPr>
              <a:solidFill>
                <a:sysClr val="window" lastClr="FFFFFF">
                  <a:alpha val="92000"/>
                </a:sysClr>
              </a:solidFill>
              <a:ln w="1270">
                <a:solidFill>
                  <a:srgbClr val="1849B5">
                    <a:alpha val="36000"/>
                  </a:srgbClr>
                </a:solidFill>
              </a:ln>
            </c:spPr>
            <c:txPr>
              <a:bodyPr/>
              <a:lstStyle/>
              <a:p>
                <a:pPr algn="l">
                  <a:defRPr sz="850" b="0" i="0" u="none" strike="noStrike" baseline="0">
                    <a:solidFill>
                      <a:srgbClr val="000000"/>
                    </a:solidFill>
                    <a:latin typeface="Tahoma"/>
                    <a:ea typeface="Tahoma"/>
                    <a:cs typeface="Tahoma"/>
                  </a:defRPr>
                </a:pPr>
                <a:endParaRPr lang="en-US"/>
              </a:p>
            </c:txPr>
            <c:dLblPos val="r"/>
            <c:showVal val="1"/>
          </c:dLbls>
          <c:errBars>
            <c:errDir val="x"/>
            <c:errBarType val="plus"/>
            <c:errValType val="cust"/>
            <c:plus>
              <c:numRef>
                <c:f>'2009'!$D$5:$D$34</c:f>
                <c:numCache>
                  <c:formatCode>General</c:formatCode>
                  <c:ptCount val="30"/>
                  <c:pt idx="7">
                    <c:v>30</c:v>
                  </c:pt>
                  <c:pt idx="8">
                    <c:v>30</c:v>
                  </c:pt>
                  <c:pt idx="10">
                    <c:v>3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errBars>
            <c:errDir val="y"/>
            <c:errBarType val="minus"/>
            <c:errValType val="percentage"/>
            <c:noEndCap val="1"/>
            <c:val val="100"/>
            <c:spPr>
              <a:ln w="12700" cap="rnd">
                <a:solidFill>
                  <a:srgbClr val="B2B2B2"/>
                </a:solidFill>
                <a:prstDash val="solid"/>
              </a:ln>
            </c:spPr>
          </c:errBars>
          <c:xVal>
            <c:numRef>
              <c:f>'2009'!$F$5:$F$34</c:f>
              <c:numCache>
                <c:formatCode>General</c:formatCode>
                <c:ptCount val="30"/>
                <c:pt idx="0">
                  <c:v>40194</c:v>
                </c:pt>
                <c:pt idx="1">
                  <c:v>40410</c:v>
                </c:pt>
                <c:pt idx="2">
                  <c:v>40471</c:v>
                </c:pt>
                <c:pt idx="3">
                  <c:v>40452</c:v>
                </c:pt>
                <c:pt idx="4">
                  <c:v>40513</c:v>
                </c:pt>
                <c:pt idx="5">
                  <c:v>40452</c:v>
                </c:pt>
                <c:pt idx="6">
                  <c:v>40410</c:v>
                </c:pt>
                <c:pt idx="7">
                  <c:v>40210</c:v>
                </c:pt>
                <c:pt idx="8">
                  <c:v>40257</c:v>
                </c:pt>
                <c:pt idx="9">
                  <c:v>40269</c:v>
                </c:pt>
                <c:pt idx="10">
                  <c:v>40285</c:v>
                </c:pt>
                <c:pt idx="11">
                  <c:v>40351</c:v>
                </c:pt>
                <c:pt idx="12">
                  <c:v>40307</c:v>
                </c:pt>
                <c:pt idx="13">
                  <c:v>0</c:v>
                </c:pt>
                <c:pt idx="14">
                  <c:v>40180</c:v>
                </c:pt>
                <c:pt idx="15">
                  <c:v>40188</c:v>
                </c:pt>
                <c:pt idx="16">
                  <c:v>40242</c:v>
                </c:pt>
                <c:pt idx="17">
                  <c:v>0</c:v>
                </c:pt>
                <c:pt idx="18">
                  <c:v>40179</c:v>
                </c:pt>
                <c:pt idx="19">
                  <c:v>40210</c:v>
                </c:pt>
                <c:pt idx="20">
                  <c:v>40238</c:v>
                </c:pt>
                <c:pt idx="21">
                  <c:v>40269</c:v>
                </c:pt>
                <c:pt idx="22">
                  <c:v>40299</c:v>
                </c:pt>
                <c:pt idx="23">
                  <c:v>40330</c:v>
                </c:pt>
                <c:pt idx="24">
                  <c:v>40360</c:v>
                </c:pt>
                <c:pt idx="25">
                  <c:v>40391</c:v>
                </c:pt>
                <c:pt idx="26">
                  <c:v>40422</c:v>
                </c:pt>
                <c:pt idx="27">
                  <c:v>40452</c:v>
                </c:pt>
                <c:pt idx="28">
                  <c:v>40483</c:v>
                </c:pt>
                <c:pt idx="29">
                  <c:v>40513</c:v>
                </c:pt>
              </c:numCache>
            </c:numRef>
          </c:xVal>
          <c:yVal>
            <c:numRef>
              <c:f>'2009'!$E$5:$E$34</c:f>
              <c:numCache>
                <c:formatCode>General</c:formatCode>
                <c:ptCount val="30"/>
                <c:pt idx="0">
                  <c:v>12.5</c:v>
                </c:pt>
                <c:pt idx="1">
                  <c:v>10</c:v>
                </c:pt>
                <c:pt idx="2">
                  <c:v>4</c:v>
                </c:pt>
                <c:pt idx="3">
                  <c:v>7.5</c:v>
                </c:pt>
                <c:pt idx="4">
                  <c:v>2</c:v>
                </c:pt>
                <c:pt idx="5">
                  <c:v>6</c:v>
                </c:pt>
                <c:pt idx="6">
                  <c:v>8.7000000000000011</c:v>
                </c:pt>
                <c:pt idx="7">
                  <c:v>3</c:v>
                </c:pt>
                <c:pt idx="8">
                  <c:v>9</c:v>
                </c:pt>
                <c:pt idx="9">
                  <c:v>7</c:v>
                </c:pt>
                <c:pt idx="10">
                  <c:v>5.5</c:v>
                </c:pt>
                <c:pt idx="11">
                  <c:v>2</c:v>
                </c:pt>
                <c:pt idx="12">
                  <c:v>4</c:v>
                </c:pt>
                <c:pt idx="14">
                  <c:v>-3</c:v>
                </c:pt>
                <c:pt idx="15">
                  <c:v>-4</c:v>
                </c:pt>
                <c:pt idx="16">
                  <c:v>11.5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yVal>
        </c:ser>
        <c:dLbls>
          <c:showVal val="1"/>
        </c:dLbls>
        <c:axId val="176990464"/>
        <c:axId val="165388288"/>
      </c:scatterChart>
      <c:valAx>
        <c:axId val="176990464"/>
        <c:scaling>
          <c:orientation val="minMax"/>
          <c:max val="40544"/>
          <c:min val="40179"/>
        </c:scaling>
        <c:axPos val="b"/>
        <c:numFmt formatCode="[$-409]d\-mmm\-yy;@" sourceLinked="0"/>
        <c:majorTickMark val="none"/>
        <c:tickLblPos val="none"/>
        <c:spPr>
          <a:ln w="38100">
            <a:solidFill>
              <a:srgbClr val="1849B5">
                <a:alpha val="69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65388288"/>
        <c:crosses val="autoZero"/>
        <c:crossBetween val="midCat"/>
        <c:majorUnit val="30.5"/>
      </c:valAx>
      <c:valAx>
        <c:axId val="165388288"/>
        <c:scaling>
          <c:orientation val="minMax"/>
        </c:scaling>
        <c:delete val="1"/>
        <c:axPos val="l"/>
        <c:numFmt formatCode="General" sourceLinked="1"/>
        <c:tickLblPos val="nextTo"/>
        <c:crossAx val="17699046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0.00216</cdr:x>
      <cdr:y>0.00694</cdr:y>
    </cdr:to>
    <cdr:pic>
      <cdr:nvPicPr>
        <cdr:cNvPr id="2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0.48507</cdr:y>
    </cdr:from>
    <cdr:to>
      <cdr:x>0.04466</cdr:x>
      <cdr:y>0.59739</cdr:y>
    </cdr:to>
    <cdr:sp macro="" textlink="">
      <cdr:nvSpPr>
        <cdr:cNvPr id="29" name="TextBox 1"/>
        <cdr:cNvSpPr txBox="1"/>
      </cdr:nvSpPr>
      <cdr:spPr>
        <a:xfrm xmlns:a="http://schemas.openxmlformats.org/drawingml/2006/main">
          <a:off x="0" y="1732930"/>
          <a:ext cx="531832" cy="4012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/>
            <a:t>2009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0.00216</cdr:x>
      <cdr:y>0.00694</cdr:y>
    </cdr:to>
    <cdr:pic>
      <cdr:nvPicPr>
        <cdr:cNvPr id="28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</cdr:x>
      <cdr:y>0.59859</cdr:y>
    </cdr:from>
    <cdr:to>
      <cdr:x>0.04466</cdr:x>
      <cdr:y>0.71091</cdr:y>
    </cdr:to>
    <cdr:sp macro="" textlink="">
      <cdr:nvSpPr>
        <cdr:cNvPr id="29" name="TextBox 1"/>
        <cdr:cNvSpPr txBox="1"/>
      </cdr:nvSpPr>
      <cdr:spPr>
        <a:xfrm xmlns:a="http://schemas.openxmlformats.org/drawingml/2006/main">
          <a:off x="0" y="1883918"/>
          <a:ext cx="527530" cy="35349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1100" b="1"/>
            <a:t>2010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C8F1-A88C-483A-AC7D-E3F1E836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acurtis</dc:creator>
  <cp:keywords/>
  <dc:description/>
  <cp:lastModifiedBy>acurtis</cp:lastModifiedBy>
  <cp:revision>3</cp:revision>
  <cp:lastPrinted>2009-07-28T20:19:00Z</cp:lastPrinted>
  <dcterms:created xsi:type="dcterms:W3CDTF">2009-07-28T20:16:00Z</dcterms:created>
  <dcterms:modified xsi:type="dcterms:W3CDTF">2009-07-29T01:07:00Z</dcterms:modified>
</cp:coreProperties>
</file>