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C4" w:rsidRPr="005E3395" w:rsidRDefault="00977ED1" w:rsidP="00977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CWSRF Permanent Stimulus Rule</w:t>
      </w:r>
      <w:r w:rsidR="00960519">
        <w:rPr>
          <w:rFonts w:ascii="Times New Roman" w:hAnsi="Times New Roman" w:cs="Times New Roman"/>
          <w:sz w:val="24"/>
          <w:szCs w:val="24"/>
        </w:rPr>
        <w:t>making</w:t>
      </w:r>
    </w:p>
    <w:p w:rsidR="00977ED1" w:rsidRPr="005E3395" w:rsidRDefault="00977ED1" w:rsidP="00977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Presentation to EQC</w:t>
      </w:r>
    </w:p>
    <w:p w:rsidR="00977ED1" w:rsidRPr="005E3395" w:rsidRDefault="00977ED1" w:rsidP="00977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October </w:t>
      </w:r>
      <w:r w:rsidR="00960519">
        <w:rPr>
          <w:rFonts w:ascii="Times New Roman" w:hAnsi="Times New Roman" w:cs="Times New Roman"/>
          <w:sz w:val="24"/>
          <w:szCs w:val="24"/>
        </w:rPr>
        <w:t>22-23</w:t>
      </w:r>
      <w:r w:rsidRPr="005E3395">
        <w:rPr>
          <w:rFonts w:ascii="Times New Roman" w:hAnsi="Times New Roman" w:cs="Times New Roman"/>
          <w:sz w:val="24"/>
          <w:szCs w:val="24"/>
        </w:rPr>
        <w:t>, 2009</w:t>
      </w:r>
    </w:p>
    <w:p w:rsidR="00977ED1" w:rsidRPr="005E3395" w:rsidRDefault="00977ED1" w:rsidP="00977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7ED1" w:rsidRPr="005E3395" w:rsidRDefault="00977ED1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ED1" w:rsidRPr="005E3395" w:rsidRDefault="00977ED1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ED1" w:rsidRPr="005E3395" w:rsidRDefault="00977ED1" w:rsidP="00977E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977ED1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Since 1990, DEQ's CWSRF loan has provide $700 million to 130 communities for projects improving Oregon's water quality.</w:t>
      </w: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Currently, DEQ offers about $40 million in loans annually</w:t>
      </w:r>
    </w:p>
    <w:p w:rsidR="002B4126" w:rsidRPr="00960519" w:rsidRDefault="002B4126" w:rsidP="0096051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519">
        <w:rPr>
          <w:rFonts w:ascii="Times New Roman" w:hAnsi="Times New Roman" w:cs="Times New Roman"/>
          <w:sz w:val="24"/>
          <w:szCs w:val="24"/>
        </w:rPr>
        <w:t>$10 million from an annual capitalization grant from EPA</w:t>
      </w:r>
    </w:p>
    <w:p w:rsidR="002B4126" w:rsidRPr="00960519" w:rsidRDefault="002B4126" w:rsidP="0096051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519">
        <w:rPr>
          <w:rFonts w:ascii="Times New Roman" w:hAnsi="Times New Roman" w:cs="Times New Roman"/>
          <w:sz w:val="24"/>
          <w:szCs w:val="24"/>
        </w:rPr>
        <w:t>the balance from repayments, interest and fees from previous loans</w:t>
      </w:r>
    </w:p>
    <w:p w:rsidR="00155EB3" w:rsidRPr="005E3395" w:rsidRDefault="00155EB3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The 2009 American Recovery and Reinvestment Act provided an additional $44 capitalization grant for Oregon's CWSRF loan program</w:t>
      </w:r>
      <w:r w:rsidR="00960519">
        <w:rPr>
          <w:rFonts w:ascii="Times New Roman" w:hAnsi="Times New Roman" w:cs="Times New Roman"/>
          <w:sz w:val="24"/>
          <w:szCs w:val="24"/>
        </w:rPr>
        <w:t xml:space="preserve"> in 2009</w:t>
      </w:r>
      <w:r w:rsidRPr="005E3395">
        <w:rPr>
          <w:rFonts w:ascii="Times New Roman" w:hAnsi="Times New Roman" w:cs="Times New Roman"/>
          <w:sz w:val="24"/>
          <w:szCs w:val="24"/>
        </w:rPr>
        <w:t>.</w:t>
      </w: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EB3" w:rsidRPr="005E3395" w:rsidRDefault="00155EB3" w:rsidP="00977E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Temporary Rules adopted in April</w:t>
      </w:r>
    </w:p>
    <w:p w:rsidR="002B4126" w:rsidRPr="005E3395" w:rsidRDefault="002B4126" w:rsidP="00977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The Commission adopted temporary rules in April that amended the CWSRF program to </w:t>
      </w:r>
      <w:r w:rsidR="00960519">
        <w:rPr>
          <w:rFonts w:ascii="Times New Roman" w:hAnsi="Times New Roman" w:cs="Times New Roman"/>
          <w:sz w:val="24"/>
          <w:szCs w:val="24"/>
        </w:rPr>
        <w:t>accommodate</w:t>
      </w:r>
      <w:r w:rsidRPr="005E3395">
        <w:rPr>
          <w:rFonts w:ascii="Times New Roman" w:hAnsi="Times New Roman" w:cs="Times New Roman"/>
          <w:sz w:val="24"/>
          <w:szCs w:val="24"/>
        </w:rPr>
        <w:t xml:space="preserve"> specific ARRA requirements:</w:t>
      </w:r>
    </w:p>
    <w:p w:rsidR="004508EA" w:rsidRPr="005E3395" w:rsidRDefault="004508EA" w:rsidP="00450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50 principal forgiveness to communities, </w:t>
      </w:r>
    </w:p>
    <w:p w:rsidR="004508EA" w:rsidRPr="005E3395" w:rsidRDefault="004508EA" w:rsidP="00450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75% principal forgiveness to small communities</w:t>
      </w:r>
    </w:p>
    <w:p w:rsidR="004508EA" w:rsidRPr="005E3395" w:rsidRDefault="004508EA" w:rsidP="004508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0% interest loans</w:t>
      </w:r>
    </w:p>
    <w:p w:rsidR="00155EB3" w:rsidRPr="005E3395" w:rsidRDefault="004508EA" w:rsidP="004508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20% set aside for "green projects"</w:t>
      </w:r>
      <w:r w:rsidR="002B4126" w:rsidRPr="005E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EA" w:rsidRPr="005E3395" w:rsidRDefault="00960519" w:rsidP="004508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CWSRF </w:t>
      </w:r>
      <w:r w:rsidR="004508EA" w:rsidRPr="005E3395">
        <w:rPr>
          <w:rFonts w:ascii="Times New Roman" w:hAnsi="Times New Roman" w:cs="Times New Roman"/>
          <w:sz w:val="24"/>
          <w:szCs w:val="24"/>
        </w:rPr>
        <w:t>projects with executed loans prior to 10/1/08 not eligible for ARRA funding</w:t>
      </w:r>
    </w:p>
    <w:p w:rsidR="004508EA" w:rsidRPr="005E3395" w:rsidRDefault="004508EA" w:rsidP="004508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projects under construction or contract by 2/16/10</w:t>
      </w:r>
    </w:p>
    <w:p w:rsidR="004508EA" w:rsidRPr="005E3395" w:rsidRDefault="004508EA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FB3" w:rsidRPr="005E3395" w:rsidRDefault="009C6FB3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FB3" w:rsidRPr="005E3395" w:rsidRDefault="009C6FB3" w:rsidP="004508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Need for Permanent Rules</w:t>
      </w:r>
    </w:p>
    <w:p w:rsidR="004508EA" w:rsidRPr="005E3395" w:rsidRDefault="009C6FB3" w:rsidP="004508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The temporary rules adopted in April expire </w:t>
      </w:r>
      <w:r w:rsidR="00960519">
        <w:rPr>
          <w:rFonts w:ascii="Times New Roman" w:hAnsi="Times New Roman" w:cs="Times New Roman"/>
          <w:sz w:val="24"/>
          <w:szCs w:val="24"/>
        </w:rPr>
        <w:t xml:space="preserve">10/28/09. </w:t>
      </w:r>
      <w:r w:rsidRPr="005E3395">
        <w:rPr>
          <w:rFonts w:ascii="Times New Roman" w:hAnsi="Times New Roman" w:cs="Times New Roman"/>
          <w:sz w:val="24"/>
          <w:szCs w:val="24"/>
        </w:rPr>
        <w:t xml:space="preserve"> DEQ will continue to administer ARRA funds</w:t>
      </w:r>
      <w:r w:rsidR="00960519">
        <w:rPr>
          <w:rFonts w:ascii="Times New Roman" w:hAnsi="Times New Roman" w:cs="Times New Roman"/>
          <w:sz w:val="24"/>
          <w:szCs w:val="24"/>
        </w:rPr>
        <w:t xml:space="preserve"> in the immediate future so</w:t>
      </w:r>
      <w:r w:rsidRPr="005E3395">
        <w:rPr>
          <w:rFonts w:ascii="Times New Roman" w:hAnsi="Times New Roman" w:cs="Times New Roman"/>
          <w:sz w:val="24"/>
          <w:szCs w:val="24"/>
        </w:rPr>
        <w:t xml:space="preserve"> it is necessary to establish permanent rules that will ensure DEQ </w:t>
      </w:r>
      <w:r w:rsidR="00960519">
        <w:rPr>
          <w:rFonts w:ascii="Times New Roman" w:hAnsi="Times New Roman" w:cs="Times New Roman"/>
          <w:sz w:val="24"/>
          <w:szCs w:val="24"/>
        </w:rPr>
        <w:t xml:space="preserve">is able to </w:t>
      </w:r>
      <w:r w:rsidRPr="005E3395">
        <w:rPr>
          <w:rFonts w:ascii="Times New Roman" w:hAnsi="Times New Roman" w:cs="Times New Roman"/>
          <w:sz w:val="24"/>
          <w:szCs w:val="24"/>
        </w:rPr>
        <w:t>compl</w:t>
      </w:r>
      <w:r w:rsidR="00960519">
        <w:rPr>
          <w:rFonts w:ascii="Times New Roman" w:hAnsi="Times New Roman" w:cs="Times New Roman"/>
          <w:sz w:val="24"/>
          <w:szCs w:val="24"/>
        </w:rPr>
        <w:t>y</w:t>
      </w:r>
      <w:r w:rsidRPr="005E3395">
        <w:rPr>
          <w:rFonts w:ascii="Times New Roman" w:hAnsi="Times New Roman" w:cs="Times New Roman"/>
          <w:sz w:val="24"/>
          <w:szCs w:val="24"/>
        </w:rPr>
        <w:t xml:space="preserve"> with ARRA requirements.</w:t>
      </w:r>
    </w:p>
    <w:p w:rsidR="009C6FB3" w:rsidRPr="005E3395" w:rsidRDefault="009C6FB3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FB3" w:rsidRDefault="009C6FB3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519" w:rsidRDefault="00960519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519" w:rsidRDefault="00960519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519" w:rsidRDefault="00960519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519" w:rsidRDefault="00960519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519" w:rsidRPr="005E3395" w:rsidRDefault="00960519" w:rsidP="00450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8EA" w:rsidRPr="005E3395" w:rsidRDefault="004508EA" w:rsidP="004508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Permanent Rules</w:t>
      </w:r>
    </w:p>
    <w:p w:rsidR="00155EB3" w:rsidRPr="005E3395" w:rsidRDefault="00137D7C" w:rsidP="00977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The permanent rules were developed with </w:t>
      </w:r>
      <w:r w:rsidR="002C0A44" w:rsidRPr="005E3395">
        <w:rPr>
          <w:rFonts w:ascii="Times New Roman" w:hAnsi="Times New Roman" w:cs="Times New Roman"/>
          <w:sz w:val="24"/>
          <w:szCs w:val="24"/>
        </w:rPr>
        <w:t>only minor changes to the previous temporary rules</w:t>
      </w:r>
      <w:r w:rsidR="00960519">
        <w:rPr>
          <w:rFonts w:ascii="Times New Roman" w:hAnsi="Times New Roman" w:cs="Times New Roman"/>
          <w:sz w:val="24"/>
          <w:szCs w:val="24"/>
        </w:rPr>
        <w:t>.  The similarities and changes between the temporary rule and the proposed permanent rules include</w:t>
      </w:r>
      <w:r w:rsidR="002C0A44" w:rsidRPr="005E3395">
        <w:rPr>
          <w:rFonts w:ascii="Times New Roman" w:hAnsi="Times New Roman" w:cs="Times New Roman"/>
          <w:sz w:val="24"/>
          <w:szCs w:val="24"/>
        </w:rPr>
        <w:t>:</w:t>
      </w:r>
    </w:p>
    <w:p w:rsidR="002C0A44" w:rsidRPr="005E3395" w:rsidRDefault="00960519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C0A44" w:rsidRPr="005E3395">
        <w:rPr>
          <w:rFonts w:ascii="Times New Roman" w:hAnsi="Times New Roman" w:cs="Times New Roman"/>
          <w:sz w:val="24"/>
          <w:szCs w:val="24"/>
        </w:rPr>
        <w:t xml:space="preserve">anguage in 340-054-0104  was amended to better define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C0A44" w:rsidRPr="005E3395">
        <w:rPr>
          <w:rFonts w:ascii="Times New Roman" w:hAnsi="Times New Roman" w:cs="Times New Roman"/>
          <w:sz w:val="24"/>
          <w:szCs w:val="24"/>
        </w:rPr>
        <w:t>the use of ARRA funding only</w:t>
      </w:r>
      <w:r>
        <w:rPr>
          <w:rFonts w:ascii="Times New Roman" w:hAnsi="Times New Roman" w:cs="Times New Roman"/>
          <w:sz w:val="24"/>
          <w:szCs w:val="24"/>
        </w:rPr>
        <w:t xml:space="preserve"> be used</w:t>
      </w:r>
      <w:r w:rsidR="002C0A44" w:rsidRPr="005E3395">
        <w:rPr>
          <w:rFonts w:ascii="Times New Roman" w:hAnsi="Times New Roman" w:cs="Times New Roman"/>
          <w:sz w:val="24"/>
          <w:szCs w:val="24"/>
        </w:rPr>
        <w:t xml:space="preserve"> for increases to existing ARRA funded loans;</w:t>
      </w:r>
    </w:p>
    <w:p w:rsidR="009C6FB3" w:rsidRPr="005E3395" w:rsidRDefault="009C6FB3" w:rsidP="009C6FB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0A44" w:rsidRPr="005E3395" w:rsidRDefault="00960519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0A44" w:rsidRPr="005E3395">
        <w:rPr>
          <w:rFonts w:ascii="Times New Roman" w:hAnsi="Times New Roman" w:cs="Times New Roman"/>
          <w:sz w:val="24"/>
          <w:szCs w:val="24"/>
        </w:rPr>
        <w:t xml:space="preserve">he October 1, 2008 date is retained as the deadline whereby loans executed prior to this date are not eligible for ARRA funding;  </w:t>
      </w:r>
    </w:p>
    <w:p w:rsidR="009C6FB3" w:rsidRPr="005E3395" w:rsidRDefault="009C6FB3" w:rsidP="009C6FB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032E6" w:rsidRDefault="00960519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n 340-054-0106, language was </w:t>
      </w:r>
      <w:r w:rsidR="00636C13">
        <w:rPr>
          <w:rFonts w:ascii="Times New Roman" w:hAnsi="Times New Roman" w:cs="Times New Roman"/>
          <w:sz w:val="24"/>
          <w:szCs w:val="24"/>
        </w:rPr>
        <w:t>added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to better define </w:t>
      </w:r>
      <w:r w:rsidR="00636C13">
        <w:rPr>
          <w:rFonts w:ascii="Times New Roman" w:hAnsi="Times New Roman" w:cs="Times New Roman"/>
          <w:sz w:val="24"/>
          <w:szCs w:val="24"/>
        </w:rPr>
        <w:t>an eligible project</w:t>
      </w:r>
      <w:r w:rsidR="009C6FB3" w:rsidRPr="005E3395">
        <w:rPr>
          <w:rFonts w:ascii="Times New Roman" w:hAnsi="Times New Roman" w:cs="Times New Roman"/>
          <w:sz w:val="24"/>
          <w:szCs w:val="24"/>
        </w:rPr>
        <w:t>;</w:t>
      </w:r>
    </w:p>
    <w:p w:rsidR="00960519" w:rsidRPr="005E3395" w:rsidRDefault="00960519" w:rsidP="0096051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C6FB3" w:rsidRDefault="00636C13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0A44" w:rsidRPr="005E3395">
        <w:rPr>
          <w:rFonts w:ascii="Times New Roman" w:hAnsi="Times New Roman" w:cs="Times New Roman"/>
          <w:sz w:val="24"/>
          <w:szCs w:val="24"/>
        </w:rPr>
        <w:t>he September 1, 2009 date after which any uncommitted ARRA funds could be allocated to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projects above the $5 million limit was eliminated </w:t>
      </w:r>
      <w:r w:rsidR="009C6FB3" w:rsidRPr="005E3395">
        <w:rPr>
          <w:rFonts w:ascii="Times New Roman" w:hAnsi="Times New Roman" w:cs="Times New Roman"/>
          <w:sz w:val="24"/>
          <w:szCs w:val="24"/>
        </w:rPr>
        <w:t>(S</w:t>
      </w:r>
      <w:r w:rsidR="00A032E6" w:rsidRPr="005E3395">
        <w:rPr>
          <w:rFonts w:ascii="Times New Roman" w:hAnsi="Times New Roman" w:cs="Times New Roman"/>
          <w:sz w:val="24"/>
          <w:szCs w:val="24"/>
        </w:rPr>
        <w:t>ince these permanent rules, if adopted</w:t>
      </w:r>
      <w:r w:rsidR="009C6FB3" w:rsidRPr="005E3395">
        <w:rPr>
          <w:rFonts w:ascii="Times New Roman" w:hAnsi="Times New Roman" w:cs="Times New Roman"/>
          <w:sz w:val="24"/>
          <w:szCs w:val="24"/>
        </w:rPr>
        <w:t>,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will not be in effect until after that September date, the</w:t>
      </w:r>
      <w:r w:rsidR="009C6FB3" w:rsidRPr="005E3395">
        <w:rPr>
          <w:rFonts w:ascii="Times New Roman" w:hAnsi="Times New Roman" w:cs="Times New Roman"/>
          <w:sz w:val="24"/>
          <w:szCs w:val="24"/>
        </w:rPr>
        <w:t>re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was no reason to reference that date</w:t>
      </w:r>
      <w:r w:rsidR="009C6FB3" w:rsidRPr="005E33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13" w:rsidRPr="005E3395" w:rsidRDefault="00636C13" w:rsidP="00636C1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0A44" w:rsidRPr="005E3395" w:rsidRDefault="00A032E6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The $5 million ARRA funding limit per project is retained</w:t>
      </w:r>
      <w:r w:rsidR="00636C13">
        <w:rPr>
          <w:rFonts w:ascii="Times New Roman" w:hAnsi="Times New Roman" w:cs="Times New Roman"/>
          <w:sz w:val="24"/>
          <w:szCs w:val="24"/>
        </w:rPr>
        <w:t xml:space="preserve"> with DEQ determination of actual loan amounts up to that limit;</w:t>
      </w:r>
    </w:p>
    <w:p w:rsidR="00A032E6" w:rsidRPr="005E3395" w:rsidRDefault="00A032E6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the 20% funding set aside for green projects is retained</w:t>
      </w:r>
      <w:r w:rsidR="00636C13">
        <w:rPr>
          <w:rFonts w:ascii="Times New Roman" w:hAnsi="Times New Roman" w:cs="Times New Roman"/>
          <w:sz w:val="24"/>
          <w:szCs w:val="24"/>
        </w:rPr>
        <w:t>;</w:t>
      </w:r>
    </w:p>
    <w:p w:rsidR="00A032E6" w:rsidRPr="005E3395" w:rsidRDefault="00F31F80" w:rsidP="009C6FB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The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financial terms of the loans remain the same</w:t>
      </w:r>
      <w:r w:rsidR="00636C13">
        <w:rPr>
          <w:rFonts w:ascii="Times New Roman" w:hAnsi="Times New Roman" w:cs="Times New Roman"/>
          <w:sz w:val="24"/>
          <w:szCs w:val="24"/>
        </w:rPr>
        <w:t>.</w:t>
      </w:r>
      <w:r w:rsidR="00A032E6" w:rsidRPr="005E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2E6" w:rsidRPr="005E3395" w:rsidRDefault="00A032E6" w:rsidP="009C6FB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0% interest rates</w:t>
      </w:r>
    </w:p>
    <w:p w:rsidR="00A032E6" w:rsidRPr="005E3395" w:rsidRDefault="00A032E6" w:rsidP="009C6FB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50% principal forgiveness for communities</w:t>
      </w:r>
    </w:p>
    <w:p w:rsidR="00A032E6" w:rsidRPr="005E3395" w:rsidRDefault="00A032E6" w:rsidP="009C6FB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75% principal forgiveness for small communities (5000 or less population)</w:t>
      </w:r>
    </w:p>
    <w:p w:rsidR="009C6FB3" w:rsidRPr="005E3395" w:rsidRDefault="009C6FB3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FB3" w:rsidRPr="005E3395" w:rsidRDefault="009C6FB3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FB3" w:rsidRPr="005E3395" w:rsidRDefault="009C6FB3" w:rsidP="009C6F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Stakeholder involvement and Public Comment</w:t>
      </w:r>
    </w:p>
    <w:p w:rsidR="009C6FB3" w:rsidRPr="005E3395" w:rsidRDefault="009C6FB3" w:rsidP="009C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Because a stakeholder advisory committee was convened </w:t>
      </w:r>
      <w:r w:rsidR="00636C13">
        <w:rPr>
          <w:rFonts w:ascii="Times New Roman" w:hAnsi="Times New Roman" w:cs="Times New Roman"/>
          <w:sz w:val="24"/>
          <w:szCs w:val="24"/>
        </w:rPr>
        <w:t>when</w:t>
      </w:r>
      <w:r w:rsidRPr="005E3395">
        <w:rPr>
          <w:rFonts w:ascii="Times New Roman" w:hAnsi="Times New Roman" w:cs="Times New Roman"/>
          <w:sz w:val="24"/>
          <w:szCs w:val="24"/>
        </w:rPr>
        <w:t xml:space="preserve"> developing the temporary rules in early 2009, not advisory committee was </w:t>
      </w:r>
      <w:r w:rsidR="00636C13">
        <w:rPr>
          <w:rFonts w:ascii="Times New Roman" w:hAnsi="Times New Roman" w:cs="Times New Roman"/>
          <w:sz w:val="24"/>
          <w:szCs w:val="24"/>
        </w:rPr>
        <w:t>used</w:t>
      </w:r>
      <w:r w:rsidR="00C70849" w:rsidRPr="005E3395">
        <w:rPr>
          <w:rFonts w:ascii="Times New Roman" w:hAnsi="Times New Roman" w:cs="Times New Roman"/>
          <w:sz w:val="24"/>
          <w:szCs w:val="24"/>
        </w:rPr>
        <w:t xml:space="preserve"> for the permanent rules.  </w:t>
      </w: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A 30 days public comment period was provided in August which included public hearings in Bend, Medford and Portland.  Three comments from the public were received (ACWA, </w:t>
      </w:r>
      <w:r w:rsidR="00953CF0">
        <w:rPr>
          <w:rFonts w:ascii="Times New Roman" w:hAnsi="Times New Roman" w:cs="Times New Roman"/>
          <w:sz w:val="24"/>
          <w:szCs w:val="24"/>
        </w:rPr>
        <w:t>Clackamas County</w:t>
      </w:r>
      <w:r w:rsidRPr="005E3395">
        <w:rPr>
          <w:rFonts w:ascii="Times New Roman" w:hAnsi="Times New Roman" w:cs="Times New Roman"/>
          <w:sz w:val="24"/>
          <w:szCs w:val="24"/>
        </w:rPr>
        <w:t xml:space="preserve"> and Coburg)  Those comments and DEQ's response are provided in Attachment C.</w:t>
      </w: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Key Issues</w:t>
      </w:r>
    </w:p>
    <w:p w:rsidR="00E11AAF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The key issues were those discussed at the time the temporary rules were established:  </w:t>
      </w:r>
    </w:p>
    <w:p w:rsidR="00C70849" w:rsidRPr="005E3395" w:rsidRDefault="00C70849" w:rsidP="00E11AA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the </w:t>
      </w:r>
      <w:r w:rsidR="00E11AAF" w:rsidRPr="005E3395">
        <w:rPr>
          <w:rFonts w:ascii="Times New Roman" w:hAnsi="Times New Roman" w:cs="Times New Roman"/>
          <w:sz w:val="24"/>
          <w:szCs w:val="24"/>
        </w:rPr>
        <w:t xml:space="preserve">level of subsidization required of the </w:t>
      </w:r>
      <w:r w:rsidRPr="005E3395">
        <w:rPr>
          <w:rFonts w:ascii="Times New Roman" w:hAnsi="Times New Roman" w:cs="Times New Roman"/>
          <w:sz w:val="24"/>
          <w:szCs w:val="24"/>
        </w:rPr>
        <w:t>ARRA loan</w:t>
      </w:r>
      <w:r w:rsidR="00E11AAF" w:rsidRPr="005E3395">
        <w:rPr>
          <w:rFonts w:ascii="Times New Roman" w:hAnsi="Times New Roman" w:cs="Times New Roman"/>
          <w:sz w:val="24"/>
          <w:szCs w:val="24"/>
        </w:rPr>
        <w:t>s;  and,</w:t>
      </w:r>
    </w:p>
    <w:p w:rsidR="00E11AAF" w:rsidRPr="005E3395" w:rsidRDefault="00E11AAF" w:rsidP="00E11AA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project eligibility.</w:t>
      </w:r>
    </w:p>
    <w:p w:rsidR="00E11AAF" w:rsidRPr="005E3395" w:rsidRDefault="00E11AAF" w:rsidP="00E11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lastRenderedPageBreak/>
        <w:t>The important issue at this time is establishing long term administrative rules that will allow DEQ to continue to comply with ARRA requirements.</w:t>
      </w: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Status of ARRA funding</w:t>
      </w:r>
    </w:p>
    <w:p w:rsidR="00C70849" w:rsidRPr="005E3395" w:rsidRDefault="00C70849" w:rsidP="00C70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 xml:space="preserve">DEQ </w:t>
      </w:r>
      <w:r w:rsidR="00E11AAF" w:rsidRPr="005E3395">
        <w:rPr>
          <w:rFonts w:ascii="Times New Roman" w:hAnsi="Times New Roman" w:cs="Times New Roman"/>
          <w:sz w:val="24"/>
          <w:szCs w:val="24"/>
        </w:rPr>
        <w:t xml:space="preserve">has executed </w:t>
      </w:r>
      <w:r w:rsidRPr="005E3395">
        <w:rPr>
          <w:rFonts w:ascii="Times New Roman" w:hAnsi="Times New Roman" w:cs="Times New Roman"/>
          <w:sz w:val="24"/>
          <w:szCs w:val="24"/>
        </w:rPr>
        <w:t>loans to 13 communities (list for EQC?)</w:t>
      </w: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395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</w:p>
    <w:p w:rsidR="00C70849" w:rsidRPr="005E3395" w:rsidRDefault="00C70849" w:rsidP="009C6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395">
        <w:rPr>
          <w:rFonts w:ascii="Times New Roman" w:hAnsi="Times New Roman" w:cs="Times New Roman"/>
          <w:sz w:val="24"/>
          <w:szCs w:val="24"/>
        </w:rPr>
        <w:t>We recommend the commission adopt the proposed rules as presented in Attachment A.</w:t>
      </w:r>
    </w:p>
    <w:sectPr w:rsidR="00C70849" w:rsidRPr="005E3395" w:rsidSect="00530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19" w:rsidRDefault="00960519" w:rsidP="00C70849">
      <w:pPr>
        <w:spacing w:after="0" w:line="240" w:lineRule="auto"/>
      </w:pPr>
      <w:r>
        <w:separator/>
      </w:r>
    </w:p>
  </w:endnote>
  <w:endnote w:type="continuationSeparator" w:id="1">
    <w:p w:rsidR="00960519" w:rsidRDefault="00960519" w:rsidP="00C7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2C" w:rsidRDefault="009556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0322"/>
      <w:docPartObj>
        <w:docPartGallery w:val="Page Numbers (Bottom of Page)"/>
        <w:docPartUnique/>
      </w:docPartObj>
    </w:sdtPr>
    <w:sdtContent>
      <w:p w:rsidR="00960519" w:rsidRDefault="00B57013">
        <w:pPr>
          <w:pStyle w:val="Footer"/>
          <w:jc w:val="center"/>
        </w:pPr>
        <w:fldSimple w:instr=" PAGE   \* MERGEFORMAT ">
          <w:r w:rsidR="0095562C">
            <w:rPr>
              <w:noProof/>
            </w:rPr>
            <w:t>2</w:t>
          </w:r>
        </w:fldSimple>
      </w:p>
    </w:sdtContent>
  </w:sdt>
  <w:p w:rsidR="00960519" w:rsidRDefault="009605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2C" w:rsidRDefault="00955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19" w:rsidRDefault="00960519" w:rsidP="00C70849">
      <w:pPr>
        <w:spacing w:after="0" w:line="240" w:lineRule="auto"/>
      </w:pPr>
      <w:r>
        <w:separator/>
      </w:r>
    </w:p>
  </w:footnote>
  <w:footnote w:type="continuationSeparator" w:id="1">
    <w:p w:rsidR="00960519" w:rsidRDefault="00960519" w:rsidP="00C7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2C" w:rsidRDefault="009556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2C" w:rsidRDefault="009556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2C" w:rsidRDefault="009556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97B"/>
    <w:multiLevelType w:val="hybridMultilevel"/>
    <w:tmpl w:val="B2EC88F2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A1380"/>
    <w:multiLevelType w:val="hybridMultilevel"/>
    <w:tmpl w:val="A3A69592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24ECE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32722"/>
    <w:multiLevelType w:val="hybridMultilevel"/>
    <w:tmpl w:val="0008830A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24ECE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1E47E2"/>
    <w:multiLevelType w:val="hybridMultilevel"/>
    <w:tmpl w:val="E1E237CE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8D2A6C"/>
    <w:multiLevelType w:val="hybridMultilevel"/>
    <w:tmpl w:val="7482061E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6769DC"/>
    <w:multiLevelType w:val="hybridMultilevel"/>
    <w:tmpl w:val="DAF47596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5402CA"/>
    <w:multiLevelType w:val="hybridMultilevel"/>
    <w:tmpl w:val="776ABA68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0E74C8"/>
    <w:multiLevelType w:val="hybridMultilevel"/>
    <w:tmpl w:val="CA34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23A42"/>
    <w:multiLevelType w:val="hybridMultilevel"/>
    <w:tmpl w:val="5548219E"/>
    <w:lvl w:ilvl="0" w:tplc="524E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24ECE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C90BBE"/>
    <w:multiLevelType w:val="hybridMultilevel"/>
    <w:tmpl w:val="4C1C20F0"/>
    <w:lvl w:ilvl="0" w:tplc="524EC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B1910"/>
    <w:multiLevelType w:val="hybridMultilevel"/>
    <w:tmpl w:val="5E543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A7B58"/>
    <w:multiLevelType w:val="hybridMultilevel"/>
    <w:tmpl w:val="80C0B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24EC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77ED1"/>
    <w:rsid w:val="00137D7C"/>
    <w:rsid w:val="00155EB3"/>
    <w:rsid w:val="002B4126"/>
    <w:rsid w:val="002C0A44"/>
    <w:rsid w:val="004508EA"/>
    <w:rsid w:val="005306C4"/>
    <w:rsid w:val="005E3395"/>
    <w:rsid w:val="00636C13"/>
    <w:rsid w:val="0069141B"/>
    <w:rsid w:val="00953CF0"/>
    <w:rsid w:val="0095562C"/>
    <w:rsid w:val="00960519"/>
    <w:rsid w:val="00977ED1"/>
    <w:rsid w:val="009C6FB3"/>
    <w:rsid w:val="00A032E6"/>
    <w:rsid w:val="00AA4256"/>
    <w:rsid w:val="00B57013"/>
    <w:rsid w:val="00C70849"/>
    <w:rsid w:val="00E11AAF"/>
    <w:rsid w:val="00F3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849"/>
  </w:style>
  <w:style w:type="paragraph" w:styleId="Footer">
    <w:name w:val="footer"/>
    <w:basedOn w:val="Normal"/>
    <w:link w:val="FooterChar"/>
    <w:uiPriority w:val="99"/>
    <w:unhideWhenUsed/>
    <w:rsid w:val="00C7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2009-09-23T20:03:00Z</dcterms:created>
  <dcterms:modified xsi:type="dcterms:W3CDTF">2009-09-23T20:03:00Z</dcterms:modified>
</cp:coreProperties>
</file>