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2" w:rsidRDefault="00280D95" w:rsidP="005908C2">
      <w:r w:rsidRPr="005908C2">
        <w:t xml:space="preserve"> </w:t>
      </w:r>
    </w:p>
    <w:p w:rsidR="005908C2" w:rsidRPr="005908C2" w:rsidRDefault="005908C2" w:rsidP="005908C2"/>
    <w:p w:rsidR="005908C2" w:rsidRPr="005908C2" w:rsidRDefault="005908C2" w:rsidP="005908C2"/>
    <w:p w:rsidR="005908C2" w:rsidRPr="005908C2" w:rsidRDefault="005908C2" w:rsidP="005908C2"/>
    <w:p w:rsidR="005908C2" w:rsidRDefault="005908C2" w:rsidP="005908C2"/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 xml:space="preserve">Rule Caption: </w:t>
      </w:r>
      <w:r w:rsidRPr="005908C2">
        <w:t>Amend the Clean Water State Revolving Fund —</w:t>
      </w:r>
      <w:r>
        <w:t xml:space="preserve"> </w:t>
      </w:r>
      <w:r w:rsidRPr="005908C2">
        <w:t>Permanent Rules.</w:t>
      </w:r>
    </w:p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>Adm. Order No.:</w:t>
      </w:r>
      <w:r>
        <w:rPr>
          <w:b/>
          <w:bCs/>
        </w:rPr>
        <w:t xml:space="preserve"> </w:t>
      </w:r>
      <w:r w:rsidRPr="005908C2">
        <w:t>DEQ 7-2009</w:t>
      </w:r>
    </w:p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 xml:space="preserve">Filed with Sec. of State: </w:t>
      </w:r>
      <w:r w:rsidRPr="005908C2">
        <w:t>10-28-2009</w:t>
      </w:r>
    </w:p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 xml:space="preserve">Certified to be Effective: </w:t>
      </w:r>
      <w:r w:rsidRPr="005908C2">
        <w:t>10-28-09</w:t>
      </w:r>
    </w:p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 xml:space="preserve">Notice Publication Date: </w:t>
      </w:r>
      <w:r w:rsidRPr="005908C2">
        <w:t>8-1-2009</w:t>
      </w:r>
    </w:p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>RulesAdopted</w:t>
      </w:r>
      <w:proofErr w:type="gramStart"/>
      <w:r w:rsidRPr="005908C2">
        <w:rPr>
          <w:b/>
          <w:bCs/>
        </w:rPr>
        <w:t>:</w:t>
      </w:r>
      <w:r w:rsidRPr="005908C2">
        <w:t>340</w:t>
      </w:r>
      <w:proofErr w:type="gramEnd"/>
      <w:r w:rsidRPr="005908C2">
        <w:t>-054-0098, 340-054-0100, 340-054-0102, 340-054-0104, 340-054-0106, 340-054-0108</w:t>
      </w:r>
    </w:p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 xml:space="preserve">Rules Amended: </w:t>
      </w:r>
      <w:r w:rsidRPr="005908C2">
        <w:t>340-054-0024, 340-054-0025, 340-054-0035</w:t>
      </w:r>
    </w:p>
    <w:p w:rsidR="005908C2" w:rsidRPr="005908C2" w:rsidRDefault="005908C2" w:rsidP="005908C2">
      <w:pPr>
        <w:tabs>
          <w:tab w:val="left" w:pos="3694"/>
        </w:tabs>
      </w:pPr>
      <w:r w:rsidRPr="005908C2">
        <w:rPr>
          <w:b/>
          <w:bCs/>
        </w:rPr>
        <w:t>Subject:</w:t>
      </w:r>
      <w:r>
        <w:rPr>
          <w:b/>
          <w:bCs/>
        </w:rPr>
        <w:t xml:space="preserve"> </w:t>
      </w:r>
      <w:r w:rsidRPr="005908C2">
        <w:t>The</w:t>
      </w:r>
      <w:r>
        <w:t xml:space="preserve"> </w:t>
      </w:r>
      <w:r w:rsidRPr="005908C2">
        <w:t>American Recovery and Reinvestment</w:t>
      </w:r>
      <w:r>
        <w:t xml:space="preserve"> </w:t>
      </w:r>
      <w:r w:rsidRPr="005908C2">
        <w:t>Act of 2009 (the</w:t>
      </w:r>
      <w:r>
        <w:t xml:space="preserve"> </w:t>
      </w:r>
      <w:r w:rsidRPr="005908C2">
        <w:t>Act) allows the U.S. Environmental Protection Agency to allocate</w:t>
      </w:r>
      <w:r>
        <w:t xml:space="preserve"> </w:t>
      </w:r>
      <w:r w:rsidRPr="005908C2">
        <w:t>$44.3 million to Oregon DEQ’s Clean</w:t>
      </w:r>
      <w:r>
        <w:t xml:space="preserve"> </w:t>
      </w:r>
      <w:r w:rsidRPr="005908C2">
        <w:t>Water State Revolving Fund</w:t>
      </w:r>
      <w:r>
        <w:t xml:space="preserve"> </w:t>
      </w:r>
      <w:r w:rsidRPr="005908C2">
        <w:t>(CWSRF) to create jobs and promote economic recovery. To meet</w:t>
      </w:r>
      <w:r>
        <w:t xml:space="preserve"> </w:t>
      </w:r>
      <w:r w:rsidRPr="005908C2">
        <w:t>the requirements of the</w:t>
      </w:r>
      <w:r>
        <w:t xml:space="preserve"> </w:t>
      </w:r>
      <w:r w:rsidRPr="005908C2">
        <w:t>Act, the Environmental Quality Commission</w:t>
      </w:r>
      <w:r>
        <w:t xml:space="preserve"> </w:t>
      </w:r>
      <w:r w:rsidRPr="005908C2">
        <w:t>(EQC) adopted temporary amendments to DEQ’s CWSRF loan program</w:t>
      </w:r>
      <w:r>
        <w:t xml:space="preserve"> </w:t>
      </w:r>
      <w:r w:rsidRPr="005908C2">
        <w:t>administrative rules in April 2009. By law, these temporary</w:t>
      </w:r>
      <w:r>
        <w:t xml:space="preserve"> </w:t>
      </w:r>
      <w:r w:rsidRPr="005908C2">
        <w:t>rules will expire in October 2009. The adoption of this permanent</w:t>
      </w:r>
      <w:r>
        <w:t xml:space="preserve"> </w:t>
      </w:r>
      <w:r w:rsidRPr="005908C2">
        <w:t>rulemaking ensures DEQ’s program will meet the requirements of</w:t>
      </w:r>
      <w:r>
        <w:t xml:space="preserve"> </w:t>
      </w:r>
      <w:r w:rsidRPr="005908C2">
        <w:t>the Act</w:t>
      </w:r>
      <w:bookmarkStart w:id="0" w:name="_GoBack"/>
      <w:bookmarkEnd w:id="0"/>
      <w:r w:rsidRPr="005908C2">
        <w:t>.</w:t>
      </w:r>
      <w:r>
        <w:t xml:space="preserve"> </w:t>
      </w:r>
    </w:p>
    <w:sectPr w:rsidR="005908C2" w:rsidRPr="0059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4C2B"/>
    <w:rsid w:val="00090C6A"/>
    <w:rsid w:val="0011719E"/>
    <w:rsid w:val="00172668"/>
    <w:rsid w:val="001B4AD9"/>
    <w:rsid w:val="00206C68"/>
    <w:rsid w:val="00244424"/>
    <w:rsid w:val="00255F00"/>
    <w:rsid w:val="00280D95"/>
    <w:rsid w:val="0028652B"/>
    <w:rsid w:val="00286E9D"/>
    <w:rsid w:val="002F30B0"/>
    <w:rsid w:val="002F7739"/>
    <w:rsid w:val="002F7796"/>
    <w:rsid w:val="00355C4F"/>
    <w:rsid w:val="003D5864"/>
    <w:rsid w:val="0041519D"/>
    <w:rsid w:val="00433016"/>
    <w:rsid w:val="004836F3"/>
    <w:rsid w:val="004F39C3"/>
    <w:rsid w:val="0058733B"/>
    <w:rsid w:val="005908C2"/>
    <w:rsid w:val="005C39BB"/>
    <w:rsid w:val="007138B7"/>
    <w:rsid w:val="0079345C"/>
    <w:rsid w:val="007C76CF"/>
    <w:rsid w:val="007F7302"/>
    <w:rsid w:val="0081082A"/>
    <w:rsid w:val="008565D9"/>
    <w:rsid w:val="0087513D"/>
    <w:rsid w:val="008B394A"/>
    <w:rsid w:val="008C2E8E"/>
    <w:rsid w:val="008F171C"/>
    <w:rsid w:val="0091796F"/>
    <w:rsid w:val="00925B45"/>
    <w:rsid w:val="009C48F4"/>
    <w:rsid w:val="009F6803"/>
    <w:rsid w:val="00A20555"/>
    <w:rsid w:val="00A43B02"/>
    <w:rsid w:val="00A878E3"/>
    <w:rsid w:val="00AE18E8"/>
    <w:rsid w:val="00B541B3"/>
    <w:rsid w:val="00C25D20"/>
    <w:rsid w:val="00C731D8"/>
    <w:rsid w:val="00D0694D"/>
    <w:rsid w:val="00D62539"/>
    <w:rsid w:val="00D90FCF"/>
    <w:rsid w:val="00DC5453"/>
    <w:rsid w:val="00E37946"/>
    <w:rsid w:val="00E72310"/>
    <w:rsid w:val="00EB1E1A"/>
    <w:rsid w:val="00F25B3B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4584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2019-06-06T18:27:00Z</dcterms:created>
  <dcterms:modified xsi:type="dcterms:W3CDTF">2019-06-11T23:13:00Z</dcterms:modified>
</cp:coreProperties>
</file>